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2"/>
        <w:shd w:val="clear" w:color="auto" w:fill="auto"/>
        <w:spacing w:after="0" w:line="360" w:lineRule="auto"/>
        <w:rPr>
          <w:rFonts w:hint="eastAsia" w:eastAsia="宋体" w:cs="宋体"/>
          <w:b/>
          <w:kern w:val="2"/>
          <w:sz w:val="46"/>
          <w:szCs w:val="46"/>
          <w:lang w:val="en-US" w:eastAsia="zh-CN"/>
        </w:rPr>
      </w:pPr>
      <w:r>
        <w:rPr>
          <w:rFonts w:hint="eastAsia" w:eastAsia="宋体" w:cs="宋体"/>
          <w:b/>
          <w:kern w:val="2"/>
          <w:sz w:val="46"/>
          <w:szCs w:val="46"/>
          <w:lang w:val="en-US" w:eastAsia="zh-CN"/>
        </w:rPr>
        <w:t xml:space="preserve"> </w:t>
      </w:r>
    </w:p>
    <w:p>
      <w:pPr>
        <w:pStyle w:val="386"/>
        <w:spacing w:before="0" w:beforeLines="0" w:after="0" w:afterLines="0" w:line="360" w:lineRule="auto"/>
        <w:rPr>
          <w:rFonts w:hint="eastAsia" w:ascii="黑体" w:hAnsi="黑体" w:eastAsia="黑体" w:cs="黑体"/>
          <w:b/>
          <w:spacing w:val="300"/>
          <w:sz w:val="48"/>
          <w:szCs w:val="48"/>
          <w:lang w:val="en-US"/>
        </w:rPr>
      </w:pPr>
      <w:bookmarkStart w:id="0" w:name="bookmark0"/>
      <w:r>
        <w:rPr>
          <w:rFonts w:hint="eastAsia" w:ascii="黑体" w:hAnsi="黑体" w:eastAsia="黑体" w:cs="黑体"/>
          <w:b/>
          <w:spacing w:val="300"/>
          <w:sz w:val="48"/>
          <w:szCs w:val="48"/>
          <w:lang w:val="en-US" w:eastAsia="zh-CN"/>
        </w:rPr>
        <w:t>湛江市</w:t>
      </w:r>
    </w:p>
    <w:p>
      <w:pPr>
        <w:pStyle w:val="386"/>
        <w:spacing w:before="0" w:beforeLines="0" w:after="0" w:afterLines="0" w:line="360" w:lineRule="auto"/>
        <w:rPr>
          <w:rFonts w:ascii="宋体" w:hAnsi="宋体" w:eastAsia="宋体" w:cs="宋体"/>
          <w:b/>
          <w:spacing w:val="200"/>
          <w:sz w:val="52"/>
          <w:szCs w:val="52"/>
          <w:lang w:val="en-US"/>
        </w:rPr>
      </w:pPr>
      <w:r>
        <w:rPr>
          <w:rFonts w:hint="eastAsia" w:ascii="黑体" w:hAnsi="黑体" w:eastAsia="黑体" w:cs="黑体"/>
          <w:b/>
          <w:spacing w:val="200"/>
          <w:sz w:val="72"/>
          <w:szCs w:val="72"/>
          <w:lang w:val="en-US"/>
        </w:rPr>
        <w:t>水运工程</w:t>
      </w:r>
      <w:r>
        <w:rPr>
          <w:rFonts w:hint="eastAsia" w:ascii="黑体" w:hAnsi="黑体" w:eastAsia="黑体" w:cs="黑体"/>
          <w:b/>
          <w:spacing w:val="200"/>
          <w:sz w:val="72"/>
          <w:szCs w:val="72"/>
          <w:lang w:val="en-US" w:eastAsia="zh-CN"/>
        </w:rPr>
        <w:t>勘察设计</w:t>
      </w:r>
      <w:r>
        <w:rPr>
          <w:rFonts w:hint="eastAsia" w:ascii="黑体" w:hAnsi="黑体" w:eastAsia="黑体" w:cs="黑体"/>
          <w:b/>
          <w:spacing w:val="200"/>
          <w:sz w:val="72"/>
          <w:szCs w:val="72"/>
          <w:lang w:val="en-US"/>
        </w:rPr>
        <w:t>招标文件范本</w:t>
      </w:r>
    </w:p>
    <w:p>
      <w:pPr>
        <w:pStyle w:val="435"/>
        <w:spacing w:line="360" w:lineRule="auto"/>
        <w:rPr>
          <w:rFonts w:ascii="宋体" w:hAnsi="宋体" w:eastAsia="宋体" w:cs="宋体"/>
          <w:spacing w:val="100"/>
          <w:sz w:val="52"/>
          <w:szCs w:val="52"/>
          <w:lang w:val="en-US"/>
        </w:rPr>
      </w:pPr>
      <w:r>
        <w:rPr>
          <w:rFonts w:hint="eastAsia" w:ascii="黑体" w:hAnsi="黑体" w:eastAsia="黑体" w:cs="黑体"/>
          <w:spacing w:val="100"/>
          <w:sz w:val="52"/>
          <w:szCs w:val="52"/>
          <w:lang w:val="en-US"/>
        </w:rPr>
        <w:t>(2023年版）</w:t>
      </w:r>
    </w:p>
    <w:p>
      <w:pPr>
        <w:pStyle w:val="435"/>
        <w:spacing w:before="0" w:beforeLines="0" w:line="360" w:lineRule="auto"/>
        <w:rPr>
          <w:rStyle w:val="311"/>
          <w:rFonts w:hint="eastAsia" w:ascii="宋体" w:hAnsi="宋体" w:eastAsia="宋体"/>
          <w:b w:val="0"/>
        </w:rPr>
      </w:pPr>
    </w:p>
    <w:p>
      <w:pPr>
        <w:pStyle w:val="435"/>
        <w:spacing w:before="0" w:beforeLines="0" w:line="360" w:lineRule="auto"/>
        <w:rPr>
          <w:rStyle w:val="311"/>
          <w:rFonts w:hint="eastAsia" w:ascii="宋体" w:hAnsi="宋体" w:eastAsia="宋体"/>
          <w:b w:val="0"/>
        </w:rPr>
      </w:pPr>
    </w:p>
    <w:p>
      <w:pPr>
        <w:pStyle w:val="435"/>
        <w:spacing w:before="0" w:beforeLines="0" w:line="360" w:lineRule="auto"/>
        <w:rPr>
          <w:rStyle w:val="311"/>
          <w:rFonts w:hint="eastAsia" w:ascii="宋体" w:hAnsi="宋体" w:eastAsia="宋体"/>
          <w:b w:val="0"/>
        </w:rPr>
      </w:pPr>
    </w:p>
    <w:p>
      <w:pPr>
        <w:pStyle w:val="435"/>
        <w:spacing w:before="0" w:beforeLines="0" w:line="360" w:lineRule="auto"/>
        <w:rPr>
          <w:rStyle w:val="311"/>
          <w:rFonts w:hint="eastAsia" w:ascii="宋体" w:hAnsi="宋体" w:eastAsia="宋体"/>
          <w:b w:val="0"/>
        </w:rPr>
      </w:pPr>
    </w:p>
    <w:p>
      <w:pPr>
        <w:pStyle w:val="435"/>
        <w:spacing w:before="0" w:beforeLines="0" w:line="360" w:lineRule="auto"/>
        <w:rPr>
          <w:rStyle w:val="311"/>
          <w:rFonts w:hint="eastAsia" w:ascii="宋体" w:hAnsi="宋体" w:eastAsia="宋体"/>
          <w:b w:val="0"/>
        </w:rPr>
      </w:pPr>
    </w:p>
    <w:p>
      <w:pPr>
        <w:pStyle w:val="435"/>
        <w:spacing w:before="0" w:beforeLines="0" w:line="360" w:lineRule="auto"/>
        <w:rPr>
          <w:rStyle w:val="311"/>
          <w:rFonts w:ascii="宋体" w:hAnsi="宋体" w:eastAsia="宋体"/>
          <w:b w:val="0"/>
        </w:rPr>
      </w:pPr>
    </w:p>
    <w:p>
      <w:pPr>
        <w:pStyle w:val="435"/>
        <w:spacing w:before="0" w:beforeLines="0" w:line="360" w:lineRule="auto"/>
        <w:rPr>
          <w:rStyle w:val="311"/>
          <w:rFonts w:ascii="宋体" w:hAnsi="宋体" w:eastAsia="宋体"/>
          <w:b w:val="0"/>
        </w:rPr>
      </w:pPr>
    </w:p>
    <w:p>
      <w:pPr>
        <w:pStyle w:val="435"/>
        <w:spacing w:before="0" w:beforeLines="0" w:line="360" w:lineRule="auto"/>
        <w:rPr>
          <w:rStyle w:val="311"/>
          <w:rFonts w:ascii="宋体" w:hAnsi="宋体" w:eastAsia="宋体"/>
          <w:b w:val="0"/>
        </w:rPr>
      </w:pPr>
    </w:p>
    <w:p>
      <w:pPr>
        <w:topLinePunct/>
        <w:spacing w:line="360" w:lineRule="auto"/>
        <w:jc w:val="center"/>
        <w:rPr>
          <w:rFonts w:ascii="黑体" w:hAnsi="黑体" w:eastAsia="黑体" w:cs="宋体"/>
          <w:b/>
          <w:color w:val="auto"/>
          <w:kern w:val="2"/>
          <w:sz w:val="48"/>
          <w:szCs w:val="48"/>
          <w:lang w:val="en-US"/>
        </w:rPr>
        <w:sectPr>
          <w:footerReference r:id="rId5" w:type="default"/>
          <w:headerReference r:id="rId4" w:type="even"/>
          <w:footerReference r:id="rId6" w:type="even"/>
          <w:footnotePr>
            <w:numRestart w:val="eachPage"/>
          </w:footnotePr>
          <w:pgSz w:w="11900" w:h="16838"/>
          <w:pgMar w:top="1803" w:right="1440" w:bottom="1803" w:left="1440" w:header="680" w:footer="680" w:gutter="0"/>
          <w:cols w:space="720" w:num="1"/>
          <w:docGrid w:linePitch="360" w:charSpace="0"/>
        </w:sectPr>
      </w:pPr>
      <w:r>
        <w:rPr>
          <w:rFonts w:hint="eastAsia" w:ascii="黑体" w:hAnsi="黑体" w:eastAsia="黑体" w:cs="黑体"/>
          <w:b/>
          <w:sz w:val="52"/>
          <w:szCs w:val="52"/>
          <w:lang w:val="en-US"/>
        </w:rPr>
        <w:t>2023年</w:t>
      </w:r>
      <w:r>
        <w:rPr>
          <w:rFonts w:hint="eastAsia" w:ascii="黑体" w:hAnsi="黑体" w:eastAsia="黑体" w:cs="黑体"/>
          <w:b/>
          <w:sz w:val="52"/>
          <w:szCs w:val="52"/>
          <w:lang w:val="en-US" w:eastAsia="zh-CN"/>
        </w:rPr>
        <w:t>8</w:t>
      </w:r>
      <w:r>
        <w:rPr>
          <w:rFonts w:hint="eastAsia" w:ascii="黑体" w:hAnsi="黑体" w:eastAsia="黑体" w:cs="黑体"/>
          <w:b/>
          <w:sz w:val="52"/>
          <w:szCs w:val="52"/>
          <w:lang w:val="en-US"/>
        </w:rPr>
        <w:t>月</w:t>
      </w:r>
      <w:bookmarkEnd w:id="0"/>
    </w:p>
    <w:p>
      <w:pPr>
        <w:adjustRightInd w:val="0"/>
        <w:snapToGrid w:val="0"/>
        <w:spacing w:line="560" w:lineRule="atLeast"/>
        <w:jc w:val="center"/>
        <w:rPr>
          <w:rFonts w:hint="eastAsia" w:ascii="方正小标宋简体" w:eastAsia="方正小标宋简体" w:cs="Times New Roman"/>
          <w:bCs/>
          <w:kern w:val="2"/>
          <w:sz w:val="44"/>
          <w:lang w:val="en-US"/>
        </w:rPr>
      </w:pPr>
      <w:bookmarkStart w:id="1" w:name="标题"/>
      <w:bookmarkStart w:id="2" w:name="title"/>
      <w:r>
        <w:rPr>
          <w:rFonts w:hint="eastAsia" w:ascii="方正小标宋简体" w:eastAsia="方正小标宋简体" w:cs="Times New Roman"/>
          <w:bCs/>
          <w:kern w:val="2"/>
          <w:sz w:val="44"/>
          <w:lang w:val="en-US"/>
        </w:rPr>
        <w:t>广东省交通运输厅关于印发广东省水运工程</w:t>
      </w:r>
    </w:p>
    <w:p>
      <w:pPr>
        <w:adjustRightInd w:val="0"/>
        <w:snapToGrid w:val="0"/>
        <w:spacing w:line="560" w:lineRule="atLeast"/>
        <w:jc w:val="center"/>
        <w:rPr>
          <w:rFonts w:hint="eastAsia" w:ascii="方正小标宋简体" w:eastAsia="方正小标宋简体" w:cs="Times New Roman"/>
          <w:bCs/>
          <w:kern w:val="2"/>
          <w:sz w:val="44"/>
          <w:lang w:val="en-US"/>
        </w:rPr>
      </w:pPr>
      <w:r>
        <w:rPr>
          <w:rFonts w:hint="eastAsia" w:ascii="方正小标宋简体" w:eastAsia="方正小标宋简体" w:cs="Times New Roman"/>
          <w:bCs/>
          <w:spacing w:val="-11"/>
          <w:kern w:val="2"/>
          <w:sz w:val="44"/>
          <w:lang w:val="en-US"/>
        </w:rPr>
        <w:t>勘察设计、勘察设计咨询、施工及施工监理</w:t>
      </w:r>
    </w:p>
    <w:p>
      <w:pPr>
        <w:adjustRightInd w:val="0"/>
        <w:snapToGrid w:val="0"/>
        <w:spacing w:line="560" w:lineRule="atLeast"/>
        <w:jc w:val="center"/>
        <w:rPr>
          <w:rFonts w:hint="eastAsia" w:ascii="方正小标宋简体" w:eastAsia="方正小标宋简体" w:cs="Times New Roman"/>
          <w:bCs/>
          <w:kern w:val="2"/>
          <w:sz w:val="44"/>
          <w:lang w:val="en-US"/>
        </w:rPr>
      </w:pPr>
      <w:r>
        <w:rPr>
          <w:rFonts w:hint="eastAsia" w:ascii="方正小标宋简体" w:eastAsia="方正小标宋简体" w:cs="Times New Roman"/>
          <w:bCs/>
          <w:kern w:val="2"/>
          <w:sz w:val="44"/>
          <w:lang w:val="en-US"/>
        </w:rPr>
        <w:t>招标文件范本（2023年版）的通知</w:t>
      </w:r>
      <w:bookmarkEnd w:id="1"/>
    </w:p>
    <w:p>
      <w:pPr>
        <w:spacing w:line="540" w:lineRule="exact"/>
        <w:jc w:val="center"/>
        <w:rPr>
          <w:rFonts w:hint="eastAsia" w:ascii="仿宋_GB2312" w:hAnsi="Times New Roman" w:eastAsia="仿宋_GB2312" w:cs="Times New Roman"/>
          <w:kern w:val="2"/>
          <w:sz w:val="32"/>
          <w:lang w:val="en-US"/>
        </w:rPr>
      </w:pPr>
      <w:bookmarkStart w:id="3" w:name="字号"/>
      <w:r>
        <w:rPr>
          <w:rFonts w:hint="eastAsia" w:ascii="仿宋_GB2312" w:hAnsi="Times New Roman" w:eastAsia="仿宋_GB2312" w:cs="Times New Roman"/>
          <w:b/>
          <w:bCs/>
          <w:kern w:val="2"/>
          <w:sz w:val="32"/>
          <w:szCs w:val="32"/>
          <w:lang w:val="en-US" w:eastAsia="zh-CN"/>
        </w:rPr>
        <w:t>粤交基〔2023〕361</w:t>
      </w:r>
      <w:bookmarkEnd w:id="3"/>
      <w:r>
        <w:rPr>
          <w:rFonts w:hint="eastAsia" w:ascii="仿宋_GB2312" w:hAnsi="Times New Roman" w:eastAsia="仿宋_GB2312" w:cs="Times New Roman"/>
          <w:b/>
          <w:bCs/>
          <w:kern w:val="2"/>
          <w:sz w:val="32"/>
          <w:szCs w:val="32"/>
          <w:lang w:val="en-US"/>
        </w:rPr>
        <w:t>号</w:t>
      </w:r>
    </w:p>
    <w:p>
      <w:pPr>
        <w:spacing w:line="540" w:lineRule="exact"/>
        <w:rPr>
          <w:rFonts w:hint="eastAsia" w:ascii="仿宋_GB2312" w:eastAsia="仿宋_GB2312" w:cs="Times New Roman"/>
          <w:kern w:val="2"/>
          <w:sz w:val="32"/>
          <w:lang w:val="en-US"/>
        </w:rPr>
      </w:pPr>
      <w:bookmarkStart w:id="4" w:name="主送"/>
    </w:p>
    <w:p>
      <w:pPr>
        <w:spacing w:line="540" w:lineRule="exact"/>
        <w:rPr>
          <w:rFonts w:hint="eastAsia" w:ascii="仿宋_GB2312" w:eastAsia="仿宋_GB2312" w:cs="Times New Roman"/>
          <w:kern w:val="2"/>
          <w:sz w:val="32"/>
          <w:lang w:val="en-US"/>
        </w:rPr>
      </w:pPr>
      <w:r>
        <w:rPr>
          <w:rFonts w:hint="eastAsia" w:ascii="仿宋_GB2312" w:eastAsia="仿宋_GB2312" w:cs="Times New Roman"/>
          <w:kern w:val="2"/>
          <w:sz w:val="32"/>
          <w:lang w:val="en-US"/>
        </w:rPr>
        <w:t>各地级以上市交通运输局，广州市港务局，省航道事务中心、省交通运输工程造价事务中心、省交通运输规划研究中心</w:t>
      </w:r>
      <w:bookmarkEnd w:id="4"/>
      <w:r>
        <w:rPr>
          <w:rFonts w:hint="eastAsia" w:ascii="仿宋_GB2312" w:eastAsia="仿宋_GB2312" w:cs="Times New Roman"/>
          <w:kern w:val="2"/>
          <w:sz w:val="32"/>
          <w:lang w:val="en-US"/>
        </w:rPr>
        <w:t>：</w:t>
      </w:r>
    </w:p>
    <w:p>
      <w:pPr>
        <w:adjustRightInd w:val="0"/>
        <w:snapToGrid w:val="0"/>
        <w:spacing w:line="540" w:lineRule="exact"/>
        <w:jc w:val="both"/>
        <w:rPr>
          <w:rFonts w:hint="eastAsia" w:ascii="仿宋_GB2312" w:hAnsi="仿宋_GB2312" w:eastAsia="仿宋_GB2312" w:cs="仿宋_GB2312"/>
          <w:kern w:val="2"/>
          <w:sz w:val="32"/>
          <w:szCs w:val="32"/>
          <w:lang w:val="en-US"/>
        </w:rPr>
      </w:pPr>
      <w:bookmarkStart w:id="5" w:name="Content"/>
      <w:r>
        <w:rPr>
          <w:rFonts w:hint="eastAsia" w:ascii="仿宋_GB2312" w:hAnsi="仿宋_GB2312" w:eastAsia="仿宋_GB2312" w:cs="仿宋_GB2312"/>
          <w:sz w:val="32"/>
          <w:szCs w:val="32"/>
          <w:lang w:val="en-US" w:bidi="ar"/>
        </w:rPr>
        <w:t xml:space="preserve">    为进一步规范我省水运工程勘察设计、勘察设计咨询、施工及施工监理招标文件</w:t>
      </w:r>
      <w:r>
        <w:rPr>
          <w:rFonts w:ascii="仿宋_GB2312" w:hAnsi="仿宋_GB2312" w:eastAsia="仿宋_GB2312" w:cs="仿宋_GB2312"/>
          <w:sz w:val="32"/>
          <w:szCs w:val="32"/>
          <w:lang w:val="en-US" w:bidi="ar"/>
        </w:rPr>
        <w:t>编制工作</w:t>
      </w:r>
      <w:r>
        <w:rPr>
          <w:rFonts w:hint="eastAsia" w:ascii="仿宋_GB2312" w:hAnsi="仿宋_GB2312" w:eastAsia="仿宋_GB2312" w:cs="仿宋_GB2312"/>
          <w:sz w:val="32"/>
          <w:szCs w:val="32"/>
          <w:lang w:val="en-US" w:bidi="ar"/>
        </w:rPr>
        <w:t>，根据《中华人民共和国招标投标法》《中华人民共和国招标投标法实施条例》《广东省实施&lt;中华人民共和国招标投标法&gt;办法》《水运工程建设项目招标投标管理办法》（交通运输部令 2021 年第 14 号）以及《广东省交通运输厅关于加强公路水运工程建设项目招标投标管理工作的通知》（粤交〔2022〕11 号）等有关规定，厅组织相关单位结合我省实际制定了广东省水运工程勘察设计、勘察设计咨询、施工监理招标文件范本，并对2022年印发的施工招标文件范本进行局部修订，形成《广东省水运工程勘察设计招标文件范本（2023年版）》《广东省水运工程勘察设计咨询招标文件范本（2023年版）》《广东省水运工程施工招标文件范本（2023年版）》《广东省水运工程施工监理招标文件范本（2023年版）》（以下简称《2023年范本》），现印发给你们，并提出</w:t>
      </w:r>
      <w:r>
        <w:rPr>
          <w:rFonts w:ascii="仿宋_GB2312" w:hAnsi="仿宋_GB2312" w:eastAsia="仿宋_GB2312" w:cs="仿宋_GB2312"/>
          <w:sz w:val="32"/>
          <w:szCs w:val="32"/>
          <w:lang w:val="en-US" w:bidi="ar"/>
        </w:rPr>
        <w:t>以下意见</w:t>
      </w:r>
      <w:r>
        <w:rPr>
          <w:rFonts w:hint="eastAsia" w:ascii="仿宋_GB2312" w:hAnsi="仿宋_GB2312" w:eastAsia="仿宋_GB2312" w:cs="仿宋_GB2312"/>
          <w:sz w:val="32"/>
          <w:szCs w:val="32"/>
          <w:lang w:val="en-US" w:bidi="ar"/>
        </w:rPr>
        <w:t>，请一并贯彻执行。</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一、《2023年范本》适用于公开招标并采用资格后审方式的广东省港口工程、航道工程、修造船厂水工建筑物工程以及与之相配套的水运工程勘察设计、勘察设计咨询、施工、施工监理招标投标活动。</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二、招标文件除应符合国家标准文件和我省《2023年范本》规定外，尚应符合国家现行有关法律、法规、标准的规定。原则上招标文件自备案之日起6个月内应完成招标工作。</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三、《2023年范本》自印发之日起施行。使用过程中如有意见建议，请径与厅基建管理处联系。《广东省交通运输厅关于印发广东省水运工程施工招标文件范本（2022年版）的通知》（粤交基〔2022〕584号）同时废止。</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 xml:space="preserve"> </w:t>
      </w:r>
    </w:p>
    <w:p>
      <w:pPr>
        <w:adjustRightInd w:val="0"/>
        <w:snapToGrid w:val="0"/>
        <w:spacing w:line="540" w:lineRule="exact"/>
        <w:ind w:firstLine="640" w:firstLineChars="200"/>
        <w:jc w:val="both"/>
        <w:rPr>
          <w:rFonts w:ascii="仿宋_GB2312" w:hAnsi="仿宋_GB2312" w:eastAsia="仿宋_GB2312" w:cs="仿宋_GB2312"/>
          <w:sz w:val="32"/>
          <w:szCs w:val="32"/>
          <w:lang w:val="en-US" w:bidi="ar"/>
        </w:rPr>
      </w:pPr>
      <w:r>
        <w:rPr>
          <w:rFonts w:ascii="仿宋_GB2312" w:hAnsi="仿宋_GB2312" w:eastAsia="仿宋_GB2312" w:cs="仿宋_GB2312"/>
          <w:sz w:val="32"/>
          <w:szCs w:val="32"/>
          <w:lang w:val="en-US" w:bidi="ar"/>
        </w:rPr>
        <w:t>联系电话：厅基建管理处</w:t>
      </w:r>
      <w:r>
        <w:rPr>
          <w:rFonts w:hint="eastAsia" w:ascii="仿宋_GB2312" w:hAnsi="仿宋_GB2312" w:eastAsia="仿宋_GB2312" w:cs="仿宋_GB2312"/>
          <w:sz w:val="32"/>
          <w:szCs w:val="32"/>
          <w:lang w:val="en-US" w:bidi="ar"/>
        </w:rPr>
        <w:t>，</w:t>
      </w:r>
      <w:r>
        <w:rPr>
          <w:rFonts w:ascii="仿宋_GB2312" w:hAnsi="仿宋_GB2312" w:eastAsia="仿宋_GB2312" w:cs="仿宋_GB2312"/>
          <w:sz w:val="32"/>
          <w:szCs w:val="32"/>
          <w:lang w:val="en-US" w:bidi="ar"/>
        </w:rPr>
        <w:t>020-</w:t>
      </w:r>
      <w:r>
        <w:rPr>
          <w:rFonts w:hint="eastAsia" w:ascii="仿宋_GB2312" w:hAnsi="仿宋_GB2312" w:eastAsia="仿宋_GB2312" w:cs="仿宋_GB2312"/>
          <w:sz w:val="32"/>
          <w:szCs w:val="32"/>
          <w:lang w:val="en-US" w:bidi="ar"/>
        </w:rPr>
        <w:t>83730592</w:t>
      </w:r>
      <w:r>
        <w:rPr>
          <w:rFonts w:ascii="仿宋_GB2312" w:hAnsi="仿宋_GB2312" w:eastAsia="仿宋_GB2312" w:cs="仿宋_GB2312"/>
          <w:sz w:val="32"/>
          <w:szCs w:val="32"/>
          <w:lang w:val="en-US" w:bidi="ar"/>
        </w:rPr>
        <w:t>。</w:t>
      </w:r>
    </w:p>
    <w:p>
      <w:pPr>
        <w:adjustRightInd w:val="0"/>
        <w:snapToGrid w:val="0"/>
        <w:spacing w:line="540" w:lineRule="exact"/>
        <w:ind w:firstLine="640" w:firstLineChars="200"/>
        <w:jc w:val="both"/>
        <w:rPr>
          <w:rFonts w:ascii="仿宋_GB2312" w:hAnsi="仿宋_GB2312" w:eastAsia="仿宋_GB2312" w:cs="仿宋_GB2312"/>
          <w:sz w:val="32"/>
          <w:szCs w:val="32"/>
          <w:lang w:val="en-US" w:bidi="ar"/>
        </w:rPr>
      </w:pPr>
    </w:p>
    <w:p>
      <w:pPr>
        <w:adjustRightInd w:val="0"/>
        <w:snapToGrid w:val="0"/>
        <w:spacing w:line="540" w:lineRule="exact"/>
        <w:jc w:val="both"/>
        <w:rPr>
          <w:rFonts w:hint="eastAsia" w:ascii="仿宋_GB2312" w:hAnsi="仿宋_GB2312" w:eastAsia="仿宋_GB2312" w:cs="仿宋_GB2312"/>
          <w:kern w:val="2"/>
          <w:sz w:val="32"/>
          <w:szCs w:val="32"/>
          <w:lang w:val="en-US"/>
        </w:rPr>
      </w:pPr>
      <w:r>
        <w:rPr>
          <w:rFonts w:ascii="仿宋_GB2312" w:hAnsi="仿宋_GB2312" w:eastAsia="仿宋_GB2312" w:cs="仿宋_GB2312"/>
          <w:sz w:val="32"/>
          <w:szCs w:val="32"/>
          <w:lang w:val="en-US" w:bidi="ar"/>
        </w:rPr>
        <w:t xml:space="preserve">    </w:t>
      </w:r>
      <w:r>
        <w:rPr>
          <w:rFonts w:hint="eastAsia" w:ascii="仿宋_GB2312" w:hAnsi="仿宋_GB2312" w:eastAsia="仿宋_GB2312" w:cs="仿宋_GB2312"/>
          <w:sz w:val="32"/>
          <w:szCs w:val="32"/>
          <w:lang w:val="en-US" w:bidi="ar"/>
        </w:rPr>
        <w:t>附件：1.</w:t>
      </w:r>
      <w:r>
        <w:rPr>
          <w:rFonts w:hint="eastAsia" w:ascii="仿宋_GB2312" w:hAnsi="仿宋_GB2312" w:eastAsia="仿宋_GB2312" w:cs="仿宋_GB2312"/>
          <w:spacing w:val="-6"/>
          <w:sz w:val="32"/>
          <w:szCs w:val="32"/>
          <w:lang w:val="en-US" w:bidi="ar"/>
        </w:rPr>
        <w:t>广东省水运工程勘察设计招标文件范本（2023年版）</w:t>
      </w:r>
    </w:p>
    <w:p>
      <w:pPr>
        <w:adjustRightInd w:val="0"/>
        <w:snapToGrid w:val="0"/>
        <w:spacing w:line="540" w:lineRule="exact"/>
        <w:ind w:left="1559"/>
        <w:jc w:val="both"/>
        <w:rPr>
          <w:rFonts w:hint="eastAsia" w:ascii="仿宋_GB2312" w:hAnsi="仿宋_GB2312" w:eastAsia="仿宋_GB2312" w:cs="仿宋_GB2312"/>
          <w:sz w:val="32"/>
          <w:szCs w:val="32"/>
          <w:lang w:val="en-US" w:bidi="ar"/>
        </w:rPr>
      </w:pPr>
      <w:r>
        <w:rPr>
          <w:rFonts w:ascii="仿宋_GB2312" w:hAnsi="仿宋_GB2312" w:eastAsia="仿宋_GB2312" w:cs="仿宋_GB2312"/>
          <w:sz w:val="32"/>
          <w:szCs w:val="32"/>
          <w:lang w:val="en-US" w:bidi="ar"/>
        </w:rPr>
        <w:t>2.</w:t>
      </w:r>
      <w:r>
        <w:rPr>
          <w:rFonts w:hint="eastAsia" w:ascii="仿宋_GB2312" w:hAnsi="仿宋_GB2312" w:eastAsia="仿宋_GB2312" w:cs="仿宋_GB2312"/>
          <w:sz w:val="32"/>
          <w:szCs w:val="32"/>
          <w:lang w:val="en-US" w:bidi="ar"/>
        </w:rPr>
        <w:t>广东省水运工程勘察设计咨询招标文件范本（2023</w:t>
      </w:r>
    </w:p>
    <w:p>
      <w:pPr>
        <w:adjustRightInd w:val="0"/>
        <w:snapToGrid w:val="0"/>
        <w:spacing w:line="540" w:lineRule="exact"/>
        <w:ind w:left="1559"/>
        <w:jc w:val="both"/>
        <w:rPr>
          <w:rFonts w:hint="eastAsia" w:ascii="仿宋_GB2312" w:hAnsi="仿宋_GB2312" w:eastAsia="仿宋_GB2312" w:cs="仿宋_GB2312"/>
          <w:kern w:val="2"/>
          <w:sz w:val="32"/>
          <w:szCs w:val="32"/>
          <w:lang w:val="en-US"/>
        </w:rPr>
      </w:pPr>
      <w:r>
        <w:rPr>
          <w:rFonts w:ascii="仿宋_GB2312" w:hAnsi="仿宋_GB2312" w:eastAsia="仿宋_GB2312" w:cs="仿宋_GB2312"/>
          <w:sz w:val="32"/>
          <w:szCs w:val="32"/>
          <w:lang w:val="en-US" w:bidi="ar"/>
        </w:rPr>
        <w:t xml:space="preserve">  </w:t>
      </w:r>
      <w:r>
        <w:rPr>
          <w:rFonts w:hint="eastAsia" w:ascii="仿宋_GB2312" w:hAnsi="仿宋_GB2312" w:eastAsia="仿宋_GB2312" w:cs="仿宋_GB2312"/>
          <w:sz w:val="32"/>
          <w:szCs w:val="32"/>
          <w:lang w:val="en-US" w:bidi="ar"/>
        </w:rPr>
        <w:t>年版）</w:t>
      </w:r>
    </w:p>
    <w:p>
      <w:pPr>
        <w:adjustRightInd w:val="0"/>
        <w:snapToGrid w:val="0"/>
        <w:spacing w:line="540" w:lineRule="exact"/>
        <w:ind w:firstLine="1600" w:firstLineChars="5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3.广东省水运工程施工招标文件范本（2023年版）</w:t>
      </w:r>
    </w:p>
    <w:p>
      <w:pPr>
        <w:adjustRightInd w:val="0"/>
        <w:snapToGrid w:val="0"/>
        <w:spacing w:line="540" w:lineRule="exact"/>
        <w:ind w:firstLine="1600" w:firstLineChars="5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4.</w:t>
      </w:r>
      <w:r>
        <w:rPr>
          <w:rFonts w:hint="eastAsia" w:ascii="仿宋_GB2312" w:hAnsi="仿宋_GB2312" w:eastAsia="仿宋_GB2312" w:cs="仿宋_GB2312"/>
          <w:spacing w:val="-11"/>
          <w:sz w:val="32"/>
          <w:szCs w:val="32"/>
          <w:lang w:val="en-US" w:bidi="ar"/>
        </w:rPr>
        <w:t>广东省水运工程施工监理招标文件范本（2023年</w:t>
      </w:r>
      <w:r>
        <w:rPr>
          <w:rFonts w:hint="eastAsia" w:ascii="仿宋_GB2312" w:hAnsi="仿宋_GB2312" w:eastAsia="仿宋_GB2312" w:cs="仿宋_GB2312"/>
          <w:sz w:val="32"/>
          <w:szCs w:val="32"/>
          <w:lang w:val="en-US" w:bidi="ar"/>
        </w:rPr>
        <w:t>版）</w:t>
      </w:r>
    </w:p>
    <w:bookmarkEnd w:id="5"/>
    <w:p>
      <w:pPr>
        <w:widowControl/>
        <w:spacing w:line="560" w:lineRule="atLeast"/>
        <w:jc w:val="both"/>
        <w:rPr>
          <w:rFonts w:hint="eastAsia" w:eastAsia="仿宋_GB2312" w:cs="Times New Roman"/>
          <w:sz w:val="32"/>
          <w:szCs w:val="20"/>
          <w:lang w:val="en-US"/>
        </w:rPr>
      </w:pPr>
    </w:p>
    <w:p>
      <w:pPr>
        <w:widowControl/>
        <w:wordWrap w:val="0"/>
        <w:spacing w:line="560" w:lineRule="atLeast"/>
        <w:jc w:val="center"/>
        <w:rPr>
          <w:rFonts w:hint="eastAsia" w:eastAsia="仿宋_GB2312" w:cs="Times New Roman"/>
          <w:sz w:val="32"/>
          <w:szCs w:val="20"/>
          <w:lang w:val="en-US"/>
        </w:rPr>
      </w:pPr>
      <w:bookmarkStart w:id="6" w:name="落款"/>
      <w:r>
        <w:rPr>
          <w:rFonts w:eastAsia="仿宋_GB2312" w:cs="Times New Roman"/>
          <w:sz w:val="32"/>
          <w:szCs w:val="20"/>
          <w:lang w:val="en-US"/>
        </w:rPr>
        <w:t xml:space="preserve">                           </w:t>
      </w:r>
      <w:r>
        <w:rPr>
          <w:rFonts w:hint="eastAsia" w:eastAsia="仿宋_GB2312" w:cs="Times New Roman"/>
          <w:sz w:val="32"/>
          <w:szCs w:val="20"/>
          <w:lang w:val="en-US"/>
        </w:rPr>
        <w:t xml:space="preserve">     </w:t>
      </w:r>
      <w:r>
        <w:rPr>
          <w:rFonts w:eastAsia="仿宋_GB2312" w:cs="Times New Roman"/>
          <w:sz w:val="32"/>
          <w:szCs w:val="20"/>
          <w:lang w:val="en-US"/>
        </w:rPr>
        <w:t xml:space="preserve"> </w:t>
      </w:r>
      <w:r>
        <w:rPr>
          <w:rFonts w:hint="eastAsia" w:eastAsia="仿宋_GB2312" w:cs="Times New Roman"/>
          <w:sz w:val="32"/>
          <w:szCs w:val="20"/>
          <w:lang w:val="en-US"/>
        </w:rPr>
        <w:t>广东省交通</w:t>
      </w:r>
      <w:bookmarkStart w:id="7" w:name="imgContent"/>
      <w:r>
        <w:rPr>
          <w:rFonts w:hint="eastAsia" w:eastAsia="仿宋_GB2312" w:cs="Times New Roman"/>
          <w:sz w:val="32"/>
          <w:szCs w:val="20"/>
          <w:lang w:val="en-US"/>
        </w:rPr>
        <w:t>运</w:t>
      </w:r>
      <w:bookmarkEnd w:id="7"/>
      <w:r>
        <w:rPr>
          <w:rFonts w:hint="eastAsia" w:eastAsia="仿宋_GB2312" w:cs="Times New Roman"/>
          <w:sz w:val="32"/>
          <w:szCs w:val="20"/>
          <w:lang w:val="en-US"/>
        </w:rPr>
        <w:t>输厅</w:t>
      </w:r>
      <w:bookmarkEnd w:id="6"/>
      <w:r>
        <w:rPr>
          <w:rFonts w:hint="eastAsia" w:eastAsia="仿宋_GB2312" w:cs="Times New Roman"/>
          <w:sz w:val="32"/>
          <w:szCs w:val="20"/>
          <w:lang w:val="en-US"/>
        </w:rPr>
        <w:t xml:space="preserve"> </w:t>
      </w:r>
    </w:p>
    <w:p>
      <w:pPr>
        <w:widowControl/>
        <w:spacing w:line="560" w:lineRule="atLeast"/>
        <w:jc w:val="center"/>
        <w:rPr>
          <w:rFonts w:hint="eastAsia" w:ascii="仿宋" w:hAnsi="仿宋" w:eastAsia="仿宋" w:cs="仿宋"/>
          <w:sz w:val="28"/>
        </w:rPr>
      </w:pPr>
      <w:bookmarkStart w:id="8" w:name="封发日期"/>
      <w:r>
        <w:rPr>
          <w:rFonts w:eastAsia="仿宋_GB2312" w:cs="Times New Roman"/>
          <w:sz w:val="32"/>
          <w:szCs w:val="20"/>
          <w:lang w:val="en-US"/>
        </w:rPr>
        <w:t xml:space="preserve">                          </w:t>
      </w:r>
      <w:r>
        <w:rPr>
          <w:rFonts w:hint="eastAsia" w:eastAsia="仿宋_GB2312" w:cs="Times New Roman"/>
          <w:sz w:val="32"/>
          <w:szCs w:val="20"/>
          <w:lang w:val="en-US"/>
        </w:rPr>
        <w:t xml:space="preserve">     </w:t>
      </w:r>
      <w:r>
        <w:rPr>
          <w:rFonts w:eastAsia="仿宋_GB2312" w:cs="Times New Roman"/>
          <w:sz w:val="32"/>
          <w:szCs w:val="20"/>
          <w:lang w:val="en-US"/>
        </w:rPr>
        <w:t xml:space="preserve"> </w:t>
      </w:r>
      <w:r>
        <w:rPr>
          <w:rFonts w:hint="eastAsia" w:eastAsia="仿宋_GB2312" w:cs="Times New Roman"/>
          <w:sz w:val="32"/>
          <w:szCs w:val="20"/>
          <w:lang w:val="en-US"/>
        </w:rPr>
        <w:t>2023年8月18日</w:t>
      </w:r>
      <w:bookmarkEnd w:id="8"/>
    </w:p>
    <w:bookmarkEnd w:id="2"/>
    <w:p>
      <w:pPr>
        <w:adjustRightInd w:val="0"/>
        <w:snapToGrid w:val="0"/>
        <w:spacing w:line="20" w:lineRule="exact"/>
        <w:jc w:val="both"/>
        <w:rPr>
          <w:rFonts w:eastAsia="仿宋_GB2312" w:cs="Times New Roman"/>
          <w:color w:val="auto"/>
          <w:kern w:val="2"/>
          <w:sz w:val="28"/>
          <w:lang w:val="en-US"/>
        </w:rPr>
      </w:pPr>
    </w:p>
    <w:p>
      <w:pPr>
        <w:pStyle w:val="435"/>
        <w:rPr>
          <w:rFonts w:ascii="宋体" w:hAnsi="宋体" w:eastAsia="宋体"/>
        </w:rPr>
      </w:pPr>
      <w:r>
        <w:rPr>
          <w:rFonts w:ascii="宋体" w:hAnsi="宋体" w:eastAsia="宋体"/>
        </w:rPr>
        <w:br w:type="page"/>
      </w:r>
      <w:r>
        <w:rPr>
          <w:rFonts w:hint="eastAsia" w:ascii="宋体" w:hAnsi="宋体" w:eastAsia="宋体"/>
        </w:rPr>
        <w:t>使用说明</w:t>
      </w:r>
    </w:p>
    <w:p>
      <w:pPr>
        <w:pStyle w:val="433"/>
        <w:rPr>
          <w:rFonts w:ascii="宋体" w:hAnsi="宋体" w:eastAsia="宋体"/>
        </w:rPr>
      </w:pP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一、为规范我</w:t>
      </w:r>
      <w:r>
        <w:rPr>
          <w:rFonts w:hint="eastAsia" w:ascii="宋体" w:hAnsi="宋体" w:eastAsia="宋体" w:cs="宋体"/>
          <w:sz w:val="24"/>
          <w:szCs w:val="24"/>
          <w:lang w:eastAsia="zh-CN"/>
        </w:rPr>
        <w:t>市</w:t>
      </w:r>
      <w:r>
        <w:rPr>
          <w:rFonts w:hint="eastAsia" w:ascii="宋体" w:hAnsi="宋体" w:eastAsia="宋体" w:cs="宋体"/>
          <w:sz w:val="24"/>
          <w:szCs w:val="24"/>
        </w:rPr>
        <w:t>水运工程</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招标文件的编制工作，根据《中华人民共和国招标投标法》《中华人民共和国招标投标法实施条例》《广东省实施中华人民共和国招标投标法办法》《水运工程建设项目招标投标管理办法》等有关规定要求，</w:t>
      </w:r>
      <w:r>
        <w:rPr>
          <w:rFonts w:hint="eastAsia" w:ascii="宋体" w:hAnsi="宋体" w:eastAsia="宋体" w:cs="宋体"/>
          <w:sz w:val="24"/>
          <w:szCs w:val="24"/>
          <w:lang w:eastAsia="zh-CN"/>
        </w:rPr>
        <w:t>我市组织有关单位制定</w:t>
      </w:r>
      <w:r>
        <w:rPr>
          <w:rFonts w:hint="eastAsia" w:ascii="宋体" w:hAnsi="宋体" w:eastAsia="宋体" w:cs="宋体"/>
          <w:sz w:val="24"/>
          <w:szCs w:val="24"/>
        </w:rPr>
        <w:t>《</w:t>
      </w:r>
      <w:r>
        <w:rPr>
          <w:rFonts w:hint="eastAsia" w:ascii="宋体" w:hAnsi="宋体" w:eastAsia="宋体" w:cs="宋体"/>
          <w:sz w:val="24"/>
          <w:szCs w:val="24"/>
          <w:lang w:eastAsia="zh-CN"/>
        </w:rPr>
        <w:t>湛江市</w:t>
      </w:r>
      <w:r>
        <w:rPr>
          <w:rFonts w:hint="eastAsia" w:ascii="宋体" w:hAnsi="宋体" w:eastAsia="宋体" w:cs="宋体"/>
          <w:sz w:val="24"/>
          <w:szCs w:val="24"/>
        </w:rPr>
        <w:t>水运工程</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招标文件范本</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年版</w:t>
      </w:r>
      <w:r>
        <w:rPr>
          <w:rFonts w:hint="eastAsia" w:ascii="宋体" w:hAnsi="宋体" w:eastAsia="宋体" w:cs="宋体"/>
          <w:sz w:val="24"/>
          <w:szCs w:val="24"/>
          <w:lang w:eastAsia="zh-CN"/>
        </w:rPr>
        <w:t>）</w:t>
      </w:r>
      <w:r>
        <w:rPr>
          <w:rFonts w:hint="eastAsia" w:ascii="宋体" w:hAnsi="宋体" w:eastAsia="宋体" w:cs="宋体"/>
          <w:sz w:val="24"/>
          <w:szCs w:val="24"/>
        </w:rPr>
        <w:t>》（以下简称《水运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二、《水运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年范本》是在国家</w:t>
      </w:r>
      <w:r>
        <w:rPr>
          <w:rFonts w:hint="eastAsia" w:ascii="宋体" w:hAnsi="宋体" w:eastAsia="宋体" w:cs="宋体"/>
          <w:sz w:val="24"/>
          <w:szCs w:val="24"/>
          <w:lang w:eastAsia="zh-CN"/>
        </w:rPr>
        <w:t>发改委、交通运输部</w:t>
      </w:r>
      <w:r>
        <w:rPr>
          <w:rFonts w:hint="eastAsia" w:ascii="宋体" w:hAnsi="宋体" w:eastAsia="宋体" w:cs="宋体"/>
          <w:sz w:val="24"/>
          <w:szCs w:val="24"/>
        </w:rPr>
        <w:t>九部委《标准</w:t>
      </w:r>
      <w:r>
        <w:rPr>
          <w:rFonts w:hint="eastAsia" w:ascii="宋体" w:hAnsi="宋体" w:eastAsia="宋体" w:cs="宋体"/>
          <w:sz w:val="24"/>
          <w:szCs w:val="24"/>
          <w:lang w:val="en-US" w:eastAsia="zh-CN"/>
        </w:rPr>
        <w:t>勘察招标</w:t>
      </w:r>
      <w:r>
        <w:rPr>
          <w:rFonts w:hint="eastAsia" w:ascii="宋体" w:hAnsi="宋体" w:eastAsia="宋体" w:cs="宋体"/>
          <w:sz w:val="24"/>
          <w:szCs w:val="24"/>
        </w:rPr>
        <w:t>文件》、《标准</w:t>
      </w:r>
      <w:r>
        <w:rPr>
          <w:rFonts w:hint="eastAsia" w:ascii="宋体" w:hAnsi="宋体" w:eastAsia="宋体" w:cs="宋体"/>
          <w:sz w:val="24"/>
          <w:szCs w:val="24"/>
          <w:lang w:val="en-US" w:eastAsia="zh-CN"/>
        </w:rPr>
        <w:t>设计</w:t>
      </w:r>
      <w:r>
        <w:rPr>
          <w:rFonts w:hint="eastAsia" w:ascii="宋体" w:hAnsi="宋体" w:eastAsia="宋体" w:cs="宋体"/>
          <w:sz w:val="24"/>
          <w:szCs w:val="24"/>
        </w:rPr>
        <w:t>招标文件》（以下简称《标准招标文件》）、交通运输部《水运工程标准</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招标文件</w:t>
      </w:r>
      <w:r>
        <w:rPr>
          <w:rFonts w:hint="eastAsia" w:ascii="宋体" w:hAnsi="宋体" w:eastAsia="宋体" w:cs="宋体"/>
          <w:sz w:val="24"/>
          <w:szCs w:val="24"/>
          <w:lang w:eastAsia="zh-CN"/>
        </w:rPr>
        <w:t>》</w:t>
      </w:r>
      <w:r>
        <w:rPr>
          <w:rFonts w:hint="eastAsia" w:ascii="宋体" w:hAnsi="宋体" w:eastAsia="宋体" w:cs="宋体"/>
          <w:sz w:val="24"/>
          <w:szCs w:val="24"/>
        </w:rPr>
        <w:t>架构格式和内容的基础上，结合我</w:t>
      </w:r>
      <w:r>
        <w:rPr>
          <w:rFonts w:hint="eastAsia" w:ascii="宋体" w:hAnsi="宋体" w:eastAsia="宋体" w:cs="宋体"/>
          <w:sz w:val="24"/>
          <w:szCs w:val="24"/>
          <w:lang w:eastAsia="zh-CN"/>
        </w:rPr>
        <w:t>市</w:t>
      </w:r>
      <w:r>
        <w:rPr>
          <w:rFonts w:hint="eastAsia" w:ascii="宋体" w:hAnsi="宋体" w:eastAsia="宋体" w:cs="宋体"/>
          <w:sz w:val="24"/>
          <w:szCs w:val="24"/>
        </w:rPr>
        <w:t>实际编制的</w:t>
      </w:r>
      <w:r>
        <w:rPr>
          <w:rFonts w:hint="eastAsia" w:ascii="宋体" w:hAnsi="宋体" w:eastAsia="宋体" w:cs="宋体"/>
          <w:sz w:val="24"/>
          <w:szCs w:val="24"/>
          <w:lang w:eastAsia="zh-CN"/>
        </w:rPr>
        <w:t>市</w:t>
      </w:r>
      <w:r>
        <w:rPr>
          <w:rFonts w:hint="eastAsia" w:ascii="宋体" w:hAnsi="宋体" w:eastAsia="宋体" w:cs="宋体"/>
          <w:sz w:val="24"/>
          <w:szCs w:val="24"/>
        </w:rPr>
        <w:t>级水运工程建设项目行业范本。</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三、本范本适用于公开招标并采用资格后审方式的</w:t>
      </w:r>
      <w:r>
        <w:rPr>
          <w:rFonts w:hint="eastAsia" w:ascii="宋体" w:hAnsi="宋体" w:eastAsia="宋体" w:cs="宋体"/>
          <w:sz w:val="24"/>
          <w:szCs w:val="24"/>
          <w:lang w:eastAsia="zh-CN"/>
        </w:rPr>
        <w:t>湛江市</w:t>
      </w:r>
      <w:r>
        <w:rPr>
          <w:rFonts w:hint="eastAsia" w:ascii="宋体" w:hAnsi="宋体" w:eastAsia="宋体" w:cs="宋体"/>
          <w:sz w:val="24"/>
          <w:szCs w:val="24"/>
        </w:rPr>
        <w:t>港口工程、航道工程、修造船厂水工建筑物工程以及与之相配套的水运工程的</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招标投标。如采用邀请招标方式进行招标，第一章应选择“投标邀请书(适用于邀请招标)”的格式进行编制。</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四、招标人编制项目的招标文件时，不得修改“投标人须知”、“评标办法”正文，但可在前附表中对相应内容进行补充、细化，补充和细化的内容不得与“投标人须知”和“评标办法”正文内容相抵触。</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五、招标人在根据《水运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编制项目招标文件中的“专用合同条款”时，可根据招标项目的具体特点和实际需要，对“通用合同条款”进行补充、细化，补充、细化或约定的不同内容，不得违反法律、行政法规的强制性规定和平等、自愿、公平和诚实信用原则。</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六、《水运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年范本》用相同序号标示的章、节、条、款、项、目，供招标人选择使用；以空格或下划线标示的部分，招标人应根据招标项目具体特点和实际需要进行填写，确实没有需要填写的，在空格中用“/”标示。</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rPr>
        <w:t>七、《水运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年范本》第三章“评标办法”规定</w:t>
      </w:r>
      <w:r>
        <w:rPr>
          <w:rFonts w:hint="eastAsia" w:ascii="宋体" w:hAnsi="宋体" w:eastAsia="宋体" w:cs="宋体"/>
          <w:sz w:val="24"/>
          <w:szCs w:val="24"/>
          <w:lang w:val="en-US" w:eastAsia="zh-CN"/>
        </w:rPr>
        <w:t>采用双信封的</w:t>
      </w:r>
      <w:r>
        <w:rPr>
          <w:rFonts w:hint="eastAsia" w:ascii="宋体" w:hAnsi="宋体" w:eastAsia="宋体" w:cs="宋体"/>
          <w:sz w:val="24"/>
          <w:szCs w:val="24"/>
        </w:rPr>
        <w:t>综合评分法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招标人单独进行勘察招标时，应使用综合评分法Ⅰ；招标人单独进行设计招标时，应使用综合评分法Ⅱ；招标人选择勘察设计一起进行招标时，应使用综合评分法Ⅲ。在满足第三章</w:t>
      </w:r>
      <w:r>
        <w:rPr>
          <w:rFonts w:hint="eastAsia" w:ascii="宋体" w:hAnsi="宋体" w:eastAsia="宋体" w:cs="宋体"/>
          <w:sz w:val="24"/>
          <w:szCs w:val="24"/>
        </w:rPr>
        <w:t>“评标办法”</w:t>
      </w:r>
      <w:r>
        <w:rPr>
          <w:rFonts w:hint="eastAsia" w:ascii="宋体" w:hAnsi="宋体" w:eastAsia="宋体" w:cs="宋体"/>
          <w:sz w:val="24"/>
          <w:szCs w:val="24"/>
          <w:lang w:val="en-US" w:eastAsia="zh-CN"/>
        </w:rPr>
        <w:t>相关注释的前提下，各评审因素的评审标准和分值等由招标人根据项目特点和需要合理确定。</w:t>
      </w:r>
    </w:p>
    <w:p>
      <w:pPr>
        <w:pStyle w:val="433"/>
        <w:spacing w:line="360" w:lineRule="auto"/>
        <w:ind w:firstLine="4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八、招标人对项目勘察、设计工作分别单独招标时，应选择对应章节。</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年范本》第</w:t>
      </w:r>
      <w:r>
        <w:rPr>
          <w:rFonts w:hint="eastAsia" w:ascii="宋体" w:hAnsi="宋体" w:eastAsia="宋体" w:cs="宋体"/>
          <w:sz w:val="24"/>
          <w:szCs w:val="24"/>
          <w:lang w:val="en-US" w:eastAsia="zh-CN"/>
        </w:rPr>
        <w:t>五</w:t>
      </w:r>
      <w:r>
        <w:rPr>
          <w:rFonts w:hint="eastAsia" w:ascii="宋体" w:hAnsi="宋体" w:eastAsia="宋体" w:cs="宋体"/>
          <w:sz w:val="24"/>
          <w:szCs w:val="24"/>
        </w:rPr>
        <w:t>章“</w:t>
      </w:r>
      <w:r>
        <w:rPr>
          <w:rFonts w:hint="eastAsia" w:ascii="宋体" w:hAnsi="宋体" w:eastAsia="宋体" w:cs="宋体"/>
          <w:sz w:val="24"/>
          <w:szCs w:val="24"/>
          <w:lang w:val="en-US" w:eastAsia="zh-CN"/>
        </w:rPr>
        <w:t>发包人要求</w:t>
      </w:r>
      <w:r>
        <w:rPr>
          <w:rFonts w:hint="eastAsia" w:ascii="宋体" w:hAnsi="宋体" w:eastAsia="宋体" w:cs="宋体"/>
          <w:sz w:val="24"/>
          <w:szCs w:val="24"/>
        </w:rPr>
        <w:t>”</w:t>
      </w:r>
      <w:r>
        <w:rPr>
          <w:rFonts w:hint="eastAsia" w:ascii="宋体" w:hAnsi="宋体" w:eastAsia="宋体" w:cs="宋体"/>
          <w:sz w:val="24"/>
          <w:szCs w:val="24"/>
          <w:lang w:val="en-US" w:eastAsia="zh-CN"/>
        </w:rPr>
        <w:t>由招标人根据招标项目具体特点和实际需要编制，并与“投标人须知”、“合同条款”相衔接</w:t>
      </w:r>
      <w:r>
        <w:rPr>
          <w:rFonts w:hint="eastAsia" w:ascii="宋体" w:hAnsi="宋体" w:eastAsia="宋体" w:cs="宋体"/>
          <w:sz w:val="24"/>
          <w:szCs w:val="24"/>
        </w:rPr>
        <w:t>。</w:t>
      </w:r>
    </w:p>
    <w:p>
      <w:pPr>
        <w:pStyle w:val="433"/>
        <w:spacing w:line="360" w:lineRule="auto"/>
        <w:ind w:firstLine="496"/>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、招标人应按照《水运</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招标202</w:t>
      </w:r>
      <w:r>
        <w:rPr>
          <w:rFonts w:hint="eastAsia" w:ascii="宋体" w:hAnsi="宋体" w:eastAsia="宋体" w:cs="宋体"/>
          <w:sz w:val="24"/>
          <w:szCs w:val="24"/>
          <w:lang w:val="en-US" w:eastAsia="zh-CN"/>
        </w:rPr>
        <w:t>3</w:t>
      </w:r>
      <w:r>
        <w:rPr>
          <w:rFonts w:hint="eastAsia" w:ascii="宋体" w:hAnsi="宋体" w:eastAsia="宋体" w:cs="宋体"/>
          <w:sz w:val="24"/>
          <w:szCs w:val="24"/>
        </w:rPr>
        <w:t>年范本》规定的格式和要求，结合工程实际编制水运工程</w:t>
      </w:r>
      <w:r>
        <w:rPr>
          <w:rFonts w:hint="eastAsia" w:ascii="宋体" w:hAnsi="宋体" w:eastAsia="宋体" w:cs="宋体"/>
          <w:sz w:val="24"/>
          <w:szCs w:val="24"/>
          <w:lang w:val="en-US" w:eastAsia="zh-CN"/>
        </w:rPr>
        <w:t>勘察设计</w:t>
      </w:r>
      <w:r>
        <w:rPr>
          <w:rFonts w:hint="eastAsia" w:ascii="宋体" w:hAnsi="宋体" w:eastAsia="宋体" w:cs="宋体"/>
          <w:sz w:val="24"/>
          <w:szCs w:val="24"/>
        </w:rPr>
        <w:t>招标文件，并注意收集范本的使用情况和有关意见与建议，及时反馈</w:t>
      </w:r>
      <w:r>
        <w:rPr>
          <w:rFonts w:hint="eastAsia" w:ascii="宋体" w:hAnsi="宋体" w:eastAsia="宋体" w:cs="宋体"/>
          <w:sz w:val="24"/>
          <w:szCs w:val="24"/>
          <w:lang w:eastAsia="zh-CN"/>
        </w:rPr>
        <w:t>局</w:t>
      </w:r>
      <w:r>
        <w:rPr>
          <w:rFonts w:hint="eastAsia" w:ascii="宋体" w:hAnsi="宋体" w:eastAsia="宋体" w:cs="宋体"/>
          <w:sz w:val="24"/>
          <w:szCs w:val="24"/>
        </w:rPr>
        <w:t>基建管理</w:t>
      </w:r>
      <w:r>
        <w:rPr>
          <w:rFonts w:hint="eastAsia" w:ascii="宋体" w:hAnsi="宋体" w:eastAsia="宋体" w:cs="宋体"/>
          <w:sz w:val="24"/>
          <w:szCs w:val="24"/>
          <w:lang w:eastAsia="zh-CN"/>
        </w:rPr>
        <w:t>科</w:t>
      </w:r>
      <w:r>
        <w:rPr>
          <w:rFonts w:hint="eastAsia" w:ascii="宋体" w:hAnsi="宋体" w:eastAsia="宋体" w:cs="宋体"/>
          <w:sz w:val="24"/>
          <w:szCs w:val="24"/>
        </w:rPr>
        <w:t>，以便进一步修改完善。</w:t>
      </w:r>
    </w:p>
    <w:p>
      <w:pPr>
        <w:spacing w:line="360" w:lineRule="auto"/>
        <w:ind w:firstLine="496" w:firstLineChars="200"/>
        <w:rPr>
          <w:rFonts w:hint="eastAsia" w:ascii="宋体" w:hAnsi="宋体" w:cs="宋体"/>
          <w:color w:val="auto"/>
          <w:spacing w:val="4"/>
          <w:lang w:val="en-US"/>
        </w:rPr>
      </w:pPr>
      <w:r>
        <w:rPr>
          <w:rFonts w:hint="eastAsia" w:ascii="宋体" w:hAnsi="宋体" w:cs="宋体"/>
          <w:color w:val="auto"/>
          <w:spacing w:val="4"/>
          <w:lang w:val="en-US"/>
        </w:rPr>
        <w:t>十一、如招标内容包括了多种标段类别，招标人可根据招标项目的具体特点和实际情况合理设置组合型资格条件。</w:t>
      </w:r>
    </w:p>
    <w:p>
      <w:pPr>
        <w:spacing w:line="360" w:lineRule="auto"/>
        <w:ind w:firstLine="480" w:firstLineChars="200"/>
        <w:rPr>
          <w:rFonts w:hint="eastAsia" w:ascii="宋体" w:hAnsi="宋体" w:cs="宋体"/>
          <w:color w:val="auto"/>
          <w:highlight w:val="none"/>
        </w:rPr>
      </w:pPr>
      <w:r>
        <w:rPr>
          <w:rFonts w:hint="eastAsia" w:ascii="宋体" w:hAnsi="宋体" w:cs="宋体"/>
          <w:color w:val="auto"/>
          <w:lang w:val="en-US"/>
        </w:rPr>
        <w:t>十二、</w:t>
      </w:r>
      <w:r>
        <w:rPr>
          <w:rFonts w:hint="eastAsia" w:ascii="宋体" w:hAnsi="宋体" w:cs="宋体"/>
          <w:color w:val="auto"/>
        </w:rPr>
        <w:t>本范本</w:t>
      </w:r>
      <w:r>
        <w:rPr>
          <w:rFonts w:hint="eastAsia" w:ascii="宋体" w:hAnsi="宋体" w:cs="宋体"/>
          <w:color w:val="auto"/>
          <w:lang w:val="en-US"/>
        </w:rPr>
        <w:t>在执行过程中</w:t>
      </w:r>
      <w:r>
        <w:rPr>
          <w:rFonts w:hint="eastAsia" w:ascii="宋体" w:hAnsi="宋体" w:cs="宋体"/>
          <w:color w:val="auto"/>
        </w:rPr>
        <w:t>如</w:t>
      </w:r>
      <w:r>
        <w:rPr>
          <w:rFonts w:hint="eastAsia" w:ascii="宋体" w:hAnsi="宋体" w:cs="宋体"/>
          <w:color w:val="auto"/>
          <w:lang w:val="en-US"/>
        </w:rPr>
        <w:t>国家及有关部门颁布了</w:t>
      </w:r>
      <w:r>
        <w:rPr>
          <w:rFonts w:hint="eastAsia" w:ascii="宋体" w:hAnsi="宋体" w:cs="宋体"/>
          <w:color w:val="auto"/>
        </w:rPr>
        <w:t>新的法律法规及</w:t>
      </w:r>
      <w:r>
        <w:rPr>
          <w:rFonts w:hint="eastAsia" w:ascii="宋体" w:hAnsi="宋体" w:cs="宋体"/>
          <w:color w:val="auto"/>
          <w:lang w:val="en-US"/>
        </w:rPr>
        <w:t>规范性</w:t>
      </w:r>
      <w:r>
        <w:rPr>
          <w:rFonts w:hint="eastAsia" w:ascii="宋体" w:hAnsi="宋体" w:cs="宋体"/>
          <w:color w:val="auto"/>
        </w:rPr>
        <w:t>文件，</w:t>
      </w:r>
      <w:r>
        <w:rPr>
          <w:rFonts w:hint="eastAsia" w:ascii="宋体" w:hAnsi="宋体" w:cs="宋体"/>
          <w:color w:val="auto"/>
          <w:highlight w:val="none"/>
          <w:lang w:val="en-US"/>
        </w:rPr>
        <w:t>则应采用</w:t>
      </w:r>
      <w:r>
        <w:rPr>
          <w:rFonts w:hint="eastAsia" w:ascii="宋体" w:hAnsi="宋体" w:cs="宋体"/>
          <w:color w:val="auto"/>
          <w:highlight w:val="none"/>
        </w:rPr>
        <w:t>最新的规定执行。</w:t>
      </w:r>
    </w:p>
    <w:p>
      <w:pPr>
        <w:spacing w:line="360" w:lineRule="auto"/>
        <w:ind w:firstLine="496" w:firstLineChars="200"/>
        <w:rPr>
          <w:rFonts w:hint="eastAsia" w:ascii="宋体" w:hAnsi="宋体" w:cs="宋体"/>
          <w:color w:val="auto"/>
          <w:highlight w:val="none"/>
        </w:rPr>
      </w:pPr>
      <w:r>
        <w:rPr>
          <w:rFonts w:hint="eastAsia" w:ascii="宋体" w:hAnsi="宋体" w:cs="宋体"/>
          <w:color w:val="auto"/>
          <w:spacing w:val="4"/>
          <w:highlight w:val="none"/>
        </w:rPr>
        <w:t>十</w:t>
      </w:r>
      <w:r>
        <w:rPr>
          <w:rFonts w:hint="eastAsia" w:ascii="宋体" w:hAnsi="宋体" w:cs="宋体"/>
          <w:color w:val="auto"/>
          <w:spacing w:val="4"/>
          <w:highlight w:val="none"/>
          <w:lang w:val="en-US"/>
        </w:rPr>
        <w:t>三</w:t>
      </w:r>
      <w:r>
        <w:rPr>
          <w:rFonts w:hint="eastAsia" w:ascii="宋体" w:hAnsi="宋体" w:cs="宋体"/>
          <w:color w:val="auto"/>
          <w:spacing w:val="4"/>
          <w:highlight w:val="none"/>
        </w:rPr>
        <w:t>、</w:t>
      </w:r>
      <w:r>
        <w:rPr>
          <w:rFonts w:hint="eastAsia" w:ascii="宋体" w:hAnsi="宋体" w:cs="宋体"/>
          <w:color w:val="auto"/>
          <w:highlight w:val="none"/>
        </w:rPr>
        <w:t>招标人应简化对投标文件和投标文件的签字、盖章等要求，严禁设定逐页签字、盖章等不合理规定要求。对于招标文件中投标文件</w:t>
      </w:r>
      <w:r>
        <w:rPr>
          <w:rFonts w:hint="eastAsia" w:ascii="宋体" w:hAnsi="宋体" w:cs="宋体"/>
          <w:color w:val="auto"/>
          <w:highlight w:val="none"/>
          <w:lang w:val="en-US"/>
        </w:rPr>
        <w:t>格式</w:t>
      </w:r>
      <w:r>
        <w:rPr>
          <w:rFonts w:hint="eastAsia" w:ascii="宋体" w:hAnsi="宋体" w:cs="宋体"/>
          <w:color w:val="auto"/>
          <w:highlight w:val="none"/>
        </w:rPr>
        <w:t>、投标文件格式已明确属于招标人填写的内容，招标人应在编制时完善，并不应作为否决投标</w:t>
      </w:r>
      <w:r>
        <w:rPr>
          <w:rFonts w:hint="eastAsia" w:ascii="宋体" w:hAnsi="宋体" w:cs="宋体"/>
          <w:color w:val="auto"/>
          <w:highlight w:val="none"/>
          <w:lang w:val="en-US"/>
        </w:rPr>
        <w:t>的依据</w:t>
      </w:r>
      <w:r>
        <w:rPr>
          <w:rFonts w:hint="eastAsia" w:ascii="宋体" w:hAnsi="宋体" w:cs="宋体"/>
          <w:color w:val="auto"/>
          <w:highlight w:val="none"/>
        </w:rPr>
        <w:t>。</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十</w:t>
      </w:r>
      <w:r>
        <w:rPr>
          <w:rFonts w:hint="eastAsia" w:ascii="宋体" w:hAnsi="宋体" w:cs="宋体"/>
          <w:color w:val="auto"/>
          <w:highlight w:val="none"/>
          <w:lang w:val="en-US"/>
        </w:rPr>
        <w:t>四</w:t>
      </w:r>
      <w:r>
        <w:rPr>
          <w:rFonts w:hint="eastAsia" w:ascii="宋体" w:hAnsi="宋体" w:cs="宋体"/>
          <w:color w:val="auto"/>
          <w:highlight w:val="none"/>
        </w:rPr>
        <w:t>、如采用电子招标投标方式的，可对《水运</w:t>
      </w:r>
      <w:r>
        <w:rPr>
          <w:rFonts w:hint="eastAsia" w:ascii="宋体" w:hAnsi="宋体" w:cs="宋体"/>
          <w:color w:val="auto"/>
          <w:highlight w:val="none"/>
          <w:lang w:val="en-US"/>
        </w:rPr>
        <w:t>勘察设计</w:t>
      </w:r>
      <w:r>
        <w:rPr>
          <w:rFonts w:hint="eastAsia" w:ascii="宋体" w:hAnsi="宋体" w:cs="宋体"/>
          <w:color w:val="auto"/>
          <w:highlight w:val="none"/>
        </w:rPr>
        <w:t>招标202</w:t>
      </w:r>
      <w:r>
        <w:rPr>
          <w:rFonts w:hint="eastAsia" w:ascii="宋体" w:hAnsi="宋体" w:cs="宋体"/>
          <w:color w:val="auto"/>
          <w:highlight w:val="none"/>
          <w:lang w:val="en-US"/>
        </w:rPr>
        <w:t>3</w:t>
      </w:r>
      <w:r>
        <w:rPr>
          <w:rFonts w:hint="eastAsia" w:ascii="宋体" w:hAnsi="宋体" w:cs="宋体"/>
          <w:color w:val="auto"/>
          <w:highlight w:val="none"/>
        </w:rPr>
        <w:t>年范本》有关内容进行简化和调整。</w:t>
      </w:r>
    </w:p>
    <w:p>
      <w:pPr>
        <w:spacing w:line="360" w:lineRule="auto"/>
        <w:ind w:firstLine="480" w:firstLineChars="200"/>
        <w:rPr>
          <w:rFonts w:hint="eastAsia" w:ascii="宋体" w:hAnsi="宋体" w:cs="宋体"/>
          <w:color w:val="auto"/>
        </w:rPr>
      </w:pPr>
    </w:p>
    <w:p>
      <w:pPr>
        <w:widowControl/>
        <w:adjustRightInd w:val="0"/>
        <w:snapToGrid w:val="0"/>
        <w:spacing w:line="360" w:lineRule="auto"/>
        <w:ind w:firstLine="493"/>
        <w:rPr>
          <w:rFonts w:ascii="宋体" w:hAnsi="宋体" w:cs="宋体"/>
          <w:color w:val="auto"/>
          <w:spacing w:val="4"/>
        </w:rPr>
      </w:pPr>
      <w:r>
        <w:rPr>
          <w:rFonts w:ascii="宋体" w:hAnsi="宋体" w:cs="宋体"/>
          <w:color w:val="auto"/>
          <w:spacing w:val="4"/>
        </w:rPr>
        <w:t>参编单位：</w:t>
      </w:r>
    </w:p>
    <w:p>
      <w:pPr>
        <w:widowControl/>
        <w:adjustRightInd w:val="0"/>
        <w:snapToGrid w:val="0"/>
        <w:spacing w:line="360" w:lineRule="auto"/>
        <w:ind w:firstLine="493"/>
        <w:rPr>
          <w:rFonts w:ascii="宋体" w:hAnsi="宋体" w:cs="宋体"/>
          <w:color w:val="auto"/>
          <w:spacing w:val="4"/>
        </w:rPr>
      </w:pPr>
      <w:r>
        <w:rPr>
          <w:rFonts w:ascii="宋体" w:hAnsi="宋体" w:cs="宋体"/>
          <w:color w:val="auto"/>
          <w:spacing w:val="4"/>
        </w:rPr>
        <w:t>广东省航道事务中心</w:t>
      </w:r>
    </w:p>
    <w:p>
      <w:pPr>
        <w:widowControl/>
        <w:adjustRightInd w:val="0"/>
        <w:snapToGrid w:val="0"/>
        <w:spacing w:line="360" w:lineRule="auto"/>
        <w:ind w:firstLine="493"/>
        <w:rPr>
          <w:rFonts w:ascii="宋体" w:hAnsi="宋体" w:cs="宋体"/>
          <w:color w:val="auto"/>
          <w:spacing w:val="4"/>
        </w:rPr>
      </w:pPr>
      <w:r>
        <w:rPr>
          <w:rFonts w:ascii="宋体" w:hAnsi="宋体" w:cs="宋体"/>
          <w:color w:val="auto"/>
          <w:spacing w:val="4"/>
        </w:rPr>
        <w:t xml:space="preserve">广州港工程管理有限公司   </w:t>
      </w:r>
    </w:p>
    <w:p>
      <w:pPr>
        <w:widowControl/>
        <w:adjustRightInd w:val="0"/>
        <w:snapToGrid w:val="0"/>
        <w:spacing w:line="360" w:lineRule="auto"/>
        <w:ind w:firstLine="493"/>
        <w:rPr>
          <w:rFonts w:ascii="宋体" w:hAnsi="宋体" w:cs="宋体"/>
          <w:color w:val="auto"/>
          <w:spacing w:val="4"/>
        </w:rPr>
      </w:pPr>
      <w:r>
        <w:rPr>
          <w:rFonts w:ascii="宋体" w:hAnsi="宋体" w:cs="宋体"/>
          <w:color w:val="auto"/>
          <w:spacing w:val="4"/>
        </w:rPr>
        <w:t>广州市交正工程咨询有限公司</w:t>
      </w:r>
    </w:p>
    <w:p>
      <w:pPr>
        <w:pStyle w:val="34"/>
        <w:ind w:firstLine="496" w:firstLineChars="200"/>
        <w:rPr>
          <w:rFonts w:ascii="宋体" w:hAnsi="宋体" w:cs="宋体"/>
          <w:spacing w:val="4"/>
          <w:kern w:val="0"/>
          <w:sz w:val="24"/>
          <w:lang w:val="zh-CN" w:eastAsia="zh-CN"/>
        </w:rPr>
      </w:pPr>
      <w:r>
        <w:rPr>
          <w:rFonts w:ascii="宋体" w:hAnsi="宋体" w:cs="宋体"/>
          <w:spacing w:val="4"/>
          <w:kern w:val="0"/>
          <w:sz w:val="24"/>
        </w:rPr>
        <w:t>广州诚信公路建设监理咨询有限公司</w:t>
      </w:r>
    </w:p>
    <w:p>
      <w:pPr>
        <w:pStyle w:val="433"/>
        <w:spacing w:line="400" w:lineRule="exact"/>
        <w:rPr>
          <w:rFonts w:eastAsia="宋体"/>
          <w:lang w:val="en-US" w:eastAsia="zh-CN"/>
        </w:rPr>
      </w:pPr>
    </w:p>
    <w:p>
      <w:pPr>
        <w:pStyle w:val="433"/>
        <w:spacing w:line="400" w:lineRule="exact"/>
        <w:ind w:firstLine="0" w:firstLineChars="0"/>
        <w:rPr>
          <w:rFonts w:ascii="宋体" w:hAnsi="宋体" w:eastAsia="宋体"/>
          <w:sz w:val="23"/>
          <w:szCs w:val="23"/>
        </w:rPr>
      </w:pPr>
    </w:p>
    <w:p>
      <w:pPr>
        <w:spacing w:line="360" w:lineRule="auto"/>
        <w:ind w:firstLine="40" w:firstLineChars="200"/>
        <w:rPr>
          <w:rFonts w:hint="eastAsia" w:ascii="宋体" w:hAnsi="宋体" w:cs="Times New Roman"/>
          <w:color w:val="auto"/>
          <w:sz w:val="2"/>
          <w:szCs w:val="2"/>
          <w:lang w:val="en-US"/>
        </w:rPr>
      </w:pPr>
    </w:p>
    <w:p>
      <w:pPr>
        <w:spacing w:line="360" w:lineRule="auto"/>
        <w:ind w:firstLine="40" w:firstLineChars="200"/>
        <w:rPr>
          <w:rFonts w:ascii="宋体" w:hAnsi="宋体" w:cs="Times New Roman"/>
          <w:color w:val="auto"/>
          <w:sz w:val="2"/>
          <w:szCs w:val="2"/>
          <w:lang w:val="en-US"/>
        </w:rPr>
        <w:sectPr>
          <w:footnotePr>
            <w:numRestart w:val="eachPage"/>
          </w:footnotePr>
          <w:pgSz w:w="11900" w:h="16838"/>
          <w:pgMar w:top="1803" w:right="1440" w:bottom="1803" w:left="1440" w:header="680" w:footer="680" w:gutter="0"/>
          <w:cols w:space="720" w:num="1"/>
          <w:docGrid w:linePitch="360" w:charSpace="0"/>
        </w:sectPr>
      </w:pPr>
    </w:p>
    <w:p>
      <w:pPr>
        <w:spacing w:line="360" w:lineRule="auto"/>
        <w:rPr>
          <w:rFonts w:ascii="宋体" w:hAnsi="宋体"/>
          <w:color w:val="auto"/>
          <w:sz w:val="20"/>
          <w:szCs w:val="20"/>
        </w:rPr>
      </w:pPr>
    </w:p>
    <w:p>
      <w:pPr>
        <w:topLinePunct/>
        <w:spacing w:line="360" w:lineRule="auto"/>
        <w:jc w:val="center"/>
        <w:rPr>
          <w:rStyle w:val="412"/>
          <w:rFonts w:hint="eastAsia" w:ascii="宋体" w:hAnsi="宋体" w:eastAsia="宋体"/>
          <w:b w:val="0"/>
          <w:color w:val="auto"/>
          <w:spacing w:val="40"/>
          <w:kern w:val="10"/>
          <w:sz w:val="84"/>
          <w:szCs w:val="84"/>
          <w:lang w:eastAsia="zh-CN"/>
        </w:rPr>
      </w:pPr>
      <w:r>
        <w:rPr>
          <w:rStyle w:val="412"/>
          <w:rFonts w:hint="eastAsia" w:ascii="宋体" w:hAnsi="宋体"/>
          <w:b w:val="0"/>
          <w:color w:val="auto"/>
          <w:spacing w:val="40"/>
          <w:kern w:val="10"/>
          <w:sz w:val="84"/>
          <w:szCs w:val="84"/>
          <w:lang w:eastAsia="zh-CN"/>
        </w:rPr>
        <w:t>湛</w:t>
      </w:r>
      <w:r>
        <w:rPr>
          <w:rStyle w:val="412"/>
          <w:rFonts w:hint="eastAsia" w:ascii="宋体" w:hAnsi="宋体"/>
          <w:b w:val="0"/>
          <w:color w:val="auto"/>
          <w:spacing w:val="40"/>
          <w:kern w:val="10"/>
          <w:sz w:val="84"/>
          <w:szCs w:val="84"/>
          <w:lang w:val="en-US" w:eastAsia="zh-CN"/>
        </w:rPr>
        <w:t xml:space="preserve"> </w:t>
      </w:r>
      <w:r>
        <w:rPr>
          <w:rStyle w:val="412"/>
          <w:rFonts w:hint="eastAsia" w:ascii="宋体" w:hAnsi="宋体"/>
          <w:b w:val="0"/>
          <w:color w:val="auto"/>
          <w:spacing w:val="40"/>
          <w:kern w:val="10"/>
          <w:sz w:val="84"/>
          <w:szCs w:val="84"/>
          <w:lang w:eastAsia="zh-CN"/>
        </w:rPr>
        <w:t>江</w:t>
      </w:r>
      <w:r>
        <w:rPr>
          <w:rStyle w:val="412"/>
          <w:rFonts w:ascii="宋体" w:hAnsi="宋体"/>
          <w:b w:val="0"/>
          <w:color w:val="auto"/>
          <w:spacing w:val="40"/>
          <w:kern w:val="10"/>
          <w:sz w:val="84"/>
          <w:szCs w:val="84"/>
        </w:rPr>
        <w:t xml:space="preserve"> </w:t>
      </w:r>
      <w:r>
        <w:rPr>
          <w:rStyle w:val="412"/>
          <w:rFonts w:hint="eastAsia" w:ascii="宋体" w:hAnsi="宋体"/>
          <w:b w:val="0"/>
          <w:color w:val="auto"/>
          <w:spacing w:val="40"/>
          <w:kern w:val="10"/>
          <w:sz w:val="84"/>
          <w:szCs w:val="84"/>
          <w:lang w:eastAsia="zh-CN"/>
        </w:rPr>
        <w:t>市</w:t>
      </w:r>
    </w:p>
    <w:p>
      <w:pPr>
        <w:topLinePunct/>
        <w:spacing w:line="360" w:lineRule="auto"/>
        <w:rPr>
          <w:rStyle w:val="412"/>
          <w:rFonts w:hint="eastAsia" w:ascii="宋体" w:hAnsi="宋体"/>
          <w:b w:val="0"/>
          <w:color w:val="auto"/>
          <w:sz w:val="27"/>
          <w:szCs w:val="27"/>
        </w:rPr>
      </w:pPr>
    </w:p>
    <w:p>
      <w:pPr>
        <w:topLinePunct/>
        <w:spacing w:line="360" w:lineRule="auto"/>
        <w:jc w:val="center"/>
        <w:rPr>
          <w:rFonts w:hint="eastAsia" w:ascii="宋体" w:hAnsi="宋体" w:cs="Times New Roman"/>
          <w:b/>
          <w:bCs/>
          <w:color w:val="auto"/>
          <w:kern w:val="2"/>
          <w:sz w:val="44"/>
          <w:szCs w:val="44"/>
          <w:u w:val="single"/>
          <w:lang w:val="en-US"/>
        </w:rPr>
      </w:pPr>
      <w:r>
        <w:rPr>
          <w:rFonts w:ascii="宋体" w:hAnsi="宋体"/>
          <w:b/>
          <w:bCs/>
          <w:color w:val="auto"/>
          <w:sz w:val="44"/>
          <w:szCs w:val="44"/>
          <w:u w:val="single"/>
        </w:rPr>
        <w:t xml:space="preserve"> </w:t>
      </w:r>
      <w:r>
        <w:rPr>
          <w:rFonts w:hint="eastAsia" w:ascii="宋体" w:hAnsi="宋体"/>
          <w:b/>
          <w:bCs/>
          <w:color w:val="auto"/>
          <w:sz w:val="44"/>
          <w:szCs w:val="44"/>
          <w:u w:val="single"/>
          <w:lang w:val="en-US"/>
        </w:rPr>
        <w:t xml:space="preserve">  </w:t>
      </w:r>
      <w:r>
        <w:rPr>
          <w:rFonts w:ascii="宋体" w:hAnsi="宋体"/>
          <w:b/>
          <w:bCs/>
          <w:color w:val="auto"/>
          <w:sz w:val="44"/>
          <w:szCs w:val="44"/>
          <w:u w:val="single"/>
        </w:rPr>
        <w:t xml:space="preserve">  </w:t>
      </w:r>
      <w:r>
        <w:rPr>
          <w:rFonts w:hint="eastAsia" w:ascii="宋体" w:hAnsi="宋体"/>
          <w:b/>
          <w:bCs/>
          <w:color w:val="auto"/>
          <w:sz w:val="44"/>
          <w:szCs w:val="44"/>
          <w:u w:val="single"/>
        </w:rPr>
        <w:t>（项目名称）</w:t>
      </w:r>
      <w:r>
        <w:rPr>
          <w:rFonts w:ascii="宋体" w:hAnsi="宋体"/>
          <w:b/>
          <w:bCs/>
          <w:color w:val="auto"/>
          <w:sz w:val="44"/>
          <w:szCs w:val="44"/>
          <w:u w:val="single"/>
        </w:rPr>
        <w:t xml:space="preserve"> </w:t>
      </w:r>
      <w:r>
        <w:rPr>
          <w:rFonts w:hint="eastAsia" w:ascii="宋体" w:hAnsi="宋体"/>
          <w:b/>
          <w:bCs/>
          <w:color w:val="auto"/>
          <w:sz w:val="44"/>
          <w:szCs w:val="44"/>
          <w:u w:val="single"/>
          <w:lang w:val="en-US"/>
        </w:rPr>
        <w:t xml:space="preserve">      </w:t>
      </w:r>
      <w:r>
        <w:rPr>
          <w:rFonts w:ascii="宋体" w:hAnsi="宋体"/>
          <w:b/>
          <w:bCs/>
          <w:color w:val="auto"/>
          <w:sz w:val="44"/>
          <w:szCs w:val="44"/>
          <w:u w:val="single"/>
        </w:rPr>
        <w:t xml:space="preserve"> </w:t>
      </w:r>
      <w:r>
        <w:rPr>
          <w:rFonts w:hint="eastAsia" w:ascii="宋体" w:hAnsi="宋体" w:cs="Times New Roman"/>
          <w:b/>
          <w:bCs/>
          <w:color w:val="auto"/>
          <w:kern w:val="2"/>
          <w:sz w:val="44"/>
          <w:szCs w:val="44"/>
          <w:u w:val="single"/>
          <w:lang w:val="en-US"/>
        </w:rPr>
        <w:t>标类（或</w:t>
      </w:r>
      <w:r>
        <w:rPr>
          <w:rFonts w:ascii="宋体" w:hAnsi="宋体" w:cs="Times New Roman"/>
          <w:b/>
          <w:bCs/>
          <w:color w:val="auto"/>
          <w:kern w:val="2"/>
          <w:sz w:val="44"/>
          <w:szCs w:val="44"/>
          <w:u w:val="single"/>
          <w:lang w:val="en-US"/>
        </w:rPr>
        <w:t>标段</w:t>
      </w:r>
      <w:r>
        <w:rPr>
          <w:rFonts w:hint="eastAsia" w:ascii="宋体" w:hAnsi="宋体" w:cs="Times New Roman"/>
          <w:b/>
          <w:bCs/>
          <w:color w:val="auto"/>
          <w:kern w:val="2"/>
          <w:sz w:val="44"/>
          <w:szCs w:val="44"/>
          <w:u w:val="single"/>
          <w:lang w:val="en-US"/>
        </w:rPr>
        <w:t>）</w:t>
      </w:r>
    </w:p>
    <w:p>
      <w:pPr>
        <w:topLinePunct/>
        <w:spacing w:line="360" w:lineRule="auto"/>
        <w:jc w:val="center"/>
        <w:rPr>
          <w:rStyle w:val="412"/>
          <w:rFonts w:ascii="宋体" w:hAnsi="宋体"/>
          <w:b w:val="0"/>
          <w:color w:val="auto"/>
          <w:spacing w:val="40"/>
          <w:sz w:val="36"/>
          <w:szCs w:val="36"/>
        </w:rPr>
      </w:pPr>
      <w:r>
        <w:rPr>
          <w:rFonts w:hint="eastAsia" w:ascii="宋体" w:hAnsi="宋体" w:cs="Times New Roman"/>
          <w:b/>
          <w:bCs/>
          <w:color w:val="auto"/>
          <w:kern w:val="2"/>
          <w:sz w:val="44"/>
          <w:szCs w:val="44"/>
          <w:u w:val="single"/>
          <w:lang w:val="en-US"/>
        </w:rPr>
        <w:t>勘察设计</w:t>
      </w:r>
      <w:r>
        <w:rPr>
          <w:rFonts w:ascii="宋体" w:hAnsi="宋体" w:cs="Times New Roman"/>
          <w:b/>
          <w:bCs/>
          <w:color w:val="auto"/>
          <w:kern w:val="2"/>
          <w:sz w:val="44"/>
          <w:szCs w:val="44"/>
          <w:lang w:val="en-US"/>
        </w:rPr>
        <w:t>招标</w:t>
      </w:r>
    </w:p>
    <w:p>
      <w:pPr>
        <w:topLinePunct/>
        <w:spacing w:line="360" w:lineRule="auto"/>
        <w:jc w:val="center"/>
        <w:rPr>
          <w:rStyle w:val="412"/>
          <w:rFonts w:ascii="宋体" w:hAnsi="宋体"/>
          <w:b w:val="0"/>
          <w:color w:val="auto"/>
          <w:spacing w:val="40"/>
          <w:sz w:val="40"/>
          <w:szCs w:val="40"/>
        </w:rPr>
      </w:pPr>
    </w:p>
    <w:p>
      <w:pPr>
        <w:topLinePunct/>
        <w:spacing w:line="360" w:lineRule="auto"/>
        <w:jc w:val="center"/>
        <w:rPr>
          <w:rStyle w:val="412"/>
          <w:rFonts w:ascii="宋体" w:hAnsi="宋体"/>
          <w:b w:val="0"/>
          <w:color w:val="auto"/>
          <w:spacing w:val="40"/>
          <w:sz w:val="40"/>
          <w:szCs w:val="40"/>
        </w:rPr>
      </w:pPr>
    </w:p>
    <w:p>
      <w:pPr>
        <w:topLinePunct/>
        <w:spacing w:line="360" w:lineRule="auto"/>
        <w:jc w:val="center"/>
        <w:rPr>
          <w:rStyle w:val="412"/>
          <w:rFonts w:ascii="宋体" w:hAnsi="宋体"/>
          <w:b w:val="0"/>
          <w:color w:val="auto"/>
          <w:spacing w:val="40"/>
          <w:kern w:val="10"/>
          <w:sz w:val="84"/>
          <w:szCs w:val="84"/>
        </w:rPr>
      </w:pPr>
      <w:r>
        <w:rPr>
          <w:rStyle w:val="412"/>
          <w:rFonts w:hint="eastAsia" w:ascii="宋体" w:hAnsi="宋体"/>
          <w:b w:val="0"/>
          <w:color w:val="auto"/>
          <w:spacing w:val="40"/>
          <w:kern w:val="10"/>
          <w:sz w:val="84"/>
          <w:szCs w:val="84"/>
        </w:rPr>
        <w:t>招标文件</w:t>
      </w: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7"/>
          <w:szCs w:val="27"/>
        </w:rPr>
      </w:pPr>
    </w:p>
    <w:p>
      <w:pPr>
        <w:widowControl/>
        <w:spacing w:line="360" w:lineRule="auto"/>
        <w:ind w:firstLine="1500" w:firstLineChars="500"/>
        <w:rPr>
          <w:rFonts w:ascii="宋体" w:hAnsi="宋体"/>
          <w:color w:val="auto"/>
          <w:sz w:val="30"/>
          <w:u w:val="single"/>
        </w:rPr>
      </w:pPr>
      <w:r>
        <w:rPr>
          <w:rFonts w:hint="eastAsia" w:ascii="宋体" w:hAnsi="宋体"/>
          <w:color w:val="auto"/>
          <w:sz w:val="30"/>
        </w:rPr>
        <w:t>招</w:t>
      </w:r>
      <w:r>
        <w:rPr>
          <w:rFonts w:ascii="宋体" w:hAnsi="宋体"/>
          <w:color w:val="auto"/>
          <w:sz w:val="30"/>
        </w:rPr>
        <w:t xml:space="preserve"> </w:t>
      </w:r>
      <w:r>
        <w:rPr>
          <w:rFonts w:hint="eastAsia" w:ascii="宋体" w:hAnsi="宋体"/>
          <w:color w:val="auto"/>
          <w:sz w:val="30"/>
        </w:rPr>
        <w:t>标</w:t>
      </w:r>
      <w:r>
        <w:rPr>
          <w:rFonts w:ascii="宋体" w:hAnsi="宋体"/>
          <w:color w:val="auto"/>
          <w:sz w:val="30"/>
        </w:rPr>
        <w:t xml:space="preserve"> </w:t>
      </w:r>
      <w:r>
        <w:rPr>
          <w:rFonts w:hint="eastAsia" w:ascii="宋体" w:hAnsi="宋体"/>
          <w:color w:val="auto"/>
          <w:sz w:val="30"/>
        </w:rPr>
        <w:t>人：</w:t>
      </w:r>
      <w:r>
        <w:rPr>
          <w:rFonts w:ascii="宋体" w:hAnsi="宋体"/>
          <w:color w:val="auto"/>
          <w:sz w:val="30"/>
          <w:u w:val="single"/>
        </w:rPr>
        <w:t xml:space="preserve">                 </w:t>
      </w:r>
      <w:r>
        <w:rPr>
          <w:rFonts w:hint="eastAsia" w:ascii="宋体" w:hAnsi="宋体"/>
          <w:color w:val="auto"/>
          <w:sz w:val="30"/>
          <w:u w:val="single"/>
        </w:rPr>
        <w:t>（盖单位章）</w:t>
      </w:r>
      <w:r>
        <w:rPr>
          <w:rStyle w:val="101"/>
          <w:rFonts w:hint="eastAsia" w:ascii="宋体" w:hAnsi="宋体" w:cs="Times New Roman"/>
          <w:color w:val="auto"/>
          <w:sz w:val="30"/>
          <w:lang w:val="en-US"/>
        </w:rPr>
        <w:footnoteReference w:id="0"/>
      </w:r>
      <w:r>
        <w:rPr>
          <w:rFonts w:hint="eastAsia" w:ascii="宋体" w:hAnsi="宋体" w:cs="宋体"/>
          <w:color w:val="auto"/>
        </w:rPr>
        <w:t xml:space="preserve"> </w:t>
      </w:r>
    </w:p>
    <w:p>
      <w:pPr>
        <w:spacing w:line="360" w:lineRule="auto"/>
        <w:ind w:firstLine="1500" w:firstLineChars="500"/>
        <w:jc w:val="both"/>
        <w:rPr>
          <w:rFonts w:ascii="宋体" w:hAnsi="宋体"/>
          <w:color w:val="auto"/>
          <w:sz w:val="30"/>
        </w:rPr>
      </w:pPr>
      <w:r>
        <w:rPr>
          <w:rFonts w:hint="eastAsia" w:ascii="宋体" w:hAnsi="宋体"/>
          <w:color w:val="auto"/>
          <w:sz w:val="30"/>
        </w:rPr>
        <w:t>招标代理</w:t>
      </w:r>
      <w:r>
        <w:rPr>
          <w:rFonts w:hint="eastAsia" w:ascii="宋体" w:hAnsi="宋体"/>
          <w:color w:val="auto"/>
          <w:sz w:val="30"/>
          <w:lang w:val="en-US"/>
        </w:rPr>
        <w:t>机构</w:t>
      </w:r>
      <w:r>
        <w:rPr>
          <w:rFonts w:hint="eastAsia" w:ascii="宋体" w:hAnsi="宋体"/>
          <w:color w:val="auto"/>
          <w:sz w:val="30"/>
        </w:rPr>
        <w:t>：</w:t>
      </w:r>
      <w:r>
        <w:rPr>
          <w:rFonts w:ascii="宋体" w:hAnsi="宋体"/>
          <w:color w:val="auto"/>
          <w:sz w:val="30"/>
          <w:u w:val="single"/>
        </w:rPr>
        <w:t xml:space="preserve">             </w:t>
      </w:r>
      <w:r>
        <w:rPr>
          <w:rFonts w:hint="eastAsia" w:ascii="宋体" w:hAnsi="宋体"/>
          <w:color w:val="auto"/>
          <w:sz w:val="30"/>
          <w:u w:val="single"/>
        </w:rPr>
        <w:t>（盖单位章）</w:t>
      </w:r>
    </w:p>
    <w:p>
      <w:pPr>
        <w:spacing w:line="360" w:lineRule="auto"/>
        <w:jc w:val="center"/>
        <w:rPr>
          <w:rFonts w:ascii="宋体" w:hAnsi="宋体"/>
          <w:color w:val="auto"/>
          <w:sz w:val="30"/>
        </w:rPr>
      </w:pPr>
      <w:r>
        <w:rPr>
          <w:rFonts w:ascii="宋体" w:hAnsi="宋体"/>
          <w:color w:val="auto"/>
          <w:sz w:val="30"/>
          <w:u w:val="single"/>
        </w:rPr>
        <w:t xml:space="preserve">    </w:t>
      </w:r>
      <w:r>
        <w:rPr>
          <w:rFonts w:hint="eastAsia" w:ascii="宋体" w:hAnsi="宋体"/>
          <w:color w:val="auto"/>
          <w:sz w:val="30"/>
        </w:rPr>
        <w:t>年</w:t>
      </w:r>
      <w:r>
        <w:rPr>
          <w:rFonts w:ascii="宋体" w:hAnsi="宋体"/>
          <w:color w:val="auto"/>
          <w:sz w:val="30"/>
          <w:u w:val="single"/>
        </w:rPr>
        <w:t xml:space="preserve">    </w:t>
      </w:r>
      <w:r>
        <w:rPr>
          <w:rFonts w:hint="eastAsia" w:ascii="宋体" w:hAnsi="宋体"/>
          <w:color w:val="auto"/>
          <w:sz w:val="30"/>
        </w:rPr>
        <w:t>月</w:t>
      </w:r>
    </w:p>
    <w:p>
      <w:pPr>
        <w:spacing w:line="360" w:lineRule="auto"/>
        <w:jc w:val="center"/>
        <w:rPr>
          <w:rFonts w:ascii="宋体" w:hAnsi="宋体" w:cs="Times New Roman"/>
          <w:color w:val="auto"/>
          <w:sz w:val="2"/>
          <w:szCs w:val="2"/>
          <w:lang w:val="en-US"/>
        </w:rPr>
        <w:sectPr>
          <w:footnotePr>
            <w:numRestart w:val="eachPage"/>
          </w:footnotePr>
          <w:pgSz w:w="11900" w:h="16838"/>
          <w:pgMar w:top="1803" w:right="1440" w:bottom="1803" w:left="1440" w:header="680" w:footer="680" w:gutter="0"/>
          <w:cols w:space="720" w:num="1"/>
          <w:docGrid w:linePitch="360" w:charSpace="0"/>
        </w:sectPr>
      </w:pPr>
    </w:p>
    <w:tbl>
      <w:tblPr>
        <w:tblStyle w:val="88"/>
        <w:tblpPr w:leftFromText="180" w:rightFromText="180" w:horzAnchor="page" w:tblpX="2093" w:tblpY="490"/>
        <w:tblW w:w="0" w:type="auto"/>
        <w:tblInd w:w="0" w:type="dxa"/>
        <w:tblLayout w:type="fixed"/>
        <w:tblCellMar>
          <w:top w:w="0" w:type="dxa"/>
          <w:left w:w="108" w:type="dxa"/>
          <w:bottom w:w="0" w:type="dxa"/>
          <w:right w:w="108" w:type="dxa"/>
        </w:tblCellMar>
      </w:tblPr>
      <w:tblGrid>
        <w:gridCol w:w="1653"/>
        <w:gridCol w:w="6050"/>
      </w:tblGrid>
      <w:tr>
        <w:tblPrEx>
          <w:tblCellMar>
            <w:top w:w="0" w:type="dxa"/>
            <w:left w:w="108" w:type="dxa"/>
            <w:bottom w:w="0" w:type="dxa"/>
            <w:right w:w="108" w:type="dxa"/>
          </w:tblCellMar>
        </w:tblPrEx>
        <w:trPr>
          <w:trHeight w:val="90" w:hRule="atLeast"/>
        </w:trPr>
        <w:tc>
          <w:tcPr>
            <w:tcW w:w="7703" w:type="dxa"/>
            <w:gridSpan w:val="2"/>
            <w:noWrap w:val="0"/>
            <w:vAlign w:val="top"/>
          </w:tcPr>
          <w:p>
            <w:pPr>
              <w:keepNext w:val="0"/>
              <w:keepLines w:val="0"/>
              <w:suppressLineNumbers w:val="0"/>
              <w:tabs>
                <w:tab w:val="left" w:pos="3312"/>
              </w:tabs>
              <w:spacing w:before="0" w:beforeAutospacing="0" w:after="0" w:afterAutospacing="0"/>
              <w:ind w:left="0" w:right="0"/>
              <w:jc w:val="center"/>
              <w:rPr>
                <w:rFonts w:hint="eastAsia" w:ascii="宋体" w:hAnsi="宋体"/>
                <w:color w:val="auto"/>
                <w:spacing w:val="20"/>
                <w:sz w:val="36"/>
                <w:szCs w:val="36"/>
              </w:rPr>
            </w:pPr>
            <w:bookmarkStart w:id="9" w:name="bookmark4"/>
            <w:r>
              <w:rPr>
                <w:rFonts w:hint="eastAsia" w:ascii="宋体" w:hAnsi="宋体"/>
                <w:color w:val="auto"/>
                <w:spacing w:val="20"/>
                <w:sz w:val="36"/>
                <w:szCs w:val="36"/>
              </w:rPr>
              <w:t>目 录</w:t>
            </w:r>
          </w:p>
          <w:p>
            <w:pPr>
              <w:keepNext w:val="0"/>
              <w:keepLines w:val="0"/>
              <w:suppressLineNumbers w:val="0"/>
              <w:tabs>
                <w:tab w:val="left" w:pos="3312"/>
              </w:tabs>
              <w:spacing w:before="0" w:beforeAutospacing="0" w:after="0" w:afterAutospacing="0"/>
              <w:ind w:left="0" w:right="0"/>
              <w:jc w:val="center"/>
              <w:rPr>
                <w:rFonts w:hint="eastAsia" w:ascii="宋体" w:hAnsi="宋体"/>
                <w:color w:val="auto"/>
                <w:spacing w:val="20"/>
              </w:rPr>
            </w:pPr>
          </w:p>
          <w:p>
            <w:pPr>
              <w:keepNext w:val="0"/>
              <w:keepLines w:val="0"/>
              <w:suppressLineNumbers w:val="0"/>
              <w:tabs>
                <w:tab w:val="left" w:pos="3312"/>
              </w:tabs>
              <w:spacing w:before="0" w:beforeAutospacing="0" w:after="0" w:afterAutospacing="0"/>
              <w:ind w:left="0" w:right="0"/>
              <w:jc w:val="center"/>
              <w:rPr>
                <w:rFonts w:hint="eastAsia" w:ascii="宋体" w:hAnsi="宋体"/>
                <w:color w:val="auto"/>
                <w:spacing w:val="20"/>
              </w:rPr>
            </w:pPr>
            <w:r>
              <w:rPr>
                <w:rFonts w:hint="eastAsia" w:ascii="宋体" w:hAnsi="宋体"/>
                <w:color w:val="auto"/>
                <w:spacing w:val="20"/>
              </w:rPr>
              <w:t>第一卷</w:t>
            </w:r>
          </w:p>
          <w:p>
            <w:pPr>
              <w:keepNext w:val="0"/>
              <w:keepLines w:val="0"/>
              <w:suppressLineNumbers w:val="0"/>
              <w:tabs>
                <w:tab w:val="left" w:pos="3312"/>
              </w:tabs>
              <w:spacing w:before="0" w:beforeAutospacing="0" w:after="0" w:afterAutospacing="0"/>
              <w:ind w:left="0" w:right="0"/>
              <w:jc w:val="center"/>
              <w:rPr>
                <w:rFonts w:hint="default" w:ascii="宋体" w:hAnsi="宋体"/>
                <w:color w:val="auto"/>
                <w:spacing w:val="20"/>
                <w:sz w:val="36"/>
                <w:szCs w:val="36"/>
              </w:rPr>
            </w:pP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第一章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招标公告</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第一章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投标邀请书</w:t>
            </w:r>
            <w:r>
              <w:rPr>
                <w:rFonts w:hint="default" w:ascii="宋体" w:hAnsi="宋体"/>
                <w:color w:val="auto"/>
                <w:spacing w:val="20"/>
              </w:rPr>
              <w:t>(</w:t>
            </w:r>
            <w:r>
              <w:rPr>
                <w:rFonts w:hint="eastAsia" w:ascii="宋体" w:hAnsi="宋体"/>
                <w:color w:val="auto"/>
                <w:spacing w:val="20"/>
              </w:rPr>
              <w:t>适用于邀请招标</w:t>
            </w:r>
            <w:r>
              <w:rPr>
                <w:rFonts w:hint="default" w:ascii="宋体" w:hAnsi="宋体"/>
                <w:color w:val="auto"/>
                <w:spacing w:val="20"/>
              </w:rPr>
              <w:t>)</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第二章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投标人须知</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第三章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评标办法</w:t>
            </w:r>
            <w:r>
              <w:rPr>
                <w:rFonts w:hint="default" w:ascii="宋体" w:hAnsi="宋体"/>
                <w:color w:val="auto"/>
                <w:spacing w:val="20"/>
              </w:rPr>
              <w:t>(</w:t>
            </w:r>
            <w:r>
              <w:rPr>
                <w:rFonts w:hint="eastAsia" w:ascii="宋体" w:hAnsi="宋体"/>
                <w:color w:val="auto"/>
                <w:spacing w:val="20"/>
              </w:rPr>
              <w:t>双信封的综合评分法</w:t>
            </w:r>
            <w:r>
              <w:rPr>
                <w:rFonts w:hint="eastAsia" w:ascii="宋体" w:hAnsi="宋体" w:cs="宋体"/>
                <w:color w:val="auto"/>
                <w:spacing w:val="20"/>
              </w:rPr>
              <w:t>Ⅰ</w:t>
            </w:r>
            <w:r>
              <w:rPr>
                <w:rFonts w:hint="default" w:ascii="宋体" w:hAnsi="宋体"/>
                <w:color w:val="auto"/>
                <w:spacing w:val="20"/>
              </w:rPr>
              <w:t>)</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第三章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评标办法</w:t>
            </w:r>
            <w:r>
              <w:rPr>
                <w:rFonts w:hint="default" w:ascii="宋体" w:hAnsi="宋体"/>
                <w:color w:val="auto"/>
                <w:spacing w:val="20"/>
              </w:rPr>
              <w:t>(</w:t>
            </w:r>
            <w:r>
              <w:rPr>
                <w:rFonts w:hint="eastAsia" w:ascii="宋体" w:hAnsi="宋体"/>
                <w:color w:val="auto"/>
                <w:spacing w:val="20"/>
              </w:rPr>
              <w:t>双信封的综合评分法</w:t>
            </w:r>
            <w:r>
              <w:rPr>
                <w:rFonts w:hint="eastAsia" w:ascii="宋体" w:hAnsi="宋体" w:cs="宋体"/>
                <w:color w:val="auto"/>
                <w:spacing w:val="20"/>
              </w:rPr>
              <w:t>Ⅱ</w:t>
            </w:r>
            <w:r>
              <w:rPr>
                <w:rFonts w:hint="default" w:ascii="宋体" w:hAnsi="宋体"/>
                <w:color w:val="auto"/>
                <w:spacing w:val="20"/>
              </w:rPr>
              <w:t xml:space="preserve">) </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第三章</w:t>
            </w:r>
            <w:r>
              <w:rPr>
                <w:rFonts w:hint="default" w:ascii="宋体" w:hAnsi="宋体"/>
                <w:color w:val="auto"/>
                <w:spacing w:val="20"/>
              </w:rPr>
              <w:t xml:space="preserve">  </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评标办法</w:t>
            </w:r>
            <w:r>
              <w:rPr>
                <w:rFonts w:hint="default" w:ascii="宋体" w:hAnsi="宋体"/>
                <w:color w:val="auto"/>
                <w:spacing w:val="20"/>
              </w:rPr>
              <w:t>(</w:t>
            </w:r>
            <w:r>
              <w:rPr>
                <w:rFonts w:hint="eastAsia" w:ascii="宋体" w:hAnsi="宋体"/>
                <w:color w:val="auto"/>
                <w:spacing w:val="20"/>
              </w:rPr>
              <w:t>双信封的综合评分法</w:t>
            </w:r>
            <w:r>
              <w:rPr>
                <w:rFonts w:hint="eastAsia" w:ascii="宋体" w:hAnsi="宋体" w:cs="宋体"/>
                <w:color w:val="auto"/>
                <w:spacing w:val="20"/>
              </w:rPr>
              <w:t>Ⅲ</w:t>
            </w:r>
            <w:r>
              <w:rPr>
                <w:rFonts w:hint="default" w:ascii="宋体" w:hAnsi="宋体"/>
                <w:color w:val="auto"/>
                <w:spacing w:val="20"/>
              </w:rPr>
              <w:t>)</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第四章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合同条款及格式</w:t>
            </w:r>
          </w:p>
        </w:tc>
      </w:tr>
      <w:tr>
        <w:tblPrEx>
          <w:tblCellMar>
            <w:top w:w="0" w:type="dxa"/>
            <w:left w:w="108" w:type="dxa"/>
            <w:bottom w:w="0" w:type="dxa"/>
            <w:right w:w="108" w:type="dxa"/>
          </w:tblCellMar>
        </w:tblPrEx>
        <w:trPr>
          <w:trHeight w:val="680" w:hRule="atLeast"/>
        </w:trPr>
        <w:tc>
          <w:tcPr>
            <w:tcW w:w="7703" w:type="dxa"/>
            <w:gridSpan w:val="2"/>
            <w:noWrap w:val="0"/>
            <w:vAlign w:val="top"/>
          </w:tcPr>
          <w:p>
            <w:pPr>
              <w:keepNext w:val="0"/>
              <w:keepLines w:val="0"/>
              <w:suppressLineNumbers w:val="0"/>
              <w:spacing w:before="0" w:beforeAutospacing="0" w:after="0" w:afterAutospacing="0"/>
              <w:ind w:left="0" w:right="0"/>
              <w:jc w:val="center"/>
              <w:rPr>
                <w:rFonts w:hint="default" w:ascii="宋体" w:hAnsi="宋体"/>
                <w:color w:val="auto"/>
                <w:spacing w:val="20"/>
              </w:rPr>
            </w:pPr>
            <w:r>
              <w:rPr>
                <w:rFonts w:hint="eastAsia" w:ascii="宋体" w:hAnsi="宋体"/>
                <w:color w:val="auto"/>
                <w:spacing w:val="20"/>
              </w:rPr>
              <w:t>第二卷</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w:t>
            </w:r>
            <w:r>
              <w:rPr>
                <w:rFonts w:hint="eastAsia" w:ascii="宋体" w:hAnsi="宋体"/>
                <w:color w:val="auto"/>
                <w:spacing w:val="20"/>
                <w:lang w:val="en-US"/>
              </w:rPr>
              <w:t>五</w:t>
            </w:r>
            <w:r>
              <w:rPr>
                <w:rFonts w:hint="eastAsia" w:ascii="宋体" w:hAnsi="宋体"/>
                <w:color w:val="auto"/>
                <w:spacing w:val="20"/>
              </w:rPr>
              <w:t>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lang w:val="en-US"/>
              </w:rPr>
            </w:pPr>
            <w:r>
              <w:rPr>
                <w:rFonts w:hint="eastAsia" w:ascii="宋体" w:hAnsi="宋体"/>
                <w:color w:val="auto"/>
                <w:spacing w:val="20"/>
                <w:lang w:val="en-US"/>
              </w:rPr>
              <w:t>发包人要求</w:t>
            </w:r>
          </w:p>
        </w:tc>
      </w:tr>
      <w:tr>
        <w:tblPrEx>
          <w:tblCellMar>
            <w:top w:w="0" w:type="dxa"/>
            <w:left w:w="108" w:type="dxa"/>
            <w:bottom w:w="0" w:type="dxa"/>
            <w:right w:w="108" w:type="dxa"/>
          </w:tblCellMar>
        </w:tblPrEx>
        <w:trPr>
          <w:trHeight w:val="680" w:hRule="atLeast"/>
        </w:trPr>
        <w:tc>
          <w:tcPr>
            <w:tcW w:w="7703" w:type="dxa"/>
            <w:gridSpan w:val="2"/>
            <w:noWrap w:val="0"/>
            <w:vAlign w:val="top"/>
          </w:tcPr>
          <w:p>
            <w:pPr>
              <w:keepNext w:val="0"/>
              <w:keepLines w:val="0"/>
              <w:suppressLineNumbers w:val="0"/>
              <w:spacing w:before="0" w:beforeAutospacing="0" w:after="0" w:afterAutospacing="0"/>
              <w:ind w:left="0" w:right="0"/>
              <w:jc w:val="center"/>
              <w:rPr>
                <w:rFonts w:hint="default" w:ascii="宋体" w:hAnsi="宋体"/>
                <w:color w:val="auto"/>
                <w:spacing w:val="20"/>
              </w:rPr>
            </w:pPr>
            <w:r>
              <w:rPr>
                <w:rFonts w:hint="eastAsia" w:ascii="宋体" w:hAnsi="宋体"/>
                <w:color w:val="auto"/>
                <w:spacing w:val="20"/>
              </w:rPr>
              <w:t>第</w:t>
            </w:r>
            <w:r>
              <w:rPr>
                <w:rFonts w:hint="eastAsia" w:ascii="宋体" w:hAnsi="宋体"/>
                <w:color w:val="auto"/>
                <w:spacing w:val="20"/>
                <w:lang w:val="en-US"/>
              </w:rPr>
              <w:t>三</w:t>
            </w:r>
            <w:r>
              <w:rPr>
                <w:rFonts w:hint="eastAsia" w:ascii="宋体" w:hAnsi="宋体"/>
                <w:color w:val="auto"/>
                <w:spacing w:val="20"/>
              </w:rPr>
              <w:t>卷</w:t>
            </w:r>
          </w:p>
        </w:tc>
      </w:tr>
      <w:tr>
        <w:tblPrEx>
          <w:tblCellMar>
            <w:top w:w="0" w:type="dxa"/>
            <w:left w:w="108" w:type="dxa"/>
            <w:bottom w:w="0" w:type="dxa"/>
            <w:right w:w="108" w:type="dxa"/>
          </w:tblCellMar>
        </w:tblPrEx>
        <w:trPr>
          <w:trHeight w:val="680" w:hRule="atLeast"/>
        </w:trPr>
        <w:tc>
          <w:tcPr>
            <w:tcW w:w="1653"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pacing w:val="20"/>
              </w:rPr>
            </w:pPr>
            <w:r>
              <w:rPr>
                <w:rFonts w:hint="eastAsia" w:ascii="宋体" w:hAnsi="宋体"/>
                <w:color w:val="auto"/>
                <w:spacing w:val="20"/>
              </w:rPr>
              <w:t>第</w:t>
            </w:r>
            <w:r>
              <w:rPr>
                <w:rFonts w:hint="eastAsia" w:ascii="宋体" w:hAnsi="宋体"/>
                <w:color w:val="auto"/>
                <w:spacing w:val="20"/>
                <w:lang w:val="en-US"/>
              </w:rPr>
              <w:t>六</w:t>
            </w:r>
            <w:r>
              <w:rPr>
                <w:rFonts w:hint="eastAsia" w:ascii="宋体" w:hAnsi="宋体"/>
                <w:color w:val="auto"/>
                <w:spacing w:val="20"/>
              </w:rPr>
              <w:t>章</w:t>
            </w:r>
          </w:p>
        </w:tc>
        <w:tc>
          <w:tcPr>
            <w:tcW w:w="6050" w:type="dxa"/>
            <w:noWrap w:val="0"/>
            <w:vAlign w:val="top"/>
          </w:tcPr>
          <w:p>
            <w:pPr>
              <w:keepNext w:val="0"/>
              <w:keepLines w:val="0"/>
              <w:suppressLineNumbers w:val="0"/>
              <w:spacing w:before="0" w:beforeAutospacing="0" w:after="0" w:afterAutospacing="0"/>
              <w:ind w:left="0" w:right="0"/>
              <w:rPr>
                <w:rFonts w:hint="default" w:ascii="宋体" w:hAnsi="宋体"/>
                <w:color w:val="auto"/>
                <w:spacing w:val="20"/>
              </w:rPr>
            </w:pPr>
            <w:r>
              <w:rPr>
                <w:rFonts w:hint="eastAsia" w:ascii="宋体" w:hAnsi="宋体"/>
                <w:color w:val="auto"/>
                <w:spacing w:val="20"/>
              </w:rPr>
              <w:t>投标文件格式</w:t>
            </w:r>
          </w:p>
        </w:tc>
      </w:tr>
      <w:bookmarkEnd w:id="9"/>
    </w:tbl>
    <w:p>
      <w:pPr>
        <w:pStyle w:val="3"/>
        <w:spacing w:after="0" w:line="360" w:lineRule="auto"/>
        <w:jc w:val="center"/>
        <w:rPr>
          <w:rFonts w:ascii="宋体" w:hAnsi="宋体"/>
          <w:sz w:val="2"/>
          <w:szCs w:val="2"/>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rPr>
          <w:color w:val="auto"/>
          <w:lang w:val="en-US"/>
        </w:rPr>
      </w:pPr>
    </w:p>
    <w:p>
      <w:pPr>
        <w:pStyle w:val="34"/>
        <w:rPr>
          <w:lang w:val="en-US"/>
        </w:rPr>
      </w:pPr>
    </w:p>
    <w:p>
      <w:pPr>
        <w:rPr>
          <w:color w:val="auto"/>
          <w:lang w:val="en-US"/>
        </w:rPr>
      </w:pPr>
    </w:p>
    <w:p>
      <w:pPr>
        <w:pStyle w:val="34"/>
        <w:rPr>
          <w:lang w:val="en-US"/>
        </w:rPr>
      </w:pPr>
    </w:p>
    <w:p>
      <w:pPr>
        <w:rPr>
          <w:color w:val="auto"/>
          <w:lang w:val="en-US"/>
        </w:rPr>
      </w:pPr>
    </w:p>
    <w:p>
      <w:pPr>
        <w:pStyle w:val="34"/>
        <w:rPr>
          <w:lang w:val="en-US"/>
        </w:rPr>
      </w:pPr>
    </w:p>
    <w:p>
      <w:pPr>
        <w:rPr>
          <w:color w:val="auto"/>
          <w:lang w:val="en-US"/>
        </w:rPr>
      </w:pPr>
    </w:p>
    <w:p>
      <w:pPr>
        <w:pStyle w:val="34"/>
        <w:rPr>
          <w:lang w:val="en-US"/>
        </w:rPr>
      </w:pPr>
    </w:p>
    <w:p>
      <w:pPr>
        <w:rPr>
          <w:color w:val="auto"/>
          <w:lang w:val="en-US"/>
        </w:rPr>
      </w:pPr>
    </w:p>
    <w:p>
      <w:pPr>
        <w:pStyle w:val="34"/>
        <w:rPr>
          <w:lang w:val="en-US"/>
        </w:rPr>
      </w:pPr>
    </w:p>
    <w:p>
      <w:pPr>
        <w:rPr>
          <w:color w:val="auto"/>
          <w:lang w:val="en-US"/>
        </w:rPr>
      </w:pPr>
    </w:p>
    <w:p>
      <w:pPr>
        <w:pStyle w:val="34"/>
        <w:rPr>
          <w:lang w:val="en-US"/>
        </w:rPr>
      </w:pPr>
    </w:p>
    <w:p>
      <w:pPr>
        <w:rPr>
          <w:color w:val="auto"/>
          <w:lang w:val="en-US"/>
        </w:rPr>
      </w:pPr>
    </w:p>
    <w:p>
      <w:pPr>
        <w:pStyle w:val="34"/>
        <w:rPr>
          <w:lang w:val="en-US"/>
        </w:rPr>
      </w:pPr>
    </w:p>
    <w:p>
      <w:pPr>
        <w:rPr>
          <w:color w:val="auto"/>
          <w:lang w:val="en-US"/>
        </w:rPr>
      </w:pPr>
    </w:p>
    <w:p>
      <w:pPr>
        <w:pStyle w:val="34"/>
        <w:rPr>
          <w:lang w:val="en-US"/>
        </w:rPr>
      </w:pPr>
    </w:p>
    <w:p>
      <w:pPr>
        <w:pStyle w:val="3"/>
        <w:spacing w:after="0" w:line="360" w:lineRule="auto"/>
        <w:jc w:val="center"/>
        <w:rPr>
          <w:rStyle w:val="529"/>
          <w:rFonts w:ascii="宋体" w:eastAsia="宋体"/>
        </w:rPr>
        <w:sectPr>
          <w:headerReference r:id="rId7" w:type="default"/>
          <w:footerReference r:id="rId8" w:type="default"/>
          <w:footnotePr>
            <w:numRestart w:val="eachPage"/>
          </w:footnotePr>
          <w:pgSz w:w="11900" w:h="16838"/>
          <w:pgMar w:top="1803" w:right="1440" w:bottom="1803" w:left="1440" w:header="680" w:footer="680" w:gutter="0"/>
          <w:pgNumType w:start="1"/>
          <w:cols w:space="720" w:num="1"/>
          <w:docGrid w:linePitch="360" w:charSpace="0"/>
        </w:sectPr>
      </w:pPr>
    </w:p>
    <w:p>
      <w:pPr>
        <w:pStyle w:val="3"/>
        <w:spacing w:after="0" w:line="360" w:lineRule="auto"/>
        <w:jc w:val="center"/>
        <w:rPr>
          <w:rStyle w:val="529"/>
          <w:rFonts w:ascii="宋体" w:eastAsia="宋体"/>
        </w:rPr>
      </w:pPr>
    </w:p>
    <w:p>
      <w:pPr>
        <w:pStyle w:val="3"/>
        <w:spacing w:after="0" w:line="360" w:lineRule="auto"/>
        <w:jc w:val="center"/>
        <w:rPr>
          <w:rStyle w:val="529"/>
          <w:rFonts w:ascii="宋体" w:eastAsia="宋体"/>
        </w:rPr>
      </w:pPr>
    </w:p>
    <w:p>
      <w:pPr>
        <w:pStyle w:val="3"/>
        <w:spacing w:after="0" w:line="360" w:lineRule="auto"/>
        <w:jc w:val="center"/>
        <w:rPr>
          <w:rStyle w:val="529"/>
          <w:rFonts w:ascii="宋体" w:eastAsia="宋体"/>
        </w:rPr>
      </w:pPr>
    </w:p>
    <w:p>
      <w:pPr>
        <w:pStyle w:val="3"/>
        <w:spacing w:after="0" w:line="360" w:lineRule="auto"/>
        <w:jc w:val="center"/>
        <w:rPr>
          <w:rStyle w:val="529"/>
          <w:rFonts w:ascii="宋体" w:eastAsia="宋体"/>
        </w:rPr>
        <w:sectPr>
          <w:footnotePr>
            <w:numRestart w:val="eachPage"/>
          </w:footnotePr>
          <w:pgSz w:w="11900" w:h="16838"/>
          <w:pgMar w:top="1803" w:right="1440" w:bottom="1803" w:left="1440" w:header="680" w:footer="680" w:gutter="0"/>
          <w:pgNumType w:start="1"/>
          <w:cols w:space="720" w:num="1"/>
          <w:docGrid w:linePitch="360" w:charSpace="0"/>
        </w:sectPr>
      </w:pPr>
      <w:r>
        <w:rPr>
          <w:rStyle w:val="529"/>
          <w:rFonts w:ascii="宋体" w:eastAsia="宋体"/>
          <w:sz w:val="48"/>
          <w:szCs w:val="48"/>
        </w:rPr>
        <w:t>第一卷</w:t>
      </w:r>
    </w:p>
    <w:p>
      <w:pPr>
        <w:pStyle w:val="620"/>
        <w:shd w:val="clear" w:color="auto" w:fill="auto"/>
        <w:spacing w:line="360" w:lineRule="auto"/>
        <w:rPr>
          <w:rStyle w:val="619"/>
          <w:rFonts w:hint="eastAsia" w:ascii="宋体" w:hAnsi="宋体" w:eastAsia="宋体"/>
        </w:rPr>
      </w:pPr>
    </w:p>
    <w:p>
      <w:pPr>
        <w:pStyle w:val="620"/>
        <w:shd w:val="clear" w:color="auto" w:fill="auto"/>
        <w:spacing w:line="360" w:lineRule="auto"/>
        <w:rPr>
          <w:rStyle w:val="619"/>
          <w:rFonts w:hint="eastAsia" w:ascii="宋体" w:hAnsi="宋体" w:eastAsia="宋体"/>
        </w:rPr>
      </w:pPr>
    </w:p>
    <w:p>
      <w:pPr>
        <w:pStyle w:val="620"/>
        <w:shd w:val="clear" w:color="auto" w:fill="auto"/>
        <w:spacing w:line="360" w:lineRule="auto"/>
        <w:rPr>
          <w:rStyle w:val="619"/>
          <w:rFonts w:hint="eastAsia" w:ascii="宋体" w:hAnsi="宋体" w:eastAsia="宋体"/>
        </w:rPr>
      </w:pPr>
    </w:p>
    <w:p>
      <w:pPr>
        <w:pStyle w:val="620"/>
        <w:shd w:val="clear" w:color="auto" w:fill="auto"/>
        <w:spacing w:line="360" w:lineRule="auto"/>
        <w:rPr>
          <w:rStyle w:val="619"/>
          <w:rFonts w:hint="eastAsia" w:ascii="宋体" w:hAnsi="宋体" w:eastAsia="宋体"/>
        </w:rPr>
      </w:pPr>
    </w:p>
    <w:p>
      <w:pPr>
        <w:pStyle w:val="3"/>
        <w:spacing w:after="0" w:line="360" w:lineRule="auto"/>
        <w:jc w:val="center"/>
        <w:rPr>
          <w:rStyle w:val="442"/>
          <w:rFonts w:hint="eastAsia" w:ascii="宋体" w:eastAsia="宋体"/>
          <w:sz w:val="48"/>
          <w:szCs w:val="48"/>
        </w:rPr>
        <w:sectPr>
          <w:footnotePr>
            <w:numRestart w:val="eachPage"/>
          </w:footnotePr>
          <w:type w:val="continuous"/>
          <w:pgSz w:w="11900" w:h="16838"/>
          <w:pgMar w:top="1803" w:right="1440" w:bottom="1803" w:left="1440" w:header="680" w:footer="680" w:gutter="0"/>
          <w:cols w:space="720" w:num="1"/>
          <w:docGrid w:linePitch="360" w:charSpace="0"/>
        </w:sectPr>
      </w:pPr>
    </w:p>
    <w:p>
      <w:pPr>
        <w:pStyle w:val="3"/>
        <w:spacing w:after="0" w:line="360" w:lineRule="auto"/>
        <w:jc w:val="center"/>
        <w:rPr>
          <w:rStyle w:val="442"/>
          <w:rFonts w:hint="eastAsia" w:ascii="宋体" w:eastAsia="宋体"/>
          <w:sz w:val="48"/>
          <w:szCs w:val="48"/>
        </w:rPr>
      </w:pPr>
    </w:p>
    <w:p>
      <w:pPr>
        <w:pStyle w:val="3"/>
        <w:spacing w:after="0" w:line="360" w:lineRule="auto"/>
        <w:jc w:val="center"/>
        <w:rPr>
          <w:rStyle w:val="442"/>
          <w:rFonts w:hint="eastAsia" w:ascii="宋体" w:eastAsia="宋体"/>
          <w:sz w:val="48"/>
          <w:szCs w:val="48"/>
        </w:rPr>
      </w:pPr>
    </w:p>
    <w:p>
      <w:pPr>
        <w:pStyle w:val="3"/>
        <w:spacing w:after="0" w:line="360" w:lineRule="auto"/>
        <w:jc w:val="center"/>
        <w:rPr>
          <w:rStyle w:val="442"/>
          <w:rFonts w:hint="eastAsia" w:ascii="宋体" w:eastAsia="宋体"/>
          <w:sz w:val="48"/>
          <w:szCs w:val="48"/>
        </w:rPr>
      </w:pPr>
    </w:p>
    <w:p>
      <w:pPr>
        <w:pStyle w:val="3"/>
        <w:spacing w:after="0" w:line="360" w:lineRule="auto"/>
        <w:jc w:val="center"/>
        <w:rPr>
          <w:rStyle w:val="442"/>
          <w:rFonts w:ascii="宋体" w:eastAsia="宋体"/>
          <w:sz w:val="48"/>
          <w:szCs w:val="48"/>
        </w:rPr>
      </w:pPr>
      <w:r>
        <w:rPr>
          <w:rStyle w:val="442"/>
          <w:rFonts w:hint="eastAsia" w:ascii="宋体" w:eastAsia="宋体"/>
          <w:sz w:val="48"/>
          <w:szCs w:val="48"/>
        </w:rPr>
        <w:t>第一章 招标公告</w:t>
      </w:r>
      <w:r>
        <w:rPr>
          <w:rStyle w:val="442"/>
          <w:rFonts w:ascii="宋体" w:eastAsia="宋体"/>
          <w:sz w:val="48"/>
          <w:szCs w:val="48"/>
        </w:rPr>
        <w:t>/</w:t>
      </w:r>
      <w:r>
        <w:rPr>
          <w:rStyle w:val="442"/>
          <w:rFonts w:hint="eastAsia" w:ascii="宋体" w:eastAsia="宋体"/>
          <w:sz w:val="48"/>
          <w:szCs w:val="48"/>
        </w:rPr>
        <w:t>投标邀请书</w:t>
      </w:r>
    </w:p>
    <w:p>
      <w:pPr>
        <w:pStyle w:val="620"/>
        <w:shd w:val="clear" w:color="auto" w:fill="auto"/>
        <w:spacing w:line="360" w:lineRule="auto"/>
        <w:jc w:val="center"/>
        <w:rPr>
          <w:rFonts w:ascii="宋体" w:hAnsi="宋体" w:eastAsia="宋体"/>
          <w:sz w:val="48"/>
          <w:szCs w:val="48"/>
        </w:rPr>
      </w:pPr>
      <w:r>
        <w:rPr>
          <w:rStyle w:val="619"/>
          <w:rFonts w:ascii="宋体" w:hAnsi="宋体" w:eastAsia="宋体"/>
        </w:rPr>
        <w:br w:type="page"/>
      </w:r>
      <w:bookmarkStart w:id="10" w:name="bookmark6"/>
      <w:r>
        <w:rPr>
          <w:rStyle w:val="233"/>
          <w:rFonts w:hint="eastAsia" w:ascii="宋体" w:hAnsi="宋体" w:eastAsia="宋体"/>
          <w:b/>
          <w:bCs/>
          <w:sz w:val="36"/>
          <w:szCs w:val="36"/>
        </w:rPr>
        <w:t>第一章 招标公告</w:t>
      </w:r>
      <w:bookmarkEnd w:id="10"/>
      <w:r>
        <w:rPr>
          <w:rStyle w:val="101"/>
          <w:rFonts w:ascii="宋体" w:hAnsi="宋体" w:eastAsia="宋体"/>
          <w:spacing w:val="0"/>
          <w:sz w:val="30"/>
          <w:szCs w:val="24"/>
          <w:lang w:val="zh-CN" w:eastAsia="zh-CN"/>
        </w:rPr>
        <w:footnoteReference w:id="1"/>
      </w:r>
    </w:p>
    <w:p>
      <w:pPr>
        <w:jc w:val="center"/>
        <w:rPr>
          <w:rFonts w:hint="eastAsia" w:ascii="宋体" w:hAnsi="宋体"/>
          <w:color w:val="auto"/>
          <w:sz w:val="28"/>
          <w:szCs w:val="28"/>
          <w:u w:val="single"/>
        </w:rPr>
      </w:pPr>
      <w:r>
        <w:rPr>
          <w:rFonts w:ascii="宋体" w:hAnsi="宋体"/>
          <w:color w:val="auto"/>
          <w:sz w:val="28"/>
          <w:szCs w:val="28"/>
          <w:u w:val="single"/>
        </w:rPr>
        <w:t xml:space="preserve">      (项目名称)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标类（或</w:t>
      </w:r>
      <w:r>
        <w:rPr>
          <w:rFonts w:ascii="宋体" w:hAnsi="宋体"/>
          <w:color w:val="auto"/>
          <w:sz w:val="28"/>
          <w:szCs w:val="28"/>
          <w:u w:val="single"/>
        </w:rPr>
        <w:t>标段</w:t>
      </w:r>
      <w:r>
        <w:rPr>
          <w:rFonts w:hint="eastAsia" w:ascii="宋体" w:hAnsi="宋体"/>
          <w:color w:val="auto"/>
          <w:sz w:val="28"/>
          <w:szCs w:val="28"/>
          <w:u w:val="single"/>
        </w:rPr>
        <w:t>）（勘察、设计或勘察设计）</w:t>
      </w:r>
    </w:p>
    <w:p>
      <w:pPr>
        <w:jc w:val="center"/>
        <w:rPr>
          <w:rFonts w:hint="eastAsia" w:ascii="宋体" w:hAnsi="宋体"/>
          <w:color w:val="auto"/>
          <w:sz w:val="28"/>
          <w:szCs w:val="28"/>
        </w:rPr>
      </w:pPr>
      <w:r>
        <w:rPr>
          <w:rFonts w:hint="eastAsia" w:ascii="宋体" w:hAnsi="宋体"/>
          <w:color w:val="auto"/>
          <w:sz w:val="28"/>
          <w:szCs w:val="28"/>
        </w:rPr>
        <w:t>招标公告</w:t>
      </w:r>
    </w:p>
    <w:p>
      <w:pPr>
        <w:pStyle w:val="84"/>
        <w:snapToGrid w:val="0"/>
        <w:spacing w:line="360" w:lineRule="auto"/>
        <w:jc w:val="left"/>
        <w:outlineLvl w:val="1"/>
        <w:rPr>
          <w:rFonts w:hint="eastAsia" w:ascii="宋体" w:hAnsi="宋体" w:cs="宋体"/>
          <w:bCs/>
          <w:sz w:val="24"/>
          <w:szCs w:val="24"/>
        </w:rPr>
      </w:pPr>
      <w:bookmarkStart w:id="11" w:name="bookmark8"/>
      <w:r>
        <w:rPr>
          <w:rFonts w:hint="eastAsia" w:ascii="宋体" w:hAnsi="宋体"/>
          <w:sz w:val="24"/>
          <w:szCs w:val="24"/>
        </w:rPr>
        <w:t>1.招标条件</w:t>
      </w:r>
      <w:bookmarkEnd w:id="11"/>
    </w:p>
    <w:p>
      <w:pPr>
        <w:pStyle w:val="215"/>
        <w:shd w:val="clear" w:color="auto" w:fill="auto"/>
        <w:spacing w:before="0" w:line="360" w:lineRule="auto"/>
        <w:ind w:firstLine="560" w:firstLineChars="200"/>
        <w:jc w:val="left"/>
        <w:rPr>
          <w:rFonts w:hint="eastAsia" w:ascii="宋体" w:hAnsi="宋体" w:eastAsia="宋体" w:cs="宋体"/>
          <w:sz w:val="24"/>
          <w:szCs w:val="24"/>
        </w:rPr>
      </w:pPr>
      <w:r>
        <w:rPr>
          <w:rFonts w:ascii="宋体" w:hAnsi="宋体" w:eastAsia="宋体"/>
          <w:sz w:val="24"/>
          <w:szCs w:val="24"/>
        </w:rPr>
        <w:t xml:space="preserve">本招标项目 </w:t>
      </w:r>
      <w:r>
        <w:rPr>
          <w:rFonts w:ascii="宋体" w:hAnsi="宋体" w:eastAsia="宋体"/>
          <w:sz w:val="24"/>
          <w:szCs w:val="24"/>
          <w:u w:val="single"/>
        </w:rPr>
        <w:t xml:space="preserve">               </w:t>
      </w:r>
      <w:r>
        <w:rPr>
          <w:rFonts w:ascii="宋体" w:hAnsi="宋体" w:eastAsia="宋体"/>
          <w:sz w:val="24"/>
          <w:szCs w:val="24"/>
        </w:rPr>
        <w:t>(项目名称)已由</w:t>
      </w:r>
      <w:r>
        <w:rPr>
          <w:rFonts w:ascii="宋体" w:hAnsi="宋体" w:eastAsia="宋体"/>
          <w:sz w:val="24"/>
          <w:szCs w:val="24"/>
          <w:u w:val="single"/>
        </w:rPr>
        <w:t xml:space="preserve">         </w:t>
      </w:r>
      <w:r>
        <w:rPr>
          <w:rFonts w:ascii="宋体" w:hAnsi="宋体" w:eastAsia="宋体"/>
          <w:sz w:val="24"/>
          <w:szCs w:val="24"/>
        </w:rPr>
        <w:t>(项目审批、核准或备案机关名称)以</w:t>
      </w:r>
      <w:r>
        <w:rPr>
          <w:rFonts w:ascii="宋体" w:hAnsi="宋体" w:eastAsia="宋体"/>
          <w:sz w:val="24"/>
          <w:szCs w:val="24"/>
          <w:u w:val="single"/>
        </w:rPr>
        <w:t xml:space="preserve">              </w:t>
      </w:r>
      <w:r>
        <w:rPr>
          <w:rFonts w:ascii="宋体" w:hAnsi="宋体" w:eastAsia="宋体"/>
          <w:sz w:val="24"/>
          <w:szCs w:val="24"/>
        </w:rPr>
        <w:t>(批文名称及编号)批准建设，项目业主为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，建设资金来自</w:t>
      </w:r>
      <w:r>
        <w:rPr>
          <w:rFonts w:ascii="宋体" w:hAnsi="宋体" w:eastAsia="宋体"/>
          <w:sz w:val="24"/>
          <w:szCs w:val="24"/>
          <w:u w:val="single"/>
        </w:rPr>
        <w:t xml:space="preserve">                 </w:t>
      </w:r>
      <w:r>
        <w:rPr>
          <w:rFonts w:ascii="宋体" w:hAnsi="宋体" w:eastAsia="宋体"/>
          <w:sz w:val="24"/>
          <w:szCs w:val="24"/>
        </w:rPr>
        <w:t>(资金来源)，项目出资比例为</w:t>
      </w:r>
      <w:r>
        <w:rPr>
          <w:rFonts w:ascii="宋体" w:hAnsi="宋体" w:eastAsia="宋体"/>
          <w:sz w:val="24"/>
          <w:szCs w:val="24"/>
          <w:u w:val="single"/>
        </w:rPr>
        <w:t xml:space="preserve">          </w:t>
      </w:r>
      <w:r>
        <w:rPr>
          <w:rFonts w:ascii="宋体" w:hAnsi="宋体" w:eastAsia="宋体"/>
          <w:sz w:val="24"/>
          <w:szCs w:val="24"/>
        </w:rPr>
        <w:t xml:space="preserve">，招标人为 </w:t>
      </w: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cs="宋体"/>
          <w:spacing w:val="2"/>
          <w:sz w:val="24"/>
          <w:szCs w:val="24"/>
        </w:rPr>
        <w:t>项目已具备招标条件，</w:t>
      </w:r>
      <w:r>
        <w:rPr>
          <w:rFonts w:hint="eastAsia" w:ascii="宋体" w:hAnsi="宋体" w:eastAsia="宋体" w:cs="宋体"/>
          <w:sz w:val="24"/>
          <w:szCs w:val="24"/>
        </w:rPr>
        <w:t>现对该项目的</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勘察、设计或勘察设计</w:t>
      </w:r>
      <w:r>
        <w:rPr>
          <w:rFonts w:hint="eastAsia" w:ascii="宋体" w:hAnsi="宋体" w:eastAsia="宋体" w:cs="宋体"/>
          <w:sz w:val="24"/>
          <w:szCs w:val="24"/>
          <w:u w:val="single"/>
          <w:lang w:eastAsia="zh-CN"/>
        </w:rPr>
        <w:t>）</w:t>
      </w:r>
      <w:r>
        <w:rPr>
          <w:rFonts w:hint="eastAsia" w:ascii="宋体" w:hAnsi="宋体" w:eastAsia="宋体" w:cs="宋体"/>
          <w:sz w:val="24"/>
          <w:szCs w:val="24"/>
        </w:rPr>
        <w:t>采用资格后审方式进行公开招标。</w:t>
      </w:r>
    </w:p>
    <w:p>
      <w:pPr>
        <w:pStyle w:val="84"/>
        <w:snapToGrid w:val="0"/>
        <w:spacing w:line="360" w:lineRule="auto"/>
        <w:jc w:val="left"/>
        <w:outlineLvl w:val="1"/>
        <w:rPr>
          <w:rFonts w:hint="eastAsia" w:ascii="宋体" w:hAnsi="宋体"/>
          <w:sz w:val="24"/>
          <w:szCs w:val="24"/>
        </w:rPr>
      </w:pPr>
      <w:bookmarkStart w:id="12" w:name="bookmark9"/>
      <w:r>
        <w:rPr>
          <w:rFonts w:hint="eastAsia" w:ascii="宋体" w:hAnsi="宋体"/>
          <w:sz w:val="24"/>
          <w:szCs w:val="24"/>
        </w:rPr>
        <w:t>2.项目概况与招标范围</w:t>
      </w:r>
      <w:bookmarkEnd w:id="12"/>
    </w:p>
    <w:p>
      <w:pPr>
        <w:pStyle w:val="813"/>
        <w:topLinePunct/>
        <w:spacing w:line="360" w:lineRule="auto"/>
        <w:ind w:firstLine="480"/>
        <w:rPr>
          <w:rStyle w:val="214"/>
          <w:rFonts w:hint="eastAsia" w:ascii="宋体" w:hAnsi="宋体" w:eastAsia="宋体" w:cs="宋体"/>
          <w:color w:val="auto"/>
          <w:sz w:val="24"/>
          <w:szCs w:val="24"/>
        </w:rPr>
      </w:pPr>
      <w:r>
        <w:rPr>
          <w:rFonts w:hint="eastAsia" w:ascii="宋体" w:hAnsi="宋体" w:cs="宋体"/>
          <w:color w:val="auto"/>
        </w:rPr>
        <w:t>2.1</w:t>
      </w:r>
      <w:r>
        <w:rPr>
          <w:rFonts w:hint="eastAsia" w:ascii="宋体" w:hAnsi="宋体" w:cs="宋体"/>
          <w:color w:val="auto"/>
          <w:lang w:val="en-US"/>
        </w:rPr>
        <w:t xml:space="preserve"> </w:t>
      </w:r>
      <w:r>
        <w:rPr>
          <w:rFonts w:hint="eastAsia" w:ascii="宋体" w:hAnsi="宋体" w:cs="宋体"/>
          <w:bCs/>
          <w:color w:val="auto"/>
        </w:rPr>
        <w:t>项目概况：</w:t>
      </w:r>
      <w:r>
        <w:rPr>
          <w:rStyle w:val="214"/>
          <w:rFonts w:hint="eastAsia" w:ascii="宋体" w:hAnsi="宋体" w:eastAsia="宋体" w:cs="宋体"/>
          <w:color w:val="auto"/>
          <w:sz w:val="24"/>
          <w:szCs w:val="24"/>
          <w:u w:val="single"/>
        </w:rPr>
        <w:t xml:space="preserve">         </w:t>
      </w:r>
      <w:r>
        <w:rPr>
          <w:rStyle w:val="214"/>
          <w:rFonts w:hint="eastAsia" w:ascii="宋体" w:hAnsi="宋体" w:eastAsia="宋体" w:cs="宋体"/>
          <w:color w:val="auto"/>
          <w:sz w:val="24"/>
          <w:szCs w:val="24"/>
        </w:rPr>
        <w:t>(说明本次招标项目的建设地点、规模、</w:t>
      </w:r>
      <w:r>
        <w:rPr>
          <w:rStyle w:val="214"/>
          <w:rFonts w:hint="eastAsia" w:ascii="宋体" w:hAnsi="宋体" w:eastAsia="宋体" w:cs="宋体"/>
          <w:color w:val="auto"/>
          <w:sz w:val="24"/>
          <w:szCs w:val="24"/>
          <w:lang w:val="en-US"/>
        </w:rPr>
        <w:t>最高投标限价</w:t>
      </w:r>
      <w:r>
        <w:rPr>
          <w:rStyle w:val="214"/>
          <w:rFonts w:hint="eastAsia" w:ascii="宋体" w:hAnsi="宋体" w:eastAsia="宋体" w:cs="宋体"/>
          <w:color w:val="auto"/>
          <w:sz w:val="24"/>
          <w:szCs w:val="24"/>
        </w:rPr>
        <w:t>等）。</w:t>
      </w:r>
    </w:p>
    <w:p>
      <w:pPr>
        <w:pStyle w:val="813"/>
        <w:topLinePunct/>
        <w:spacing w:line="360" w:lineRule="auto"/>
        <w:ind w:firstLine="480"/>
        <w:rPr>
          <w:rFonts w:ascii="宋体" w:hAnsi="宋体" w:cs="宋体"/>
          <w:color w:val="auto"/>
          <w:lang w:val="en-US"/>
        </w:rPr>
      </w:pPr>
      <w:r>
        <w:rPr>
          <w:rFonts w:hint="eastAsia" w:ascii="宋体" w:hAnsi="宋体" w:cs="宋体"/>
          <w:color w:val="auto"/>
          <w:lang w:val="en-US"/>
        </w:rPr>
        <w:t>2.2 勘察设计服务期限：</w:t>
      </w:r>
      <w:r>
        <w:rPr>
          <w:rFonts w:hint="eastAsia" w:ascii="宋体" w:hAnsi="宋体" w:cs="宋体"/>
          <w:color w:val="auto"/>
          <w:u w:val="single"/>
          <w:lang w:val="en-US"/>
        </w:rPr>
        <w:t xml:space="preserve">         </w:t>
      </w:r>
      <w:r>
        <w:rPr>
          <w:rFonts w:hint="eastAsia" w:ascii="宋体" w:hAnsi="宋体" w:cs="宋体"/>
          <w:color w:val="auto"/>
          <w:lang w:val="en-US"/>
        </w:rPr>
        <w:t>(说明勘察周期、设计周期）。</w:t>
      </w:r>
    </w:p>
    <w:p>
      <w:pPr>
        <w:topLinePunct/>
        <w:spacing w:line="360" w:lineRule="auto"/>
        <w:ind w:firstLine="480" w:firstLineChars="200"/>
        <w:rPr>
          <w:rFonts w:hint="eastAsia" w:ascii="宋体" w:hAnsi="宋体" w:cs="宋体"/>
          <w:bCs/>
          <w:color w:val="auto"/>
        </w:rPr>
      </w:pPr>
      <w:r>
        <w:rPr>
          <w:rFonts w:hint="eastAsia" w:ascii="宋体" w:hAnsi="宋体" w:cs="宋体"/>
          <w:bCs/>
          <w:color w:val="auto"/>
        </w:rPr>
        <w:t>2.</w:t>
      </w:r>
      <w:r>
        <w:rPr>
          <w:rFonts w:hint="eastAsia" w:ascii="宋体" w:hAnsi="宋体" w:cs="宋体"/>
          <w:bCs/>
          <w:color w:val="auto"/>
          <w:lang w:val="en-US"/>
        </w:rPr>
        <w:t>3 招标范围及</w:t>
      </w:r>
      <w:r>
        <w:rPr>
          <w:rFonts w:hint="eastAsia" w:ascii="宋体" w:hAnsi="宋体" w:cs="宋体"/>
          <w:bCs/>
          <w:color w:val="auto"/>
        </w:rPr>
        <w:t>标段划分</w:t>
      </w:r>
    </w:p>
    <w:p>
      <w:pPr>
        <w:topLinePunct/>
        <w:spacing w:line="360" w:lineRule="auto"/>
        <w:ind w:firstLine="360" w:firstLineChars="150"/>
        <w:rPr>
          <w:rFonts w:hint="eastAsia" w:ascii="宋体" w:hAnsi="宋体" w:cs="宋体"/>
          <w:color w:val="auto"/>
        </w:rPr>
      </w:pPr>
      <w:r>
        <w:rPr>
          <w:rFonts w:hint="eastAsia" w:ascii="宋体" w:hAnsi="宋体" w:cs="宋体"/>
          <w:bCs/>
          <w:color w:val="auto"/>
        </w:rPr>
        <w:t>本次招标共分</w:t>
      </w:r>
      <w:r>
        <w:rPr>
          <w:rFonts w:hint="eastAsia" w:ascii="宋体" w:hAnsi="宋体" w:cs="宋体"/>
          <w:bCs/>
          <w:color w:val="auto"/>
          <w:u w:val="single"/>
        </w:rPr>
        <w:t xml:space="preserve">   </w:t>
      </w:r>
      <w:r>
        <w:rPr>
          <w:rFonts w:hint="eastAsia" w:ascii="宋体" w:hAnsi="宋体" w:cs="宋体"/>
          <w:bCs/>
          <w:color w:val="auto"/>
        </w:rPr>
        <w:t>个标类</w:t>
      </w:r>
      <w:r>
        <w:rPr>
          <w:rFonts w:hint="eastAsia" w:ascii="宋体" w:hAnsi="宋体" w:cs="宋体"/>
          <w:bCs/>
          <w:color w:val="auto"/>
          <w:u w:val="single"/>
        </w:rPr>
        <w:t xml:space="preserve">   </w:t>
      </w:r>
      <w:r>
        <w:rPr>
          <w:rFonts w:hint="eastAsia" w:ascii="宋体" w:hAnsi="宋体" w:cs="宋体"/>
          <w:bCs/>
          <w:color w:val="auto"/>
        </w:rPr>
        <w:t>个标段。具体见附件1。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862"/>
        <w:gridCol w:w="1813"/>
        <w:gridCol w:w="2362"/>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bCs/>
                <w:color w:val="auto"/>
                <w:spacing w:val="-4"/>
              </w:rPr>
            </w:pPr>
            <w:r>
              <w:rPr>
                <w:rFonts w:hint="eastAsia" w:ascii="宋体" w:hAnsi="宋体"/>
                <w:bCs/>
                <w:color w:val="auto"/>
                <w:spacing w:val="-4"/>
              </w:rPr>
              <w:t>标段类别</w:t>
            </w:r>
          </w:p>
        </w:tc>
        <w:tc>
          <w:tcPr>
            <w:tcW w:w="862" w:type="dxa"/>
            <w:noWrap w:val="0"/>
            <w:vAlign w:val="center"/>
          </w:tcPr>
          <w:p>
            <w:pPr>
              <w:keepNext w:val="0"/>
              <w:keepLines w:val="0"/>
              <w:suppressLineNumbers w:val="0"/>
              <w:spacing w:before="0" w:beforeAutospacing="0" w:after="0" w:afterAutospacing="0"/>
              <w:ind w:left="0" w:right="0"/>
              <w:jc w:val="center"/>
              <w:rPr>
                <w:rFonts w:hint="default" w:ascii="宋体" w:hAnsi="宋体"/>
                <w:color w:val="auto"/>
              </w:rPr>
            </w:pPr>
            <w:r>
              <w:rPr>
                <w:rFonts w:hint="eastAsia" w:ascii="宋体" w:hAnsi="宋体"/>
                <w:color w:val="auto"/>
              </w:rPr>
              <w:t>标段</w:t>
            </w:r>
          </w:p>
        </w:tc>
        <w:tc>
          <w:tcPr>
            <w:tcW w:w="1813" w:type="dxa"/>
            <w:noWrap w:val="0"/>
            <w:vAlign w:val="center"/>
          </w:tcPr>
          <w:p>
            <w:pPr>
              <w:keepNext w:val="0"/>
              <w:keepLines w:val="0"/>
              <w:suppressLineNumbers w:val="0"/>
              <w:spacing w:before="0" w:beforeAutospacing="0" w:after="0" w:afterAutospacing="0"/>
              <w:ind w:left="0" w:right="0"/>
              <w:jc w:val="center"/>
              <w:rPr>
                <w:rFonts w:hint="default" w:ascii="宋体" w:hAnsi="宋体"/>
                <w:color w:val="auto"/>
              </w:rPr>
            </w:pPr>
            <w:r>
              <w:rPr>
                <w:rFonts w:hint="eastAsia" w:ascii="宋体" w:hAnsi="宋体"/>
                <w:color w:val="auto"/>
              </w:rPr>
              <w:t>主要工程项目</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pacing w:val="-4"/>
              </w:rPr>
            </w:pPr>
            <w:r>
              <w:rPr>
                <w:rFonts w:hint="eastAsia" w:ascii="宋体" w:hAnsi="宋体"/>
                <w:color w:val="auto"/>
                <w:spacing w:val="-4"/>
              </w:rPr>
              <w:t>对投标人资质要求</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pacing w:val="-4"/>
              </w:rPr>
            </w:pPr>
            <w:r>
              <w:rPr>
                <w:rFonts w:hint="eastAsia" w:ascii="宋体" w:hAnsi="宋体"/>
                <w:color w:val="auto"/>
                <w:spacing w:val="-4"/>
              </w:rPr>
              <w:t>备</w:t>
            </w:r>
            <w:r>
              <w:rPr>
                <w:rFonts w:hint="default" w:ascii="宋体" w:hAnsi="宋体"/>
                <w:color w:val="auto"/>
                <w:spacing w:val="-4"/>
              </w:rPr>
              <w:t xml:space="preserve">    </w:t>
            </w:r>
            <w:r>
              <w:rPr>
                <w:rFonts w:hint="eastAsia" w:ascii="宋体" w:hAnsi="宋体"/>
                <w:color w:val="auto"/>
                <w:spacing w:val="-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rPr>
              <w:t>A类</w:t>
            </w:r>
          </w:p>
          <w:p>
            <w:pPr>
              <w:keepNext w:val="0"/>
              <w:keepLines w:val="0"/>
              <w:suppressLineNumbers w:val="0"/>
              <w:snapToGrid w:val="0"/>
              <w:spacing w:before="0" w:beforeAutospacing="0" w:after="0" w:afterAutospacing="0"/>
              <w:ind w:left="0" w:right="0"/>
              <w:jc w:val="center"/>
              <w:rPr>
                <w:rFonts w:hint="default" w:ascii="宋体" w:hAnsi="宋体"/>
                <w:bCs/>
                <w:color w:val="auto"/>
                <w:spacing w:val="-4"/>
              </w:rPr>
            </w:pPr>
            <w:r>
              <w:rPr>
                <w:rFonts w:hint="eastAsia" w:ascii="宋体" w:hAnsi="宋体"/>
                <w:bCs/>
                <w:color w:val="auto"/>
                <w:spacing w:val="-4"/>
              </w:rPr>
              <w:t>（港口工程）</w:t>
            </w:r>
          </w:p>
        </w:tc>
        <w:tc>
          <w:tcPr>
            <w:tcW w:w="2675" w:type="dxa"/>
            <w:gridSpan w:val="2"/>
            <w:noWrap w:val="0"/>
            <w:vAlign w:val="center"/>
          </w:tcPr>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标段的划分及</w:t>
            </w:r>
            <w:r>
              <w:rPr>
                <w:rFonts w:hint="eastAsia" w:ascii="宋体" w:hAnsi="宋体"/>
                <w:color w:val="auto"/>
              </w:rPr>
              <w:t>主要工程项目情况</w:t>
            </w:r>
            <w:r>
              <w:rPr>
                <w:rFonts w:hint="eastAsia" w:ascii="宋体" w:hAnsi="宋体" w:cs="宋体"/>
                <w:color w:val="auto"/>
              </w:rPr>
              <w:t>详见附件</w:t>
            </w:r>
            <w:r>
              <w:rPr>
                <w:rFonts w:hint="default" w:ascii="宋体" w:hAnsi="宋体" w:cs="宋体"/>
                <w:color w:val="auto"/>
              </w:rPr>
              <w:t>1</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pacing w:val="-4"/>
              </w:rPr>
            </w:pPr>
            <w:r>
              <w:rPr>
                <w:rFonts w:hint="eastAsia" w:ascii="宋体" w:hAnsi="宋体"/>
                <w:color w:val="auto"/>
              </w:rPr>
              <w:t>资格审查条件附录</w:t>
            </w:r>
            <w:r>
              <w:rPr>
                <w:rFonts w:hint="default" w:ascii="宋体" w:hAnsi="宋体"/>
                <w:color w:val="auto"/>
                <w:u w:val="single"/>
              </w:rPr>
              <w:t>1</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rPr>
            </w:pPr>
            <w:r>
              <w:rPr>
                <w:rFonts w:hint="eastAsia" w:ascii="宋体" w:hAnsi="宋体"/>
                <w:color w:val="auto"/>
              </w:rPr>
              <w:t>资格审查条件附录</w:t>
            </w:r>
            <w:r>
              <w:rPr>
                <w:rFonts w:hint="default" w:ascii="宋体" w:hAnsi="宋体"/>
                <w:color w:val="auto"/>
                <w:u w:val="single"/>
              </w:rPr>
              <w:t>1</w:t>
            </w:r>
            <w:r>
              <w:rPr>
                <w:rFonts w:hint="eastAsia" w:ascii="宋体" w:hAnsi="宋体"/>
                <w:color w:val="auto"/>
              </w:rPr>
              <w:t>至附录</w:t>
            </w:r>
            <w:r>
              <w:rPr>
                <w:rFonts w:hint="eastAsia" w:ascii="宋体" w:hAnsi="宋体"/>
                <w:color w:val="auto"/>
                <w:u w:val="single"/>
                <w:lang w:val="en-US"/>
              </w:rPr>
              <w:t>6</w:t>
            </w:r>
            <w:r>
              <w:rPr>
                <w:rFonts w:hint="eastAsia" w:ascii="宋体" w:hAnsi="宋体" w:cs="宋体"/>
                <w:color w:val="auto"/>
              </w:rPr>
              <w:t>详见附件</w:t>
            </w:r>
            <w:r>
              <w:rPr>
                <w:rFonts w:hint="default" w:ascii="宋体" w:hAnsi="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rPr>
              <w:t>B类</w:t>
            </w:r>
          </w:p>
          <w:p>
            <w:pPr>
              <w:keepNext w:val="0"/>
              <w:keepLines w:val="0"/>
              <w:suppressLineNumbers w:val="0"/>
              <w:snapToGrid w:val="0"/>
              <w:spacing w:before="0" w:beforeAutospacing="0" w:after="0" w:afterAutospacing="0"/>
              <w:ind w:left="0" w:right="0"/>
              <w:jc w:val="center"/>
              <w:rPr>
                <w:rFonts w:hint="default" w:ascii="宋体" w:hAnsi="宋体"/>
                <w:bCs/>
                <w:color w:val="auto"/>
                <w:spacing w:val="-4"/>
              </w:rPr>
            </w:pPr>
            <w:r>
              <w:rPr>
                <w:rFonts w:hint="eastAsia" w:ascii="宋体" w:hAnsi="宋体"/>
                <w:bCs/>
                <w:color w:val="auto"/>
                <w:spacing w:val="-4"/>
              </w:rPr>
              <w:t>（</w:t>
            </w:r>
            <w:r>
              <w:rPr>
                <w:rFonts w:hint="eastAsia" w:ascii="宋体" w:hAnsi="宋体" w:cs="Times New Roman"/>
                <w:bCs/>
                <w:color w:val="auto"/>
                <w:spacing w:val="-4"/>
                <w:kern w:val="2"/>
                <w:lang w:val="en-US"/>
              </w:rPr>
              <w:t>航道工程</w:t>
            </w:r>
            <w:r>
              <w:rPr>
                <w:rFonts w:hint="eastAsia" w:ascii="宋体" w:hAnsi="宋体"/>
                <w:bCs/>
                <w:color w:val="auto"/>
                <w:spacing w:val="-4"/>
              </w:rPr>
              <w:t>）</w:t>
            </w:r>
          </w:p>
        </w:tc>
        <w:tc>
          <w:tcPr>
            <w:tcW w:w="2675" w:type="dxa"/>
            <w:gridSpan w:val="2"/>
            <w:noWrap w:val="0"/>
            <w:vAlign w:val="center"/>
          </w:tcPr>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标段的划分及</w:t>
            </w:r>
            <w:r>
              <w:rPr>
                <w:rFonts w:hint="eastAsia" w:ascii="宋体" w:hAnsi="宋体"/>
                <w:color w:val="auto"/>
              </w:rPr>
              <w:t>主要工程项目情况</w:t>
            </w:r>
            <w:r>
              <w:rPr>
                <w:rFonts w:hint="eastAsia" w:ascii="宋体" w:hAnsi="宋体" w:cs="宋体"/>
                <w:color w:val="auto"/>
              </w:rPr>
              <w:t>详见附件</w:t>
            </w:r>
            <w:r>
              <w:rPr>
                <w:rFonts w:hint="default" w:ascii="宋体" w:hAnsi="宋体" w:cs="宋体"/>
                <w:color w:val="auto"/>
              </w:rPr>
              <w:t>1</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pacing w:val="-4"/>
              </w:rPr>
            </w:pPr>
            <w:r>
              <w:rPr>
                <w:rFonts w:hint="eastAsia" w:ascii="宋体" w:hAnsi="宋体"/>
                <w:color w:val="auto"/>
              </w:rPr>
              <w:t>资格审查条件附录</w:t>
            </w:r>
            <w:r>
              <w:rPr>
                <w:rFonts w:hint="default" w:ascii="宋体" w:hAnsi="宋体"/>
                <w:color w:val="auto"/>
                <w:u w:val="single"/>
              </w:rPr>
              <w:t>1</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rPr>
            </w:pPr>
            <w:r>
              <w:rPr>
                <w:rFonts w:hint="eastAsia" w:ascii="宋体" w:hAnsi="宋体"/>
                <w:color w:val="auto"/>
              </w:rPr>
              <w:t>资格审查条件附录</w:t>
            </w:r>
            <w:r>
              <w:rPr>
                <w:rFonts w:hint="default" w:ascii="宋体" w:hAnsi="宋体"/>
                <w:color w:val="auto"/>
                <w:u w:val="single"/>
              </w:rPr>
              <w:t>1</w:t>
            </w:r>
            <w:r>
              <w:rPr>
                <w:rFonts w:hint="eastAsia" w:ascii="宋体" w:hAnsi="宋体"/>
                <w:color w:val="auto"/>
              </w:rPr>
              <w:t>至附录</w:t>
            </w:r>
            <w:r>
              <w:rPr>
                <w:rFonts w:hint="eastAsia" w:ascii="宋体" w:hAnsi="宋体"/>
                <w:color w:val="auto"/>
                <w:u w:val="single"/>
                <w:lang w:val="en-US"/>
              </w:rPr>
              <w:t>6</w:t>
            </w:r>
            <w:r>
              <w:rPr>
                <w:rFonts w:hint="eastAsia" w:ascii="宋体" w:hAnsi="宋体" w:cs="宋体"/>
                <w:color w:val="auto"/>
              </w:rPr>
              <w:t>详见附件</w:t>
            </w:r>
            <w:r>
              <w:rPr>
                <w:rFonts w:hint="default" w:ascii="宋体" w:hAnsi="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Times New Roman"/>
                <w:bCs/>
                <w:color w:val="auto"/>
                <w:spacing w:val="-4"/>
                <w:kern w:val="2"/>
                <w:lang w:val="en-US"/>
              </w:rPr>
            </w:pPr>
            <w:r>
              <w:rPr>
                <w:rFonts w:hint="eastAsia" w:ascii="宋体" w:hAnsi="宋体"/>
                <w:bCs/>
                <w:color w:val="auto"/>
                <w:spacing w:val="-4"/>
              </w:rPr>
              <w:t>C类（</w:t>
            </w:r>
            <w:r>
              <w:rPr>
                <w:rFonts w:hint="eastAsia" w:ascii="宋体" w:hAnsi="宋体" w:cs="Times New Roman"/>
                <w:bCs/>
                <w:color w:val="auto"/>
                <w:spacing w:val="-4"/>
                <w:kern w:val="2"/>
                <w:lang w:val="en-US"/>
              </w:rPr>
              <w:t>修造船厂水工工程</w:t>
            </w:r>
            <w:r>
              <w:rPr>
                <w:rFonts w:hint="eastAsia" w:ascii="宋体" w:hAnsi="宋体"/>
                <w:bCs/>
                <w:color w:val="auto"/>
                <w:spacing w:val="-4"/>
              </w:rPr>
              <w:t>）</w:t>
            </w:r>
          </w:p>
        </w:tc>
        <w:tc>
          <w:tcPr>
            <w:tcW w:w="2675"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标段的划分及</w:t>
            </w:r>
            <w:r>
              <w:rPr>
                <w:rFonts w:hint="eastAsia" w:ascii="宋体" w:hAnsi="宋体"/>
                <w:color w:val="auto"/>
              </w:rPr>
              <w:t>主要工程项目情况</w:t>
            </w:r>
            <w:r>
              <w:rPr>
                <w:rFonts w:hint="eastAsia" w:ascii="宋体" w:hAnsi="宋体" w:cs="宋体"/>
                <w:color w:val="auto"/>
              </w:rPr>
              <w:t>详见附件</w:t>
            </w:r>
            <w:r>
              <w:rPr>
                <w:rFonts w:hint="default" w:ascii="宋体" w:hAnsi="宋体" w:cs="宋体"/>
                <w:color w:val="auto"/>
              </w:rPr>
              <w:t>1</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rPr>
            </w:pPr>
            <w:r>
              <w:rPr>
                <w:rFonts w:hint="eastAsia" w:ascii="宋体" w:hAnsi="宋体"/>
                <w:color w:val="auto"/>
              </w:rPr>
              <w:t>资格审查条件附录</w:t>
            </w:r>
            <w:r>
              <w:rPr>
                <w:rFonts w:hint="default" w:ascii="宋体" w:hAnsi="宋体"/>
                <w:color w:val="auto"/>
                <w:u w:val="single"/>
              </w:rPr>
              <w:t>1</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rPr>
            </w:pPr>
            <w:r>
              <w:rPr>
                <w:rFonts w:hint="eastAsia" w:ascii="宋体" w:hAnsi="宋体"/>
                <w:color w:val="auto"/>
              </w:rPr>
              <w:t>资格审查条件附录</w:t>
            </w:r>
            <w:r>
              <w:rPr>
                <w:rFonts w:hint="default" w:ascii="宋体" w:hAnsi="宋体"/>
                <w:color w:val="auto"/>
                <w:u w:val="single"/>
              </w:rPr>
              <w:t>1</w:t>
            </w:r>
            <w:r>
              <w:rPr>
                <w:rFonts w:hint="eastAsia" w:ascii="宋体" w:hAnsi="宋体"/>
                <w:color w:val="auto"/>
              </w:rPr>
              <w:t>至附录</w:t>
            </w:r>
            <w:r>
              <w:rPr>
                <w:rFonts w:hint="eastAsia" w:ascii="宋体" w:hAnsi="宋体"/>
                <w:color w:val="auto"/>
                <w:u w:val="single"/>
                <w:lang w:val="en-US"/>
              </w:rPr>
              <w:t>6</w:t>
            </w:r>
            <w:r>
              <w:rPr>
                <w:rFonts w:hint="eastAsia" w:ascii="宋体" w:hAnsi="宋体" w:cs="宋体"/>
                <w:color w:val="auto"/>
              </w:rPr>
              <w:t>详见附件</w:t>
            </w:r>
            <w:r>
              <w:rPr>
                <w:rFonts w:hint="default" w:ascii="宋体" w:hAnsi="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rPr>
              <w:t>D类</w:t>
            </w:r>
          </w:p>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rPr>
              <w:t>（</w:t>
            </w:r>
            <w:r>
              <w:rPr>
                <w:rFonts w:hint="eastAsia" w:ascii="宋体" w:hAnsi="宋体" w:cs="Times New Roman"/>
                <w:bCs/>
                <w:color w:val="auto"/>
                <w:spacing w:val="-4"/>
                <w:kern w:val="2"/>
                <w:lang w:val="en-US"/>
              </w:rPr>
              <w:t>通航建筑工程</w:t>
            </w:r>
            <w:r>
              <w:rPr>
                <w:rFonts w:hint="eastAsia" w:ascii="宋体" w:hAnsi="宋体"/>
                <w:bCs/>
                <w:color w:val="auto"/>
                <w:spacing w:val="-4"/>
              </w:rPr>
              <w:t>）</w:t>
            </w:r>
          </w:p>
        </w:tc>
        <w:tc>
          <w:tcPr>
            <w:tcW w:w="2675"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标段的划分及</w:t>
            </w:r>
            <w:r>
              <w:rPr>
                <w:rFonts w:hint="eastAsia" w:ascii="宋体" w:hAnsi="宋体"/>
                <w:color w:val="auto"/>
              </w:rPr>
              <w:t>主要工程项目情况</w:t>
            </w:r>
            <w:r>
              <w:rPr>
                <w:rFonts w:hint="eastAsia" w:ascii="宋体" w:hAnsi="宋体" w:cs="宋体"/>
                <w:color w:val="auto"/>
              </w:rPr>
              <w:t>详见附件</w:t>
            </w:r>
            <w:r>
              <w:rPr>
                <w:rFonts w:hint="default" w:ascii="宋体" w:hAnsi="宋体" w:cs="宋体"/>
                <w:color w:val="auto"/>
              </w:rPr>
              <w:t>1</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rPr>
            </w:pPr>
            <w:r>
              <w:rPr>
                <w:rFonts w:hint="eastAsia" w:ascii="宋体" w:hAnsi="宋体"/>
                <w:color w:val="auto"/>
              </w:rPr>
              <w:t>资格审查条件附录</w:t>
            </w:r>
            <w:r>
              <w:rPr>
                <w:rFonts w:hint="default" w:ascii="宋体" w:hAnsi="宋体"/>
                <w:color w:val="auto"/>
                <w:u w:val="single"/>
              </w:rPr>
              <w:t>1</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rPr>
            </w:pPr>
            <w:r>
              <w:rPr>
                <w:rFonts w:hint="eastAsia" w:ascii="宋体" w:hAnsi="宋体"/>
                <w:color w:val="auto"/>
              </w:rPr>
              <w:t>资格审查条件附录</w:t>
            </w:r>
            <w:r>
              <w:rPr>
                <w:rFonts w:hint="default" w:ascii="宋体" w:hAnsi="宋体"/>
                <w:color w:val="auto"/>
                <w:u w:val="single"/>
              </w:rPr>
              <w:t>1</w:t>
            </w:r>
            <w:r>
              <w:rPr>
                <w:rFonts w:hint="eastAsia" w:ascii="宋体" w:hAnsi="宋体"/>
                <w:color w:val="auto"/>
              </w:rPr>
              <w:t>至附录</w:t>
            </w:r>
            <w:r>
              <w:rPr>
                <w:rFonts w:hint="eastAsia" w:ascii="宋体" w:hAnsi="宋体"/>
                <w:color w:val="auto"/>
                <w:u w:val="single"/>
                <w:lang w:val="en-US"/>
              </w:rPr>
              <w:t>6</w:t>
            </w:r>
            <w:r>
              <w:rPr>
                <w:rFonts w:hint="eastAsia" w:ascii="宋体" w:hAnsi="宋体" w:cs="宋体"/>
                <w:color w:val="auto"/>
              </w:rPr>
              <w:t>详见附件</w:t>
            </w:r>
            <w:r>
              <w:rPr>
                <w:rFonts w:hint="default" w:ascii="宋体" w:hAnsi="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lang w:val="en-US"/>
              </w:rPr>
              <w:t>E</w:t>
            </w:r>
            <w:r>
              <w:rPr>
                <w:rFonts w:hint="eastAsia" w:ascii="宋体" w:hAnsi="宋体"/>
                <w:bCs/>
                <w:color w:val="auto"/>
                <w:spacing w:val="-4"/>
              </w:rPr>
              <w:t>类</w:t>
            </w:r>
          </w:p>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rPr>
              <w:t>（</w:t>
            </w:r>
            <w:r>
              <w:rPr>
                <w:rFonts w:hint="eastAsia" w:ascii="宋体" w:hAnsi="宋体" w:cs="Times New Roman"/>
                <w:bCs/>
                <w:color w:val="auto"/>
                <w:spacing w:val="-4"/>
                <w:kern w:val="2"/>
                <w:lang w:val="en-US"/>
              </w:rPr>
              <w:t>水上交通管制工程</w:t>
            </w:r>
            <w:r>
              <w:rPr>
                <w:rFonts w:hint="eastAsia" w:ascii="宋体" w:hAnsi="宋体"/>
                <w:bCs/>
                <w:color w:val="auto"/>
                <w:spacing w:val="-4"/>
              </w:rPr>
              <w:t>）</w:t>
            </w:r>
          </w:p>
        </w:tc>
        <w:tc>
          <w:tcPr>
            <w:tcW w:w="2675"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标段的划分及</w:t>
            </w:r>
            <w:r>
              <w:rPr>
                <w:rFonts w:hint="eastAsia" w:ascii="宋体" w:hAnsi="宋体"/>
                <w:color w:val="auto"/>
              </w:rPr>
              <w:t>主要工程项目情况</w:t>
            </w:r>
            <w:r>
              <w:rPr>
                <w:rFonts w:hint="eastAsia" w:ascii="宋体" w:hAnsi="宋体" w:cs="宋体"/>
                <w:color w:val="auto"/>
              </w:rPr>
              <w:t>详见附件</w:t>
            </w:r>
            <w:r>
              <w:rPr>
                <w:rFonts w:hint="default" w:ascii="宋体" w:hAnsi="宋体" w:cs="宋体"/>
                <w:color w:val="auto"/>
              </w:rPr>
              <w:t>1</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rPr>
            </w:pPr>
            <w:r>
              <w:rPr>
                <w:rFonts w:hint="eastAsia" w:ascii="宋体" w:hAnsi="宋体"/>
                <w:color w:val="auto"/>
              </w:rPr>
              <w:t>资格审查条件附录</w:t>
            </w:r>
            <w:r>
              <w:rPr>
                <w:rFonts w:hint="default" w:ascii="宋体" w:hAnsi="宋体"/>
                <w:color w:val="auto"/>
                <w:u w:val="single"/>
              </w:rPr>
              <w:t>1</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rPr>
            </w:pPr>
            <w:r>
              <w:rPr>
                <w:rFonts w:hint="eastAsia" w:ascii="宋体" w:hAnsi="宋体"/>
                <w:color w:val="auto"/>
              </w:rPr>
              <w:t>资格审查条件附录</w:t>
            </w:r>
            <w:r>
              <w:rPr>
                <w:rFonts w:hint="default" w:ascii="宋体" w:hAnsi="宋体"/>
                <w:color w:val="auto"/>
                <w:u w:val="single"/>
              </w:rPr>
              <w:t>1</w:t>
            </w:r>
            <w:r>
              <w:rPr>
                <w:rFonts w:hint="eastAsia" w:ascii="宋体" w:hAnsi="宋体"/>
                <w:color w:val="auto"/>
              </w:rPr>
              <w:t>至附录</w:t>
            </w:r>
            <w:r>
              <w:rPr>
                <w:rFonts w:hint="eastAsia" w:ascii="宋体" w:hAnsi="宋体"/>
                <w:color w:val="auto"/>
                <w:u w:val="single"/>
                <w:lang w:val="en-US"/>
              </w:rPr>
              <w:t>6</w:t>
            </w:r>
            <w:r>
              <w:rPr>
                <w:rFonts w:hint="eastAsia" w:ascii="宋体" w:hAnsi="宋体" w:cs="宋体"/>
                <w:color w:val="auto"/>
              </w:rPr>
              <w:t>详见附件</w:t>
            </w:r>
            <w:r>
              <w:rPr>
                <w:rFonts w:hint="default" w:ascii="宋体" w:hAnsi="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173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bCs/>
                <w:color w:val="auto"/>
                <w:spacing w:val="-4"/>
              </w:rPr>
            </w:pPr>
            <w:r>
              <w:rPr>
                <w:rFonts w:hint="eastAsia" w:ascii="宋体" w:hAnsi="宋体"/>
                <w:bCs/>
                <w:color w:val="auto"/>
                <w:spacing w:val="-4"/>
                <w:lang w:val="en-US"/>
              </w:rPr>
              <w:t>F</w:t>
            </w:r>
            <w:r>
              <w:rPr>
                <w:rFonts w:hint="eastAsia" w:ascii="宋体" w:hAnsi="宋体"/>
                <w:bCs/>
                <w:color w:val="auto"/>
                <w:spacing w:val="-4"/>
              </w:rPr>
              <w:t>类</w:t>
            </w:r>
          </w:p>
          <w:p>
            <w:pPr>
              <w:keepNext w:val="0"/>
              <w:keepLines w:val="0"/>
              <w:suppressLineNumbers w:val="0"/>
              <w:snapToGrid w:val="0"/>
              <w:spacing w:before="0" w:beforeAutospacing="0" w:after="0" w:afterAutospacing="0"/>
              <w:ind w:left="0" w:right="0"/>
              <w:jc w:val="center"/>
              <w:rPr>
                <w:rFonts w:hint="default" w:ascii="宋体" w:hAnsi="宋体"/>
                <w:bCs/>
                <w:color w:val="auto"/>
                <w:spacing w:val="-4"/>
              </w:rPr>
            </w:pPr>
            <w:r>
              <w:rPr>
                <w:rFonts w:hint="eastAsia" w:ascii="宋体" w:hAnsi="宋体"/>
                <w:bCs/>
                <w:color w:val="auto"/>
                <w:spacing w:val="-4"/>
              </w:rPr>
              <w:t>（</w:t>
            </w:r>
            <w:r>
              <w:rPr>
                <w:rFonts w:hint="eastAsia" w:ascii="宋体" w:hAnsi="宋体" w:cs="Times New Roman"/>
                <w:bCs/>
                <w:color w:val="auto"/>
                <w:spacing w:val="-4"/>
                <w:kern w:val="2"/>
                <w:lang w:val="en-US"/>
              </w:rPr>
              <w:t>港口装卸工艺</w:t>
            </w:r>
            <w:r>
              <w:rPr>
                <w:rFonts w:hint="eastAsia" w:ascii="宋体" w:hAnsi="宋体"/>
                <w:bCs/>
                <w:color w:val="auto"/>
                <w:spacing w:val="-4"/>
              </w:rPr>
              <w:t>）</w:t>
            </w:r>
          </w:p>
        </w:tc>
        <w:tc>
          <w:tcPr>
            <w:tcW w:w="2675" w:type="dxa"/>
            <w:gridSpan w:val="2"/>
            <w:noWrap w:val="0"/>
            <w:vAlign w:val="center"/>
          </w:tcPr>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标段的划分及</w:t>
            </w:r>
            <w:r>
              <w:rPr>
                <w:rFonts w:hint="eastAsia" w:ascii="宋体" w:hAnsi="宋体"/>
                <w:color w:val="auto"/>
              </w:rPr>
              <w:t>主要工程项目情况</w:t>
            </w:r>
            <w:r>
              <w:rPr>
                <w:rFonts w:hint="eastAsia" w:ascii="宋体" w:hAnsi="宋体" w:cs="宋体"/>
                <w:color w:val="auto"/>
              </w:rPr>
              <w:t>详见附件</w:t>
            </w:r>
            <w:r>
              <w:rPr>
                <w:rFonts w:hint="default" w:ascii="宋体" w:hAnsi="宋体" w:cs="宋体"/>
                <w:color w:val="auto"/>
              </w:rPr>
              <w:t>1</w:t>
            </w:r>
          </w:p>
        </w:tc>
        <w:tc>
          <w:tcPr>
            <w:tcW w:w="236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pacing w:val="-4"/>
              </w:rPr>
            </w:pPr>
            <w:r>
              <w:rPr>
                <w:rFonts w:hint="eastAsia" w:ascii="宋体" w:hAnsi="宋体"/>
                <w:color w:val="auto"/>
              </w:rPr>
              <w:t>资格审查条件附录</w:t>
            </w:r>
            <w:r>
              <w:rPr>
                <w:rFonts w:hint="default" w:ascii="宋体" w:hAnsi="宋体"/>
                <w:color w:val="auto"/>
                <w:u w:val="single"/>
              </w:rPr>
              <w:t>1</w:t>
            </w:r>
          </w:p>
        </w:tc>
        <w:tc>
          <w:tcPr>
            <w:tcW w:w="2413"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olor w:val="auto"/>
                <w:spacing w:val="-4"/>
              </w:rPr>
            </w:pPr>
            <w:r>
              <w:rPr>
                <w:rFonts w:hint="eastAsia" w:ascii="宋体" w:hAnsi="宋体"/>
                <w:color w:val="auto"/>
              </w:rPr>
              <w:t>资格审查条件附录</w:t>
            </w:r>
            <w:r>
              <w:rPr>
                <w:rFonts w:hint="default" w:ascii="宋体" w:hAnsi="宋体"/>
                <w:color w:val="auto"/>
                <w:u w:val="single"/>
              </w:rPr>
              <w:t>1</w:t>
            </w:r>
            <w:r>
              <w:rPr>
                <w:rFonts w:hint="eastAsia" w:ascii="宋体" w:hAnsi="宋体"/>
                <w:color w:val="auto"/>
              </w:rPr>
              <w:t>至附录</w:t>
            </w:r>
            <w:r>
              <w:rPr>
                <w:rFonts w:hint="eastAsia" w:ascii="宋体" w:hAnsi="宋体"/>
                <w:color w:val="auto"/>
                <w:u w:val="single"/>
                <w:lang w:val="en-US"/>
              </w:rPr>
              <w:t>6</w:t>
            </w:r>
            <w:r>
              <w:rPr>
                <w:rFonts w:hint="eastAsia" w:ascii="宋体" w:hAnsi="宋体" w:cs="宋体"/>
                <w:color w:val="auto"/>
              </w:rPr>
              <w:t>详见附件</w:t>
            </w:r>
            <w:r>
              <w:rPr>
                <w:rFonts w:hint="default" w:ascii="宋体" w:hAnsi="宋体" w:cs="宋体"/>
                <w:color w:val="auto"/>
              </w:rPr>
              <w:t>2</w:t>
            </w:r>
          </w:p>
        </w:tc>
      </w:tr>
    </w:tbl>
    <w:p>
      <w:pPr>
        <w:topLinePunct/>
        <w:spacing w:line="360" w:lineRule="auto"/>
        <w:rPr>
          <w:rFonts w:hint="eastAsia" w:ascii="宋体" w:hAnsi="宋体"/>
          <w:color w:val="auto"/>
          <w:sz w:val="18"/>
          <w:szCs w:val="18"/>
        </w:rPr>
      </w:pPr>
    </w:p>
    <w:p>
      <w:pPr>
        <w:pStyle w:val="84"/>
        <w:snapToGrid w:val="0"/>
        <w:spacing w:line="360" w:lineRule="auto"/>
        <w:jc w:val="left"/>
        <w:outlineLvl w:val="1"/>
        <w:rPr>
          <w:rFonts w:hint="eastAsia" w:ascii="宋体" w:hAnsi="宋体"/>
          <w:sz w:val="24"/>
          <w:szCs w:val="24"/>
        </w:rPr>
      </w:pPr>
      <w:bookmarkStart w:id="13" w:name="bookmark10"/>
      <w:r>
        <w:rPr>
          <w:rFonts w:hint="eastAsia" w:ascii="宋体" w:hAnsi="宋体"/>
          <w:sz w:val="24"/>
          <w:szCs w:val="24"/>
        </w:rPr>
        <w:t>3.投标人资格要求</w:t>
      </w:r>
      <w:bookmarkEnd w:id="13"/>
    </w:p>
    <w:p>
      <w:pPr>
        <w:pStyle w:val="215"/>
        <w:shd w:val="clear" w:color="auto" w:fill="auto"/>
        <w:tabs>
          <w:tab w:val="left" w:leader="underscore" w:pos="4604"/>
          <w:tab w:val="left" w:leader="underscore" w:pos="6334"/>
        </w:tabs>
        <w:spacing w:before="0" w:line="360" w:lineRule="auto"/>
        <w:ind w:firstLine="480" w:firstLineChars="200"/>
        <w:jc w:val="left"/>
        <w:rPr>
          <w:rFonts w:hint="eastAsia" w:ascii="宋体" w:hAnsi="宋体" w:eastAsia="宋体" w:cs="宋体"/>
          <w:spacing w:val="0"/>
          <w:sz w:val="24"/>
          <w:szCs w:val="24"/>
        </w:rPr>
      </w:pPr>
      <w:r>
        <w:rPr>
          <w:rStyle w:val="214"/>
          <w:rFonts w:hint="eastAsia" w:ascii="宋体" w:hAnsi="宋体" w:eastAsia="宋体" w:cs="宋体"/>
          <w:spacing w:val="0"/>
          <w:sz w:val="24"/>
          <w:szCs w:val="24"/>
        </w:rPr>
        <w:t>3.1本次招标要求投标人须具备</w:t>
      </w:r>
      <w:r>
        <w:rPr>
          <w:rFonts w:hint="eastAsia" w:ascii="宋体" w:hAnsi="宋体" w:eastAsia="宋体" w:cs="宋体"/>
          <w:spacing w:val="0"/>
          <w:sz w:val="24"/>
          <w:szCs w:val="24"/>
          <w:u w:val="single"/>
        </w:rPr>
        <w:t>上述第2.</w:t>
      </w:r>
      <w:r>
        <w:rPr>
          <w:rFonts w:hint="eastAsia" w:ascii="宋体" w:hAnsi="宋体" w:eastAsia="宋体" w:cs="宋体"/>
          <w:spacing w:val="0"/>
          <w:sz w:val="24"/>
          <w:szCs w:val="24"/>
          <w:u w:val="single"/>
          <w:lang w:val="en-US" w:eastAsia="zh-CN"/>
        </w:rPr>
        <w:t>3</w:t>
      </w:r>
      <w:r>
        <w:rPr>
          <w:rFonts w:hint="eastAsia" w:ascii="宋体" w:hAnsi="宋体" w:eastAsia="宋体" w:cs="宋体"/>
          <w:spacing w:val="0"/>
          <w:sz w:val="24"/>
          <w:szCs w:val="24"/>
          <w:u w:val="single"/>
        </w:rPr>
        <w:t>款表中所列相应</w:t>
      </w:r>
      <w:r>
        <w:rPr>
          <w:rStyle w:val="214"/>
          <w:rFonts w:hint="eastAsia" w:ascii="宋体" w:hAnsi="宋体" w:eastAsia="宋体" w:cs="宋体"/>
          <w:spacing w:val="0"/>
          <w:sz w:val="24"/>
          <w:szCs w:val="24"/>
        </w:rPr>
        <w:t>资质、业绩，并在</w:t>
      </w:r>
      <w:r>
        <w:rPr>
          <w:rStyle w:val="214"/>
          <w:rFonts w:hint="eastAsia" w:ascii="宋体" w:hAnsi="宋体" w:eastAsia="宋体" w:cs="宋体"/>
          <w:spacing w:val="0"/>
          <w:sz w:val="24"/>
          <w:szCs w:val="24"/>
          <w:u w:val="single"/>
        </w:rPr>
        <w:t>人员</w:t>
      </w:r>
      <w:r>
        <w:rPr>
          <w:rStyle w:val="214"/>
          <w:rFonts w:hint="eastAsia" w:ascii="宋体" w:hAnsi="宋体" w:eastAsia="宋体" w:cs="宋体"/>
          <w:spacing w:val="0"/>
          <w:sz w:val="24"/>
          <w:szCs w:val="24"/>
        </w:rPr>
        <w:t>等方面具有相应的</w:t>
      </w:r>
      <w:r>
        <w:rPr>
          <w:rFonts w:hint="eastAsia" w:ascii="宋体" w:hAnsi="宋体" w:eastAsia="宋体" w:cs="宋体"/>
          <w:spacing w:val="0"/>
          <w:sz w:val="24"/>
          <w:szCs w:val="24"/>
          <w:u w:val="single"/>
          <w:lang w:eastAsia="zh-CN"/>
        </w:rPr>
        <w:t>（</w:t>
      </w:r>
      <w:r>
        <w:rPr>
          <w:rFonts w:hint="eastAsia" w:ascii="宋体" w:hAnsi="宋体" w:eastAsia="宋体" w:cs="宋体"/>
          <w:spacing w:val="0"/>
          <w:sz w:val="24"/>
          <w:szCs w:val="24"/>
          <w:u w:val="single"/>
          <w:lang w:val="en-US" w:eastAsia="zh-CN"/>
        </w:rPr>
        <w:t>勘察、设计或勘察设计</w:t>
      </w:r>
      <w:r>
        <w:rPr>
          <w:rFonts w:hint="eastAsia" w:ascii="宋体" w:hAnsi="宋体" w:eastAsia="宋体" w:cs="宋体"/>
          <w:spacing w:val="0"/>
          <w:sz w:val="24"/>
          <w:szCs w:val="24"/>
          <w:u w:val="single"/>
          <w:lang w:eastAsia="zh-CN"/>
        </w:rPr>
        <w:t>）</w:t>
      </w:r>
      <w:r>
        <w:rPr>
          <w:rStyle w:val="214"/>
          <w:rFonts w:hint="eastAsia" w:ascii="宋体" w:hAnsi="宋体" w:eastAsia="宋体" w:cs="宋体"/>
          <w:spacing w:val="0"/>
          <w:sz w:val="24"/>
          <w:szCs w:val="24"/>
        </w:rPr>
        <w:t>能力。</w:t>
      </w:r>
    </w:p>
    <w:p>
      <w:pPr>
        <w:pStyle w:val="215"/>
        <w:shd w:val="clear" w:color="auto" w:fill="auto"/>
        <w:tabs>
          <w:tab w:val="left" w:leader="underscore" w:pos="2781"/>
        </w:tabs>
        <w:spacing w:before="0" w:line="360" w:lineRule="auto"/>
        <w:ind w:firstLine="480" w:firstLineChars="200"/>
        <w:jc w:val="left"/>
        <w:rPr>
          <w:rStyle w:val="214"/>
          <w:rFonts w:hint="eastAsia" w:ascii="宋体" w:hAnsi="宋体" w:eastAsia="宋体" w:cs="宋体"/>
          <w:spacing w:val="0"/>
          <w:sz w:val="24"/>
          <w:szCs w:val="24"/>
          <w:vertAlign w:val="subscript"/>
        </w:rPr>
      </w:pPr>
      <w:r>
        <w:rPr>
          <w:rStyle w:val="214"/>
          <w:rFonts w:hint="eastAsia" w:ascii="宋体" w:hAnsi="宋体" w:eastAsia="宋体" w:cs="宋体"/>
          <w:spacing w:val="0"/>
          <w:sz w:val="24"/>
          <w:szCs w:val="24"/>
        </w:rPr>
        <w:t>3.2</w:t>
      </w:r>
      <w:r>
        <w:rPr>
          <w:rStyle w:val="101"/>
          <w:rFonts w:ascii="宋体" w:hAnsi="宋体" w:eastAsia="宋体"/>
          <w:spacing w:val="0"/>
          <w:sz w:val="30"/>
          <w:szCs w:val="24"/>
          <w:lang w:val="en-US"/>
        </w:rPr>
        <w:footnoteReference w:id="2"/>
      </w:r>
      <w:r>
        <w:rPr>
          <w:rStyle w:val="214"/>
          <w:rFonts w:hint="eastAsia" w:ascii="宋体" w:hAnsi="宋体" w:eastAsia="宋体" w:cs="宋体"/>
          <w:spacing w:val="0"/>
          <w:sz w:val="24"/>
          <w:szCs w:val="24"/>
        </w:rPr>
        <w:t>本次招标</w:t>
      </w:r>
      <w:r>
        <w:rPr>
          <w:rFonts w:hint="eastAsia" w:ascii="宋体" w:hAnsi="宋体" w:cs="宋体"/>
          <w:spacing w:val="0"/>
          <w:kern w:val="2"/>
          <w:sz w:val="24"/>
          <w:szCs w:val="24"/>
          <w:u w:val="single"/>
          <w:lang w:val="en-US"/>
        </w:rPr>
        <w:t xml:space="preserve">     </w:t>
      </w:r>
      <w:r>
        <w:rPr>
          <w:rStyle w:val="214"/>
          <w:rFonts w:hint="eastAsia" w:ascii="宋体" w:hAnsi="宋体" w:eastAsia="宋体" w:cs="宋体"/>
          <w:spacing w:val="0"/>
          <w:sz w:val="24"/>
          <w:szCs w:val="24"/>
        </w:rPr>
        <w:t xml:space="preserve"> (接受或不接受）联合体投标。联合体投标的，应满足下列要求</w:t>
      </w:r>
      <w:r>
        <w:rPr>
          <w:rStyle w:val="214"/>
          <w:rFonts w:hint="eastAsia" w:ascii="宋体" w:hAnsi="宋体" w:eastAsia="宋体" w:cs="宋体"/>
          <w:spacing w:val="0"/>
          <w:sz w:val="24"/>
          <w:szCs w:val="24"/>
          <w:lang w:val="en-US"/>
        </w:rPr>
        <w:t>:</w:t>
      </w:r>
    </w:p>
    <w:p>
      <w:pPr>
        <w:tabs>
          <w:tab w:val="left" w:pos="1014"/>
        </w:tabs>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w:t>
      </w:r>
      <w:r>
        <w:rPr>
          <w:rFonts w:hint="eastAsia" w:ascii="宋体" w:hAnsi="宋体" w:cs="宋体"/>
          <w:color w:val="auto"/>
          <w:kern w:val="2"/>
          <w:lang w:val="en-US"/>
        </w:rPr>
        <w:t>1</w:t>
      </w:r>
      <w:r>
        <w:rPr>
          <w:rFonts w:hint="eastAsia" w:ascii="宋体" w:hAnsi="宋体" w:cs="宋体"/>
          <w:color w:val="auto"/>
          <w:kern w:val="2"/>
        </w:rPr>
        <w:t>）联合体各方应按招标文件提供的格式签订联合体协议书，明确联合体牵头人和各方权利义务，并承诺就中标项目向招标人承担连带责任；</w:t>
      </w:r>
    </w:p>
    <w:p>
      <w:pPr>
        <w:tabs>
          <w:tab w:val="left" w:pos="1014"/>
        </w:tabs>
        <w:spacing w:line="360" w:lineRule="auto"/>
        <w:ind w:firstLine="480" w:firstLineChars="200"/>
        <w:jc w:val="both"/>
        <w:rPr>
          <w:rFonts w:hint="eastAsia" w:ascii="宋体" w:hAnsi="宋体" w:cs="宋体"/>
          <w:color w:val="auto"/>
          <w:kern w:val="2"/>
          <w:lang w:val="en-US"/>
        </w:rPr>
      </w:pPr>
      <w:r>
        <w:rPr>
          <w:rFonts w:hint="eastAsia" w:ascii="宋体" w:hAnsi="宋体" w:cs="宋体"/>
          <w:color w:val="auto"/>
        </w:rPr>
        <w:t>（</w:t>
      </w:r>
      <w:r>
        <w:rPr>
          <w:rFonts w:hint="eastAsia" w:ascii="宋体" w:hAnsi="宋体" w:cs="宋体"/>
          <w:color w:val="auto"/>
          <w:lang w:val="en-US"/>
        </w:rPr>
        <w:t>2</w:t>
      </w:r>
      <w:r>
        <w:rPr>
          <w:rFonts w:hint="eastAsia" w:ascii="宋体" w:hAnsi="宋体" w:cs="宋体"/>
          <w:color w:val="auto"/>
        </w:rPr>
        <w:t>）</w:t>
      </w:r>
      <w:r>
        <w:rPr>
          <w:rFonts w:ascii="宋体" w:hAnsi="宋体" w:cs="宋体"/>
          <w:color w:val="auto"/>
          <w:kern w:val="2"/>
        </w:rPr>
        <w:t>由同一专业的单位组成的联合体</w:t>
      </w:r>
      <w:r>
        <w:rPr>
          <w:rFonts w:hint="eastAsia" w:ascii="宋体" w:hAnsi="宋体" w:cs="宋体"/>
          <w:color w:val="auto"/>
          <w:kern w:val="2"/>
        </w:rPr>
        <w:t>，按照资质等级较低的单位确定资质等级；</w:t>
      </w:r>
      <w:r>
        <w:rPr>
          <w:rStyle w:val="101"/>
          <w:rFonts w:ascii="宋体" w:hAnsi="宋体" w:cs="Times New Roman"/>
          <w:color w:val="auto"/>
          <w:sz w:val="30"/>
          <w:lang w:val="en-US"/>
        </w:rPr>
        <w:footnoteReference w:id="3"/>
      </w:r>
    </w:p>
    <w:p>
      <w:pPr>
        <w:tabs>
          <w:tab w:val="left" w:pos="540"/>
          <w:tab w:val="left" w:pos="720"/>
        </w:tabs>
        <w:spacing w:line="360" w:lineRule="auto"/>
        <w:ind w:firstLine="480" w:firstLineChars="200"/>
        <w:rPr>
          <w:rFonts w:hint="eastAsia" w:ascii="宋体" w:hAnsi="宋体" w:cs="宋体"/>
          <w:color w:val="auto"/>
          <w:kern w:val="2"/>
        </w:rPr>
      </w:pPr>
      <w:r>
        <w:rPr>
          <w:rFonts w:hint="eastAsia" w:ascii="宋体" w:hAnsi="宋体" w:cs="宋体"/>
          <w:color w:val="auto"/>
        </w:rPr>
        <w:t>（</w:t>
      </w:r>
      <w:r>
        <w:rPr>
          <w:rFonts w:hint="eastAsia" w:ascii="宋体" w:hAnsi="宋体" w:cs="宋体"/>
          <w:color w:val="auto"/>
          <w:lang w:val="en-US"/>
        </w:rPr>
        <w:t>3</w:t>
      </w:r>
      <w:r>
        <w:rPr>
          <w:rFonts w:hint="eastAsia" w:ascii="宋体" w:hAnsi="宋体" w:cs="宋体"/>
          <w:color w:val="auto"/>
        </w:rPr>
        <w:t>）</w:t>
      </w:r>
      <w:r>
        <w:rPr>
          <w:rFonts w:hint="eastAsia" w:ascii="宋体" w:hAnsi="宋体" w:cs="宋体"/>
          <w:color w:val="auto"/>
          <w:kern w:val="2"/>
        </w:rPr>
        <w:t>联合体各方不得再以自己名义单独或参加其他联合体在同一标段中投标；</w:t>
      </w:r>
    </w:p>
    <w:p>
      <w:pPr>
        <w:pStyle w:val="31"/>
        <w:topLinePunct/>
        <w:spacing w:line="360" w:lineRule="auto"/>
        <w:ind w:firstLine="480" w:firstLineChars="200"/>
        <w:rPr>
          <w:rFonts w:hint="eastAsia"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4</w:t>
      </w:r>
      <w:r>
        <w:rPr>
          <w:rFonts w:hint="eastAsia" w:hAnsi="宋体" w:cs="宋体"/>
          <w:sz w:val="24"/>
          <w:szCs w:val="24"/>
          <w:lang w:eastAsia="zh-CN"/>
        </w:rPr>
        <w:t>）</w:t>
      </w:r>
      <w:r>
        <w:rPr>
          <w:rFonts w:hint="eastAsia" w:hAnsi="宋体" w:cs="宋体"/>
          <w:sz w:val="24"/>
          <w:szCs w:val="24"/>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可统一由联合体牵头人签字盖章</w:t>
      </w:r>
      <w:r>
        <w:rPr>
          <w:rFonts w:hint="eastAsia" w:hAnsi="宋体" w:cs="宋体"/>
          <w:sz w:val="24"/>
          <w:szCs w:val="24"/>
          <w:lang w:eastAsia="zh-CN"/>
        </w:rPr>
        <w:t>；</w:t>
      </w:r>
    </w:p>
    <w:p>
      <w:pPr>
        <w:pStyle w:val="31"/>
        <w:topLinePunct/>
        <w:spacing w:line="360" w:lineRule="auto"/>
        <w:ind w:firstLine="480" w:firstLineChars="200"/>
        <w:rPr>
          <w:rFonts w:hint="eastAsia" w:hAnsi="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5</w:t>
      </w:r>
      <w:r>
        <w:rPr>
          <w:rFonts w:hint="eastAsia" w:hAnsi="宋体" w:cs="宋体"/>
          <w:sz w:val="24"/>
          <w:szCs w:val="24"/>
          <w:lang w:eastAsia="zh-CN"/>
        </w:rPr>
        <w:t>）</w:t>
      </w:r>
      <w:r>
        <w:rPr>
          <w:rFonts w:hint="eastAsia" w:ascii="Times New Roman" w:hAnsi="宋体" w:cs="宋体"/>
          <w:kern w:val="0"/>
          <w:sz w:val="24"/>
          <w:szCs w:val="24"/>
        </w:rPr>
        <w:t>尽管委任了联合体牵头人，但联合体各成员在投标、签订合同与履行合同过程中，仍负有连带的和各自的法律责任</w:t>
      </w:r>
      <w:r>
        <w:rPr>
          <w:rFonts w:hint="eastAsia" w:ascii="Times New Roman" w:hAnsi="宋体" w:cs="宋体"/>
          <w:kern w:val="0"/>
          <w:sz w:val="24"/>
          <w:szCs w:val="24"/>
          <w:lang w:eastAsia="zh-CN"/>
        </w:rPr>
        <w:t>；</w:t>
      </w:r>
    </w:p>
    <w:p>
      <w:pPr>
        <w:spacing w:line="360" w:lineRule="auto"/>
        <w:ind w:firstLine="480" w:firstLineChars="200"/>
        <w:rPr>
          <w:rFonts w:hint="eastAsia" w:hAnsi="宋体" w:cs="宋体"/>
          <w:color w:val="auto"/>
        </w:rPr>
      </w:pPr>
      <w:r>
        <w:rPr>
          <w:rFonts w:hint="eastAsia" w:ascii="宋体" w:hAnsi="宋体" w:cs="宋体"/>
          <w:color w:val="auto"/>
          <w:kern w:val="2"/>
        </w:rPr>
        <w:t>（</w:t>
      </w:r>
      <w:r>
        <w:rPr>
          <w:rFonts w:hint="eastAsia" w:ascii="宋体" w:hAnsi="宋体" w:cs="宋体"/>
          <w:color w:val="auto"/>
          <w:kern w:val="2"/>
          <w:lang w:val="en-US"/>
        </w:rPr>
        <w:t>6</w:t>
      </w:r>
      <w:r>
        <w:rPr>
          <w:rFonts w:hint="eastAsia" w:ascii="宋体" w:hAnsi="宋体" w:cs="宋体"/>
          <w:color w:val="auto"/>
          <w:kern w:val="2"/>
        </w:rPr>
        <w:t>）</w:t>
      </w:r>
      <w:r>
        <w:rPr>
          <w:rFonts w:hint="eastAsia" w:hAnsi="宋体" w:cs="宋体"/>
          <w:color w:val="auto"/>
        </w:rPr>
        <w:t>联合体所有成员（含牵头人）数量不得超过</w:t>
      </w:r>
      <w:r>
        <w:rPr>
          <w:rFonts w:hint="eastAsia" w:hAnsi="宋体" w:cs="宋体"/>
          <w:color w:val="auto"/>
          <w:u w:val="single"/>
          <w:lang w:val="en-US"/>
        </w:rPr>
        <w:t xml:space="preserve">   </w:t>
      </w:r>
      <w:r>
        <w:rPr>
          <w:rFonts w:hint="eastAsia" w:hAnsi="宋体" w:cs="宋体"/>
          <w:color w:val="auto"/>
        </w:rPr>
        <w:t>个；</w:t>
      </w:r>
    </w:p>
    <w:p>
      <w:pPr>
        <w:spacing w:line="360" w:lineRule="auto"/>
        <w:ind w:firstLine="480" w:firstLineChars="200"/>
        <w:rPr>
          <w:rFonts w:hint="eastAsia" w:ascii="宋体" w:hAnsi="宋体" w:cs="宋体"/>
          <w:color w:val="auto"/>
          <w:kern w:val="2"/>
        </w:rPr>
      </w:pPr>
      <w:r>
        <w:rPr>
          <w:rFonts w:hint="eastAsia"/>
          <w:color w:val="auto"/>
          <w:u w:val="single"/>
        </w:rPr>
        <w:t>（</w:t>
      </w:r>
      <w:r>
        <w:rPr>
          <w:rFonts w:hint="eastAsia"/>
          <w:color w:val="auto"/>
          <w:u w:val="single"/>
          <w:lang w:val="en-US"/>
        </w:rPr>
        <w:t>7）</w:t>
      </w:r>
      <w:r>
        <w:rPr>
          <w:color w:val="auto"/>
          <w:u w:val="single"/>
        </w:rPr>
        <w:t xml:space="preserve"> ……                  </w:t>
      </w:r>
      <w:r>
        <w:rPr>
          <w:color w:val="auto"/>
        </w:rPr>
        <w:t>。</w:t>
      </w:r>
    </w:p>
    <w:p>
      <w:pPr>
        <w:spacing w:line="360" w:lineRule="auto"/>
        <w:ind w:firstLine="480" w:firstLineChars="200"/>
        <w:jc w:val="both"/>
        <w:rPr>
          <w:rFonts w:hint="eastAsia" w:ascii="宋体" w:hAnsi="宋体" w:cs="宋体"/>
          <w:color w:val="auto"/>
          <w:kern w:val="2"/>
          <w:lang w:val="en-US"/>
        </w:rPr>
      </w:pPr>
      <w:r>
        <w:rPr>
          <w:rFonts w:hint="eastAsia" w:ascii="宋体" w:hAnsi="宋体" w:cs="宋体"/>
          <w:color w:val="auto"/>
          <w:kern w:val="2"/>
          <w:lang w:val="en-US"/>
        </w:rPr>
        <w:t>3.3</w:t>
      </w:r>
      <w:r>
        <w:rPr>
          <w:rStyle w:val="101"/>
          <w:rFonts w:hint="eastAsia" w:ascii="宋体" w:hAnsi="宋体" w:cs="Times New Roman"/>
          <w:color w:val="auto"/>
          <w:sz w:val="30"/>
          <w:lang w:val="en-US"/>
        </w:rPr>
        <w:footnoteReference w:id="4"/>
      </w:r>
      <w:r>
        <w:rPr>
          <w:rStyle w:val="101"/>
          <w:rFonts w:ascii="宋体" w:hAnsi="宋体" w:cs="Times New Roman"/>
          <w:color w:val="auto"/>
          <w:sz w:val="30"/>
        </w:rPr>
        <w:t xml:space="preserve"> </w:t>
      </w:r>
      <w:r>
        <w:rPr>
          <w:rFonts w:hint="eastAsia" w:ascii="宋体" w:hAnsi="宋体" w:cs="宋体"/>
          <w:color w:val="auto"/>
        </w:rPr>
        <w:t>在本次招标中，被</w:t>
      </w:r>
      <w:r>
        <w:rPr>
          <w:rFonts w:hint="eastAsia" w:ascii="宋体" w:hAnsi="宋体" w:cs="宋体"/>
          <w:color w:val="auto"/>
          <w:lang w:eastAsia="zh-CN"/>
        </w:rPr>
        <w:t>湛江市</w:t>
      </w:r>
      <w:r>
        <w:rPr>
          <w:rFonts w:hint="eastAsia" w:ascii="宋体" w:hAnsi="宋体" w:cs="宋体"/>
          <w:color w:val="auto"/>
        </w:rPr>
        <w:t>交通运输</w:t>
      </w:r>
      <w:r>
        <w:rPr>
          <w:rFonts w:hint="eastAsia" w:ascii="宋体" w:hAnsi="宋体" w:cs="宋体"/>
          <w:color w:val="auto"/>
          <w:lang w:eastAsia="zh-CN"/>
        </w:rPr>
        <w:t>局</w:t>
      </w:r>
      <w:r>
        <w:rPr>
          <w:rFonts w:hint="eastAsia" w:ascii="宋体" w:hAnsi="宋体" w:cs="宋体"/>
          <w:color w:val="auto"/>
        </w:rPr>
        <w:t>评为</w:t>
      </w:r>
      <w:r>
        <w:rPr>
          <w:rFonts w:ascii="宋体" w:hAnsi="宋体" w:cs="宋体"/>
          <w:color w:val="auto"/>
          <w:u w:val="single"/>
        </w:rPr>
        <w:t xml:space="preserve">    </w:t>
      </w:r>
      <w:r>
        <w:rPr>
          <w:rFonts w:hint="eastAsia" w:ascii="宋体" w:hAnsi="宋体" w:cs="宋体"/>
          <w:color w:val="auto"/>
        </w:rPr>
        <w:t>级信用等级的投标人，最多可对其中的</w:t>
      </w:r>
      <w:r>
        <w:rPr>
          <w:rFonts w:ascii="宋体" w:hAnsi="宋体" w:cs="宋体"/>
          <w:color w:val="auto"/>
          <w:u w:val="single"/>
        </w:rPr>
        <w:t xml:space="preserve">     </w:t>
      </w:r>
      <w:r>
        <w:rPr>
          <w:rFonts w:hint="eastAsia" w:ascii="宋体" w:hAnsi="宋体" w:cs="宋体"/>
          <w:color w:val="auto"/>
        </w:rPr>
        <w:t>个</w:t>
      </w:r>
      <w:r>
        <w:rPr>
          <w:rFonts w:hint="eastAsia" w:ascii="宋体" w:hAnsi="宋体" w:cs="宋体"/>
          <w:color w:val="auto"/>
          <w:u w:val="single"/>
        </w:rPr>
        <w:t>标类（或标段）</w:t>
      </w:r>
      <w:r>
        <w:rPr>
          <w:rFonts w:hint="eastAsia" w:ascii="宋体" w:hAnsi="宋体" w:cs="宋体"/>
          <w:color w:val="auto"/>
        </w:rPr>
        <w:t>进行投标，但只允许中</w:t>
      </w:r>
      <w:r>
        <w:rPr>
          <w:rFonts w:ascii="宋体" w:hAnsi="宋体" w:cs="宋体"/>
          <w:color w:val="auto"/>
          <w:u w:val="single"/>
        </w:rPr>
        <w:t xml:space="preserve">     </w:t>
      </w:r>
      <w:r>
        <w:rPr>
          <w:rFonts w:hint="eastAsia" w:ascii="宋体" w:hAnsi="宋体" w:cs="宋体"/>
          <w:color w:val="auto"/>
        </w:rPr>
        <w:t>个标段。（本款所指的信用等级为</w:t>
      </w:r>
      <w:r>
        <w:rPr>
          <w:rFonts w:hint="eastAsia" w:ascii="宋体" w:hAnsi="宋体" w:cs="宋体"/>
          <w:color w:val="auto"/>
          <w:lang w:eastAsia="zh-CN"/>
        </w:rPr>
        <w:t>湛江市交通运输局</w:t>
      </w:r>
      <w:r>
        <w:rPr>
          <w:rFonts w:hint="eastAsia" w:ascii="宋体" w:hAnsi="宋体" w:cs="宋体"/>
          <w:color w:val="auto"/>
        </w:rPr>
        <w:t>最新年度发布的水运工程从业单位信用等级（设计单位），投标登记阶段无需承诺是否在此次投标过程中使用）</w:t>
      </w:r>
      <w:r>
        <w:rPr>
          <w:rFonts w:hint="eastAsia" w:ascii="宋体" w:hAnsi="宋体" w:cs="宋体"/>
          <w:color w:val="auto"/>
          <w:kern w:val="2"/>
          <w:lang w:val="en-US"/>
        </w:rPr>
        <w:t>。</w:t>
      </w:r>
    </w:p>
    <w:p>
      <w:pPr>
        <w:spacing w:line="360" w:lineRule="auto"/>
        <w:ind w:firstLine="480" w:firstLineChars="200"/>
        <w:jc w:val="both"/>
        <w:rPr>
          <w:rFonts w:hint="eastAsia" w:ascii="宋体" w:hAnsi="宋体" w:cs="宋体"/>
          <w:color w:val="auto"/>
          <w:kern w:val="2"/>
          <w:lang w:val="en-US"/>
        </w:rPr>
      </w:pPr>
      <w:r>
        <w:rPr>
          <w:rFonts w:hint="eastAsia" w:ascii="宋体" w:hAnsi="宋体" w:cs="宋体"/>
          <w:color w:val="auto"/>
          <w:kern w:val="2"/>
          <w:lang w:val="en-US"/>
        </w:rPr>
        <w:t>3.4 与招标人存在利害关系可能影响招标公正性的法人，不得参加投标；若单位负责人</w:t>
      </w:r>
      <w:r>
        <w:rPr>
          <w:rStyle w:val="101"/>
          <w:rFonts w:hint="eastAsia" w:ascii="宋体" w:hAnsi="宋体" w:cs="Times New Roman"/>
          <w:color w:val="auto"/>
          <w:sz w:val="30"/>
          <w:lang w:val="en-US"/>
        </w:rPr>
        <w:footnoteReference w:id="5"/>
      </w:r>
      <w:r>
        <w:rPr>
          <w:rFonts w:hint="eastAsia" w:ascii="宋体" w:hAnsi="宋体" w:cs="宋体"/>
          <w:color w:val="auto"/>
          <w:kern w:val="2"/>
          <w:lang w:val="en-US"/>
        </w:rPr>
        <w:t>为同一人、或者存在控股</w:t>
      </w:r>
      <w:r>
        <w:rPr>
          <w:rStyle w:val="101"/>
          <w:rFonts w:hint="eastAsia" w:ascii="宋体" w:hAnsi="宋体" w:cs="Times New Roman"/>
          <w:color w:val="auto"/>
          <w:sz w:val="30"/>
          <w:lang w:val="en-US"/>
        </w:rPr>
        <w:footnoteReference w:id="6"/>
      </w:r>
      <w:r>
        <w:rPr>
          <w:rFonts w:hint="eastAsia" w:ascii="宋体" w:hAnsi="宋体" w:cs="宋体"/>
          <w:color w:val="auto"/>
          <w:kern w:val="2"/>
          <w:lang w:val="en-US"/>
        </w:rPr>
        <w:t>、管理关系</w:t>
      </w:r>
      <w:r>
        <w:rPr>
          <w:rStyle w:val="101"/>
          <w:rFonts w:hint="eastAsia" w:ascii="宋体" w:hAnsi="宋体" w:cs="Times New Roman"/>
          <w:color w:val="auto"/>
          <w:sz w:val="30"/>
          <w:lang w:val="en-US"/>
        </w:rPr>
        <w:footnoteReference w:id="7"/>
      </w:r>
      <w:r>
        <w:rPr>
          <w:rFonts w:hint="eastAsia" w:ascii="宋体" w:hAnsi="宋体" w:cs="宋体"/>
          <w:color w:val="auto"/>
          <w:kern w:val="2"/>
          <w:lang w:val="en-US"/>
        </w:rPr>
        <w:t>的不同单位，不得参加同一标段投标或者未划分标段的同一招标项目投标，否则按否决其投标处理。</w:t>
      </w:r>
    </w:p>
    <w:p>
      <w:pPr>
        <w:pStyle w:val="215"/>
        <w:shd w:val="clear" w:color="auto" w:fill="auto"/>
        <w:spacing w:before="0" w:line="360" w:lineRule="auto"/>
        <w:ind w:firstLine="480" w:firstLineChars="200"/>
        <w:jc w:val="both"/>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lang w:val="en-US"/>
        </w:rPr>
        <w:t>3.5在“信用中国”网站（</w:t>
      </w:r>
      <w:r>
        <w:rPr>
          <w:rFonts w:hint="eastAsia" w:ascii="宋体" w:hAnsi="宋体" w:eastAsia="宋体" w:cs="宋体"/>
          <w:spacing w:val="0"/>
          <w:kern w:val="2"/>
          <w:sz w:val="24"/>
          <w:szCs w:val="24"/>
          <w:lang w:val="en-US"/>
        </w:rPr>
        <w:fldChar w:fldCharType="begin"/>
      </w:r>
      <w:r>
        <w:rPr>
          <w:rFonts w:hint="eastAsia" w:ascii="宋体" w:hAnsi="宋体" w:eastAsia="宋体" w:cs="宋体"/>
          <w:spacing w:val="0"/>
          <w:kern w:val="2"/>
          <w:sz w:val="24"/>
          <w:szCs w:val="24"/>
          <w:lang w:val="en-US"/>
        </w:rPr>
        <w:instrText xml:space="preserve"> HYPERLINK "http://www.creditchina.gov.cn/)%e4%b8%ad%e8%a2%ab%e5%88%97%e5%85%a5%e5%a4%b1%e4%bf%a1%e8%a2%ab%e6%89%a7" </w:instrText>
      </w:r>
      <w:r>
        <w:rPr>
          <w:rFonts w:hint="eastAsia" w:ascii="宋体" w:hAnsi="宋体" w:eastAsia="宋体" w:cs="宋体"/>
          <w:spacing w:val="0"/>
          <w:kern w:val="2"/>
          <w:sz w:val="24"/>
          <w:szCs w:val="24"/>
          <w:lang w:val="en-US"/>
        </w:rPr>
        <w:fldChar w:fldCharType="separate"/>
      </w:r>
      <w:r>
        <w:rPr>
          <w:rFonts w:hint="eastAsia" w:ascii="宋体" w:hAnsi="宋体" w:eastAsia="宋体" w:cs="宋体"/>
          <w:spacing w:val="0"/>
          <w:kern w:val="2"/>
          <w:sz w:val="24"/>
          <w:szCs w:val="24"/>
          <w:lang w:val="en-US"/>
        </w:rPr>
        <w:t>http://www.creditchina.gov.cn/)中被列入失信被执</w:t>
      </w:r>
      <w:r>
        <w:rPr>
          <w:rFonts w:hint="eastAsia" w:ascii="宋体" w:hAnsi="宋体" w:eastAsia="宋体" w:cs="宋体"/>
          <w:spacing w:val="0"/>
          <w:kern w:val="2"/>
          <w:sz w:val="24"/>
          <w:szCs w:val="24"/>
          <w:lang w:val="en-US"/>
        </w:rPr>
        <w:fldChar w:fldCharType="end"/>
      </w:r>
      <w:r>
        <w:rPr>
          <w:rFonts w:hint="eastAsia" w:ascii="宋体" w:hAnsi="宋体" w:eastAsia="宋体" w:cs="宋体"/>
          <w:spacing w:val="0"/>
          <w:kern w:val="2"/>
          <w:sz w:val="24"/>
          <w:szCs w:val="24"/>
          <w:lang w:val="en-US"/>
        </w:rPr>
        <w:t>行人名单的投标人，在国家企业信用信息公示系统（www.gsxt.gov.cn）中被列入严重违法失信企业名单的投标人，均按否决投标处理。</w:t>
      </w:r>
    </w:p>
    <w:p>
      <w:pPr>
        <w:pStyle w:val="84"/>
        <w:snapToGrid w:val="0"/>
        <w:spacing w:line="360" w:lineRule="auto"/>
        <w:jc w:val="left"/>
        <w:outlineLvl w:val="1"/>
        <w:rPr>
          <w:rFonts w:hint="eastAsia" w:ascii="宋体" w:hAnsi="宋体"/>
          <w:bCs/>
          <w:sz w:val="24"/>
          <w:szCs w:val="16"/>
          <w:lang w:val="en-US" w:eastAsia="zh-CN"/>
        </w:rPr>
      </w:pPr>
      <w:r>
        <w:rPr>
          <w:rFonts w:hint="eastAsia" w:ascii="宋体" w:hAnsi="宋体"/>
          <w:bCs/>
          <w:sz w:val="24"/>
          <w:szCs w:val="16"/>
        </w:rPr>
        <w:t>4.</w:t>
      </w:r>
      <w:r>
        <w:rPr>
          <w:rFonts w:hint="eastAsia" w:ascii="宋体" w:hAnsi="宋体"/>
          <w:bCs/>
          <w:sz w:val="24"/>
          <w:szCs w:val="16"/>
          <w:lang w:val="en-US" w:eastAsia="zh-CN"/>
        </w:rPr>
        <w:t>技术成果补偿</w:t>
      </w:r>
      <w:r>
        <w:rPr>
          <w:rStyle w:val="101"/>
          <w:rFonts w:hint="eastAsia" w:ascii="宋体" w:hAnsi="宋体"/>
          <w:b w:val="0"/>
          <w:sz w:val="30"/>
          <w:szCs w:val="24"/>
          <w:lang w:val="en-US" w:eastAsia="zh-CN"/>
        </w:rPr>
        <w:footnoteReference w:id="8"/>
      </w:r>
    </w:p>
    <w:p>
      <w:pPr>
        <w:pStyle w:val="84"/>
        <w:snapToGrid w:val="0"/>
        <w:spacing w:line="360" w:lineRule="auto"/>
        <w:ind w:firstLine="480" w:firstLineChars="200"/>
        <w:jc w:val="left"/>
        <w:outlineLvl w:val="1"/>
        <w:rPr>
          <w:rFonts w:ascii="宋体" w:hAnsi="宋体"/>
          <w:bCs/>
          <w:sz w:val="24"/>
          <w:szCs w:val="16"/>
          <w:lang w:val="en-US" w:eastAsia="zh-CN"/>
        </w:rPr>
      </w:pPr>
      <w:r>
        <w:rPr>
          <w:rFonts w:hint="eastAsia" w:ascii="宋体" w:hAnsi="宋体" w:cs="宋体"/>
          <w:b w:val="0"/>
          <w:sz w:val="24"/>
          <w:szCs w:val="24"/>
        </w:rPr>
        <w:t>本次招标对未中标人投标文件中的技术成果</w:t>
      </w:r>
      <w:r>
        <w:rPr>
          <w:rFonts w:hint="eastAsia" w:ascii="宋体" w:hAnsi="宋体" w:cs="宋体"/>
          <w:sz w:val="24"/>
          <w:szCs w:val="24"/>
          <w:u w:val="single"/>
        </w:rPr>
        <w:t xml:space="preserve">               </w:t>
      </w:r>
      <w:r>
        <w:rPr>
          <w:rFonts w:hint="eastAsia" w:ascii="宋体" w:hAnsi="宋体" w:cs="宋体"/>
          <w:b w:val="0"/>
          <w:sz w:val="24"/>
          <w:szCs w:val="24"/>
        </w:rPr>
        <w:t>（给予或不给予）经济补偿。</w:t>
      </w:r>
      <w:r>
        <w:rPr>
          <w:rFonts w:hint="eastAsia" w:ascii="宋体" w:hAnsi="宋体" w:cs="宋体"/>
          <w:b w:val="0"/>
          <w:sz w:val="24"/>
          <w:szCs w:val="24"/>
        </w:rPr>
        <w:br w:type="textWrapping"/>
      </w:r>
      <w:r>
        <w:rPr>
          <w:rFonts w:hint="eastAsia" w:ascii="宋体" w:hAnsi="宋体" w:cs="宋体"/>
          <w:b w:val="0"/>
          <w:sz w:val="24"/>
          <w:szCs w:val="24"/>
          <w:lang w:val="en-US" w:eastAsia="zh-CN"/>
        </w:rPr>
        <w:t xml:space="preserve">    </w:t>
      </w:r>
      <w:r>
        <w:rPr>
          <w:rFonts w:hint="eastAsia" w:ascii="宋体" w:hAnsi="宋体" w:cs="宋体"/>
          <w:b w:val="0"/>
          <w:sz w:val="24"/>
          <w:szCs w:val="24"/>
        </w:rPr>
        <w:t>给予经济补偿的，招标人将按如下标准支付经济补偿费：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b w:val="0"/>
          <w:sz w:val="24"/>
          <w:szCs w:val="24"/>
        </w:rPr>
        <w:t>。</w:t>
      </w:r>
      <w:r>
        <w:rPr>
          <w:rFonts w:ascii="宋体" w:hAnsi="宋体" w:cs="宋体"/>
          <w:sz w:val="24"/>
          <w:szCs w:val="24"/>
        </w:rPr>
        <w:t xml:space="preserve"> </w:t>
      </w:r>
    </w:p>
    <w:p>
      <w:pPr>
        <w:pStyle w:val="84"/>
        <w:snapToGrid w:val="0"/>
        <w:spacing w:line="360" w:lineRule="auto"/>
        <w:jc w:val="left"/>
        <w:outlineLvl w:val="1"/>
        <w:rPr>
          <w:rFonts w:hint="eastAsia" w:ascii="宋体" w:hAnsi="宋体"/>
          <w:bCs/>
          <w:sz w:val="24"/>
          <w:szCs w:val="16"/>
        </w:rPr>
      </w:pPr>
      <w:r>
        <w:rPr>
          <w:rFonts w:hint="eastAsia" w:ascii="宋体" w:hAnsi="宋体"/>
          <w:bCs/>
          <w:sz w:val="24"/>
          <w:szCs w:val="16"/>
          <w:lang w:val="en-US" w:eastAsia="zh-CN"/>
        </w:rPr>
        <w:t>5</w:t>
      </w:r>
      <w:r>
        <w:rPr>
          <w:rFonts w:hint="eastAsia" w:ascii="宋体" w:hAnsi="宋体"/>
          <w:bCs/>
          <w:sz w:val="24"/>
          <w:szCs w:val="16"/>
        </w:rPr>
        <w:t>.招标文件的获取</w:t>
      </w:r>
    </w:p>
    <w:p>
      <w:pPr>
        <w:pStyle w:val="215"/>
        <w:shd w:val="clear" w:color="auto" w:fill="auto"/>
        <w:tabs>
          <w:tab w:val="left" w:leader="underscore" w:pos="4163"/>
          <w:tab w:val="left" w:leader="underscore" w:pos="6506"/>
        </w:tabs>
        <w:spacing w:before="0" w:line="360" w:lineRule="auto"/>
        <w:ind w:firstLine="520"/>
        <w:jc w:val="left"/>
        <w:rPr>
          <w:rFonts w:hint="eastAsia" w:ascii="宋体" w:hAnsi="宋体" w:eastAsia="宋体" w:cs="宋体"/>
          <w:spacing w:val="0"/>
          <w:sz w:val="24"/>
          <w:szCs w:val="24"/>
        </w:rPr>
      </w:pPr>
      <w:r>
        <w:rPr>
          <w:rStyle w:val="214"/>
          <w:rFonts w:hint="eastAsia" w:ascii="宋体" w:hAnsi="宋体" w:eastAsia="宋体" w:cs="宋体"/>
          <w:spacing w:val="0"/>
          <w:sz w:val="24"/>
          <w:szCs w:val="24"/>
          <w:lang w:val="en-US" w:eastAsia="zh-CN"/>
        </w:rPr>
        <w:t>5</w:t>
      </w:r>
      <w:r>
        <w:rPr>
          <w:rStyle w:val="214"/>
          <w:rFonts w:hint="eastAsia" w:ascii="宋体" w:hAnsi="宋体" w:eastAsia="宋体" w:cs="宋体"/>
          <w:spacing w:val="0"/>
          <w:sz w:val="24"/>
          <w:szCs w:val="24"/>
        </w:rPr>
        <w:t>.1</w:t>
      </w:r>
      <w:r>
        <w:rPr>
          <w:rStyle w:val="101"/>
          <w:rFonts w:hint="eastAsia" w:ascii="宋体" w:hAnsi="宋体" w:eastAsia="宋体"/>
          <w:spacing w:val="0"/>
          <w:sz w:val="30"/>
          <w:szCs w:val="24"/>
          <w:lang w:val="zh-CN" w:eastAsia="zh-CN"/>
        </w:rPr>
        <w:footnoteReference w:id="9"/>
      </w:r>
      <w:r>
        <w:rPr>
          <w:rFonts w:hint="eastAsia" w:ascii="宋体" w:hAnsi="宋体" w:eastAsia="宋体" w:cs="宋体"/>
          <w:spacing w:val="0"/>
          <w:sz w:val="24"/>
          <w:szCs w:val="24"/>
        </w:rPr>
        <w:t>凡有意参加投标者，请于</w:t>
      </w:r>
      <w:r>
        <w:rPr>
          <w:rFonts w:ascii="宋体" w:hAnsi="宋体" w:eastAsia="宋体" w:cs="宋体"/>
          <w:spacing w:val="0"/>
          <w:sz w:val="24"/>
          <w:szCs w:val="24"/>
          <w:u w:val="single"/>
        </w:rPr>
        <w:t xml:space="preserve">      </w:t>
      </w:r>
      <w:r>
        <w:rPr>
          <w:rFonts w:ascii="宋体" w:hAnsi="宋体" w:eastAsia="宋体" w:cs="宋体"/>
          <w:spacing w:val="0"/>
          <w:sz w:val="24"/>
          <w:szCs w:val="24"/>
        </w:rPr>
        <w:t>年</w:t>
      </w:r>
      <w:r>
        <w:rPr>
          <w:rFonts w:ascii="宋体" w:hAnsi="宋体" w:eastAsia="宋体" w:cs="宋体"/>
          <w:spacing w:val="0"/>
          <w:sz w:val="24"/>
          <w:szCs w:val="24"/>
          <w:u w:val="single"/>
        </w:rPr>
        <w:t xml:space="preserve">     </w:t>
      </w:r>
      <w:r>
        <w:rPr>
          <w:rFonts w:ascii="宋体" w:hAnsi="宋体" w:eastAsia="宋体" w:cs="宋体"/>
          <w:spacing w:val="0"/>
          <w:sz w:val="24"/>
          <w:szCs w:val="24"/>
        </w:rPr>
        <w:t>月</w:t>
      </w:r>
      <w:r>
        <w:rPr>
          <w:rFonts w:ascii="宋体" w:hAnsi="宋体" w:eastAsia="宋体" w:cs="宋体"/>
          <w:spacing w:val="0"/>
          <w:sz w:val="24"/>
          <w:szCs w:val="24"/>
          <w:u w:val="single"/>
        </w:rPr>
        <w:t xml:space="preserve">     </w:t>
      </w:r>
      <w:r>
        <w:rPr>
          <w:rFonts w:ascii="宋体" w:hAnsi="宋体" w:eastAsia="宋体" w:cs="宋体"/>
          <w:spacing w:val="0"/>
          <w:sz w:val="24"/>
          <w:szCs w:val="24"/>
        </w:rPr>
        <w:t>日至</w:t>
      </w:r>
      <w:r>
        <w:rPr>
          <w:rFonts w:ascii="宋体" w:hAnsi="宋体" w:eastAsia="宋体" w:cs="宋体"/>
          <w:spacing w:val="0"/>
          <w:sz w:val="24"/>
          <w:szCs w:val="24"/>
          <w:u w:val="single"/>
        </w:rPr>
        <w:t xml:space="preserve">     </w:t>
      </w:r>
      <w:r>
        <w:rPr>
          <w:rFonts w:ascii="宋体" w:hAnsi="宋体" w:eastAsia="宋体" w:cs="宋体"/>
          <w:spacing w:val="0"/>
          <w:sz w:val="24"/>
          <w:szCs w:val="24"/>
        </w:rPr>
        <w:t>年</w:t>
      </w:r>
      <w:r>
        <w:rPr>
          <w:rFonts w:ascii="宋体" w:hAnsi="宋体" w:eastAsia="宋体" w:cs="宋体"/>
          <w:spacing w:val="0"/>
          <w:sz w:val="24"/>
          <w:szCs w:val="24"/>
          <w:u w:val="single"/>
        </w:rPr>
        <w:t xml:space="preserve">   </w:t>
      </w:r>
      <w:r>
        <w:rPr>
          <w:rFonts w:ascii="宋体" w:hAnsi="宋体" w:eastAsia="宋体" w:cs="宋体"/>
          <w:spacing w:val="0"/>
          <w:sz w:val="24"/>
          <w:szCs w:val="24"/>
        </w:rPr>
        <w:t>月    日，每日上午</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rPr>
        <w:t>时</w:t>
      </w:r>
      <w:r>
        <w:rPr>
          <w:rFonts w:ascii="宋体" w:hAnsi="宋体" w:eastAsia="宋体" w:cs="宋体"/>
          <w:spacing w:val="0"/>
          <w:sz w:val="24"/>
          <w:szCs w:val="24"/>
          <w:u w:val="single"/>
        </w:rPr>
        <w:t xml:space="preserve">   </w:t>
      </w:r>
      <w:r>
        <w:rPr>
          <w:rFonts w:ascii="宋体" w:hAnsi="宋体" w:eastAsia="宋体" w:cs="宋体"/>
          <w:spacing w:val="0"/>
          <w:sz w:val="24"/>
          <w:szCs w:val="24"/>
        </w:rPr>
        <w:t>分至</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rPr>
        <w:t>时</w:t>
      </w:r>
      <w:r>
        <w:rPr>
          <w:rFonts w:ascii="宋体" w:hAnsi="宋体" w:eastAsia="宋体" w:cs="宋体"/>
          <w:spacing w:val="0"/>
          <w:sz w:val="24"/>
          <w:szCs w:val="24"/>
          <w:u w:val="single"/>
        </w:rPr>
        <w:t xml:space="preserve">   </w:t>
      </w:r>
      <w:r>
        <w:rPr>
          <w:rFonts w:ascii="宋体" w:hAnsi="宋体" w:eastAsia="宋体" w:cs="宋体"/>
          <w:spacing w:val="0"/>
          <w:sz w:val="24"/>
          <w:szCs w:val="24"/>
        </w:rPr>
        <w:t>分，下午</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rPr>
        <w:t>时</w:t>
      </w:r>
      <w:r>
        <w:rPr>
          <w:rFonts w:ascii="宋体" w:hAnsi="宋体" w:eastAsia="宋体" w:cs="宋体"/>
          <w:spacing w:val="0"/>
          <w:sz w:val="24"/>
          <w:szCs w:val="24"/>
          <w:u w:val="single"/>
        </w:rPr>
        <w:t xml:space="preserve">   </w:t>
      </w:r>
      <w:r>
        <w:rPr>
          <w:rFonts w:ascii="宋体" w:hAnsi="宋体" w:eastAsia="宋体" w:cs="宋体"/>
          <w:spacing w:val="0"/>
          <w:sz w:val="24"/>
          <w:szCs w:val="24"/>
        </w:rPr>
        <w:t>分至</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rPr>
        <w:t>时</w:t>
      </w:r>
      <w:r>
        <w:rPr>
          <w:rFonts w:ascii="宋体" w:hAnsi="宋体" w:eastAsia="宋体" w:cs="宋体"/>
          <w:spacing w:val="0"/>
          <w:sz w:val="24"/>
          <w:szCs w:val="24"/>
          <w:u w:val="single"/>
        </w:rPr>
        <w:t xml:space="preserve">   </w:t>
      </w:r>
      <w:r>
        <w:rPr>
          <w:rFonts w:ascii="宋体" w:hAnsi="宋体" w:eastAsia="宋体" w:cs="宋体"/>
          <w:spacing w:val="0"/>
          <w:sz w:val="24"/>
          <w:szCs w:val="24"/>
        </w:rPr>
        <w:t>分（北京</w:t>
      </w:r>
      <w:r>
        <w:rPr>
          <w:rFonts w:hint="eastAsia" w:ascii="宋体" w:hAnsi="宋体" w:eastAsia="宋体" w:cs="宋体"/>
          <w:spacing w:val="0"/>
          <w:sz w:val="24"/>
          <w:szCs w:val="24"/>
        </w:rPr>
        <w:t>时间，下同），登录</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u w:val="none"/>
          <w:lang w:eastAsia="zh-CN"/>
        </w:rPr>
        <w:t>湛江市</w:t>
      </w:r>
      <w:r>
        <w:rPr>
          <w:rFonts w:ascii="宋体" w:hAnsi="宋体" w:eastAsia="宋体" w:cs="宋体"/>
          <w:spacing w:val="0"/>
          <w:sz w:val="24"/>
          <w:szCs w:val="24"/>
        </w:rPr>
        <w:t>公共</w:t>
      </w:r>
      <w:r>
        <w:rPr>
          <w:rFonts w:hint="eastAsia" w:ascii="宋体" w:hAnsi="宋体" w:eastAsia="宋体" w:cs="宋体"/>
          <w:spacing w:val="0"/>
          <w:sz w:val="24"/>
          <w:szCs w:val="24"/>
        </w:rPr>
        <w:t>资源交易</w:t>
      </w:r>
      <w:r>
        <w:rPr>
          <w:rFonts w:hint="eastAsia" w:ascii="宋体" w:hAnsi="宋体" w:eastAsia="宋体" w:cs="宋体"/>
          <w:spacing w:val="0"/>
          <w:sz w:val="24"/>
          <w:szCs w:val="24"/>
          <w:lang w:eastAsia="zh-CN"/>
        </w:rPr>
        <w:t>系统</w:t>
      </w:r>
      <w:r>
        <w:rPr>
          <w:rFonts w:hint="eastAsia" w:ascii="宋体" w:hAnsi="宋体" w:eastAsia="宋体" w:cs="宋体"/>
          <w:spacing w:val="0"/>
          <w:sz w:val="24"/>
          <w:szCs w:val="24"/>
        </w:rPr>
        <w:t>，并选择对应招标项目进行投标登记</w:t>
      </w:r>
      <w:r>
        <w:rPr>
          <w:rFonts w:hint="eastAsia" w:ascii="宋体" w:hAnsi="宋体" w:eastAsia="宋体" w:cs="宋体"/>
          <w:spacing w:val="0"/>
          <w:sz w:val="24"/>
          <w:szCs w:val="24"/>
          <w:u w:val="single"/>
        </w:rPr>
        <w:t>，投标登记成功后，招标文件通过邮寄或电子邮件的形式发送给投标人。投标人参加多个标段投标的，应按所投标段分别进行投标登记，并按所投标段分别递交投标文件</w:t>
      </w:r>
      <w:r>
        <w:rPr>
          <w:rStyle w:val="214"/>
          <w:rFonts w:hint="eastAsia" w:ascii="宋体" w:hAnsi="宋体" w:eastAsia="宋体" w:cs="宋体"/>
          <w:spacing w:val="0"/>
          <w:sz w:val="24"/>
          <w:szCs w:val="24"/>
        </w:rPr>
        <w:t>。</w:t>
      </w:r>
    </w:p>
    <w:p>
      <w:pPr>
        <w:pStyle w:val="215"/>
        <w:shd w:val="clear" w:color="auto" w:fill="auto"/>
        <w:tabs>
          <w:tab w:val="left" w:leader="underscore" w:pos="4294"/>
          <w:tab w:val="left" w:leader="underscore" w:pos="7798"/>
        </w:tabs>
        <w:spacing w:before="0" w:line="360" w:lineRule="auto"/>
        <w:ind w:firstLine="520"/>
        <w:jc w:val="left"/>
        <w:rPr>
          <w:rStyle w:val="214"/>
          <w:rFonts w:ascii="宋体" w:hAnsi="宋体" w:eastAsia="宋体" w:cs="宋体"/>
          <w:sz w:val="24"/>
          <w:szCs w:val="24"/>
          <w:lang w:val="en-US" w:eastAsia="zh-CN"/>
        </w:rPr>
      </w:pPr>
      <w:r>
        <w:rPr>
          <w:rStyle w:val="214"/>
          <w:rFonts w:hint="eastAsia" w:ascii="宋体" w:hAnsi="宋体" w:eastAsia="宋体" w:cs="宋体"/>
          <w:spacing w:val="0"/>
          <w:sz w:val="24"/>
          <w:szCs w:val="24"/>
          <w:lang w:val="en-US" w:eastAsia="zh-CN"/>
        </w:rPr>
        <w:t>5</w:t>
      </w:r>
      <w:r>
        <w:rPr>
          <w:rStyle w:val="214"/>
          <w:rFonts w:hint="eastAsia" w:ascii="宋体" w:hAnsi="宋体" w:eastAsia="宋体" w:cs="宋体"/>
          <w:spacing w:val="0"/>
          <w:sz w:val="24"/>
          <w:szCs w:val="24"/>
        </w:rPr>
        <w:t>.2招标文件每套售价</w:t>
      </w:r>
      <w:r>
        <w:rPr>
          <w:rStyle w:val="214"/>
          <w:rFonts w:hint="eastAsia" w:ascii="宋体" w:hAnsi="宋体" w:eastAsia="宋体" w:cs="宋体"/>
          <w:spacing w:val="0"/>
          <w:sz w:val="24"/>
          <w:szCs w:val="24"/>
          <w:u w:val="single"/>
        </w:rPr>
        <w:t xml:space="preserve">    </w:t>
      </w:r>
      <w:r>
        <w:rPr>
          <w:rStyle w:val="214"/>
          <w:rFonts w:hint="eastAsia" w:ascii="宋体" w:hAnsi="宋体" w:eastAsia="宋体" w:cs="宋体"/>
          <w:spacing w:val="0"/>
          <w:sz w:val="24"/>
          <w:szCs w:val="24"/>
        </w:rPr>
        <w:t>元，</w:t>
      </w:r>
      <w:r>
        <w:rPr>
          <w:rStyle w:val="214"/>
          <w:rFonts w:hint="eastAsia" w:ascii="宋体" w:hAnsi="宋体" w:eastAsia="宋体" w:cs="宋体"/>
          <w:spacing w:val="0"/>
          <w:sz w:val="24"/>
          <w:szCs w:val="24"/>
          <w:lang w:val="en-US" w:eastAsia="zh-CN"/>
        </w:rPr>
        <w:t>前期技术资料等参考资料</w:t>
      </w:r>
      <w:r>
        <w:rPr>
          <w:rStyle w:val="214"/>
          <w:rFonts w:hint="eastAsia" w:ascii="宋体" w:hAnsi="宋体" w:eastAsia="宋体" w:cs="宋体"/>
          <w:spacing w:val="0"/>
          <w:sz w:val="24"/>
          <w:szCs w:val="24"/>
        </w:rPr>
        <w:t>每套售价</w:t>
      </w:r>
      <w:r>
        <w:rPr>
          <w:rStyle w:val="214"/>
          <w:rFonts w:hint="eastAsia" w:ascii="宋体" w:hAnsi="宋体" w:eastAsia="宋体" w:cs="宋体"/>
          <w:spacing w:val="0"/>
          <w:sz w:val="24"/>
          <w:szCs w:val="24"/>
          <w:u w:val="single"/>
        </w:rPr>
        <w:t xml:space="preserve">    </w:t>
      </w:r>
      <w:r>
        <w:rPr>
          <w:rStyle w:val="214"/>
          <w:rFonts w:hint="eastAsia" w:ascii="宋体" w:hAnsi="宋体" w:eastAsia="宋体" w:cs="宋体"/>
          <w:spacing w:val="0"/>
          <w:sz w:val="24"/>
          <w:szCs w:val="24"/>
        </w:rPr>
        <w:t>元，售后不退。</w:t>
      </w:r>
      <w:r>
        <w:rPr>
          <w:rStyle w:val="101"/>
          <w:rFonts w:hint="eastAsia" w:ascii="宋体" w:hAnsi="宋体" w:eastAsia="宋体"/>
          <w:spacing w:val="0"/>
          <w:sz w:val="30"/>
          <w:szCs w:val="24"/>
          <w:lang w:val="zh-CN" w:eastAsia="zh-CN"/>
        </w:rPr>
        <w:footnoteReference w:id="10"/>
      </w:r>
    </w:p>
    <w:p>
      <w:pPr>
        <w:pStyle w:val="84"/>
        <w:snapToGrid w:val="0"/>
        <w:spacing w:line="360" w:lineRule="auto"/>
        <w:jc w:val="left"/>
        <w:outlineLvl w:val="1"/>
        <w:rPr>
          <w:rFonts w:hint="eastAsia" w:ascii="宋体" w:hAnsi="宋体"/>
          <w:bCs/>
          <w:sz w:val="24"/>
          <w:szCs w:val="16"/>
        </w:rPr>
      </w:pPr>
      <w:r>
        <w:rPr>
          <w:rFonts w:hint="eastAsia" w:ascii="宋体" w:hAnsi="宋体"/>
          <w:sz w:val="24"/>
          <w:szCs w:val="16"/>
          <w:lang w:val="en-US" w:eastAsia="zh-CN"/>
        </w:rPr>
        <w:t>6</w:t>
      </w:r>
      <w:r>
        <w:rPr>
          <w:rFonts w:hint="eastAsia" w:ascii="宋体" w:hAnsi="宋体"/>
          <w:sz w:val="24"/>
          <w:szCs w:val="16"/>
        </w:rPr>
        <w:t>.投标文件的递交及相关事宜</w:t>
      </w:r>
    </w:p>
    <w:p>
      <w:pPr>
        <w:pStyle w:val="215"/>
        <w:shd w:val="clear" w:color="auto" w:fill="auto"/>
        <w:spacing w:before="0" w:line="360" w:lineRule="auto"/>
        <w:ind w:firstLine="520"/>
        <w:jc w:val="left"/>
        <w:rPr>
          <w:rFonts w:hint="eastAsia" w:ascii="宋体" w:hAnsi="宋体" w:eastAsia="宋体" w:cs="宋体"/>
          <w:spacing w:val="0"/>
          <w:sz w:val="24"/>
          <w:szCs w:val="24"/>
        </w:rPr>
      </w:pPr>
      <w:r>
        <w:rPr>
          <w:rStyle w:val="214"/>
          <w:rFonts w:hint="eastAsia" w:ascii="宋体" w:hAnsi="宋体" w:eastAsia="宋体" w:cs="宋体"/>
          <w:spacing w:val="0"/>
          <w:sz w:val="24"/>
          <w:szCs w:val="24"/>
          <w:lang w:val="en-US" w:eastAsia="zh-CN"/>
        </w:rPr>
        <w:t>6</w:t>
      </w:r>
      <w:r>
        <w:rPr>
          <w:rStyle w:val="214"/>
          <w:rFonts w:hint="eastAsia" w:ascii="宋体" w:hAnsi="宋体" w:eastAsia="宋体" w:cs="宋体"/>
          <w:spacing w:val="0"/>
          <w:sz w:val="24"/>
          <w:szCs w:val="24"/>
        </w:rPr>
        <w:t>.1招标人将于下列时间和地点组织进行工程现场踏勘并召开投标预备会。</w:t>
      </w:r>
      <w:r>
        <w:rPr>
          <w:rFonts w:hint="eastAsia" w:ascii="宋体" w:hAnsi="宋体" w:eastAsia="宋体" w:cs="宋体"/>
          <w:b/>
          <w:i/>
          <w:spacing w:val="0"/>
          <w:sz w:val="24"/>
        </w:rPr>
        <w:t>（适用于组织踏勘和投标预备会的）</w:t>
      </w:r>
    </w:p>
    <w:p>
      <w:pPr>
        <w:pStyle w:val="226"/>
        <w:shd w:val="clear" w:color="auto" w:fill="auto"/>
        <w:tabs>
          <w:tab w:val="left" w:leader="underscore" w:pos="8632"/>
        </w:tabs>
        <w:spacing w:before="0" w:line="360" w:lineRule="auto"/>
        <w:ind w:firstLine="520"/>
        <w:jc w:val="left"/>
        <w:rPr>
          <w:rFonts w:hint="eastAsia" w:ascii="宋体" w:hAnsi="宋体" w:eastAsia="宋体" w:cs="宋体"/>
          <w:spacing w:val="0"/>
          <w:sz w:val="24"/>
          <w:szCs w:val="24"/>
        </w:rPr>
      </w:pPr>
      <w:r>
        <w:rPr>
          <w:rStyle w:val="225"/>
          <w:rFonts w:hint="eastAsia" w:ascii="宋体" w:hAnsi="宋体" w:eastAsia="宋体" w:cs="宋体"/>
          <w:spacing w:val="0"/>
          <w:sz w:val="24"/>
          <w:szCs w:val="24"/>
        </w:rPr>
        <w:t>踏勘现场时间：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月</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日</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分，集中地点：</w:t>
      </w:r>
      <w:r>
        <w:rPr>
          <w:rFonts w:hint="eastAsia" w:ascii="宋体" w:hAnsi="宋体" w:eastAsia="宋体" w:cs="宋体"/>
          <w:spacing w:val="0"/>
          <w:sz w:val="24"/>
          <w:szCs w:val="24"/>
          <w:u w:val="single"/>
        </w:rPr>
        <w:t xml:space="preserve">   </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u w:val="single"/>
        </w:rPr>
        <w:t xml:space="preserve">    </w:t>
      </w:r>
      <w:r>
        <w:rPr>
          <w:rStyle w:val="225"/>
          <w:rFonts w:hint="eastAsia" w:ascii="宋体" w:hAnsi="宋体" w:eastAsia="宋体" w:cs="宋体"/>
          <w:spacing w:val="0"/>
          <w:sz w:val="24"/>
          <w:szCs w:val="24"/>
        </w:rPr>
        <w:t>；</w:t>
      </w:r>
    </w:p>
    <w:p>
      <w:pPr>
        <w:pStyle w:val="226"/>
        <w:shd w:val="clear" w:color="auto" w:fill="auto"/>
        <w:tabs>
          <w:tab w:val="left" w:leader="underscore" w:pos="2907"/>
          <w:tab w:val="left" w:leader="underscore" w:pos="8632"/>
        </w:tabs>
        <w:spacing w:before="0" w:line="360" w:lineRule="auto"/>
        <w:ind w:firstLine="520"/>
        <w:jc w:val="left"/>
        <w:rPr>
          <w:rStyle w:val="225"/>
          <w:rFonts w:hint="eastAsia" w:ascii="宋体" w:hAnsi="宋体" w:eastAsia="宋体" w:cs="宋体"/>
          <w:spacing w:val="0"/>
          <w:sz w:val="24"/>
          <w:szCs w:val="24"/>
        </w:rPr>
      </w:pPr>
      <w:r>
        <w:rPr>
          <w:rStyle w:val="225"/>
          <w:rFonts w:hint="eastAsia" w:ascii="宋体" w:hAnsi="宋体" w:eastAsia="宋体" w:cs="宋体"/>
          <w:spacing w:val="0"/>
          <w:sz w:val="24"/>
          <w:szCs w:val="24"/>
        </w:rPr>
        <w:t>投标预备会时间：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月</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日</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分，地点：</w:t>
      </w:r>
      <w:r>
        <w:rPr>
          <w:rFonts w:hint="eastAsia" w:ascii="宋体" w:hAnsi="宋体" w:eastAsia="宋体" w:cs="宋体"/>
          <w:spacing w:val="0"/>
          <w:sz w:val="24"/>
          <w:szCs w:val="24"/>
          <w:u w:val="single"/>
        </w:rPr>
        <w:t xml:space="preserve">   </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u w:val="single"/>
        </w:rPr>
        <w:t xml:space="preserve">    </w:t>
      </w:r>
      <w:r>
        <w:rPr>
          <w:rStyle w:val="225"/>
          <w:rFonts w:hint="eastAsia" w:ascii="宋体" w:hAnsi="宋体" w:eastAsia="宋体" w:cs="宋体"/>
          <w:spacing w:val="0"/>
          <w:sz w:val="24"/>
          <w:szCs w:val="24"/>
        </w:rPr>
        <w:t>。</w:t>
      </w:r>
    </w:p>
    <w:p>
      <w:pPr>
        <w:pStyle w:val="226"/>
        <w:shd w:val="clear" w:color="auto" w:fill="auto"/>
        <w:spacing w:before="0" w:line="360" w:lineRule="auto"/>
        <w:ind w:firstLine="520"/>
        <w:jc w:val="left"/>
        <w:rPr>
          <w:rStyle w:val="225"/>
          <w:rFonts w:hint="eastAsia" w:ascii="宋体" w:hAnsi="宋体" w:eastAsia="宋体" w:cs="宋体"/>
          <w:spacing w:val="0"/>
          <w:sz w:val="24"/>
          <w:szCs w:val="24"/>
          <w:lang w:val="en-US" w:eastAsia="zh-CN"/>
        </w:rPr>
      </w:pPr>
      <w:r>
        <w:rPr>
          <w:rStyle w:val="225"/>
          <w:rFonts w:hint="eastAsia" w:ascii="宋体" w:hAnsi="宋体" w:eastAsia="宋体" w:cs="宋体"/>
          <w:spacing w:val="0"/>
          <w:sz w:val="24"/>
          <w:szCs w:val="24"/>
          <w:lang w:val="en-US" w:eastAsia="zh-CN"/>
        </w:rPr>
        <w:t>6.1</w:t>
      </w:r>
      <w:r>
        <w:rPr>
          <w:rFonts w:hint="eastAsia" w:ascii="宋体" w:hAnsi="宋体" w:eastAsia="宋体" w:cs="宋体"/>
          <w:spacing w:val="0"/>
          <w:sz w:val="24"/>
        </w:rPr>
        <w:t>招标人将不组织踏勘现场和投标预备会</w:t>
      </w:r>
      <w:r>
        <w:rPr>
          <w:rFonts w:hint="eastAsia" w:ascii="宋体" w:hAnsi="宋体" w:eastAsia="宋体" w:cs="宋体"/>
          <w:spacing w:val="0"/>
          <w:sz w:val="24"/>
          <w:lang w:eastAsia="zh-CN"/>
        </w:rPr>
        <w:t>。</w:t>
      </w:r>
      <w:r>
        <w:rPr>
          <w:rFonts w:hint="eastAsia" w:ascii="宋体" w:hAnsi="宋体" w:eastAsia="宋体" w:cs="宋体"/>
          <w:b/>
          <w:i/>
          <w:spacing w:val="0"/>
          <w:sz w:val="24"/>
        </w:rPr>
        <w:t>（适用于不组织踏勘和投标预备会的）</w:t>
      </w:r>
    </w:p>
    <w:p>
      <w:pPr>
        <w:pStyle w:val="226"/>
        <w:shd w:val="clear" w:color="auto" w:fill="auto"/>
        <w:spacing w:before="0" w:line="360" w:lineRule="auto"/>
        <w:ind w:firstLine="520"/>
        <w:jc w:val="left"/>
        <w:rPr>
          <w:rFonts w:hint="eastAsia" w:ascii="宋体" w:hAnsi="宋体" w:eastAsia="宋体" w:cs="宋体"/>
          <w:spacing w:val="0"/>
          <w:sz w:val="24"/>
          <w:szCs w:val="24"/>
        </w:rPr>
      </w:pPr>
      <w:r>
        <w:rPr>
          <w:rStyle w:val="225"/>
          <w:rFonts w:hint="eastAsia" w:ascii="宋体" w:hAnsi="宋体" w:eastAsia="宋体" w:cs="宋体"/>
          <w:spacing w:val="0"/>
          <w:sz w:val="24"/>
          <w:szCs w:val="24"/>
          <w:lang w:val="en-US" w:eastAsia="zh-CN"/>
        </w:rPr>
        <w:t>6</w:t>
      </w:r>
      <w:r>
        <w:rPr>
          <w:rStyle w:val="225"/>
          <w:rFonts w:hint="eastAsia" w:ascii="宋体" w:hAnsi="宋体" w:eastAsia="宋体" w:cs="宋体"/>
          <w:spacing w:val="0"/>
          <w:sz w:val="24"/>
          <w:szCs w:val="24"/>
        </w:rPr>
        <w:t>.2投标文件递交的截止时间（投标截止时间，下同）为</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月</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日</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w:t>
      </w:r>
      <w:r>
        <w:rPr>
          <w:rStyle w:val="101"/>
          <w:rFonts w:hint="eastAsia" w:ascii="宋体" w:hAnsi="宋体" w:eastAsia="宋体"/>
          <w:spacing w:val="0"/>
          <w:sz w:val="30"/>
          <w:szCs w:val="24"/>
          <w:lang w:val="zh-CN" w:eastAsia="zh-CN"/>
        </w:rPr>
        <w:footnoteReference w:id="11"/>
      </w:r>
      <w:r>
        <w:rPr>
          <w:rStyle w:val="225"/>
          <w:rFonts w:hint="eastAsia" w:ascii="宋体" w:hAnsi="宋体" w:eastAsia="宋体" w:cs="宋体"/>
          <w:spacing w:val="0"/>
          <w:sz w:val="24"/>
          <w:szCs w:val="24"/>
        </w:rPr>
        <w:t>，投标人应于当日</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分至</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分将投标文件递交至</w:t>
      </w:r>
      <w:r>
        <w:rPr>
          <w:rStyle w:val="225"/>
          <w:rFonts w:hint="eastAsia" w:ascii="宋体" w:hAnsi="宋体" w:eastAsia="宋体" w:cs="宋体"/>
          <w:spacing w:val="0"/>
          <w:sz w:val="24"/>
          <w:szCs w:val="24"/>
          <w:u w:val="single"/>
        </w:rPr>
        <w:t xml:space="preserve"> </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rPr>
        <w:t>（详细地址）</w:t>
      </w:r>
      <w:r>
        <w:rPr>
          <w:rStyle w:val="225"/>
          <w:rFonts w:hint="eastAsia" w:ascii="宋体" w:hAnsi="宋体" w:eastAsia="宋体" w:cs="宋体"/>
          <w:spacing w:val="0"/>
          <w:sz w:val="24"/>
          <w:szCs w:val="24"/>
        </w:rPr>
        <w:t>。</w:t>
      </w:r>
    </w:p>
    <w:p>
      <w:pPr>
        <w:pStyle w:val="215"/>
        <w:shd w:val="clear" w:color="auto" w:fill="auto"/>
        <w:spacing w:before="0" w:line="360" w:lineRule="auto"/>
        <w:ind w:firstLine="520"/>
        <w:jc w:val="left"/>
        <w:rPr>
          <w:rStyle w:val="214"/>
          <w:rFonts w:hint="eastAsia" w:ascii="宋体" w:hAnsi="宋体" w:eastAsia="宋体" w:cs="宋体"/>
          <w:spacing w:val="0"/>
          <w:sz w:val="24"/>
          <w:szCs w:val="24"/>
        </w:rPr>
      </w:pPr>
      <w:r>
        <w:rPr>
          <w:rStyle w:val="214"/>
          <w:rFonts w:hint="eastAsia" w:ascii="宋体" w:hAnsi="宋体" w:eastAsia="宋体" w:cs="宋体"/>
          <w:spacing w:val="0"/>
          <w:sz w:val="24"/>
          <w:szCs w:val="24"/>
          <w:lang w:val="en-US" w:eastAsia="zh-CN"/>
        </w:rPr>
        <w:t>6</w:t>
      </w:r>
      <w:r>
        <w:rPr>
          <w:rStyle w:val="214"/>
          <w:rFonts w:hint="eastAsia" w:ascii="宋体" w:hAnsi="宋体" w:eastAsia="宋体" w:cs="宋体"/>
          <w:spacing w:val="0"/>
          <w:sz w:val="24"/>
          <w:szCs w:val="24"/>
        </w:rPr>
        <w:t>.3逾期送达的、未送达指定地点的或不按照招标文件要求密封的投标文件，招标人将予以拒收。</w:t>
      </w:r>
    </w:p>
    <w:p>
      <w:pPr>
        <w:pStyle w:val="84"/>
        <w:snapToGrid w:val="0"/>
        <w:spacing w:line="360" w:lineRule="auto"/>
        <w:jc w:val="left"/>
        <w:outlineLvl w:val="1"/>
        <w:rPr>
          <w:rFonts w:hint="eastAsia" w:ascii="宋体" w:hAnsi="宋体"/>
          <w:sz w:val="24"/>
          <w:szCs w:val="16"/>
        </w:rPr>
      </w:pPr>
      <w:bookmarkStart w:id="14" w:name="bookmark11"/>
      <w:r>
        <w:rPr>
          <w:rFonts w:hint="eastAsia" w:ascii="宋体" w:hAnsi="宋体"/>
          <w:bCs/>
          <w:sz w:val="24"/>
          <w:szCs w:val="16"/>
          <w:lang w:val="en-US" w:eastAsia="zh-CN"/>
        </w:rPr>
        <w:t>7</w:t>
      </w:r>
      <w:r>
        <w:rPr>
          <w:rFonts w:hint="eastAsia" w:ascii="宋体" w:hAnsi="宋体"/>
          <w:bCs/>
          <w:sz w:val="24"/>
          <w:szCs w:val="16"/>
        </w:rPr>
        <w:t>.发布公告的媒介</w:t>
      </w:r>
      <w:bookmarkEnd w:id="14"/>
    </w:p>
    <w:p>
      <w:pPr>
        <w:pStyle w:val="31"/>
        <w:topLinePunct/>
        <w:spacing w:line="360" w:lineRule="auto"/>
        <w:ind w:firstLine="480" w:firstLineChars="200"/>
        <w:rPr>
          <w:rFonts w:hint="eastAsia" w:hAnsi="宋体" w:cs="宋体"/>
          <w:sz w:val="24"/>
          <w:szCs w:val="24"/>
          <w:u w:val="single"/>
        </w:rPr>
      </w:pPr>
      <w:r>
        <w:rPr>
          <w:rFonts w:hint="eastAsia" w:hAnsi="宋体" w:cs="宋体"/>
          <w:sz w:val="24"/>
          <w:szCs w:val="24"/>
        </w:rPr>
        <w:t>本次招标公告</w:t>
      </w:r>
      <w:r>
        <w:rPr>
          <w:rStyle w:val="101"/>
          <w:rFonts w:hint="eastAsia" w:hAnsi="宋体"/>
          <w:kern w:val="0"/>
          <w:sz w:val="30"/>
          <w:szCs w:val="24"/>
          <w:lang w:val="en-US" w:eastAsia="zh-CN"/>
        </w:rPr>
        <w:footnoteReference w:id="12"/>
      </w:r>
      <w:r>
        <w:rPr>
          <w:rFonts w:hint="eastAsia" w:hAnsi="宋体" w:cs="宋体"/>
          <w:sz w:val="24"/>
          <w:szCs w:val="24"/>
        </w:rPr>
        <w:t>同时在</w:t>
      </w:r>
      <w:r>
        <w:rPr>
          <w:rFonts w:hint="eastAsia" w:hAnsi="宋体" w:cs="宋体"/>
          <w:sz w:val="24"/>
          <w:szCs w:val="24"/>
          <w:u w:val="single"/>
        </w:rPr>
        <w:t>广东省招标投标监管网、XX交易中心网站</w:t>
      </w:r>
      <w:r>
        <w:rPr>
          <w:rFonts w:hint="eastAsia" w:hAnsi="宋体" w:cs="宋体"/>
          <w:sz w:val="24"/>
          <w:szCs w:val="24"/>
        </w:rPr>
        <w:t>上发布。如公告详细内容不一致者，以</w:t>
      </w:r>
      <w:r>
        <w:rPr>
          <w:rFonts w:hint="eastAsia" w:hAnsi="宋体" w:cs="宋体"/>
          <w:sz w:val="24"/>
          <w:szCs w:val="24"/>
          <w:u w:val="single"/>
        </w:rPr>
        <w:t>广东省招标投标监管网</w:t>
      </w:r>
      <w:r>
        <w:rPr>
          <w:rFonts w:hint="eastAsia" w:hAnsi="宋体" w:cs="宋体"/>
          <w:sz w:val="24"/>
          <w:szCs w:val="24"/>
        </w:rPr>
        <w:t>公告为准</w:t>
      </w:r>
      <w:r>
        <w:rPr>
          <w:rFonts w:hAnsi="宋体" w:cs="宋体"/>
          <w:sz w:val="24"/>
          <w:szCs w:val="24"/>
        </w:rPr>
        <w:t>。</w:t>
      </w:r>
    </w:p>
    <w:p>
      <w:pPr>
        <w:spacing w:line="360" w:lineRule="auto"/>
        <w:ind w:firstLine="480" w:firstLineChars="200"/>
        <w:rPr>
          <w:rFonts w:hint="eastAsia" w:ascii="宋体" w:hAnsi="宋体" w:cs="宋体"/>
          <w:color w:val="auto"/>
        </w:rPr>
      </w:pPr>
      <w:r>
        <w:rPr>
          <w:rFonts w:hint="eastAsia" w:ascii="宋体" w:hAnsi="宋体"/>
          <w:color w:val="auto"/>
          <w:szCs w:val="21"/>
        </w:rPr>
        <w:t>在规定的投标登记期间，如</w:t>
      </w:r>
      <w:r>
        <w:rPr>
          <w:rFonts w:hint="eastAsia" w:ascii="宋体" w:hAnsi="宋体"/>
          <w:color w:val="auto"/>
          <w:szCs w:val="21"/>
          <w:u w:val="single"/>
        </w:rPr>
        <w:t>某个标段</w:t>
      </w:r>
      <w:r>
        <w:rPr>
          <w:rFonts w:hint="eastAsia" w:ascii="宋体" w:hAnsi="宋体"/>
          <w:color w:val="auto"/>
          <w:szCs w:val="21"/>
        </w:rPr>
        <w:t>投标登记并购买招标文件的投标人不足3家时，招标人有权选择以下任一方式：（1）在</w:t>
      </w:r>
      <w:r>
        <w:rPr>
          <w:rFonts w:hint="eastAsia" w:ascii="宋体" w:hAnsi="宋体"/>
          <w:color w:val="auto"/>
          <w:szCs w:val="21"/>
          <w:u w:val="single"/>
        </w:rPr>
        <w:t>广东省招标投标监管网及XX交易中心网站</w:t>
      </w:r>
      <w:r>
        <w:rPr>
          <w:rFonts w:hint="eastAsia" w:ascii="宋体" w:hAnsi="宋体"/>
          <w:color w:val="auto"/>
          <w:szCs w:val="21"/>
        </w:rPr>
        <w:t>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r>
        <w:rPr>
          <w:rStyle w:val="101"/>
          <w:rFonts w:ascii="宋体" w:hAnsi="宋体" w:cs="宋体"/>
          <w:color w:val="auto"/>
        </w:rPr>
        <w:footnoteReference w:id="13"/>
      </w:r>
    </w:p>
    <w:p>
      <w:pPr>
        <w:pStyle w:val="84"/>
        <w:snapToGrid w:val="0"/>
        <w:spacing w:line="360" w:lineRule="auto"/>
        <w:jc w:val="left"/>
        <w:outlineLvl w:val="1"/>
        <w:rPr>
          <w:rFonts w:hint="eastAsia" w:ascii="宋体" w:hAnsi="宋体"/>
          <w:bCs/>
          <w:sz w:val="24"/>
          <w:szCs w:val="16"/>
        </w:rPr>
      </w:pPr>
      <w:bookmarkStart w:id="15" w:name="bookmark12"/>
      <w:r>
        <w:rPr>
          <w:rFonts w:hint="eastAsia" w:ascii="宋体" w:hAnsi="宋体"/>
          <w:sz w:val="24"/>
          <w:szCs w:val="16"/>
          <w:lang w:val="en-US" w:eastAsia="zh-CN"/>
        </w:rPr>
        <w:t>8</w:t>
      </w:r>
      <w:r>
        <w:rPr>
          <w:rFonts w:hint="eastAsia" w:ascii="宋体" w:hAnsi="宋体"/>
          <w:sz w:val="24"/>
          <w:szCs w:val="16"/>
        </w:rPr>
        <w:t>.联系方式</w:t>
      </w:r>
      <w:bookmarkEnd w:id="15"/>
    </w:p>
    <w:p>
      <w:pPr>
        <w:spacing w:line="360" w:lineRule="auto"/>
        <w:rPr>
          <w:rFonts w:hint="eastAsia" w:ascii="宋体" w:hAnsi="宋体" w:cs="宋体"/>
          <w:color w:val="auto"/>
          <w:u w:val="single"/>
          <w:lang w:val="en-US"/>
        </w:rPr>
      </w:pPr>
      <w:r>
        <w:rPr>
          <w:rFonts w:hint="eastAsia" w:ascii="宋体" w:hAnsi="宋体" w:cs="宋体"/>
          <w:color w:val="auto"/>
          <w:lang w:val="en-US"/>
        </w:rPr>
        <w:t>招标人：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招标代理机构:</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lang w:val="en-US"/>
        </w:rPr>
      </w:pPr>
      <w:r>
        <w:rPr>
          <w:rFonts w:hint="eastAsia" w:ascii="宋体" w:hAnsi="宋体" w:cs="宋体"/>
          <w:color w:val="auto"/>
          <w:lang w:val="en-US"/>
        </w:rPr>
        <w:t>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360" w:lineRule="auto"/>
        <w:rPr>
          <w:rFonts w:hint="eastAsia" w:ascii="宋体" w:hAnsi="宋体" w:cs="宋体"/>
          <w:color w:val="auto"/>
          <w:u w:val="single"/>
          <w:lang w:val="en-US"/>
        </w:rPr>
      </w:pPr>
      <w:r>
        <w:rPr>
          <w:rFonts w:hint="eastAsia" w:ascii="宋体" w:hAnsi="宋体" w:cs="宋体"/>
          <w:color w:val="auto"/>
          <w:lang w:val="en-US"/>
        </w:rPr>
        <w:t>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u w:val="single"/>
          <w:lang w:val="en-US"/>
        </w:rPr>
      </w:pPr>
      <w:r>
        <w:rPr>
          <w:rFonts w:hint="eastAsia" w:ascii="宋体" w:hAnsi="宋体" w:cs="宋体"/>
          <w:color w:val="auto"/>
          <w:lang w:val="en-US"/>
        </w:rPr>
        <w:t>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lang w:val="en-US"/>
        </w:rPr>
      </w:pPr>
      <w:r>
        <w:rPr>
          <w:rFonts w:hint="eastAsia" w:ascii="宋体" w:hAnsi="宋体" w:cs="宋体"/>
          <w:color w:val="auto"/>
          <w:lang w:val="en-US"/>
        </w:rPr>
        <w:t>联系人：</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联系人：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360" w:lineRule="auto"/>
        <w:rPr>
          <w:rFonts w:hint="eastAsia" w:ascii="宋体" w:hAnsi="宋体" w:cs="宋体"/>
          <w:color w:val="auto"/>
          <w:lang w:val="en-US"/>
        </w:rPr>
      </w:pPr>
      <w:r>
        <w:rPr>
          <w:rFonts w:hint="eastAsia" w:ascii="宋体" w:hAnsi="宋体" w:cs="宋体"/>
          <w:color w:val="auto"/>
          <w:lang w:val="en-US"/>
        </w:rPr>
        <w:t>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w:t>
      </w:r>
    </w:p>
    <w:p>
      <w:pPr>
        <w:spacing w:line="360" w:lineRule="auto"/>
        <w:rPr>
          <w:rFonts w:hint="eastAsia" w:ascii="宋体" w:hAnsi="宋体" w:cs="宋体"/>
          <w:color w:val="auto"/>
        </w:rPr>
      </w:pPr>
      <w:r>
        <w:rPr>
          <w:rFonts w:hint="eastAsia" w:ascii="宋体" w:hAnsi="宋体" w:cs="宋体"/>
          <w:color w:val="auto"/>
          <w:lang w:val="en-US"/>
        </w:rPr>
        <w:t>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360" w:lineRule="auto"/>
        <w:jc w:val="right"/>
        <w:rPr>
          <w:rFonts w:hint="eastAsia" w:ascii="宋体" w:hAnsi="宋体" w:cs="宋体"/>
          <w:color w:val="auto"/>
        </w:rPr>
      </w:pPr>
      <w:r>
        <w:rPr>
          <w:rFonts w:hint="eastAsia" w:ascii="宋体" w:hAnsi="宋体" w:cs="宋体"/>
          <w:color w:val="auto"/>
        </w:rPr>
        <w:t>　</w:t>
      </w:r>
      <w:r>
        <w:rPr>
          <w:rFonts w:hint="eastAsia" w:ascii="宋体" w:hAnsi="宋体" w:cs="宋体"/>
          <w:color w:val="auto"/>
          <w:u w:val="single"/>
        </w:rPr>
        <w:t xml:space="preserve">      </w:t>
      </w:r>
      <w:r>
        <w:rPr>
          <w:rFonts w:hint="eastAsia" w:ascii="宋体" w:hAnsi="宋体" w:cs="宋体"/>
          <w:color w:val="auto"/>
        </w:rPr>
        <w:t xml:space="preserve">年 </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360" w:lineRule="auto"/>
        <w:ind w:firstLine="420" w:firstLineChars="175"/>
        <w:rPr>
          <w:rFonts w:ascii="宋体" w:hAnsi="宋体" w:cs="宋体"/>
          <w:color w:val="auto"/>
        </w:rPr>
      </w:pPr>
      <w:r>
        <w:rPr>
          <w:rFonts w:hint="eastAsia" w:ascii="宋体" w:hAnsi="宋体" w:cs="宋体"/>
          <w:color w:val="auto"/>
        </w:rPr>
        <w:t>招标公告附件</w:t>
      </w:r>
      <w:r>
        <w:rPr>
          <w:rStyle w:val="101"/>
          <w:rFonts w:ascii="宋体" w:hAnsi="宋体" w:cs="宋体"/>
          <w:color w:val="auto"/>
        </w:rPr>
        <w:footnoteReference w:id="14"/>
      </w:r>
      <w:r>
        <w:rPr>
          <w:rFonts w:hint="eastAsia" w:ascii="宋体" w:hAnsi="宋体" w:cs="宋体"/>
          <w:color w:val="auto"/>
        </w:rPr>
        <w:t>：</w:t>
      </w:r>
    </w:p>
    <w:p>
      <w:pPr>
        <w:spacing w:line="360" w:lineRule="auto"/>
        <w:ind w:firstLine="420" w:firstLineChars="175"/>
        <w:rPr>
          <w:rFonts w:ascii="宋体" w:hAnsi="宋体" w:cs="宋体"/>
          <w:color w:val="auto"/>
        </w:rPr>
      </w:pPr>
      <w:r>
        <w:rPr>
          <w:rFonts w:hint="eastAsia" w:ascii="宋体" w:hAnsi="宋体" w:cs="宋体"/>
          <w:color w:val="auto"/>
        </w:rPr>
        <w:t>附件1：资格审查条件</w:t>
      </w:r>
    </w:p>
    <w:p>
      <w:pPr>
        <w:spacing w:line="360" w:lineRule="auto"/>
        <w:ind w:firstLine="420" w:firstLineChars="175"/>
        <w:rPr>
          <w:rFonts w:hint="eastAsia" w:ascii="宋体" w:hAnsi="宋体" w:cs="宋体"/>
          <w:color w:val="auto"/>
        </w:rPr>
      </w:pPr>
      <w:r>
        <w:rPr>
          <w:rFonts w:hint="eastAsia" w:ascii="宋体" w:hAnsi="宋体" w:cs="宋体"/>
          <w:color w:val="auto"/>
        </w:rPr>
        <w:t>附件2：评标办法</w:t>
      </w:r>
    </w:p>
    <w:p>
      <w:pPr>
        <w:spacing w:line="360" w:lineRule="auto"/>
        <w:rPr>
          <w:rFonts w:hint="eastAsia" w:ascii="宋体" w:hAnsi="宋体" w:cs="宋体"/>
          <w:color w:val="auto"/>
        </w:rPr>
      </w:pPr>
    </w:p>
    <w:p>
      <w:pPr>
        <w:pStyle w:val="620"/>
        <w:shd w:val="clear" w:color="auto" w:fill="auto"/>
        <w:spacing w:line="360" w:lineRule="auto"/>
        <w:jc w:val="center"/>
        <w:rPr>
          <w:rStyle w:val="233"/>
          <w:rFonts w:ascii="宋体" w:hAnsi="宋体" w:eastAsia="宋体"/>
          <w:sz w:val="36"/>
          <w:szCs w:val="36"/>
        </w:rPr>
      </w:pPr>
      <w:bookmarkStart w:id="16" w:name="bookmark13"/>
      <w:r>
        <w:rPr>
          <w:rStyle w:val="233"/>
          <w:rFonts w:ascii="宋体" w:hAnsi="宋体" w:eastAsia="宋体" w:cs="宋体"/>
          <w:sz w:val="24"/>
          <w:szCs w:val="24"/>
        </w:rPr>
        <w:br w:type="page"/>
      </w:r>
      <w:r>
        <w:rPr>
          <w:rStyle w:val="233"/>
          <w:rFonts w:hint="eastAsia" w:ascii="宋体" w:hAnsi="宋体" w:eastAsia="宋体"/>
          <w:b/>
          <w:bCs/>
          <w:sz w:val="36"/>
          <w:szCs w:val="36"/>
        </w:rPr>
        <w:t>第一章 投标邀请书</w:t>
      </w:r>
      <w:bookmarkEnd w:id="16"/>
      <w:r>
        <w:rPr>
          <w:rStyle w:val="101"/>
          <w:rFonts w:hint="eastAsia" w:ascii="宋体" w:hAnsi="宋体" w:eastAsia="宋体"/>
          <w:spacing w:val="0"/>
          <w:sz w:val="30"/>
          <w:szCs w:val="24"/>
          <w:lang w:val="zh-CN" w:eastAsia="zh-CN"/>
        </w:rPr>
        <w:footnoteReference w:id="15"/>
      </w:r>
    </w:p>
    <w:p>
      <w:pPr>
        <w:jc w:val="center"/>
        <w:rPr>
          <w:rFonts w:hint="eastAsia"/>
          <w:color w:val="auto"/>
          <w:sz w:val="28"/>
          <w:szCs w:val="28"/>
          <w:u w:val="single"/>
        </w:rPr>
      </w:pPr>
      <w:bookmarkStart w:id="17" w:name="bookmark14"/>
      <w:r>
        <w:rPr>
          <w:color w:val="auto"/>
          <w:sz w:val="28"/>
          <w:szCs w:val="28"/>
          <w:u w:val="single"/>
        </w:rPr>
        <w:tab/>
      </w:r>
      <w:r>
        <w:rPr>
          <w:color w:val="auto"/>
          <w:sz w:val="28"/>
          <w:szCs w:val="28"/>
          <w:u w:val="single"/>
        </w:rPr>
        <w:t>(</w:t>
      </w:r>
      <w:r>
        <w:rPr>
          <w:rFonts w:hint="eastAsia"/>
          <w:color w:val="auto"/>
          <w:sz w:val="28"/>
          <w:szCs w:val="28"/>
          <w:u w:val="single"/>
        </w:rPr>
        <w:t>项目名称）</w:t>
      </w:r>
      <w:r>
        <w:rPr>
          <w:color w:val="auto"/>
          <w:sz w:val="28"/>
          <w:szCs w:val="28"/>
          <w:u w:val="single"/>
        </w:rPr>
        <w:tab/>
      </w:r>
      <w:r>
        <w:rPr>
          <w:rFonts w:hint="eastAsia"/>
          <w:color w:val="auto"/>
          <w:sz w:val="28"/>
          <w:szCs w:val="28"/>
          <w:u w:val="single"/>
        </w:rPr>
        <w:t>标类（或标段）（勘察、设计或勘察设计）</w:t>
      </w:r>
    </w:p>
    <w:p>
      <w:pPr>
        <w:jc w:val="center"/>
        <w:rPr>
          <w:rFonts w:ascii="宋体" w:hAnsi="宋体"/>
          <w:color w:val="auto"/>
          <w:sz w:val="28"/>
          <w:szCs w:val="28"/>
          <w:u w:val="single"/>
        </w:rPr>
      </w:pPr>
      <w:r>
        <w:rPr>
          <w:rFonts w:hint="eastAsia"/>
          <w:color w:val="auto"/>
          <w:sz w:val="28"/>
          <w:szCs w:val="28"/>
        </w:rPr>
        <w:t>投标邀请书</w:t>
      </w:r>
      <w:bookmarkEnd w:id="17"/>
    </w:p>
    <w:p>
      <w:pPr>
        <w:pStyle w:val="215"/>
        <w:shd w:val="clear" w:color="auto" w:fill="auto"/>
        <w:tabs>
          <w:tab w:val="left" w:leader="underscore" w:pos="1762"/>
        </w:tabs>
        <w:spacing w:before="0" w:line="360" w:lineRule="auto"/>
        <w:jc w:val="both"/>
        <w:rPr>
          <w:rStyle w:val="214"/>
          <w:rFonts w:ascii="宋体" w:hAnsi="宋体" w:eastAsia="宋体"/>
        </w:rPr>
      </w:pPr>
    </w:p>
    <w:p>
      <w:pPr>
        <w:pStyle w:val="215"/>
        <w:shd w:val="clear" w:color="auto" w:fill="auto"/>
        <w:tabs>
          <w:tab w:val="left" w:leader="underscore" w:pos="1762"/>
        </w:tabs>
        <w:spacing w:before="0" w:line="360" w:lineRule="auto"/>
        <w:jc w:val="both"/>
        <w:rPr>
          <w:rFonts w:hint="eastAsia" w:ascii="宋体" w:hAnsi="宋体" w:eastAsia="宋体" w:cs="宋体"/>
          <w:sz w:val="24"/>
          <w:szCs w:val="24"/>
        </w:rPr>
      </w:pPr>
      <w:r>
        <w:rPr>
          <w:rStyle w:val="214"/>
          <w:rFonts w:hint="eastAsia" w:ascii="宋体" w:hAnsi="宋体" w:eastAsia="宋体" w:cs="宋体"/>
          <w:sz w:val="24"/>
          <w:szCs w:val="24"/>
        </w:rPr>
        <w:tab/>
      </w:r>
      <w:r>
        <w:rPr>
          <w:rStyle w:val="214"/>
          <w:rFonts w:hint="eastAsia" w:ascii="宋体" w:hAnsi="宋体" w:eastAsia="宋体" w:cs="宋体"/>
          <w:sz w:val="24"/>
          <w:szCs w:val="24"/>
        </w:rPr>
        <w:t>(被邀请单位名称)：</w:t>
      </w:r>
    </w:p>
    <w:p>
      <w:pPr>
        <w:pStyle w:val="84"/>
        <w:snapToGrid w:val="0"/>
        <w:spacing w:line="360" w:lineRule="auto"/>
        <w:jc w:val="left"/>
        <w:outlineLvl w:val="1"/>
        <w:rPr>
          <w:rFonts w:hint="eastAsia" w:ascii="宋体" w:hAnsi="宋体"/>
          <w:sz w:val="21"/>
          <w:szCs w:val="13"/>
        </w:rPr>
      </w:pPr>
      <w:bookmarkStart w:id="18" w:name="bookmark15"/>
      <w:r>
        <w:rPr>
          <w:rFonts w:hint="eastAsia" w:ascii="宋体" w:hAnsi="宋体"/>
          <w:bCs/>
          <w:sz w:val="24"/>
          <w:szCs w:val="13"/>
        </w:rPr>
        <w:t>1.招标条件</w:t>
      </w:r>
      <w:bookmarkEnd w:id="18"/>
    </w:p>
    <w:p>
      <w:pPr>
        <w:pStyle w:val="215"/>
        <w:shd w:val="clear" w:color="auto" w:fill="auto"/>
        <w:tabs>
          <w:tab w:val="left" w:leader="underscore" w:pos="2038"/>
          <w:tab w:val="left" w:leader="underscore" w:pos="4834"/>
        </w:tabs>
        <w:spacing w:before="0" w:line="360" w:lineRule="auto"/>
        <w:ind w:firstLine="480" w:firstLineChars="200"/>
        <w:jc w:val="left"/>
        <w:rPr>
          <w:rStyle w:val="214"/>
          <w:rFonts w:hint="eastAsia" w:ascii="宋体" w:hAnsi="宋体" w:eastAsia="宋体" w:cs="宋体"/>
          <w:spacing w:val="0"/>
          <w:sz w:val="24"/>
          <w:szCs w:val="24"/>
        </w:rPr>
      </w:pPr>
      <w:r>
        <w:rPr>
          <w:rFonts w:hint="eastAsia" w:ascii="宋体" w:hAnsi="宋体" w:eastAsia="宋体" w:cs="宋体"/>
          <w:spacing w:val="0"/>
          <w:sz w:val="24"/>
          <w:szCs w:val="24"/>
        </w:rPr>
        <w:t>本招标项目</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(项目名称)已由</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(项目审批、核准或备案机关名称)以</w:t>
      </w:r>
      <w:r>
        <w:rPr>
          <w:rFonts w:hint="eastAsia" w:ascii="宋体" w:hAnsi="宋体" w:eastAsia="宋体" w:cs="宋体"/>
          <w:spacing w:val="0"/>
          <w:sz w:val="24"/>
          <w:szCs w:val="24"/>
          <w:u w:val="single"/>
        </w:rPr>
        <w:t xml:space="preserve">              </w:t>
      </w:r>
      <w:r>
        <w:rPr>
          <w:rFonts w:ascii="宋体" w:hAnsi="宋体" w:eastAsia="宋体"/>
          <w:spacing w:val="0"/>
          <w:sz w:val="24"/>
          <w:szCs w:val="24"/>
        </w:rPr>
        <w:t>(批文名称及编号)批准建设，</w:t>
      </w:r>
      <w:r>
        <w:rPr>
          <w:rFonts w:hint="eastAsia" w:ascii="宋体" w:hAnsi="宋体" w:eastAsia="宋体" w:cs="宋体"/>
          <w:spacing w:val="0"/>
          <w:sz w:val="24"/>
          <w:szCs w:val="24"/>
        </w:rPr>
        <w:t>项目业主为</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，建设资金来自</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(资金来源)，项目出资比例为</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 xml:space="preserve">，招标人为 </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。项目已具备招标条件</w:t>
      </w:r>
      <w:r>
        <w:rPr>
          <w:rStyle w:val="214"/>
          <w:rFonts w:hint="eastAsia" w:ascii="宋体" w:hAnsi="宋体" w:eastAsia="宋体" w:cs="宋体"/>
          <w:spacing w:val="0"/>
          <w:sz w:val="24"/>
          <w:szCs w:val="24"/>
        </w:rPr>
        <w:t>现邀请你单位参加</w:t>
      </w:r>
      <w:r>
        <w:rPr>
          <w:rStyle w:val="214"/>
          <w:rFonts w:hint="eastAsia" w:ascii="宋体" w:hAnsi="宋体" w:eastAsia="宋体" w:cs="宋体"/>
          <w:spacing w:val="0"/>
          <w:sz w:val="24"/>
          <w:szCs w:val="24"/>
          <w:u w:val="single"/>
        </w:rPr>
        <w:t xml:space="preserve">   </w:t>
      </w:r>
      <w:r>
        <w:rPr>
          <w:rStyle w:val="214"/>
          <w:rFonts w:hint="eastAsia" w:ascii="宋体" w:hAnsi="宋体" w:eastAsia="宋体" w:cs="宋体"/>
          <w:spacing w:val="0"/>
          <w:sz w:val="24"/>
          <w:szCs w:val="24"/>
          <w:u w:val="single"/>
          <w:lang w:val="en-US" w:eastAsia="zh-CN"/>
        </w:rPr>
        <w:t xml:space="preserve">   </w:t>
      </w:r>
      <w:r>
        <w:rPr>
          <w:rStyle w:val="214"/>
          <w:rFonts w:hint="eastAsia" w:ascii="宋体" w:hAnsi="宋体" w:eastAsia="宋体" w:cs="宋体"/>
          <w:spacing w:val="0"/>
          <w:sz w:val="24"/>
          <w:szCs w:val="24"/>
          <w:u w:val="single"/>
        </w:rPr>
        <w:t xml:space="preserve">  (项目名称）   </w:t>
      </w:r>
      <w:r>
        <w:rPr>
          <w:rStyle w:val="214"/>
          <w:rFonts w:hint="eastAsia" w:ascii="宋体" w:hAnsi="宋体" w:eastAsia="宋体" w:cs="宋体"/>
          <w:spacing w:val="0"/>
          <w:sz w:val="24"/>
          <w:szCs w:val="24"/>
          <w:u w:val="single"/>
          <w:lang w:eastAsia="zh-CN"/>
        </w:rPr>
        <w:t>标类（或标段）</w:t>
      </w:r>
      <w:r>
        <w:rPr>
          <w:rStyle w:val="214"/>
          <w:rFonts w:hint="eastAsia" w:ascii="宋体" w:hAnsi="宋体" w:eastAsia="宋体" w:cs="宋体"/>
          <w:spacing w:val="0"/>
          <w:sz w:val="24"/>
          <w:szCs w:val="24"/>
          <w:u w:val="single"/>
        </w:rPr>
        <w:t>（勘察、设计或勘察设计）</w:t>
      </w:r>
      <w:r>
        <w:rPr>
          <w:rStyle w:val="214"/>
          <w:rFonts w:hint="eastAsia" w:ascii="宋体" w:hAnsi="宋体" w:eastAsia="宋体" w:cs="宋体"/>
          <w:spacing w:val="0"/>
          <w:sz w:val="24"/>
          <w:szCs w:val="24"/>
        </w:rPr>
        <w:t>投标。</w:t>
      </w:r>
    </w:p>
    <w:p>
      <w:pPr>
        <w:pStyle w:val="84"/>
        <w:snapToGrid w:val="0"/>
        <w:spacing w:line="360" w:lineRule="auto"/>
        <w:jc w:val="left"/>
        <w:outlineLvl w:val="1"/>
        <w:rPr>
          <w:rFonts w:hint="eastAsia" w:ascii="宋体" w:hAnsi="宋体"/>
          <w:bCs/>
          <w:sz w:val="21"/>
          <w:szCs w:val="10"/>
        </w:rPr>
      </w:pPr>
      <w:bookmarkStart w:id="19" w:name="bookmark16"/>
      <w:r>
        <w:rPr>
          <w:rFonts w:hint="eastAsia" w:ascii="宋体" w:hAnsi="宋体"/>
          <w:sz w:val="24"/>
          <w:szCs w:val="10"/>
        </w:rPr>
        <w:t>2.项目概况与招标范围</w:t>
      </w:r>
      <w:bookmarkEnd w:id="19"/>
    </w:p>
    <w:p>
      <w:pPr>
        <w:pStyle w:val="813"/>
        <w:topLinePunct/>
        <w:spacing w:line="360" w:lineRule="auto"/>
        <w:ind w:firstLine="480"/>
        <w:rPr>
          <w:rStyle w:val="214"/>
          <w:rFonts w:hint="eastAsia" w:ascii="宋体" w:hAnsi="宋体" w:eastAsia="宋体" w:cs="宋体"/>
          <w:color w:val="auto"/>
          <w:sz w:val="24"/>
          <w:szCs w:val="24"/>
        </w:rPr>
      </w:pPr>
      <w:r>
        <w:rPr>
          <w:rFonts w:hint="eastAsia" w:ascii="宋体" w:hAnsi="宋体" w:cs="宋体"/>
          <w:color w:val="auto"/>
        </w:rPr>
        <w:t>2.1</w:t>
      </w:r>
      <w:r>
        <w:rPr>
          <w:rFonts w:hint="eastAsia" w:ascii="宋体" w:hAnsi="宋体" w:cs="宋体"/>
          <w:bCs/>
          <w:color w:val="auto"/>
        </w:rPr>
        <w:t>项目概况：</w:t>
      </w:r>
      <w:r>
        <w:rPr>
          <w:rStyle w:val="214"/>
          <w:rFonts w:hint="eastAsia" w:ascii="宋体" w:hAnsi="宋体" w:eastAsia="宋体" w:cs="宋体"/>
          <w:color w:val="auto"/>
          <w:sz w:val="24"/>
          <w:szCs w:val="24"/>
          <w:u w:val="single"/>
        </w:rPr>
        <w:t xml:space="preserve">         </w:t>
      </w:r>
      <w:r>
        <w:rPr>
          <w:rStyle w:val="214"/>
          <w:rFonts w:hint="eastAsia" w:ascii="宋体" w:hAnsi="宋体" w:eastAsia="宋体" w:cs="宋体"/>
          <w:color w:val="auto"/>
          <w:sz w:val="24"/>
          <w:szCs w:val="24"/>
        </w:rPr>
        <w:t>(说明本次招标项目的建设地点、规模、最高投标限价等）。</w:t>
      </w:r>
    </w:p>
    <w:p>
      <w:pPr>
        <w:pStyle w:val="813"/>
        <w:topLinePunct/>
        <w:spacing w:line="360" w:lineRule="auto"/>
        <w:ind w:firstLine="480"/>
        <w:rPr>
          <w:rFonts w:ascii="宋体" w:hAnsi="宋体" w:cs="宋体"/>
          <w:color w:val="auto"/>
          <w:lang w:val="en-US"/>
        </w:rPr>
      </w:pPr>
      <w:r>
        <w:rPr>
          <w:rFonts w:hint="eastAsia" w:ascii="宋体" w:hAnsi="宋体" w:cs="宋体"/>
          <w:color w:val="auto"/>
          <w:lang w:val="en-US"/>
        </w:rPr>
        <w:t>2.2勘察设计服务期限：</w:t>
      </w:r>
      <w:r>
        <w:rPr>
          <w:rFonts w:hint="eastAsia" w:ascii="宋体" w:hAnsi="宋体" w:cs="宋体"/>
          <w:color w:val="auto"/>
          <w:u w:val="single"/>
          <w:lang w:val="en-US"/>
        </w:rPr>
        <w:t xml:space="preserve">         </w:t>
      </w:r>
      <w:r>
        <w:rPr>
          <w:rFonts w:hint="eastAsia" w:ascii="宋体" w:hAnsi="宋体" w:cs="宋体"/>
          <w:color w:val="auto"/>
          <w:lang w:val="en-US"/>
        </w:rPr>
        <w:t>(说明勘察周期、设计周期）。</w:t>
      </w:r>
    </w:p>
    <w:p>
      <w:pPr>
        <w:topLinePunct/>
        <w:spacing w:line="360" w:lineRule="auto"/>
        <w:ind w:firstLine="480" w:firstLineChars="200"/>
        <w:rPr>
          <w:rFonts w:hint="eastAsia" w:ascii="宋体" w:hAnsi="宋体" w:cs="宋体"/>
          <w:bCs/>
          <w:color w:val="auto"/>
        </w:rPr>
      </w:pPr>
      <w:r>
        <w:rPr>
          <w:rFonts w:hint="eastAsia" w:ascii="宋体" w:hAnsi="宋体" w:cs="宋体"/>
          <w:bCs/>
          <w:color w:val="auto"/>
        </w:rPr>
        <w:t>2.</w:t>
      </w:r>
      <w:r>
        <w:rPr>
          <w:rFonts w:hint="eastAsia" w:ascii="宋体" w:hAnsi="宋体" w:cs="宋体"/>
          <w:bCs/>
          <w:color w:val="auto"/>
          <w:lang w:val="en-US"/>
        </w:rPr>
        <w:t>3招标范围及</w:t>
      </w:r>
      <w:r>
        <w:rPr>
          <w:rFonts w:hint="eastAsia" w:ascii="宋体" w:hAnsi="宋体" w:cs="宋体"/>
          <w:bCs/>
          <w:color w:val="auto"/>
        </w:rPr>
        <w:t>标段划分</w:t>
      </w:r>
    </w:p>
    <w:p>
      <w:pPr>
        <w:topLinePunct/>
        <w:spacing w:line="360" w:lineRule="auto"/>
        <w:ind w:firstLine="480" w:firstLineChars="200"/>
        <w:rPr>
          <w:rFonts w:hint="eastAsia" w:ascii="宋体" w:hAnsi="宋体" w:cs="宋体"/>
          <w:color w:val="auto"/>
        </w:rPr>
      </w:pPr>
      <w:r>
        <w:rPr>
          <w:rFonts w:hint="eastAsia" w:ascii="宋体" w:hAnsi="宋体" w:cs="宋体"/>
          <w:bCs/>
          <w:color w:val="auto"/>
        </w:rPr>
        <w:t>本次招标共分</w:t>
      </w:r>
      <w:r>
        <w:rPr>
          <w:rFonts w:hint="eastAsia" w:ascii="宋体" w:hAnsi="宋体" w:cs="宋体"/>
          <w:bCs/>
          <w:color w:val="auto"/>
          <w:u w:val="single"/>
        </w:rPr>
        <w:t xml:space="preserve">   </w:t>
      </w:r>
      <w:r>
        <w:rPr>
          <w:rFonts w:hint="eastAsia" w:ascii="宋体" w:hAnsi="宋体" w:cs="宋体"/>
          <w:bCs/>
          <w:color w:val="auto"/>
        </w:rPr>
        <w:t>个标类</w:t>
      </w:r>
      <w:r>
        <w:rPr>
          <w:rFonts w:hint="eastAsia" w:ascii="宋体" w:hAnsi="宋体" w:cs="宋体"/>
          <w:bCs/>
          <w:color w:val="auto"/>
          <w:u w:val="single"/>
        </w:rPr>
        <w:t xml:space="preserve">   </w:t>
      </w:r>
      <w:r>
        <w:rPr>
          <w:rFonts w:hint="eastAsia" w:ascii="宋体" w:hAnsi="宋体" w:cs="宋体"/>
          <w:bCs/>
          <w:color w:val="auto"/>
        </w:rPr>
        <w:t>个标段。具体见附件1。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117"/>
        <w:gridCol w:w="1850"/>
        <w:gridCol w:w="2217"/>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94"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bCs/>
                <w:color w:val="auto"/>
                <w:spacing w:val="-4"/>
              </w:rPr>
            </w:pPr>
            <w:r>
              <w:rPr>
                <w:rFonts w:hint="eastAsia" w:ascii="宋体" w:hAnsi="宋体"/>
                <w:bCs/>
                <w:color w:val="auto"/>
                <w:spacing w:val="-4"/>
              </w:rPr>
              <w:t>标段类别</w:t>
            </w:r>
          </w:p>
        </w:tc>
        <w:tc>
          <w:tcPr>
            <w:tcW w:w="111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标段</w:t>
            </w:r>
          </w:p>
        </w:tc>
        <w:tc>
          <w:tcPr>
            <w:tcW w:w="18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主要工程项目</w:t>
            </w:r>
          </w:p>
        </w:tc>
        <w:tc>
          <w:tcPr>
            <w:tcW w:w="221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spacing w:val="-4"/>
              </w:rPr>
            </w:pPr>
            <w:r>
              <w:rPr>
                <w:rFonts w:hint="eastAsia" w:ascii="宋体" w:hAnsi="宋体"/>
                <w:color w:val="auto"/>
                <w:spacing w:val="-4"/>
              </w:rPr>
              <w:t>对投标人资质要求</w:t>
            </w:r>
          </w:p>
        </w:tc>
        <w:tc>
          <w:tcPr>
            <w:tcW w:w="2233"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spacing w:val="-4"/>
              </w:rPr>
            </w:pPr>
            <w:r>
              <w:rPr>
                <w:rFonts w:hint="eastAsia" w:ascii="宋体" w:hAnsi="宋体"/>
                <w:color w:val="auto"/>
                <w:spacing w:val="-4"/>
              </w:rPr>
              <w:t>备</w:t>
            </w:r>
            <w:r>
              <w:rPr>
                <w:rFonts w:hint="default" w:ascii="宋体" w:hAnsi="宋体"/>
                <w:color w:val="auto"/>
                <w:spacing w:val="-4"/>
              </w:rPr>
              <w:t xml:space="preserve">    </w:t>
            </w:r>
            <w:r>
              <w:rPr>
                <w:rFonts w:hint="eastAsia" w:ascii="宋体" w:hAnsi="宋体"/>
                <w:color w:val="auto"/>
                <w:spacing w:val="-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9111" w:type="dxa"/>
            <w:gridSpan w:val="5"/>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lang w:val="en-US"/>
              </w:rPr>
            </w:pPr>
            <w:r>
              <w:rPr>
                <w:rFonts w:hint="eastAsia" w:ascii="宋体" w:hAnsi="宋体"/>
                <w:color w:val="auto"/>
                <w:lang w:val="en-US"/>
              </w:rPr>
              <w:t>详见第一章招标公告2.3条</w:t>
            </w:r>
          </w:p>
        </w:tc>
      </w:tr>
    </w:tbl>
    <w:p>
      <w:pPr>
        <w:pStyle w:val="84"/>
        <w:snapToGrid w:val="0"/>
        <w:spacing w:line="360" w:lineRule="auto"/>
        <w:jc w:val="left"/>
        <w:outlineLvl w:val="1"/>
        <w:rPr>
          <w:rFonts w:hint="eastAsia" w:ascii="宋体" w:hAnsi="宋体"/>
          <w:bCs/>
          <w:sz w:val="21"/>
          <w:szCs w:val="2"/>
        </w:rPr>
      </w:pPr>
      <w:bookmarkStart w:id="20" w:name="bookmark17"/>
      <w:r>
        <w:rPr>
          <w:rFonts w:hint="eastAsia" w:ascii="宋体" w:hAnsi="宋体"/>
          <w:sz w:val="24"/>
          <w:szCs w:val="2"/>
        </w:rPr>
        <w:t>3.投标人资格要求</w:t>
      </w:r>
      <w:bookmarkEnd w:id="20"/>
    </w:p>
    <w:p>
      <w:pPr>
        <w:pStyle w:val="215"/>
        <w:shd w:val="clear" w:color="auto" w:fill="auto"/>
        <w:tabs>
          <w:tab w:val="left" w:leader="underscore" w:pos="4834"/>
          <w:tab w:val="left" w:leader="underscore" w:pos="6728"/>
        </w:tabs>
        <w:spacing w:before="0" w:line="360" w:lineRule="auto"/>
        <w:ind w:firstLine="480" w:firstLineChars="200"/>
        <w:jc w:val="left"/>
        <w:rPr>
          <w:rFonts w:hint="eastAsia" w:ascii="宋体" w:hAnsi="宋体" w:eastAsia="宋体" w:cs="宋体"/>
          <w:spacing w:val="0"/>
          <w:sz w:val="24"/>
          <w:szCs w:val="24"/>
        </w:rPr>
      </w:pPr>
      <w:r>
        <w:rPr>
          <w:rStyle w:val="214"/>
          <w:rFonts w:hint="eastAsia" w:ascii="宋体" w:hAnsi="宋体" w:eastAsia="宋体" w:cs="宋体"/>
          <w:spacing w:val="0"/>
          <w:sz w:val="24"/>
          <w:szCs w:val="24"/>
        </w:rPr>
        <w:t>3.1本次招标要求投标人须具备</w:t>
      </w:r>
      <w:r>
        <w:rPr>
          <w:rFonts w:hint="eastAsia" w:ascii="宋体" w:hAnsi="宋体" w:eastAsia="宋体" w:cs="宋体"/>
          <w:spacing w:val="0"/>
          <w:sz w:val="24"/>
          <w:szCs w:val="24"/>
          <w:u w:val="single"/>
        </w:rPr>
        <w:t>上述第2.</w:t>
      </w:r>
      <w:r>
        <w:rPr>
          <w:rFonts w:hint="eastAsia" w:ascii="宋体" w:hAnsi="宋体" w:eastAsia="宋体" w:cs="宋体"/>
          <w:spacing w:val="0"/>
          <w:sz w:val="24"/>
          <w:szCs w:val="24"/>
          <w:u w:val="single"/>
          <w:lang w:val="en-US" w:eastAsia="zh-CN"/>
        </w:rPr>
        <w:t>3</w:t>
      </w:r>
      <w:r>
        <w:rPr>
          <w:rFonts w:hint="eastAsia" w:ascii="宋体" w:hAnsi="宋体" w:eastAsia="宋体" w:cs="宋体"/>
          <w:spacing w:val="0"/>
          <w:sz w:val="24"/>
          <w:szCs w:val="24"/>
          <w:u w:val="single"/>
        </w:rPr>
        <w:t>款表中所列相应</w:t>
      </w:r>
      <w:r>
        <w:rPr>
          <w:rStyle w:val="214"/>
          <w:rFonts w:hint="eastAsia" w:ascii="宋体" w:hAnsi="宋体" w:eastAsia="宋体" w:cs="宋体"/>
          <w:spacing w:val="0"/>
          <w:sz w:val="24"/>
          <w:szCs w:val="24"/>
        </w:rPr>
        <w:t>资质、业绩，并在</w:t>
      </w:r>
      <w:r>
        <w:rPr>
          <w:rStyle w:val="214"/>
          <w:rFonts w:hint="eastAsia" w:ascii="宋体" w:hAnsi="宋体" w:eastAsia="宋体" w:cs="宋体"/>
          <w:spacing w:val="0"/>
          <w:sz w:val="24"/>
          <w:szCs w:val="24"/>
          <w:u w:val="single"/>
        </w:rPr>
        <w:t>人员</w:t>
      </w:r>
      <w:r>
        <w:rPr>
          <w:rStyle w:val="214"/>
          <w:rFonts w:hint="eastAsia" w:ascii="宋体" w:hAnsi="宋体" w:eastAsia="宋体" w:cs="宋体"/>
          <w:spacing w:val="0"/>
          <w:sz w:val="24"/>
          <w:szCs w:val="24"/>
        </w:rPr>
        <w:t>等方面具有承担本标段</w:t>
      </w:r>
      <w:r>
        <w:rPr>
          <w:rStyle w:val="214"/>
          <w:rFonts w:hint="eastAsia" w:ascii="宋体" w:hAnsi="宋体" w:eastAsia="宋体" w:cs="宋体"/>
          <w:spacing w:val="0"/>
          <w:sz w:val="24"/>
          <w:szCs w:val="24"/>
          <w:lang w:val="en-US" w:eastAsia="zh-CN"/>
        </w:rPr>
        <w:t>勘察设计</w:t>
      </w:r>
      <w:r>
        <w:rPr>
          <w:rStyle w:val="214"/>
          <w:rFonts w:hint="eastAsia" w:ascii="宋体" w:hAnsi="宋体" w:eastAsia="宋体" w:cs="宋体"/>
          <w:spacing w:val="0"/>
          <w:sz w:val="24"/>
          <w:szCs w:val="24"/>
        </w:rPr>
        <w:t>的能力。</w:t>
      </w:r>
    </w:p>
    <w:p>
      <w:pPr>
        <w:pStyle w:val="215"/>
        <w:shd w:val="clear" w:color="auto" w:fill="auto"/>
        <w:tabs>
          <w:tab w:val="left" w:leader="underscore" w:pos="2762"/>
        </w:tabs>
        <w:spacing w:before="0" w:line="360" w:lineRule="auto"/>
        <w:ind w:firstLine="480" w:firstLineChars="200"/>
        <w:jc w:val="left"/>
        <w:rPr>
          <w:rStyle w:val="214"/>
          <w:rFonts w:hint="eastAsia" w:ascii="宋体" w:hAnsi="宋体" w:eastAsia="宋体" w:cs="宋体"/>
          <w:spacing w:val="0"/>
          <w:sz w:val="24"/>
          <w:szCs w:val="24"/>
          <w:vertAlign w:val="subscript"/>
          <w:lang w:val="en-US" w:eastAsia="zh-CN"/>
        </w:rPr>
      </w:pPr>
      <w:r>
        <w:rPr>
          <w:rStyle w:val="214"/>
          <w:rFonts w:hint="eastAsia" w:ascii="宋体" w:hAnsi="宋体" w:eastAsia="宋体" w:cs="宋体"/>
          <w:spacing w:val="0"/>
          <w:sz w:val="24"/>
          <w:szCs w:val="24"/>
        </w:rPr>
        <w:t>3.2</w:t>
      </w:r>
      <w:r>
        <w:rPr>
          <w:rStyle w:val="101"/>
          <w:rFonts w:ascii="宋体" w:hAnsi="宋体" w:eastAsia="宋体"/>
          <w:spacing w:val="0"/>
          <w:sz w:val="30"/>
          <w:szCs w:val="24"/>
          <w:lang w:val="en-US"/>
        </w:rPr>
        <w:footnoteReference w:id="16"/>
      </w:r>
      <w:r>
        <w:rPr>
          <w:rStyle w:val="214"/>
          <w:rFonts w:hint="eastAsia" w:ascii="宋体" w:hAnsi="宋体" w:eastAsia="宋体" w:cs="宋体"/>
          <w:spacing w:val="0"/>
          <w:sz w:val="24"/>
          <w:szCs w:val="24"/>
        </w:rPr>
        <w:t>本次招标</w:t>
      </w:r>
      <w:r>
        <w:rPr>
          <w:rStyle w:val="214"/>
          <w:rFonts w:hint="eastAsia" w:ascii="宋体" w:hAnsi="宋体" w:eastAsia="宋体" w:cs="宋体"/>
          <w:spacing w:val="0"/>
          <w:sz w:val="24"/>
          <w:szCs w:val="24"/>
          <w:u w:val="single"/>
        </w:rPr>
        <w:t xml:space="preserve">     </w:t>
      </w:r>
      <w:r>
        <w:rPr>
          <w:rStyle w:val="214"/>
          <w:rFonts w:hint="eastAsia" w:ascii="宋体" w:hAnsi="宋体" w:eastAsia="宋体" w:cs="宋体"/>
          <w:spacing w:val="0"/>
          <w:sz w:val="24"/>
          <w:szCs w:val="24"/>
          <w:u w:val="single"/>
          <w:lang w:val="en-US" w:eastAsia="zh-CN"/>
        </w:rPr>
        <w:t xml:space="preserve">   </w:t>
      </w:r>
      <w:r>
        <w:rPr>
          <w:rStyle w:val="214"/>
          <w:rFonts w:hint="eastAsia" w:ascii="宋体" w:hAnsi="宋体" w:eastAsia="宋体" w:cs="宋体"/>
          <w:spacing w:val="0"/>
          <w:sz w:val="24"/>
          <w:szCs w:val="24"/>
          <w:u w:val="single"/>
        </w:rPr>
        <w:t xml:space="preserve"> </w:t>
      </w:r>
      <w:r>
        <w:rPr>
          <w:rStyle w:val="214"/>
          <w:rFonts w:hint="eastAsia" w:ascii="宋体" w:hAnsi="宋体" w:eastAsia="宋体" w:cs="宋体"/>
          <w:spacing w:val="0"/>
          <w:sz w:val="24"/>
          <w:szCs w:val="24"/>
        </w:rPr>
        <w:t xml:space="preserve"> (接受或不接受）联合体投标。联合体投标的，应满足下列要求</w:t>
      </w:r>
      <w:r>
        <w:rPr>
          <w:rStyle w:val="214"/>
          <w:rFonts w:hint="eastAsia" w:ascii="宋体" w:hAnsi="宋体" w:eastAsia="宋体" w:cs="宋体"/>
          <w:spacing w:val="0"/>
          <w:sz w:val="24"/>
          <w:szCs w:val="24"/>
          <w:lang w:val="en-US" w:eastAsia="zh-CN"/>
        </w:rPr>
        <w:t>:</w:t>
      </w:r>
    </w:p>
    <w:p>
      <w:pPr>
        <w:tabs>
          <w:tab w:val="left" w:pos="1014"/>
        </w:tabs>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lang w:val="en-US"/>
        </w:rPr>
        <w:t>（1）</w:t>
      </w:r>
      <w:r>
        <w:rPr>
          <w:rFonts w:hint="eastAsia" w:ascii="宋体" w:hAnsi="宋体" w:cs="宋体"/>
          <w:color w:val="auto"/>
          <w:kern w:val="2"/>
        </w:rPr>
        <w:t>联合体各方应按招标文件提供的格式签订联合体协议书，明确联合体牵头人和各方权利义务，并承诺就中标项目向招标人承担连带责任；</w:t>
      </w:r>
    </w:p>
    <w:p>
      <w:pPr>
        <w:tabs>
          <w:tab w:val="left" w:pos="1014"/>
        </w:tabs>
        <w:spacing w:line="360" w:lineRule="auto"/>
        <w:ind w:firstLine="480" w:firstLineChars="200"/>
        <w:jc w:val="both"/>
        <w:rPr>
          <w:rFonts w:hint="eastAsia" w:ascii="宋体" w:hAnsi="宋体" w:cs="宋体"/>
          <w:color w:val="auto"/>
          <w:kern w:val="2"/>
          <w:lang w:val="en-US"/>
        </w:rPr>
      </w:pPr>
      <w:r>
        <w:rPr>
          <w:rFonts w:hint="eastAsia" w:ascii="宋体" w:hAnsi="宋体" w:cs="宋体"/>
          <w:color w:val="auto"/>
        </w:rPr>
        <w:t>（</w:t>
      </w:r>
      <w:r>
        <w:rPr>
          <w:rFonts w:hint="eastAsia" w:ascii="宋体" w:hAnsi="宋体" w:cs="宋体"/>
          <w:color w:val="auto"/>
          <w:lang w:val="en-US"/>
        </w:rPr>
        <w:t>2</w:t>
      </w:r>
      <w:r>
        <w:rPr>
          <w:rFonts w:hint="eastAsia" w:ascii="宋体" w:hAnsi="宋体" w:cs="宋体"/>
          <w:color w:val="auto"/>
        </w:rPr>
        <w:t>）</w:t>
      </w:r>
      <w:r>
        <w:rPr>
          <w:rFonts w:ascii="宋体" w:hAnsi="宋体" w:cs="宋体"/>
          <w:color w:val="auto"/>
          <w:kern w:val="2"/>
        </w:rPr>
        <w:t>由同一专业的单位组成的联合体</w:t>
      </w:r>
      <w:r>
        <w:rPr>
          <w:rFonts w:hint="eastAsia" w:ascii="宋体" w:hAnsi="宋体" w:cs="宋体"/>
          <w:color w:val="auto"/>
          <w:kern w:val="2"/>
        </w:rPr>
        <w:t>，按照资质等级较低的单位确定资质等级；</w:t>
      </w:r>
      <w:r>
        <w:rPr>
          <w:rStyle w:val="101"/>
          <w:rFonts w:ascii="宋体" w:hAnsi="宋体" w:cs="Times New Roman"/>
          <w:color w:val="auto"/>
          <w:sz w:val="30"/>
          <w:lang w:val="en-US"/>
        </w:rPr>
        <w:footnoteReference w:id="17"/>
      </w:r>
    </w:p>
    <w:p>
      <w:pPr>
        <w:tabs>
          <w:tab w:val="left" w:pos="540"/>
          <w:tab w:val="left" w:pos="720"/>
        </w:tabs>
        <w:spacing w:line="360" w:lineRule="auto"/>
        <w:ind w:firstLine="480" w:firstLineChars="200"/>
        <w:rPr>
          <w:rFonts w:hint="eastAsia" w:ascii="宋体" w:hAnsi="宋体" w:cs="宋体"/>
          <w:color w:val="auto"/>
          <w:kern w:val="2"/>
        </w:rPr>
      </w:pPr>
      <w:r>
        <w:rPr>
          <w:rFonts w:hint="eastAsia" w:ascii="宋体" w:hAnsi="宋体" w:cs="宋体"/>
          <w:color w:val="auto"/>
        </w:rPr>
        <w:t>（</w:t>
      </w:r>
      <w:r>
        <w:rPr>
          <w:rFonts w:hint="eastAsia" w:ascii="宋体" w:hAnsi="宋体" w:cs="宋体"/>
          <w:color w:val="auto"/>
          <w:lang w:val="en-US"/>
        </w:rPr>
        <w:t>3</w:t>
      </w:r>
      <w:r>
        <w:rPr>
          <w:rFonts w:hint="eastAsia" w:ascii="宋体" w:hAnsi="宋体" w:cs="宋体"/>
          <w:color w:val="auto"/>
        </w:rPr>
        <w:t>）</w:t>
      </w:r>
      <w:r>
        <w:rPr>
          <w:rFonts w:hint="eastAsia" w:ascii="宋体" w:hAnsi="宋体" w:cs="宋体"/>
          <w:color w:val="auto"/>
          <w:kern w:val="2"/>
        </w:rPr>
        <w:t>联合体各方不得再以自己名义单独或参加其他联合体在同一标段中投标；</w:t>
      </w:r>
    </w:p>
    <w:p>
      <w:pPr>
        <w:pStyle w:val="31"/>
        <w:topLinePunct/>
        <w:spacing w:line="360" w:lineRule="auto"/>
        <w:ind w:firstLine="480" w:firstLineChars="200"/>
        <w:rPr>
          <w:rFonts w:hint="eastAsia"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4</w:t>
      </w:r>
      <w:r>
        <w:rPr>
          <w:rFonts w:hint="eastAsia" w:hAnsi="宋体" w:cs="宋体"/>
          <w:sz w:val="24"/>
          <w:szCs w:val="24"/>
          <w:lang w:eastAsia="zh-CN"/>
        </w:rPr>
        <w:t>）</w:t>
      </w:r>
      <w:r>
        <w:rPr>
          <w:rFonts w:hint="eastAsia" w:hAnsi="宋体" w:cs="宋体"/>
          <w:sz w:val="24"/>
          <w:szCs w:val="24"/>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可统一由联合体牵头人签字盖章；</w:t>
      </w:r>
    </w:p>
    <w:p>
      <w:pPr>
        <w:pStyle w:val="31"/>
        <w:topLinePunct/>
        <w:spacing w:line="360" w:lineRule="auto"/>
        <w:ind w:firstLine="480" w:firstLineChars="200"/>
        <w:rPr>
          <w:rFonts w:hint="eastAsia" w:hAnsi="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5</w:t>
      </w:r>
      <w:r>
        <w:rPr>
          <w:rFonts w:hint="eastAsia" w:hAnsi="宋体" w:cs="宋体"/>
          <w:sz w:val="24"/>
          <w:szCs w:val="24"/>
          <w:lang w:eastAsia="zh-CN"/>
        </w:rPr>
        <w:t>）</w:t>
      </w:r>
      <w:r>
        <w:rPr>
          <w:rFonts w:hint="eastAsia" w:ascii="Times New Roman" w:hAnsi="宋体" w:cs="宋体"/>
          <w:kern w:val="0"/>
          <w:sz w:val="24"/>
          <w:szCs w:val="24"/>
        </w:rPr>
        <w:t>尽管委任了联合体牵头人，但联合体各成员在投标、签订合同与履行合同过程中，仍负有连带的和各自的法律责任</w:t>
      </w:r>
      <w:r>
        <w:rPr>
          <w:rFonts w:hint="eastAsia" w:ascii="Times New Roman" w:hAnsi="宋体" w:cs="宋体"/>
          <w:kern w:val="0"/>
          <w:sz w:val="24"/>
          <w:szCs w:val="24"/>
          <w:lang w:eastAsia="zh-CN"/>
        </w:rPr>
        <w:t>；</w:t>
      </w:r>
    </w:p>
    <w:p>
      <w:pPr>
        <w:spacing w:line="360" w:lineRule="auto"/>
        <w:ind w:firstLine="480" w:firstLineChars="200"/>
        <w:rPr>
          <w:rFonts w:hint="eastAsia" w:hAnsi="宋体" w:cs="宋体"/>
          <w:color w:val="auto"/>
        </w:rPr>
      </w:pPr>
      <w:r>
        <w:rPr>
          <w:rFonts w:hint="eastAsia" w:ascii="宋体" w:hAnsi="宋体" w:cs="宋体"/>
          <w:color w:val="auto"/>
          <w:kern w:val="2"/>
        </w:rPr>
        <w:t>（</w:t>
      </w:r>
      <w:r>
        <w:rPr>
          <w:rFonts w:hint="eastAsia" w:ascii="宋体" w:hAnsi="宋体" w:cs="宋体"/>
          <w:color w:val="auto"/>
          <w:kern w:val="2"/>
          <w:lang w:val="en-US"/>
        </w:rPr>
        <w:t>6</w:t>
      </w:r>
      <w:r>
        <w:rPr>
          <w:rFonts w:hint="eastAsia" w:ascii="宋体" w:hAnsi="宋体" w:cs="宋体"/>
          <w:color w:val="auto"/>
          <w:kern w:val="2"/>
        </w:rPr>
        <w:t>）</w:t>
      </w:r>
      <w:r>
        <w:rPr>
          <w:rFonts w:hint="eastAsia" w:hAnsi="宋体" w:cs="宋体"/>
          <w:color w:val="auto"/>
        </w:rPr>
        <w:t>联合体所有成员（含牵头人）数量不得超过</w:t>
      </w:r>
      <w:r>
        <w:rPr>
          <w:rFonts w:hint="eastAsia" w:hAnsi="宋体" w:cs="宋体"/>
          <w:color w:val="auto"/>
          <w:u w:val="single"/>
          <w:lang w:val="en-US"/>
        </w:rPr>
        <w:t xml:space="preserve">  </w:t>
      </w:r>
      <w:r>
        <w:rPr>
          <w:rFonts w:hint="eastAsia" w:hAnsi="宋体" w:cs="宋体"/>
          <w:color w:val="auto"/>
        </w:rPr>
        <w:t>个；</w:t>
      </w:r>
    </w:p>
    <w:p>
      <w:pPr>
        <w:spacing w:line="360" w:lineRule="auto"/>
        <w:ind w:firstLine="480" w:firstLineChars="200"/>
        <w:rPr>
          <w:rFonts w:hint="eastAsia" w:ascii="宋体" w:hAnsi="宋体" w:cs="宋体"/>
          <w:color w:val="auto"/>
        </w:rPr>
      </w:pPr>
      <w:r>
        <w:rPr>
          <w:rFonts w:hint="eastAsia"/>
          <w:color w:val="auto"/>
          <w:u w:val="single"/>
          <w:lang w:val="en-US"/>
        </w:rPr>
        <w:t>（7）</w:t>
      </w:r>
      <w:r>
        <w:rPr>
          <w:color w:val="auto"/>
          <w:u w:val="single"/>
        </w:rPr>
        <w:t xml:space="preserve">……                  </w:t>
      </w:r>
      <w:r>
        <w:rPr>
          <w:color w:val="auto"/>
        </w:rPr>
        <w:t>。</w:t>
      </w:r>
    </w:p>
    <w:p>
      <w:pPr>
        <w:pStyle w:val="84"/>
        <w:snapToGrid w:val="0"/>
        <w:spacing w:line="360" w:lineRule="auto"/>
        <w:jc w:val="left"/>
        <w:outlineLvl w:val="1"/>
        <w:rPr>
          <w:rFonts w:hint="eastAsia" w:ascii="宋体" w:hAnsi="宋体"/>
          <w:bCs/>
          <w:sz w:val="24"/>
          <w:szCs w:val="16"/>
          <w:lang w:val="en-US" w:eastAsia="zh-CN"/>
        </w:rPr>
      </w:pPr>
      <w:r>
        <w:rPr>
          <w:rFonts w:hint="eastAsia" w:ascii="宋体" w:hAnsi="宋体"/>
          <w:bCs/>
          <w:sz w:val="24"/>
          <w:szCs w:val="16"/>
        </w:rPr>
        <w:t>4.</w:t>
      </w:r>
      <w:r>
        <w:rPr>
          <w:rFonts w:hint="eastAsia" w:ascii="宋体" w:hAnsi="宋体"/>
          <w:bCs/>
          <w:sz w:val="24"/>
          <w:szCs w:val="16"/>
          <w:lang w:val="en-US" w:eastAsia="zh-CN"/>
        </w:rPr>
        <w:t>技术成果补偿</w:t>
      </w:r>
      <w:r>
        <w:rPr>
          <w:rStyle w:val="101"/>
          <w:rFonts w:hint="eastAsia" w:ascii="宋体" w:hAnsi="宋体"/>
          <w:b w:val="0"/>
          <w:sz w:val="30"/>
          <w:szCs w:val="24"/>
          <w:lang w:val="en-US" w:eastAsia="zh-CN"/>
        </w:rPr>
        <w:footnoteReference w:id="18"/>
      </w:r>
    </w:p>
    <w:p>
      <w:pPr>
        <w:pStyle w:val="84"/>
        <w:snapToGrid w:val="0"/>
        <w:spacing w:line="360" w:lineRule="auto"/>
        <w:ind w:firstLine="480" w:firstLineChars="200"/>
        <w:jc w:val="left"/>
        <w:outlineLvl w:val="1"/>
        <w:rPr>
          <w:rFonts w:hint="eastAsia"/>
          <w:bCs/>
          <w:sz w:val="24"/>
          <w:szCs w:val="6"/>
        </w:rPr>
      </w:pPr>
      <w:r>
        <w:rPr>
          <w:rFonts w:hint="eastAsia" w:ascii="宋体" w:hAnsi="宋体" w:cs="宋体"/>
          <w:b w:val="0"/>
          <w:sz w:val="24"/>
          <w:szCs w:val="24"/>
        </w:rPr>
        <w:t>本次招标对未中标人投标文件中的技术成果</w:t>
      </w:r>
      <w:r>
        <w:rPr>
          <w:rFonts w:hint="eastAsia" w:ascii="宋体" w:hAnsi="宋体" w:cs="宋体"/>
          <w:sz w:val="24"/>
          <w:szCs w:val="24"/>
          <w:u w:val="single"/>
        </w:rPr>
        <w:t xml:space="preserve">               </w:t>
      </w:r>
      <w:r>
        <w:rPr>
          <w:rFonts w:hint="eastAsia" w:ascii="宋体" w:hAnsi="宋体" w:cs="宋体"/>
          <w:b w:val="0"/>
          <w:sz w:val="24"/>
          <w:szCs w:val="24"/>
        </w:rPr>
        <w:t>（给予或不给予）经济补偿。</w:t>
      </w:r>
      <w:r>
        <w:rPr>
          <w:rFonts w:hint="eastAsia" w:ascii="宋体" w:hAnsi="宋体" w:cs="宋体"/>
          <w:b w:val="0"/>
          <w:sz w:val="24"/>
          <w:szCs w:val="24"/>
        </w:rPr>
        <w:br w:type="textWrapping"/>
      </w:r>
      <w:r>
        <w:rPr>
          <w:rFonts w:hint="eastAsia" w:ascii="宋体" w:hAnsi="宋体" w:cs="宋体"/>
          <w:b w:val="0"/>
          <w:sz w:val="24"/>
          <w:szCs w:val="24"/>
          <w:lang w:val="en-US" w:eastAsia="zh-CN"/>
        </w:rPr>
        <w:t xml:space="preserve">    </w:t>
      </w:r>
      <w:r>
        <w:rPr>
          <w:rFonts w:hint="eastAsia" w:ascii="宋体" w:hAnsi="宋体" w:cs="宋体"/>
          <w:b w:val="0"/>
          <w:sz w:val="24"/>
          <w:szCs w:val="24"/>
        </w:rPr>
        <w:t>给予经济补偿的，招标人将按如下标准支付经济补偿费：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b w:val="0"/>
          <w:sz w:val="24"/>
          <w:szCs w:val="24"/>
        </w:rPr>
        <w:t>。</w:t>
      </w:r>
      <w:r>
        <w:rPr>
          <w:rFonts w:ascii="宋体" w:hAnsi="宋体" w:cs="宋体"/>
          <w:sz w:val="24"/>
          <w:szCs w:val="24"/>
        </w:rPr>
        <w:t xml:space="preserve"> </w:t>
      </w:r>
    </w:p>
    <w:p>
      <w:pPr>
        <w:pStyle w:val="84"/>
        <w:snapToGrid w:val="0"/>
        <w:spacing w:line="360" w:lineRule="auto"/>
        <w:jc w:val="left"/>
        <w:outlineLvl w:val="1"/>
        <w:rPr>
          <w:rFonts w:hint="eastAsia" w:ascii="宋体" w:hAnsi="宋体"/>
          <w:sz w:val="21"/>
          <w:szCs w:val="6"/>
        </w:rPr>
      </w:pPr>
      <w:r>
        <w:rPr>
          <w:rFonts w:hint="eastAsia"/>
          <w:bCs/>
          <w:sz w:val="24"/>
          <w:szCs w:val="6"/>
          <w:lang w:val="en-US" w:eastAsia="zh-CN"/>
        </w:rPr>
        <w:t>5</w:t>
      </w:r>
      <w:r>
        <w:rPr>
          <w:rFonts w:hint="eastAsia"/>
          <w:bCs/>
          <w:sz w:val="24"/>
          <w:szCs w:val="6"/>
        </w:rPr>
        <w:t>.招标文件的获取</w:t>
      </w:r>
    </w:p>
    <w:p>
      <w:pPr>
        <w:pStyle w:val="215"/>
        <w:shd w:val="clear" w:color="auto" w:fill="auto"/>
        <w:tabs>
          <w:tab w:val="left" w:leader="underscore" w:pos="2140"/>
          <w:tab w:val="left" w:leader="underscore" w:pos="2980"/>
          <w:tab w:val="left" w:leader="underscore" w:pos="3814"/>
          <w:tab w:val="left" w:leader="underscore" w:pos="4866"/>
        </w:tabs>
        <w:spacing w:before="0" w:line="360" w:lineRule="auto"/>
        <w:ind w:firstLine="480" w:firstLineChars="200"/>
        <w:jc w:val="left"/>
        <w:rPr>
          <w:rFonts w:hint="eastAsia" w:ascii="宋体" w:hAnsi="宋体" w:eastAsia="宋体" w:cs="宋体"/>
          <w:spacing w:val="0"/>
          <w:sz w:val="24"/>
          <w:szCs w:val="24"/>
        </w:rPr>
      </w:pPr>
      <w:r>
        <w:rPr>
          <w:rStyle w:val="214"/>
          <w:rFonts w:hint="eastAsia" w:ascii="宋体" w:hAnsi="宋体" w:eastAsia="宋体" w:cs="宋体"/>
          <w:spacing w:val="0"/>
          <w:sz w:val="24"/>
          <w:szCs w:val="24"/>
          <w:lang w:val="en-US" w:eastAsia="zh-CN"/>
        </w:rPr>
        <w:t>5</w:t>
      </w:r>
      <w:r>
        <w:rPr>
          <w:rStyle w:val="214"/>
          <w:rFonts w:hint="eastAsia" w:ascii="宋体" w:hAnsi="宋体" w:eastAsia="宋体" w:cs="宋体"/>
          <w:spacing w:val="0"/>
          <w:sz w:val="24"/>
          <w:szCs w:val="24"/>
        </w:rPr>
        <w:t>.1</w:t>
      </w:r>
      <w:r>
        <w:rPr>
          <w:rFonts w:hint="eastAsia" w:ascii="宋体" w:hAnsi="宋体" w:eastAsia="宋体" w:cs="宋体"/>
          <w:spacing w:val="0"/>
          <w:sz w:val="24"/>
        </w:rPr>
        <w:t>凡有意参加投标者请于</w:t>
      </w:r>
      <w:r>
        <w:rPr>
          <w:rFonts w:hint="eastAsia" w:ascii="宋体" w:hAnsi="宋体" w:eastAsia="宋体" w:cs="宋体"/>
          <w:spacing w:val="0"/>
          <w:sz w:val="24"/>
          <w:u w:val="single"/>
        </w:rPr>
        <w:t xml:space="preserve">    </w:t>
      </w:r>
      <w:r>
        <w:rPr>
          <w:rFonts w:hint="eastAsia" w:ascii="宋体" w:hAnsi="宋体" w:eastAsia="宋体" w:cs="宋体"/>
          <w:spacing w:val="0"/>
          <w:sz w:val="24"/>
        </w:rPr>
        <w:t>年</w:t>
      </w:r>
      <w:r>
        <w:rPr>
          <w:rFonts w:hint="eastAsia" w:ascii="宋体" w:hAnsi="宋体" w:eastAsia="宋体" w:cs="宋体"/>
          <w:spacing w:val="0"/>
          <w:sz w:val="24"/>
          <w:u w:val="single"/>
        </w:rPr>
        <w:t xml:space="preserve">   </w:t>
      </w:r>
      <w:r>
        <w:rPr>
          <w:rFonts w:hint="eastAsia" w:ascii="宋体" w:hAnsi="宋体" w:eastAsia="宋体" w:cs="宋体"/>
          <w:spacing w:val="0"/>
          <w:sz w:val="24"/>
        </w:rPr>
        <w:t>月</w:t>
      </w:r>
      <w:r>
        <w:rPr>
          <w:rFonts w:hint="eastAsia" w:ascii="宋体" w:hAnsi="宋体" w:eastAsia="宋体" w:cs="宋体"/>
          <w:spacing w:val="0"/>
          <w:sz w:val="24"/>
          <w:u w:val="single"/>
        </w:rPr>
        <w:t xml:space="preserve">   </w:t>
      </w:r>
      <w:r>
        <w:rPr>
          <w:rFonts w:hint="eastAsia" w:ascii="宋体" w:hAnsi="宋体" w:eastAsia="宋体" w:cs="宋体"/>
          <w:spacing w:val="0"/>
          <w:sz w:val="24"/>
        </w:rPr>
        <w:t>日至</w:t>
      </w:r>
      <w:r>
        <w:rPr>
          <w:rFonts w:hint="eastAsia" w:ascii="宋体" w:hAnsi="宋体" w:eastAsia="宋体" w:cs="宋体"/>
          <w:spacing w:val="0"/>
          <w:sz w:val="24"/>
          <w:u w:val="single"/>
        </w:rPr>
        <w:t xml:space="preserve">    </w:t>
      </w:r>
      <w:r>
        <w:rPr>
          <w:rFonts w:hint="eastAsia" w:ascii="宋体" w:hAnsi="宋体" w:eastAsia="宋体" w:cs="宋体"/>
          <w:spacing w:val="0"/>
          <w:sz w:val="24"/>
        </w:rPr>
        <w:t>年</w:t>
      </w:r>
      <w:r>
        <w:rPr>
          <w:rFonts w:hint="eastAsia" w:ascii="宋体" w:hAnsi="宋体" w:eastAsia="宋体" w:cs="宋体"/>
          <w:spacing w:val="0"/>
          <w:sz w:val="24"/>
          <w:u w:val="single"/>
        </w:rPr>
        <w:t xml:space="preserve">  </w:t>
      </w:r>
      <w:r>
        <w:rPr>
          <w:rFonts w:hint="eastAsia" w:ascii="宋体" w:hAnsi="宋体" w:eastAsia="宋体" w:cs="宋体"/>
          <w:spacing w:val="0"/>
          <w:sz w:val="24"/>
        </w:rPr>
        <w:t>月</w:t>
      </w:r>
      <w:r>
        <w:rPr>
          <w:rFonts w:hint="eastAsia" w:ascii="宋体" w:hAnsi="宋体" w:eastAsia="宋体" w:cs="宋体"/>
          <w:spacing w:val="0"/>
          <w:sz w:val="24"/>
          <w:u w:val="single"/>
        </w:rPr>
        <w:t xml:space="preserve">   </w:t>
      </w:r>
      <w:r>
        <w:rPr>
          <w:rFonts w:hint="eastAsia" w:ascii="宋体" w:hAnsi="宋体" w:eastAsia="宋体" w:cs="宋体"/>
          <w:spacing w:val="0"/>
          <w:sz w:val="24"/>
        </w:rPr>
        <w:t>日（法定公休日、法定节假日除外），每日上午</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分至</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分，下午</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分至</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分（北京时间，下同），持单位介绍信（或授权委托书）、本邀请书原件或复印件或扫描件、经办人身份证复印件（原件核对），在</w:t>
      </w:r>
      <w:r>
        <w:rPr>
          <w:rFonts w:hint="eastAsia" w:ascii="宋体" w:hAnsi="宋体" w:eastAsia="宋体" w:cs="宋体"/>
          <w:spacing w:val="0"/>
          <w:sz w:val="24"/>
          <w:u w:val="single"/>
        </w:rPr>
        <w:t xml:space="preserve">   </w:t>
      </w:r>
      <w:r>
        <w:rPr>
          <w:rFonts w:hint="eastAsia" w:ascii="宋体" w:hAnsi="宋体" w:eastAsia="宋体" w:cs="宋体"/>
          <w:spacing w:val="0"/>
          <w:sz w:val="24"/>
          <w:u w:val="single"/>
          <w:lang w:val="en-US" w:eastAsia="zh-CN"/>
        </w:rPr>
        <w:t xml:space="preserve"> </w:t>
      </w:r>
      <w:r>
        <w:rPr>
          <w:rFonts w:hint="eastAsia" w:ascii="宋体" w:hAnsi="宋体" w:eastAsia="宋体" w:cs="宋体"/>
          <w:i/>
          <w:iCs/>
          <w:spacing w:val="0"/>
          <w:sz w:val="24"/>
          <w:u w:val="single"/>
        </w:rPr>
        <w:t>（详细地址）</w:t>
      </w:r>
      <w:r>
        <w:rPr>
          <w:rFonts w:hint="eastAsia" w:ascii="宋体" w:hAnsi="宋体" w:eastAsia="宋体" w:cs="宋体"/>
          <w:i/>
          <w:iCs/>
          <w:spacing w:val="0"/>
          <w:sz w:val="24"/>
          <w:u w:val="single"/>
          <w:lang w:val="en-US" w:eastAsia="zh-CN"/>
        </w:rPr>
        <w:t xml:space="preserve"> </w:t>
      </w:r>
      <w:r>
        <w:rPr>
          <w:rFonts w:hint="eastAsia" w:ascii="宋体" w:hAnsi="宋体" w:eastAsia="宋体" w:cs="宋体"/>
          <w:spacing w:val="0"/>
          <w:sz w:val="24"/>
        </w:rPr>
        <w:t>购买招标文件。投标人参加多个标段投标的，应按所投标段分别递交</w:t>
      </w:r>
      <w:r>
        <w:rPr>
          <w:rFonts w:hint="eastAsia" w:ascii="宋体" w:hAnsi="宋体" w:eastAsia="宋体" w:cs="宋体"/>
          <w:spacing w:val="0"/>
          <w:sz w:val="24"/>
          <w:lang w:val="en-US" w:eastAsia="zh-CN"/>
        </w:rPr>
        <w:t>上述</w:t>
      </w:r>
      <w:r>
        <w:rPr>
          <w:rFonts w:hint="eastAsia" w:ascii="宋体" w:hAnsi="宋体" w:eastAsia="宋体" w:cs="宋体"/>
          <w:spacing w:val="0"/>
          <w:sz w:val="24"/>
        </w:rPr>
        <w:t xml:space="preserve">资料并分别购买招标文件，并按所投标段分别递交投标文件。 </w:t>
      </w:r>
    </w:p>
    <w:p>
      <w:pPr>
        <w:pStyle w:val="215"/>
        <w:shd w:val="clear" w:color="auto" w:fill="auto"/>
        <w:tabs>
          <w:tab w:val="left" w:leader="underscore" w:pos="3814"/>
        </w:tabs>
        <w:spacing w:before="0" w:line="360" w:lineRule="auto"/>
        <w:ind w:firstLine="480" w:firstLineChars="200"/>
        <w:jc w:val="left"/>
        <w:rPr>
          <w:rStyle w:val="214"/>
          <w:rFonts w:hint="eastAsia" w:ascii="宋体" w:hAnsi="宋体" w:eastAsia="宋体" w:cs="宋体"/>
          <w:spacing w:val="0"/>
          <w:sz w:val="24"/>
          <w:szCs w:val="24"/>
        </w:rPr>
      </w:pPr>
      <w:r>
        <w:rPr>
          <w:rStyle w:val="214"/>
          <w:rFonts w:hint="eastAsia" w:ascii="宋体" w:hAnsi="宋体" w:eastAsia="宋体" w:cs="宋体"/>
          <w:spacing w:val="0"/>
          <w:sz w:val="24"/>
          <w:szCs w:val="24"/>
          <w:lang w:val="en-US" w:eastAsia="zh-CN"/>
        </w:rPr>
        <w:t>5</w:t>
      </w:r>
      <w:r>
        <w:rPr>
          <w:rStyle w:val="214"/>
          <w:rFonts w:hint="eastAsia" w:ascii="宋体" w:hAnsi="宋体" w:eastAsia="宋体" w:cs="宋体"/>
          <w:spacing w:val="0"/>
          <w:sz w:val="24"/>
          <w:szCs w:val="24"/>
        </w:rPr>
        <w:t>.2招标文件每套售价</w:t>
      </w:r>
      <w:r>
        <w:rPr>
          <w:rStyle w:val="214"/>
          <w:rFonts w:hint="eastAsia" w:ascii="宋体" w:hAnsi="宋体" w:eastAsia="宋体" w:cs="宋体"/>
          <w:spacing w:val="0"/>
          <w:sz w:val="24"/>
          <w:szCs w:val="24"/>
        </w:rPr>
        <w:tab/>
      </w:r>
      <w:r>
        <w:rPr>
          <w:rStyle w:val="214"/>
          <w:rFonts w:hint="eastAsia" w:ascii="宋体" w:hAnsi="宋体" w:eastAsia="宋体" w:cs="宋体"/>
          <w:spacing w:val="0"/>
          <w:sz w:val="24"/>
          <w:szCs w:val="24"/>
        </w:rPr>
        <w:t>元，</w:t>
      </w:r>
      <w:r>
        <w:rPr>
          <w:rStyle w:val="214"/>
          <w:rFonts w:hint="eastAsia" w:ascii="宋体" w:hAnsi="宋体" w:eastAsia="宋体" w:cs="宋体"/>
          <w:spacing w:val="0"/>
          <w:sz w:val="24"/>
          <w:szCs w:val="24"/>
          <w:lang w:val="en-US" w:eastAsia="zh-CN"/>
        </w:rPr>
        <w:t>前期技术资料</w:t>
      </w:r>
      <w:r>
        <w:rPr>
          <w:rStyle w:val="214"/>
          <w:rFonts w:hint="eastAsia" w:ascii="宋体" w:hAnsi="宋体" w:eastAsia="宋体" w:cs="宋体"/>
          <w:spacing w:val="0"/>
          <w:sz w:val="24"/>
          <w:szCs w:val="24"/>
        </w:rPr>
        <w:t>等参考资料每套售价</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 </w:t>
      </w:r>
      <w:r>
        <w:rPr>
          <w:rStyle w:val="214"/>
          <w:rFonts w:hint="eastAsia" w:ascii="宋体" w:hAnsi="宋体" w:eastAsia="宋体" w:cs="宋体"/>
          <w:spacing w:val="0"/>
          <w:sz w:val="24"/>
          <w:szCs w:val="24"/>
        </w:rPr>
        <w:t>元，售后不退。</w:t>
      </w:r>
      <w:r>
        <w:rPr>
          <w:rStyle w:val="101"/>
          <w:rFonts w:hint="eastAsia" w:ascii="宋体" w:hAnsi="宋体" w:eastAsia="宋体"/>
          <w:spacing w:val="0"/>
          <w:sz w:val="30"/>
          <w:szCs w:val="24"/>
          <w:lang w:val="zh-CN" w:eastAsia="zh-CN"/>
        </w:rPr>
        <w:footnoteReference w:id="19"/>
      </w:r>
    </w:p>
    <w:p>
      <w:pPr>
        <w:pStyle w:val="84"/>
        <w:snapToGrid w:val="0"/>
        <w:spacing w:line="360" w:lineRule="auto"/>
        <w:jc w:val="left"/>
        <w:outlineLvl w:val="1"/>
        <w:rPr>
          <w:rFonts w:hint="eastAsia" w:ascii="宋体" w:hAnsi="宋体"/>
          <w:bCs/>
          <w:sz w:val="24"/>
          <w:szCs w:val="24"/>
        </w:rPr>
      </w:pPr>
      <w:r>
        <w:rPr>
          <w:rFonts w:hint="eastAsia" w:ascii="宋体" w:hAnsi="宋体"/>
          <w:sz w:val="24"/>
          <w:szCs w:val="24"/>
          <w:lang w:val="en-US" w:eastAsia="zh-CN"/>
        </w:rPr>
        <w:t>6</w:t>
      </w:r>
      <w:r>
        <w:rPr>
          <w:rFonts w:hint="eastAsia" w:ascii="宋体" w:hAnsi="宋体"/>
          <w:sz w:val="24"/>
          <w:szCs w:val="24"/>
        </w:rPr>
        <w:t>.投标文件的递交及相关事宜</w:t>
      </w:r>
    </w:p>
    <w:p>
      <w:pPr>
        <w:pStyle w:val="215"/>
        <w:shd w:val="clear" w:color="auto" w:fill="auto"/>
        <w:spacing w:before="0" w:line="360" w:lineRule="auto"/>
        <w:ind w:firstLine="480" w:firstLineChars="200"/>
        <w:jc w:val="left"/>
        <w:rPr>
          <w:rFonts w:hint="eastAsia" w:ascii="宋体" w:hAnsi="宋体" w:eastAsia="宋体" w:cs="宋体"/>
          <w:spacing w:val="0"/>
          <w:sz w:val="24"/>
          <w:szCs w:val="24"/>
        </w:rPr>
      </w:pPr>
      <w:r>
        <w:rPr>
          <w:rStyle w:val="214"/>
          <w:rFonts w:hint="eastAsia" w:ascii="宋体" w:hAnsi="宋体" w:eastAsia="宋体" w:cs="宋体"/>
          <w:spacing w:val="0"/>
          <w:sz w:val="24"/>
          <w:szCs w:val="24"/>
          <w:lang w:val="en-US" w:eastAsia="zh-CN"/>
        </w:rPr>
        <w:t>6</w:t>
      </w:r>
      <w:r>
        <w:rPr>
          <w:rStyle w:val="214"/>
          <w:rFonts w:hint="eastAsia" w:ascii="宋体" w:hAnsi="宋体" w:eastAsia="宋体" w:cs="宋体"/>
          <w:spacing w:val="0"/>
          <w:sz w:val="24"/>
          <w:szCs w:val="24"/>
        </w:rPr>
        <w:t>.1招标人将于下列时间和地点组织进行工程现场踏勘并召开投标预备会。</w:t>
      </w:r>
      <w:r>
        <w:rPr>
          <w:rFonts w:hint="eastAsia" w:ascii="宋体" w:hAnsi="宋体" w:eastAsia="宋体" w:cs="宋体"/>
          <w:b/>
          <w:i/>
          <w:spacing w:val="0"/>
          <w:sz w:val="24"/>
        </w:rPr>
        <w:t>（适用于组织踏勘和投标预备会的）</w:t>
      </w:r>
    </w:p>
    <w:p>
      <w:pPr>
        <w:pStyle w:val="226"/>
        <w:shd w:val="clear" w:color="auto" w:fill="auto"/>
        <w:tabs>
          <w:tab w:val="left" w:leader="underscore" w:pos="8629"/>
        </w:tabs>
        <w:spacing w:before="0" w:line="360" w:lineRule="auto"/>
        <w:ind w:firstLine="480" w:firstLineChars="200"/>
        <w:jc w:val="left"/>
        <w:rPr>
          <w:rFonts w:hint="eastAsia" w:ascii="宋体" w:hAnsi="宋体" w:eastAsia="宋体" w:cs="宋体"/>
          <w:spacing w:val="0"/>
          <w:sz w:val="24"/>
          <w:szCs w:val="24"/>
        </w:rPr>
      </w:pPr>
      <w:r>
        <w:rPr>
          <w:rStyle w:val="225"/>
          <w:rFonts w:hint="eastAsia" w:ascii="宋体" w:hAnsi="宋体" w:eastAsia="宋体" w:cs="宋体"/>
          <w:spacing w:val="0"/>
          <w:sz w:val="24"/>
          <w:szCs w:val="24"/>
        </w:rPr>
        <w:t>踏勘现场时间：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月</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日</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分，集中地点：</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w:t>
      </w:r>
    </w:p>
    <w:p>
      <w:pPr>
        <w:pStyle w:val="226"/>
        <w:shd w:val="clear" w:color="auto" w:fill="auto"/>
        <w:tabs>
          <w:tab w:val="left" w:leader="underscore" w:pos="8629"/>
        </w:tabs>
        <w:spacing w:before="0" w:line="360" w:lineRule="auto"/>
        <w:ind w:firstLine="480" w:firstLineChars="200"/>
        <w:jc w:val="left"/>
        <w:rPr>
          <w:rFonts w:hint="eastAsia" w:ascii="宋体" w:hAnsi="宋体" w:eastAsia="宋体" w:cs="宋体"/>
          <w:spacing w:val="0"/>
          <w:sz w:val="24"/>
          <w:szCs w:val="24"/>
        </w:rPr>
      </w:pPr>
      <w:r>
        <w:rPr>
          <w:rStyle w:val="225"/>
          <w:rFonts w:hint="eastAsia" w:ascii="宋体" w:hAnsi="宋体" w:eastAsia="宋体" w:cs="宋体"/>
          <w:spacing w:val="0"/>
          <w:sz w:val="24"/>
          <w:szCs w:val="24"/>
        </w:rPr>
        <w:t>投标预备会时间：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年</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月</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日</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时</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分，地点：</w:t>
      </w:r>
      <w:r>
        <w:rPr>
          <w:rStyle w:val="225"/>
          <w:rFonts w:hint="eastAsia" w:ascii="宋体" w:hAnsi="宋体" w:eastAsia="宋体" w:cs="宋体"/>
          <w:spacing w:val="0"/>
          <w:sz w:val="24"/>
          <w:szCs w:val="24"/>
          <w:u w:val="single"/>
          <w:lang w:val="en-US"/>
        </w:rPr>
        <w:t xml:space="preserve">              </w:t>
      </w:r>
      <w:r>
        <w:rPr>
          <w:rStyle w:val="225"/>
          <w:rFonts w:hint="eastAsia" w:ascii="宋体" w:hAnsi="宋体" w:eastAsia="宋体" w:cs="宋体"/>
          <w:spacing w:val="0"/>
          <w:sz w:val="24"/>
          <w:szCs w:val="24"/>
        </w:rPr>
        <w:t>。</w:t>
      </w:r>
    </w:p>
    <w:p>
      <w:pPr>
        <w:pStyle w:val="226"/>
        <w:shd w:val="clear" w:color="auto" w:fill="auto"/>
        <w:spacing w:before="0" w:line="360" w:lineRule="auto"/>
        <w:ind w:firstLine="480" w:firstLineChars="200"/>
        <w:jc w:val="left"/>
        <w:rPr>
          <w:rStyle w:val="225"/>
          <w:rFonts w:ascii="宋体" w:hAnsi="宋体" w:eastAsia="宋体" w:cs="宋体"/>
          <w:spacing w:val="0"/>
          <w:sz w:val="24"/>
          <w:szCs w:val="24"/>
          <w:lang w:val="en-US" w:eastAsia="zh-CN"/>
        </w:rPr>
      </w:pPr>
      <w:r>
        <w:rPr>
          <w:rStyle w:val="225"/>
          <w:rFonts w:hint="eastAsia" w:ascii="宋体" w:hAnsi="宋体" w:eastAsia="宋体" w:cs="宋体"/>
          <w:spacing w:val="0"/>
          <w:sz w:val="24"/>
          <w:szCs w:val="24"/>
          <w:lang w:val="en-US" w:eastAsia="zh-CN"/>
        </w:rPr>
        <w:t>6.1</w:t>
      </w:r>
      <w:r>
        <w:rPr>
          <w:rFonts w:hint="eastAsia" w:ascii="宋体" w:hAnsi="宋体" w:eastAsia="宋体" w:cs="宋体"/>
          <w:spacing w:val="0"/>
          <w:sz w:val="24"/>
        </w:rPr>
        <w:t>招标人将不组织踏勘现场和投标预备会。</w:t>
      </w:r>
      <w:r>
        <w:rPr>
          <w:rFonts w:hint="eastAsia" w:ascii="宋体" w:hAnsi="宋体" w:eastAsia="宋体" w:cs="宋体"/>
          <w:b/>
          <w:i/>
          <w:spacing w:val="0"/>
          <w:sz w:val="24"/>
        </w:rPr>
        <w:t>（适用于不组织踏勘和投标预备会的）</w:t>
      </w:r>
    </w:p>
    <w:p>
      <w:pPr>
        <w:pStyle w:val="226"/>
        <w:shd w:val="clear" w:color="auto" w:fill="auto"/>
        <w:spacing w:before="0" w:line="360" w:lineRule="auto"/>
        <w:ind w:firstLine="480" w:firstLineChars="200"/>
        <w:jc w:val="left"/>
        <w:rPr>
          <w:rFonts w:hint="eastAsia" w:ascii="宋体" w:hAnsi="宋体" w:eastAsia="宋体" w:cs="宋体"/>
          <w:spacing w:val="0"/>
          <w:sz w:val="24"/>
          <w:szCs w:val="24"/>
        </w:rPr>
      </w:pPr>
      <w:r>
        <w:rPr>
          <w:rStyle w:val="225"/>
          <w:rFonts w:hint="eastAsia" w:ascii="宋体" w:hAnsi="宋体" w:eastAsia="宋体" w:cs="宋体"/>
          <w:spacing w:val="0"/>
          <w:sz w:val="24"/>
          <w:szCs w:val="24"/>
          <w:lang w:val="en-US" w:eastAsia="zh-CN"/>
        </w:rPr>
        <w:t>6</w:t>
      </w:r>
      <w:r>
        <w:rPr>
          <w:rStyle w:val="225"/>
          <w:rFonts w:hint="eastAsia" w:ascii="宋体" w:hAnsi="宋体" w:eastAsia="宋体" w:cs="宋体"/>
          <w:spacing w:val="0"/>
          <w:sz w:val="24"/>
          <w:szCs w:val="24"/>
        </w:rPr>
        <w:t>.2</w:t>
      </w:r>
      <w:r>
        <w:rPr>
          <w:rFonts w:hint="eastAsia" w:ascii="宋体" w:hAnsi="宋体" w:eastAsia="宋体" w:cs="宋体"/>
          <w:spacing w:val="0"/>
          <w:sz w:val="24"/>
        </w:rPr>
        <w:t>投标文件递交的截止时间(投标截止时间，下同)为</w:t>
      </w:r>
      <w:r>
        <w:rPr>
          <w:rFonts w:hint="eastAsia" w:ascii="宋体" w:hAnsi="宋体" w:eastAsia="宋体" w:cs="宋体"/>
          <w:spacing w:val="0"/>
          <w:sz w:val="24"/>
          <w:u w:val="single"/>
        </w:rPr>
        <w:t xml:space="preserve">  </w:t>
      </w:r>
      <w:r>
        <w:rPr>
          <w:rFonts w:hint="eastAsia" w:ascii="宋体" w:hAnsi="宋体" w:eastAsia="宋体" w:cs="宋体"/>
          <w:spacing w:val="0"/>
          <w:sz w:val="24"/>
        </w:rPr>
        <w:t>年</w:t>
      </w:r>
      <w:r>
        <w:rPr>
          <w:rFonts w:hint="eastAsia" w:ascii="宋体" w:hAnsi="宋体" w:eastAsia="宋体" w:cs="宋体"/>
          <w:spacing w:val="0"/>
          <w:sz w:val="24"/>
          <w:u w:val="single"/>
        </w:rPr>
        <w:t xml:space="preserve">  </w:t>
      </w:r>
      <w:r>
        <w:rPr>
          <w:rFonts w:hint="eastAsia" w:ascii="宋体" w:hAnsi="宋体" w:eastAsia="宋体" w:cs="宋体"/>
          <w:spacing w:val="0"/>
          <w:sz w:val="24"/>
        </w:rPr>
        <w:t>月</w:t>
      </w:r>
      <w:r>
        <w:rPr>
          <w:rFonts w:hint="eastAsia" w:ascii="宋体" w:hAnsi="宋体" w:eastAsia="宋体" w:cs="宋体"/>
          <w:spacing w:val="0"/>
          <w:sz w:val="24"/>
          <w:u w:val="single"/>
        </w:rPr>
        <w:t xml:space="preserve">  </w:t>
      </w:r>
      <w:r>
        <w:rPr>
          <w:rFonts w:hint="eastAsia" w:ascii="宋体" w:hAnsi="宋体" w:eastAsia="宋体" w:cs="宋体"/>
          <w:spacing w:val="0"/>
          <w:sz w:val="24"/>
        </w:rPr>
        <w:t>日</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分，投标人应于当日</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分至</w:t>
      </w:r>
      <w:r>
        <w:rPr>
          <w:rFonts w:hint="eastAsia" w:ascii="宋体" w:hAnsi="宋体" w:eastAsia="宋体" w:cs="宋体"/>
          <w:spacing w:val="0"/>
          <w:sz w:val="24"/>
          <w:u w:val="single"/>
        </w:rPr>
        <w:t xml:space="preserve">  </w:t>
      </w:r>
      <w:r>
        <w:rPr>
          <w:rFonts w:hint="eastAsia" w:ascii="宋体" w:hAnsi="宋体" w:eastAsia="宋体" w:cs="宋体"/>
          <w:spacing w:val="0"/>
          <w:sz w:val="24"/>
        </w:rPr>
        <w:t>时</w:t>
      </w:r>
      <w:r>
        <w:rPr>
          <w:rFonts w:hint="eastAsia" w:ascii="宋体" w:hAnsi="宋体" w:eastAsia="宋体" w:cs="宋体"/>
          <w:spacing w:val="0"/>
          <w:sz w:val="24"/>
          <w:u w:val="single"/>
        </w:rPr>
        <w:t xml:space="preserve">  </w:t>
      </w:r>
      <w:r>
        <w:rPr>
          <w:rFonts w:hint="eastAsia" w:ascii="宋体" w:hAnsi="宋体" w:eastAsia="宋体" w:cs="宋体"/>
          <w:spacing w:val="0"/>
          <w:sz w:val="24"/>
        </w:rPr>
        <w:t>分将投标文件递交至</w:t>
      </w:r>
      <w:r>
        <w:rPr>
          <w:rFonts w:hint="eastAsia" w:ascii="宋体" w:hAnsi="宋体" w:eastAsia="宋体" w:cs="宋体"/>
          <w:spacing w:val="0"/>
          <w:sz w:val="24"/>
          <w:u w:val="single"/>
        </w:rPr>
        <w:t xml:space="preserve">        （地址：      </w:t>
      </w:r>
      <w:r>
        <w:rPr>
          <w:rFonts w:hint="eastAsia" w:ascii="宋体" w:hAnsi="宋体" w:eastAsia="宋体" w:cs="宋体"/>
          <w:spacing w:val="0"/>
          <w:sz w:val="24"/>
        </w:rPr>
        <w:t>）</w:t>
      </w:r>
      <w:r>
        <w:rPr>
          <w:rStyle w:val="225"/>
          <w:rFonts w:hint="eastAsia" w:ascii="宋体" w:hAnsi="宋体" w:eastAsia="宋体" w:cs="宋体"/>
          <w:spacing w:val="0"/>
          <w:sz w:val="24"/>
          <w:szCs w:val="24"/>
        </w:rPr>
        <w:t>。</w:t>
      </w:r>
    </w:p>
    <w:p>
      <w:pPr>
        <w:pStyle w:val="215"/>
        <w:shd w:val="clear" w:color="auto" w:fill="auto"/>
        <w:spacing w:before="0" w:line="360" w:lineRule="auto"/>
        <w:ind w:firstLine="480" w:firstLineChars="200"/>
        <w:jc w:val="left"/>
        <w:rPr>
          <w:rStyle w:val="214"/>
          <w:rFonts w:hint="eastAsia" w:ascii="宋体" w:hAnsi="宋体" w:eastAsia="宋体" w:cs="宋体"/>
          <w:sz w:val="24"/>
          <w:szCs w:val="24"/>
        </w:rPr>
      </w:pPr>
      <w:r>
        <w:rPr>
          <w:rStyle w:val="214"/>
          <w:rFonts w:hint="eastAsia" w:ascii="宋体" w:hAnsi="宋体" w:eastAsia="宋体" w:cs="宋体"/>
          <w:spacing w:val="0"/>
          <w:sz w:val="24"/>
          <w:szCs w:val="24"/>
          <w:lang w:val="en-US" w:eastAsia="zh-CN"/>
        </w:rPr>
        <w:t>6</w:t>
      </w:r>
      <w:r>
        <w:rPr>
          <w:rStyle w:val="214"/>
          <w:rFonts w:hint="eastAsia" w:ascii="宋体" w:hAnsi="宋体" w:eastAsia="宋体" w:cs="宋体"/>
          <w:spacing w:val="0"/>
          <w:sz w:val="24"/>
          <w:szCs w:val="24"/>
        </w:rPr>
        <w:t>.3逾期送达的、未送达指定地点的或不按照招标文件要求密封的投标文件，招标人将予以拒收。</w:t>
      </w:r>
    </w:p>
    <w:p>
      <w:pPr>
        <w:pStyle w:val="84"/>
        <w:snapToGrid w:val="0"/>
        <w:spacing w:line="360" w:lineRule="auto"/>
        <w:jc w:val="left"/>
        <w:outlineLvl w:val="1"/>
        <w:rPr>
          <w:rFonts w:hint="eastAsia" w:ascii="宋体" w:hAnsi="宋体"/>
          <w:sz w:val="21"/>
          <w:szCs w:val="21"/>
        </w:rPr>
      </w:pPr>
      <w:r>
        <w:rPr>
          <w:rFonts w:hint="eastAsia" w:ascii="宋体" w:hAnsi="宋体"/>
          <w:bCs/>
          <w:sz w:val="24"/>
          <w:szCs w:val="16"/>
          <w:lang w:val="en-US" w:eastAsia="zh-CN"/>
        </w:rPr>
        <w:t>7</w:t>
      </w:r>
      <w:r>
        <w:rPr>
          <w:rFonts w:hint="eastAsia" w:ascii="宋体" w:hAnsi="宋体"/>
          <w:bCs/>
          <w:sz w:val="24"/>
          <w:szCs w:val="16"/>
        </w:rPr>
        <w:t>.确认</w:t>
      </w:r>
    </w:p>
    <w:p>
      <w:pPr>
        <w:pStyle w:val="215"/>
        <w:shd w:val="clear" w:color="auto" w:fill="auto"/>
        <w:spacing w:before="0" w:line="360" w:lineRule="auto"/>
        <w:ind w:firstLine="480" w:firstLineChars="200"/>
        <w:jc w:val="left"/>
        <w:rPr>
          <w:rStyle w:val="214"/>
          <w:rFonts w:hint="eastAsia" w:ascii="宋体" w:hAnsi="宋体" w:eastAsia="宋体" w:cs="宋体"/>
          <w:spacing w:val="0"/>
          <w:sz w:val="24"/>
          <w:szCs w:val="24"/>
        </w:rPr>
      </w:pPr>
      <w:r>
        <w:rPr>
          <w:rStyle w:val="214"/>
          <w:rFonts w:hint="eastAsia" w:ascii="宋体" w:hAnsi="宋体" w:eastAsia="宋体" w:cs="宋体"/>
          <w:spacing w:val="0"/>
          <w:sz w:val="24"/>
          <w:szCs w:val="24"/>
        </w:rPr>
        <w:t>你单位收到本邀请书后，请于_</w:t>
      </w:r>
      <w:r>
        <w:rPr>
          <w:rStyle w:val="214"/>
          <w:rFonts w:hint="eastAsia" w:ascii="宋体" w:hAnsi="宋体" w:eastAsia="宋体" w:cs="宋体"/>
          <w:spacing w:val="0"/>
          <w:sz w:val="24"/>
          <w:szCs w:val="24"/>
          <w:u w:val="single"/>
          <w:lang w:val="en-US" w:eastAsia="zh-CN"/>
        </w:rPr>
        <w:t xml:space="preserve">  </w:t>
      </w:r>
      <w:r>
        <w:rPr>
          <w:rStyle w:val="214"/>
          <w:rFonts w:hint="eastAsia" w:ascii="宋体" w:hAnsi="宋体" w:eastAsia="宋体" w:cs="宋体"/>
          <w:spacing w:val="0"/>
          <w:sz w:val="24"/>
          <w:szCs w:val="24"/>
        </w:rPr>
        <w:t>年_</w:t>
      </w:r>
      <w:r>
        <w:rPr>
          <w:rStyle w:val="214"/>
          <w:rFonts w:hint="eastAsia" w:ascii="宋体" w:hAnsi="宋体" w:eastAsia="宋体" w:cs="宋体"/>
          <w:spacing w:val="0"/>
          <w:sz w:val="24"/>
          <w:szCs w:val="24"/>
          <w:u w:val="single"/>
          <w:lang w:val="en-US" w:eastAsia="zh-CN"/>
        </w:rPr>
        <w:t xml:space="preserve">  </w:t>
      </w:r>
      <w:r>
        <w:rPr>
          <w:rStyle w:val="238"/>
          <w:rFonts w:hint="eastAsia" w:ascii="宋体" w:hAnsi="宋体" w:eastAsia="宋体" w:cs="宋体"/>
          <w:sz w:val="24"/>
          <w:szCs w:val="24"/>
        </w:rPr>
        <w:t>月</w:t>
      </w:r>
      <w:r>
        <w:rPr>
          <w:rStyle w:val="214"/>
          <w:rFonts w:hint="eastAsia" w:ascii="宋体" w:hAnsi="宋体" w:eastAsia="宋体" w:cs="宋体"/>
          <w:spacing w:val="0"/>
          <w:sz w:val="24"/>
          <w:szCs w:val="24"/>
        </w:rPr>
        <w:t>_</w:t>
      </w:r>
      <w:r>
        <w:rPr>
          <w:rStyle w:val="214"/>
          <w:rFonts w:hint="eastAsia" w:ascii="宋体" w:hAnsi="宋体" w:eastAsia="宋体" w:cs="宋体"/>
          <w:spacing w:val="0"/>
          <w:sz w:val="24"/>
          <w:szCs w:val="24"/>
          <w:u w:val="single"/>
          <w:lang w:val="en-US" w:eastAsia="zh-CN"/>
        </w:rPr>
        <w:t xml:space="preserve">  </w:t>
      </w:r>
      <w:r>
        <w:rPr>
          <w:rStyle w:val="214"/>
          <w:rFonts w:hint="eastAsia" w:ascii="宋体" w:hAnsi="宋体" w:eastAsia="宋体" w:cs="宋体"/>
          <w:spacing w:val="0"/>
          <w:sz w:val="24"/>
          <w:szCs w:val="24"/>
        </w:rPr>
        <w:t>日_</w:t>
      </w:r>
      <w:r>
        <w:rPr>
          <w:rStyle w:val="214"/>
          <w:rFonts w:hint="eastAsia" w:ascii="宋体" w:hAnsi="宋体" w:eastAsia="宋体" w:cs="宋体"/>
          <w:spacing w:val="0"/>
          <w:sz w:val="24"/>
          <w:szCs w:val="24"/>
          <w:u w:val="single"/>
          <w:lang w:val="en-US" w:eastAsia="zh-CN"/>
        </w:rPr>
        <w:t xml:space="preserve">  </w:t>
      </w:r>
      <w:r>
        <w:rPr>
          <w:rStyle w:val="214"/>
          <w:rFonts w:hint="eastAsia" w:ascii="宋体" w:hAnsi="宋体" w:eastAsia="宋体" w:cs="宋体"/>
          <w:spacing w:val="0"/>
          <w:sz w:val="24"/>
          <w:szCs w:val="24"/>
        </w:rPr>
        <w:t>时_</w:t>
      </w:r>
      <w:r>
        <w:rPr>
          <w:rStyle w:val="214"/>
          <w:rFonts w:hint="eastAsia" w:ascii="宋体" w:hAnsi="宋体" w:eastAsia="宋体" w:cs="宋体"/>
          <w:spacing w:val="0"/>
          <w:sz w:val="24"/>
          <w:szCs w:val="24"/>
          <w:u w:val="single"/>
          <w:lang w:val="en-US" w:eastAsia="zh-CN"/>
        </w:rPr>
        <w:t xml:space="preserve">  </w:t>
      </w:r>
      <w:r>
        <w:rPr>
          <w:rStyle w:val="214"/>
          <w:rFonts w:hint="eastAsia" w:ascii="宋体" w:hAnsi="宋体" w:eastAsia="宋体" w:cs="宋体"/>
          <w:spacing w:val="0"/>
          <w:sz w:val="24"/>
          <w:szCs w:val="24"/>
        </w:rPr>
        <w:t>分前，以书面形式确认是否参加投标。在本邀请书规定的时间内未表示是否参加投标或明确表示不参加投标的，不得再参加投标。</w:t>
      </w:r>
    </w:p>
    <w:p>
      <w:pPr>
        <w:pStyle w:val="84"/>
        <w:snapToGrid w:val="0"/>
        <w:spacing w:line="360" w:lineRule="auto"/>
        <w:jc w:val="left"/>
        <w:outlineLvl w:val="1"/>
        <w:rPr>
          <w:rFonts w:hint="eastAsia" w:ascii="宋体" w:hAnsi="宋体"/>
          <w:bCs/>
          <w:sz w:val="21"/>
          <w:szCs w:val="13"/>
        </w:rPr>
      </w:pPr>
      <w:r>
        <w:rPr>
          <w:rFonts w:hint="eastAsia" w:ascii="宋体" w:hAnsi="宋体"/>
          <w:sz w:val="24"/>
          <w:szCs w:val="13"/>
          <w:lang w:val="en-US" w:eastAsia="zh-CN"/>
        </w:rPr>
        <w:t>8</w:t>
      </w:r>
      <w:r>
        <w:rPr>
          <w:rFonts w:hint="eastAsia" w:ascii="宋体" w:hAnsi="宋体"/>
          <w:sz w:val="24"/>
          <w:szCs w:val="13"/>
        </w:rPr>
        <w:t>.联系方式</w:t>
      </w:r>
    </w:p>
    <w:p>
      <w:pPr>
        <w:spacing w:line="360" w:lineRule="auto"/>
        <w:rPr>
          <w:rFonts w:hint="eastAsia" w:ascii="宋体" w:hAnsi="宋体" w:cs="宋体"/>
          <w:color w:val="auto"/>
          <w:u w:val="single"/>
          <w:lang w:val="en-US"/>
        </w:rPr>
      </w:pPr>
      <w:r>
        <w:rPr>
          <w:rFonts w:hint="eastAsia" w:ascii="宋体" w:hAnsi="宋体" w:cs="宋体"/>
          <w:color w:val="auto"/>
          <w:lang w:val="en-US"/>
        </w:rPr>
        <w:t>招标人：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招标代理机构:</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lang w:val="en-US"/>
        </w:rPr>
      </w:pPr>
      <w:r>
        <w:rPr>
          <w:rFonts w:hint="eastAsia" w:ascii="宋体" w:hAnsi="宋体" w:cs="宋体"/>
          <w:color w:val="auto"/>
          <w:lang w:val="en-US"/>
        </w:rPr>
        <w:t>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地址：</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u w:val="single"/>
          <w:lang w:val="en-US"/>
        </w:rPr>
      </w:pPr>
      <w:r>
        <w:rPr>
          <w:rFonts w:hint="eastAsia" w:ascii="宋体" w:hAnsi="宋体" w:cs="宋体"/>
          <w:color w:val="auto"/>
          <w:lang w:val="en-US"/>
        </w:rPr>
        <w:t>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u w:val="single"/>
          <w:lang w:val="en-US"/>
        </w:rPr>
      </w:pPr>
      <w:r>
        <w:rPr>
          <w:rFonts w:hint="eastAsia" w:ascii="宋体" w:hAnsi="宋体" w:cs="宋体"/>
          <w:color w:val="auto"/>
          <w:lang w:val="en-US"/>
        </w:rPr>
        <w:t>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360" w:lineRule="auto"/>
        <w:rPr>
          <w:rFonts w:hint="eastAsia" w:ascii="宋体" w:hAnsi="宋体" w:cs="宋体"/>
          <w:color w:val="auto"/>
          <w:lang w:val="en-US"/>
        </w:rPr>
      </w:pPr>
      <w:r>
        <w:rPr>
          <w:rFonts w:hint="eastAsia" w:ascii="宋体" w:hAnsi="宋体" w:cs="宋体"/>
          <w:color w:val="auto"/>
          <w:lang w:val="en-US"/>
        </w:rPr>
        <w:t>联系人：</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联系人：</w:t>
      </w:r>
      <w:r>
        <w:rPr>
          <w:rFonts w:hint="eastAsia" w:ascii="宋体" w:hAnsi="宋体" w:cs="宋体"/>
          <w:color w:val="auto"/>
          <w:u w:val="single"/>
          <w:lang w:val="en-US"/>
        </w:rPr>
        <w:t xml:space="preserve">                    </w:t>
      </w:r>
    </w:p>
    <w:p>
      <w:pPr>
        <w:spacing w:line="360" w:lineRule="auto"/>
        <w:rPr>
          <w:rFonts w:hint="eastAsia" w:ascii="宋体" w:hAnsi="宋体" w:cs="宋体"/>
          <w:color w:val="auto"/>
          <w:lang w:val="en-US"/>
        </w:rPr>
      </w:pPr>
      <w:r>
        <w:rPr>
          <w:rFonts w:hint="eastAsia" w:ascii="宋体" w:hAnsi="宋体" w:cs="宋体"/>
          <w:color w:val="auto"/>
          <w:lang w:val="en-US"/>
        </w:rPr>
        <w:t>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 话：</w:t>
      </w:r>
      <w:r>
        <w:rPr>
          <w:rFonts w:hint="eastAsia" w:ascii="宋体" w:hAnsi="宋体" w:cs="宋体"/>
          <w:color w:val="auto"/>
          <w:u w:val="single"/>
          <w:lang w:val="en-US"/>
        </w:rPr>
        <w:t xml:space="preserve">                     </w:t>
      </w:r>
      <w:r>
        <w:rPr>
          <w:rFonts w:hint="eastAsia" w:ascii="宋体" w:hAnsi="宋体" w:cs="宋体"/>
          <w:color w:val="auto"/>
          <w:lang w:val="en-US"/>
        </w:rPr>
        <w:t xml:space="preserve">  </w:t>
      </w:r>
    </w:p>
    <w:p>
      <w:pPr>
        <w:rPr>
          <w:rStyle w:val="579"/>
          <w:rFonts w:hint="eastAsia" w:ascii="宋体" w:hAnsi="宋体" w:eastAsia="宋体" w:cs="宋体"/>
          <w:sz w:val="24"/>
          <w:szCs w:val="24"/>
        </w:rPr>
      </w:pPr>
      <w:r>
        <w:rPr>
          <w:rFonts w:hint="eastAsia" w:ascii="宋体" w:hAnsi="宋体" w:cs="宋体"/>
          <w:color w:val="auto"/>
          <w:lang w:val="en-US"/>
        </w:rPr>
        <w:t>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传 真：</w:t>
      </w:r>
      <w:r>
        <w:rPr>
          <w:rFonts w:hint="eastAsia" w:ascii="宋体" w:hAnsi="宋体" w:cs="宋体"/>
          <w:color w:val="auto"/>
          <w:u w:val="single"/>
          <w:lang w:val="en-US"/>
        </w:rPr>
        <w:t xml:space="preserve">                     </w:t>
      </w:r>
    </w:p>
    <w:p>
      <w:pPr>
        <w:pStyle w:val="215"/>
        <w:shd w:val="clear" w:color="auto" w:fill="auto"/>
        <w:tabs>
          <w:tab w:val="left" w:leader="underscore" w:pos="974"/>
          <w:tab w:val="left" w:leader="underscore" w:pos="1814"/>
        </w:tabs>
        <w:spacing w:before="0" w:line="360" w:lineRule="auto"/>
        <w:ind w:firstLine="3360" w:firstLineChars="1200"/>
        <w:jc w:val="right"/>
        <w:rPr>
          <w:rStyle w:val="579"/>
          <w:rFonts w:hint="eastAsia" w:ascii="宋体" w:hAnsi="宋体" w:eastAsia="宋体"/>
        </w:rPr>
      </w:pPr>
      <w:r>
        <w:rPr>
          <w:rStyle w:val="214"/>
          <w:rFonts w:hint="eastAsia" w:ascii="宋体" w:hAnsi="宋体" w:eastAsia="宋体" w:cs="宋体"/>
          <w:sz w:val="24"/>
          <w:szCs w:val="24"/>
          <w:u w:val="single"/>
        </w:rPr>
        <w:tab/>
      </w:r>
      <w:r>
        <w:rPr>
          <w:rStyle w:val="214"/>
          <w:rFonts w:hint="eastAsia" w:ascii="宋体" w:hAnsi="宋体" w:eastAsia="宋体" w:cs="宋体"/>
          <w:sz w:val="24"/>
          <w:szCs w:val="24"/>
          <w:u w:val="single"/>
          <w:lang w:val="en-US"/>
        </w:rPr>
        <w:t xml:space="preserve">  </w:t>
      </w:r>
      <w:r>
        <w:rPr>
          <w:rStyle w:val="214"/>
          <w:rFonts w:hint="eastAsia" w:ascii="宋体" w:hAnsi="宋体" w:eastAsia="宋体" w:cs="宋体"/>
          <w:sz w:val="24"/>
          <w:szCs w:val="24"/>
        </w:rPr>
        <w:t>年</w:t>
      </w:r>
      <w:r>
        <w:rPr>
          <w:rStyle w:val="214"/>
          <w:rFonts w:hint="eastAsia" w:ascii="宋体" w:hAnsi="宋体" w:eastAsia="宋体" w:cs="宋体"/>
          <w:sz w:val="24"/>
          <w:szCs w:val="24"/>
          <w:u w:val="single"/>
        </w:rPr>
        <w:tab/>
      </w:r>
      <w:r>
        <w:rPr>
          <w:rStyle w:val="214"/>
          <w:rFonts w:hint="eastAsia" w:ascii="宋体" w:hAnsi="宋体" w:eastAsia="宋体" w:cs="宋体"/>
          <w:sz w:val="24"/>
          <w:szCs w:val="24"/>
          <w:u w:val="single"/>
          <w:lang w:val="en-US"/>
        </w:rPr>
        <w:t xml:space="preserve"> </w:t>
      </w:r>
      <w:r>
        <w:rPr>
          <w:rStyle w:val="214"/>
          <w:rFonts w:hint="eastAsia" w:ascii="宋体" w:hAnsi="宋体" w:eastAsia="宋体" w:cs="宋体"/>
          <w:sz w:val="24"/>
          <w:szCs w:val="24"/>
        </w:rPr>
        <w:t>月</w:t>
      </w:r>
      <w:r>
        <w:rPr>
          <w:rStyle w:val="214"/>
          <w:rFonts w:hint="eastAsia" w:ascii="宋体" w:hAnsi="宋体" w:eastAsia="宋体" w:cs="宋体"/>
          <w:sz w:val="24"/>
          <w:szCs w:val="24"/>
          <w:u w:val="single"/>
        </w:rPr>
        <w:tab/>
      </w:r>
      <w:r>
        <w:rPr>
          <w:rStyle w:val="214"/>
          <w:rFonts w:hint="eastAsia" w:ascii="宋体" w:hAnsi="宋体" w:eastAsia="宋体" w:cs="宋体"/>
          <w:sz w:val="24"/>
          <w:szCs w:val="24"/>
        </w:rPr>
        <w:t>日</w:t>
      </w:r>
    </w:p>
    <w:p>
      <w:pPr>
        <w:pStyle w:val="84"/>
        <w:snapToGrid w:val="0"/>
        <w:spacing w:line="360" w:lineRule="auto"/>
        <w:jc w:val="left"/>
        <w:outlineLvl w:val="1"/>
        <w:rPr>
          <w:rFonts w:hint="eastAsia"/>
          <w:sz w:val="24"/>
          <w:szCs w:val="13"/>
        </w:rPr>
        <w:sectPr>
          <w:footnotePr>
            <w:numRestart w:val="eachPage"/>
          </w:footnotePr>
          <w:pgSz w:w="11900" w:h="16838"/>
          <w:pgMar w:top="1803" w:right="1440" w:bottom="1803" w:left="1440" w:header="680" w:footer="680" w:gutter="0"/>
          <w:cols w:space="720" w:num="1"/>
          <w:docGrid w:linePitch="360" w:charSpace="0"/>
        </w:sectPr>
      </w:pPr>
      <w:bookmarkStart w:id="21" w:name="bookmark18"/>
    </w:p>
    <w:p>
      <w:pPr>
        <w:pStyle w:val="84"/>
        <w:snapToGrid w:val="0"/>
        <w:spacing w:line="360" w:lineRule="auto"/>
        <w:jc w:val="left"/>
        <w:outlineLvl w:val="1"/>
        <w:rPr>
          <w:rFonts w:ascii="宋体" w:hAnsi="宋体"/>
          <w:sz w:val="24"/>
          <w:szCs w:val="13"/>
        </w:rPr>
      </w:pPr>
      <w:r>
        <w:rPr>
          <w:rFonts w:hint="eastAsia"/>
          <w:sz w:val="24"/>
          <w:szCs w:val="13"/>
        </w:rPr>
        <w:t>附件：确认通知</w:t>
      </w:r>
      <w:bookmarkEnd w:id="21"/>
    </w:p>
    <w:p>
      <w:pPr>
        <w:jc w:val="center"/>
        <w:rPr>
          <w:b/>
          <w:bCs/>
          <w:color w:val="auto"/>
          <w:sz w:val="32"/>
          <w:szCs w:val="32"/>
        </w:rPr>
      </w:pPr>
      <w:bookmarkStart w:id="22" w:name="bookmark19"/>
      <w:r>
        <w:rPr>
          <w:rFonts w:hint="eastAsia"/>
          <w:b/>
          <w:bCs/>
          <w:color w:val="auto"/>
          <w:sz w:val="32"/>
          <w:szCs w:val="32"/>
        </w:rPr>
        <w:t>确认通知</w:t>
      </w:r>
      <w:bookmarkEnd w:id="22"/>
    </w:p>
    <w:p>
      <w:pPr>
        <w:pStyle w:val="215"/>
        <w:shd w:val="clear" w:color="auto" w:fill="auto"/>
        <w:tabs>
          <w:tab w:val="left" w:leader="underscore" w:pos="2211"/>
        </w:tabs>
        <w:spacing w:before="0" w:line="360" w:lineRule="auto"/>
        <w:jc w:val="both"/>
        <w:rPr>
          <w:rStyle w:val="214"/>
          <w:rFonts w:ascii="宋体" w:hAnsi="宋体" w:eastAsia="宋体"/>
          <w:sz w:val="24"/>
          <w:szCs w:val="24"/>
        </w:rPr>
      </w:pPr>
    </w:p>
    <w:p>
      <w:pPr>
        <w:pStyle w:val="215"/>
        <w:shd w:val="clear" w:color="auto" w:fill="auto"/>
        <w:tabs>
          <w:tab w:val="left" w:leader="underscore" w:pos="2211"/>
        </w:tabs>
        <w:spacing w:before="0" w:line="360" w:lineRule="auto"/>
        <w:ind w:firstLine="240" w:firstLineChars="100"/>
        <w:jc w:val="both"/>
        <w:rPr>
          <w:rFonts w:ascii="宋体" w:hAnsi="宋体" w:eastAsia="宋体"/>
          <w:spacing w:val="0"/>
          <w:sz w:val="24"/>
          <w:szCs w:val="24"/>
        </w:rPr>
      </w:pP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u w:val="single"/>
          <w:lang w:val="en-US" w:eastAsia="zh-CN"/>
        </w:rPr>
        <w:t xml:space="preserve">    </w:t>
      </w:r>
      <w:r>
        <w:rPr>
          <w:rStyle w:val="214"/>
          <w:rFonts w:hint="eastAsia" w:ascii="宋体" w:hAnsi="宋体" w:eastAsia="宋体"/>
          <w:spacing w:val="0"/>
          <w:sz w:val="24"/>
          <w:szCs w:val="24"/>
          <w:u w:val="single"/>
          <w:lang w:val="en-US"/>
        </w:rPr>
        <w:t xml:space="preserve">  </w:t>
      </w:r>
      <w:r>
        <w:rPr>
          <w:rStyle w:val="214"/>
          <w:rFonts w:ascii="宋体" w:hAnsi="宋体" w:eastAsia="宋体"/>
          <w:spacing w:val="0"/>
          <w:sz w:val="24"/>
          <w:szCs w:val="24"/>
        </w:rPr>
        <w:t>(</w:t>
      </w:r>
      <w:r>
        <w:rPr>
          <w:rStyle w:val="214"/>
          <w:rFonts w:hint="eastAsia" w:ascii="宋体" w:hAnsi="宋体" w:eastAsia="宋体"/>
          <w:spacing w:val="0"/>
          <w:sz w:val="24"/>
          <w:szCs w:val="24"/>
        </w:rPr>
        <w:t>招标人名称）：</w:t>
      </w:r>
    </w:p>
    <w:p>
      <w:pPr>
        <w:pStyle w:val="215"/>
        <w:shd w:val="clear" w:color="auto" w:fill="auto"/>
        <w:tabs>
          <w:tab w:val="left" w:leader="underscore" w:pos="3072"/>
          <w:tab w:val="left" w:leader="underscore" w:pos="5520"/>
        </w:tabs>
        <w:spacing w:before="0" w:line="360" w:lineRule="auto"/>
        <w:ind w:firstLine="480" w:firstLineChars="200"/>
        <w:jc w:val="both"/>
        <w:rPr>
          <w:rFonts w:ascii="宋体" w:hAnsi="宋体" w:eastAsia="宋体"/>
          <w:spacing w:val="0"/>
          <w:sz w:val="24"/>
          <w:szCs w:val="24"/>
        </w:rPr>
      </w:pPr>
      <w:r>
        <w:rPr>
          <w:rStyle w:val="214"/>
          <w:rFonts w:hint="eastAsia" w:ascii="宋体" w:hAnsi="宋体" w:eastAsia="宋体"/>
          <w:spacing w:val="0"/>
          <w:sz w:val="24"/>
          <w:szCs w:val="24"/>
        </w:rPr>
        <w:t>我方已于</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年</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月</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日收到你方</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年</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月</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日发出的</w:t>
      </w:r>
      <w:r>
        <w:rPr>
          <w:rStyle w:val="214"/>
          <w:rFonts w:hint="eastAsia" w:ascii="宋体" w:hAnsi="宋体" w:eastAsia="宋体"/>
          <w:spacing w:val="0"/>
          <w:sz w:val="24"/>
          <w:szCs w:val="24"/>
          <w:u w:val="single"/>
        </w:rPr>
        <w:t xml:space="preserve">  </w:t>
      </w:r>
      <w:r>
        <w:rPr>
          <w:rStyle w:val="214"/>
          <w:rFonts w:hint="eastAsia" w:ascii="宋体" w:hAnsi="宋体" w:eastAsia="宋体"/>
          <w:spacing w:val="0"/>
          <w:sz w:val="24"/>
          <w:szCs w:val="24"/>
          <w:u w:val="single"/>
          <w:lang w:val="en-US" w:eastAsia="zh-CN"/>
        </w:rPr>
        <w:t xml:space="preserve">    </w:t>
      </w:r>
      <w:r>
        <w:rPr>
          <w:rStyle w:val="214"/>
          <w:rFonts w:hint="eastAsia" w:ascii="宋体" w:hAnsi="宋体" w:eastAsia="宋体"/>
          <w:spacing w:val="0"/>
          <w:sz w:val="24"/>
          <w:szCs w:val="24"/>
          <w:u w:val="single"/>
        </w:rPr>
        <w:t xml:space="preserve">  </w:t>
      </w:r>
      <w:r>
        <w:rPr>
          <w:rStyle w:val="214"/>
          <w:rFonts w:ascii="宋体" w:hAnsi="宋体" w:eastAsia="宋体"/>
          <w:spacing w:val="0"/>
          <w:sz w:val="24"/>
          <w:szCs w:val="24"/>
          <w:u w:val="single"/>
        </w:rPr>
        <w:t>(</w:t>
      </w:r>
      <w:r>
        <w:rPr>
          <w:rStyle w:val="214"/>
          <w:rFonts w:hint="eastAsia" w:ascii="宋体" w:hAnsi="宋体" w:eastAsia="宋体"/>
          <w:spacing w:val="0"/>
          <w:sz w:val="24"/>
          <w:szCs w:val="24"/>
          <w:u w:val="single"/>
        </w:rPr>
        <w:t>项目名称）</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u w:val="single"/>
          <w:lang w:eastAsia="zh-CN"/>
        </w:rPr>
        <w:t>标类（或标段）</w:t>
      </w:r>
      <w:r>
        <w:rPr>
          <w:rStyle w:val="214"/>
          <w:rFonts w:hint="eastAsia" w:ascii="宋体" w:hAnsi="宋体" w:eastAsia="宋体"/>
          <w:spacing w:val="0"/>
          <w:sz w:val="24"/>
          <w:szCs w:val="24"/>
          <w:lang w:val="en-US" w:eastAsia="zh-CN"/>
        </w:rPr>
        <w:t>勘察设计</w:t>
      </w:r>
      <w:r>
        <w:rPr>
          <w:rStyle w:val="214"/>
          <w:rFonts w:hint="eastAsia" w:ascii="宋体" w:hAnsi="宋体" w:eastAsia="宋体"/>
          <w:spacing w:val="0"/>
          <w:sz w:val="24"/>
          <w:szCs w:val="24"/>
        </w:rPr>
        <w:t>招标的投标邀请书，并确认</w:t>
      </w:r>
      <w:r>
        <w:rPr>
          <w:rStyle w:val="214"/>
          <w:rFonts w:hint="eastAsia" w:ascii="宋体" w:hAnsi="宋体" w:eastAsia="宋体"/>
          <w:spacing w:val="0"/>
          <w:sz w:val="24"/>
          <w:szCs w:val="24"/>
          <w:u w:val="single"/>
        </w:rPr>
        <w:t xml:space="preserve">      </w:t>
      </w:r>
      <w:r>
        <w:rPr>
          <w:rStyle w:val="214"/>
          <w:rFonts w:ascii="宋体" w:hAnsi="宋体" w:eastAsia="宋体"/>
          <w:spacing w:val="0"/>
          <w:sz w:val="24"/>
          <w:szCs w:val="24"/>
        </w:rPr>
        <w:t>(</w:t>
      </w:r>
      <w:r>
        <w:rPr>
          <w:rStyle w:val="214"/>
          <w:rFonts w:hint="eastAsia" w:ascii="宋体" w:hAnsi="宋体" w:eastAsia="宋体"/>
          <w:spacing w:val="0"/>
          <w:sz w:val="24"/>
          <w:szCs w:val="24"/>
        </w:rPr>
        <w:t>参加</w:t>
      </w:r>
      <w:r>
        <w:rPr>
          <w:rStyle w:val="214"/>
          <w:rFonts w:ascii="宋体" w:hAnsi="宋体" w:eastAsia="宋体"/>
          <w:spacing w:val="0"/>
          <w:sz w:val="24"/>
          <w:szCs w:val="24"/>
        </w:rPr>
        <w:t>/</w:t>
      </w:r>
      <w:r>
        <w:rPr>
          <w:rStyle w:val="214"/>
          <w:rFonts w:hint="eastAsia" w:ascii="宋体" w:hAnsi="宋体" w:eastAsia="宋体"/>
          <w:spacing w:val="0"/>
          <w:sz w:val="24"/>
          <w:szCs w:val="24"/>
        </w:rPr>
        <w:t>不参加）投标。</w:t>
      </w:r>
    </w:p>
    <w:p>
      <w:pPr>
        <w:pStyle w:val="215"/>
        <w:shd w:val="clear" w:color="auto" w:fill="auto"/>
        <w:spacing w:before="0" w:line="360" w:lineRule="auto"/>
        <w:ind w:firstLine="480" w:firstLineChars="200"/>
        <w:jc w:val="both"/>
        <w:rPr>
          <w:rFonts w:ascii="宋体" w:hAnsi="宋体" w:eastAsia="宋体"/>
          <w:spacing w:val="0"/>
          <w:sz w:val="24"/>
          <w:szCs w:val="24"/>
        </w:rPr>
      </w:pPr>
      <w:r>
        <w:rPr>
          <w:rStyle w:val="214"/>
          <w:rFonts w:hint="eastAsia" w:ascii="宋体" w:hAnsi="宋体" w:eastAsia="宋体"/>
          <w:spacing w:val="0"/>
          <w:sz w:val="24"/>
          <w:szCs w:val="24"/>
        </w:rPr>
        <w:t>特此确认。</w:t>
      </w:r>
    </w:p>
    <w:p>
      <w:pPr>
        <w:pStyle w:val="215"/>
        <w:shd w:val="clear" w:color="auto" w:fill="auto"/>
        <w:tabs>
          <w:tab w:val="left" w:leader="underscore" w:pos="7538"/>
        </w:tabs>
        <w:spacing w:before="0" w:line="360" w:lineRule="auto"/>
        <w:ind w:firstLine="480" w:firstLineChars="200"/>
        <w:jc w:val="right"/>
        <w:rPr>
          <w:rStyle w:val="214"/>
          <w:rFonts w:hint="eastAsia" w:ascii="宋体" w:hAnsi="宋体" w:eastAsia="宋体"/>
          <w:spacing w:val="0"/>
          <w:sz w:val="24"/>
          <w:szCs w:val="24"/>
        </w:rPr>
      </w:pPr>
    </w:p>
    <w:p>
      <w:pPr>
        <w:pStyle w:val="215"/>
        <w:shd w:val="clear" w:color="auto" w:fill="auto"/>
        <w:tabs>
          <w:tab w:val="left" w:leader="underscore" w:pos="7538"/>
        </w:tabs>
        <w:spacing w:before="0" w:line="360" w:lineRule="auto"/>
        <w:ind w:firstLine="480" w:firstLineChars="200"/>
        <w:jc w:val="right"/>
        <w:rPr>
          <w:rStyle w:val="214"/>
          <w:rFonts w:ascii="宋体" w:hAnsi="宋体" w:eastAsia="宋体"/>
          <w:spacing w:val="0"/>
          <w:sz w:val="24"/>
          <w:szCs w:val="24"/>
        </w:rPr>
      </w:pPr>
      <w:r>
        <w:rPr>
          <w:rStyle w:val="214"/>
          <w:rFonts w:hint="eastAsia" w:ascii="宋体" w:hAnsi="宋体" w:eastAsia="宋体"/>
          <w:spacing w:val="0"/>
          <w:sz w:val="24"/>
          <w:szCs w:val="24"/>
        </w:rPr>
        <w:t>被邀请单位名称：</w:t>
      </w:r>
      <w:r>
        <w:rPr>
          <w:rStyle w:val="214"/>
          <w:rFonts w:hint="eastAsia" w:ascii="宋体" w:hAnsi="宋体" w:eastAsia="宋体"/>
          <w:spacing w:val="0"/>
          <w:sz w:val="24"/>
          <w:szCs w:val="24"/>
          <w:u w:val="single"/>
          <w:lang w:val="en-US"/>
        </w:rPr>
        <w:t xml:space="preserve">            </w:t>
      </w:r>
      <w:r>
        <w:rPr>
          <w:rStyle w:val="214"/>
          <w:rFonts w:ascii="宋体" w:hAnsi="宋体" w:eastAsia="宋体"/>
          <w:spacing w:val="0"/>
          <w:sz w:val="24"/>
          <w:szCs w:val="24"/>
        </w:rPr>
        <w:t>(</w:t>
      </w:r>
      <w:r>
        <w:rPr>
          <w:rStyle w:val="214"/>
          <w:rFonts w:hint="eastAsia" w:ascii="宋体" w:hAnsi="宋体" w:eastAsia="宋体"/>
          <w:spacing w:val="0"/>
          <w:sz w:val="24"/>
          <w:szCs w:val="24"/>
        </w:rPr>
        <w:t>盖单位章</w:t>
      </w:r>
      <w:r>
        <w:rPr>
          <w:rStyle w:val="214"/>
          <w:rFonts w:ascii="宋体" w:hAnsi="宋体" w:eastAsia="宋体"/>
          <w:spacing w:val="0"/>
          <w:sz w:val="24"/>
          <w:szCs w:val="24"/>
        </w:rPr>
        <w:t>)</w:t>
      </w:r>
    </w:p>
    <w:p>
      <w:pPr>
        <w:pStyle w:val="215"/>
        <w:shd w:val="clear" w:color="auto" w:fill="auto"/>
        <w:tabs>
          <w:tab w:val="left" w:leader="underscore" w:pos="5502"/>
          <w:tab w:val="left" w:leader="underscore" w:pos="6822"/>
          <w:tab w:val="left" w:leader="underscore" w:pos="8142"/>
        </w:tabs>
        <w:spacing w:before="0" w:line="360" w:lineRule="auto"/>
        <w:ind w:firstLine="960" w:firstLineChars="400"/>
        <w:jc w:val="right"/>
        <w:rPr>
          <w:rStyle w:val="214"/>
          <w:rFonts w:hint="eastAsia" w:ascii="宋体" w:hAnsi="宋体" w:eastAsia="宋体"/>
          <w:sz w:val="24"/>
          <w:szCs w:val="24"/>
        </w:rPr>
      </w:pP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年</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月</w:t>
      </w:r>
      <w:r>
        <w:rPr>
          <w:rStyle w:val="214"/>
          <w:rFonts w:hint="eastAsia" w:ascii="宋体" w:hAnsi="宋体" w:eastAsia="宋体"/>
          <w:spacing w:val="0"/>
          <w:sz w:val="24"/>
          <w:szCs w:val="24"/>
          <w:u w:val="single"/>
          <w:lang w:val="en-US"/>
        </w:rPr>
        <w:t xml:space="preserve">    </w:t>
      </w:r>
      <w:r>
        <w:rPr>
          <w:rStyle w:val="214"/>
          <w:rFonts w:hint="eastAsia" w:ascii="宋体" w:hAnsi="宋体" w:eastAsia="宋体"/>
          <w:spacing w:val="0"/>
          <w:sz w:val="24"/>
          <w:szCs w:val="24"/>
        </w:rPr>
        <w:t>日</w:t>
      </w: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pStyle w:val="215"/>
        <w:shd w:val="clear" w:color="auto" w:fill="auto"/>
        <w:tabs>
          <w:tab w:val="left" w:leader="underscore" w:pos="5502"/>
          <w:tab w:val="left" w:leader="underscore" w:pos="6822"/>
          <w:tab w:val="left" w:leader="underscore" w:pos="8142"/>
        </w:tabs>
        <w:spacing w:before="0" w:line="360" w:lineRule="auto"/>
        <w:ind w:firstLine="1040" w:firstLineChars="400"/>
        <w:jc w:val="right"/>
        <w:rPr>
          <w:rStyle w:val="214"/>
          <w:rFonts w:hint="eastAsia" w:ascii="宋体" w:hAnsi="宋体" w:eastAsia="宋体"/>
        </w:rPr>
      </w:pPr>
    </w:p>
    <w:p>
      <w:pPr>
        <w:spacing w:line="360" w:lineRule="auto"/>
        <w:rPr>
          <w:rFonts w:ascii="宋体" w:hAnsi="宋体" w:cs="Times New Roman"/>
          <w:color w:val="auto"/>
          <w:sz w:val="2"/>
          <w:szCs w:val="2"/>
          <w:lang w:val="en-US"/>
        </w:rPr>
        <w:sectPr>
          <w:footnotePr>
            <w:numRestart w:val="eachPage"/>
          </w:footnotePr>
          <w:pgSz w:w="11900" w:h="16838"/>
          <w:pgMar w:top="1803" w:right="1440" w:bottom="1803" w:left="1440" w:header="680" w:footer="680" w:gutter="0"/>
          <w:cols w:space="720" w:num="1"/>
          <w:docGrid w:linePitch="360" w:charSpace="0"/>
        </w:sectPr>
      </w:pPr>
    </w:p>
    <w:p>
      <w:pPr>
        <w:pStyle w:val="620"/>
        <w:shd w:val="clear" w:color="auto" w:fill="auto"/>
        <w:spacing w:line="360" w:lineRule="auto"/>
        <w:jc w:val="center"/>
        <w:rPr>
          <w:rStyle w:val="442"/>
          <w:rFonts w:hint="eastAsia" w:ascii="宋体" w:hAnsi="宋体" w:eastAsia="宋体"/>
        </w:rPr>
      </w:pPr>
    </w:p>
    <w:p>
      <w:pPr>
        <w:pStyle w:val="620"/>
        <w:shd w:val="clear" w:color="auto" w:fill="auto"/>
        <w:spacing w:line="360" w:lineRule="auto"/>
        <w:jc w:val="center"/>
        <w:rPr>
          <w:rStyle w:val="442"/>
          <w:rFonts w:hint="eastAsia" w:ascii="宋体" w:hAnsi="宋体" w:eastAsia="宋体"/>
        </w:rPr>
      </w:pPr>
    </w:p>
    <w:p>
      <w:pPr>
        <w:pStyle w:val="620"/>
        <w:shd w:val="clear" w:color="auto" w:fill="auto"/>
        <w:spacing w:line="360" w:lineRule="auto"/>
        <w:jc w:val="center"/>
        <w:rPr>
          <w:rStyle w:val="442"/>
          <w:rFonts w:hint="eastAsia" w:ascii="宋体" w:hAnsi="宋体" w:eastAsia="宋体"/>
        </w:rPr>
      </w:pPr>
    </w:p>
    <w:p>
      <w:pPr>
        <w:pStyle w:val="620"/>
        <w:shd w:val="clear" w:color="auto" w:fill="auto"/>
        <w:spacing w:line="360" w:lineRule="auto"/>
        <w:jc w:val="center"/>
        <w:rPr>
          <w:rStyle w:val="442"/>
          <w:rFonts w:hint="eastAsia" w:ascii="宋体" w:hAnsi="宋体" w:eastAsia="宋体"/>
        </w:rPr>
      </w:pPr>
    </w:p>
    <w:p>
      <w:pPr>
        <w:pStyle w:val="3"/>
        <w:spacing w:after="0" w:line="360" w:lineRule="auto"/>
        <w:jc w:val="center"/>
        <w:rPr>
          <w:sz w:val="36"/>
          <w:szCs w:val="36"/>
        </w:rPr>
      </w:pPr>
      <w:r>
        <w:rPr>
          <w:rStyle w:val="442"/>
          <w:rFonts w:hint="eastAsia" w:ascii="宋体" w:hAnsi="宋体" w:eastAsia="宋体"/>
          <w:sz w:val="48"/>
          <w:szCs w:val="48"/>
        </w:rPr>
        <w:t>第二章</w:t>
      </w:r>
      <w:r>
        <w:rPr>
          <w:rStyle w:val="442"/>
          <w:rFonts w:hint="eastAsia" w:ascii="宋体" w:hAnsi="宋体" w:eastAsia="宋体"/>
          <w:sz w:val="48"/>
          <w:szCs w:val="48"/>
          <w:lang w:val="en-US"/>
        </w:rPr>
        <w:t xml:space="preserve"> </w:t>
      </w:r>
      <w:r>
        <w:rPr>
          <w:rStyle w:val="442"/>
          <w:rFonts w:hint="eastAsia" w:ascii="宋体" w:hAnsi="宋体" w:eastAsia="宋体"/>
          <w:sz w:val="48"/>
          <w:szCs w:val="48"/>
        </w:rPr>
        <w:t>投标人须知</w:t>
      </w:r>
    </w:p>
    <w:p>
      <w:pPr>
        <w:pStyle w:val="3"/>
        <w:spacing w:after="0" w:line="360" w:lineRule="auto"/>
        <w:jc w:val="center"/>
        <w:rPr>
          <w:sz w:val="2"/>
          <w:szCs w:val="2"/>
        </w:rPr>
        <w:sectPr>
          <w:footnotePr>
            <w:numRestart w:val="eachPage"/>
          </w:footnotePr>
          <w:pgSz w:w="11900" w:h="16838"/>
          <w:pgMar w:top="1803" w:right="1440" w:bottom="1803" w:left="1440" w:header="680" w:footer="680" w:gutter="0"/>
          <w:cols w:space="720" w:num="1"/>
          <w:docGrid w:linePitch="360" w:charSpace="0"/>
        </w:sectPr>
      </w:pPr>
    </w:p>
    <w:p>
      <w:pPr>
        <w:pStyle w:val="620"/>
        <w:shd w:val="clear" w:color="auto" w:fill="auto"/>
        <w:spacing w:line="360" w:lineRule="auto"/>
        <w:jc w:val="center"/>
        <w:rPr>
          <w:rStyle w:val="233"/>
          <w:rFonts w:hint="eastAsia" w:ascii="宋体" w:eastAsia="宋体"/>
          <w:sz w:val="36"/>
          <w:szCs w:val="36"/>
        </w:rPr>
        <w:sectPr>
          <w:footnotePr>
            <w:numRestart w:val="eachPage"/>
          </w:footnotePr>
          <w:type w:val="continuous"/>
          <w:pgSz w:w="11900" w:h="16838"/>
          <w:pgMar w:top="1803" w:right="1440" w:bottom="1803" w:left="1440" w:header="680" w:footer="680" w:gutter="0"/>
          <w:cols w:space="720" w:num="1"/>
          <w:docGrid w:linePitch="360" w:charSpace="0"/>
        </w:sectPr>
      </w:pPr>
      <w:bookmarkStart w:id="23" w:name="bookmark23"/>
    </w:p>
    <w:p>
      <w:pPr>
        <w:pStyle w:val="620"/>
        <w:shd w:val="clear" w:color="auto" w:fill="auto"/>
        <w:spacing w:line="360" w:lineRule="auto"/>
        <w:jc w:val="center"/>
        <w:rPr>
          <w:rStyle w:val="233"/>
          <w:rFonts w:ascii="宋体" w:eastAsia="宋体"/>
          <w:sz w:val="36"/>
          <w:szCs w:val="36"/>
        </w:rPr>
      </w:pPr>
      <w:r>
        <w:rPr>
          <w:rStyle w:val="233"/>
          <w:rFonts w:hint="eastAsia" w:ascii="宋体" w:eastAsia="宋体"/>
          <w:b/>
          <w:bCs/>
          <w:sz w:val="36"/>
          <w:szCs w:val="36"/>
        </w:rPr>
        <w:t>第二章</w:t>
      </w:r>
      <w:r>
        <w:rPr>
          <w:rStyle w:val="233"/>
          <w:rFonts w:hint="eastAsia" w:ascii="宋体" w:eastAsia="宋体"/>
          <w:b/>
          <w:bCs/>
          <w:sz w:val="36"/>
          <w:szCs w:val="36"/>
          <w:lang w:val="en-US" w:eastAsia="zh-CN"/>
        </w:rPr>
        <w:t xml:space="preserve"> </w:t>
      </w:r>
      <w:r>
        <w:rPr>
          <w:rStyle w:val="233"/>
          <w:rFonts w:hint="eastAsia" w:ascii="宋体" w:eastAsia="宋体"/>
          <w:b/>
          <w:bCs/>
          <w:sz w:val="36"/>
          <w:szCs w:val="36"/>
        </w:rPr>
        <w:t>投标人须知</w:t>
      </w:r>
      <w:bookmarkEnd w:id="23"/>
    </w:p>
    <w:p>
      <w:pPr>
        <w:pStyle w:val="84"/>
        <w:snapToGrid w:val="0"/>
        <w:spacing w:line="360" w:lineRule="auto"/>
        <w:jc w:val="left"/>
        <w:outlineLvl w:val="1"/>
        <w:rPr>
          <w:sz w:val="24"/>
          <w:szCs w:val="13"/>
        </w:rPr>
      </w:pPr>
      <w:bookmarkStart w:id="24" w:name="bookmark24"/>
      <w:r>
        <w:rPr>
          <w:rFonts w:hint="eastAsia"/>
          <w:b w:val="0"/>
          <w:sz w:val="24"/>
          <w:szCs w:val="13"/>
        </w:rPr>
        <w:t>投标人须知前附表</w:t>
      </w:r>
      <w:bookmarkEnd w:id="24"/>
      <w:r>
        <w:rPr>
          <w:rStyle w:val="101"/>
          <w:rFonts w:ascii="宋体" w:hAnsi="宋体"/>
          <w:b w:val="0"/>
          <w:sz w:val="30"/>
          <w:szCs w:val="24"/>
          <w:lang w:val="zh-CN" w:eastAsia="zh-CN"/>
        </w:rPr>
        <w:footnoteReference w:id="20"/>
      </w:r>
    </w:p>
    <w:tbl>
      <w:tblPr>
        <w:tblStyle w:val="88"/>
        <w:tblW w:w="0" w:type="auto"/>
        <w:tblInd w:w="0" w:type="dxa"/>
        <w:tblLayout w:type="fixed"/>
        <w:tblCellMar>
          <w:top w:w="0" w:type="dxa"/>
          <w:left w:w="0" w:type="dxa"/>
          <w:bottom w:w="0" w:type="dxa"/>
          <w:right w:w="0" w:type="dxa"/>
        </w:tblCellMar>
      </w:tblPr>
      <w:tblGrid>
        <w:gridCol w:w="973"/>
        <w:gridCol w:w="2337"/>
        <w:gridCol w:w="5700"/>
        <w:gridCol w:w="9"/>
      </w:tblGrid>
      <w:tr>
        <w:trPr>
          <w:tblHeader/>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b/>
                <w:spacing w:val="0"/>
                <w:sz w:val="21"/>
                <w:szCs w:val="21"/>
                <w:lang w:val="en-US" w:eastAsia="zh-CN"/>
              </w:rPr>
            </w:pPr>
            <w:r>
              <w:rPr>
                <w:rStyle w:val="593"/>
                <w:rFonts w:hint="eastAsia" w:ascii="宋体" w:hAnsi="宋体" w:eastAsia="宋体"/>
                <w:bCs w:val="0"/>
                <w:spacing w:val="0"/>
                <w:sz w:val="21"/>
                <w:szCs w:val="21"/>
                <w:lang w:val="zh-CN" w:eastAsia="zh-CN"/>
              </w:rPr>
              <w:t>条款号</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b/>
                <w:spacing w:val="0"/>
                <w:sz w:val="21"/>
                <w:szCs w:val="21"/>
                <w:lang w:val="en-US" w:eastAsia="zh-CN"/>
              </w:rPr>
            </w:pPr>
            <w:r>
              <w:rPr>
                <w:rStyle w:val="593"/>
                <w:rFonts w:hint="eastAsia" w:ascii="宋体" w:hAnsi="宋体" w:eastAsia="宋体"/>
                <w:bCs w:val="0"/>
                <w:spacing w:val="0"/>
                <w:sz w:val="21"/>
                <w:szCs w:val="21"/>
                <w:lang w:val="zh-CN" w:eastAsia="zh-CN"/>
              </w:rPr>
              <w:t>条款名称</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b/>
                <w:spacing w:val="0"/>
                <w:sz w:val="21"/>
                <w:szCs w:val="21"/>
                <w:lang w:val="en-US" w:eastAsia="zh-CN"/>
              </w:rPr>
            </w:pPr>
            <w:r>
              <w:rPr>
                <w:rStyle w:val="593"/>
                <w:rFonts w:hint="eastAsia" w:ascii="宋体" w:hAnsi="宋体" w:eastAsia="宋体"/>
                <w:bCs w:val="0"/>
                <w:spacing w:val="0"/>
                <w:sz w:val="21"/>
                <w:szCs w:val="21"/>
                <w:lang w:val="zh-CN" w:eastAsia="zh-CN"/>
              </w:rPr>
              <w:t>编列内容</w:t>
            </w:r>
          </w:p>
        </w:tc>
      </w:tr>
      <w:t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1.1.2</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eastAsia" w:ascii="宋体" w:hAnsi="宋体" w:eastAsia="宋体"/>
                <w:lang w:val="zh-CN" w:eastAsia="zh-CN"/>
              </w:rPr>
            </w:pPr>
            <w:r>
              <w:rPr>
                <w:rStyle w:val="333"/>
                <w:rFonts w:hint="default" w:ascii="宋体" w:hAnsi="宋体" w:eastAsia="宋体"/>
                <w:lang w:val="zh-CN" w:eastAsia="zh-CN"/>
              </w:rPr>
              <w:t>招标人</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left"/>
              <w:textAlignment w:val="auto"/>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名称：</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left"/>
              <w:textAlignment w:val="auto"/>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地址：</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left"/>
              <w:textAlignment w:val="auto"/>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联系人：</w:t>
            </w:r>
          </w:p>
          <w:p>
            <w:pPr>
              <w:pStyle w:val="215"/>
              <w:keepNext w:val="0"/>
              <w:keepLines w:val="0"/>
              <w:pageBreakBefore w:val="0"/>
              <w:widowControl/>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left"/>
              <w:textAlignment w:val="auto"/>
              <w:rPr>
                <w:rStyle w:val="333"/>
                <w:rFonts w:hint="eastAsia" w:ascii="宋体" w:hAnsi="宋体" w:eastAsia="宋体"/>
                <w:lang w:val="zh-CN" w:eastAsia="zh-CN"/>
              </w:rPr>
            </w:pPr>
            <w:r>
              <w:rPr>
                <w:rFonts w:hint="eastAsia" w:ascii="宋体" w:hAnsi="宋体" w:eastAsia="宋体"/>
                <w:kern w:val="2"/>
                <w:sz w:val="21"/>
                <w:szCs w:val="21"/>
                <w:lang w:val="en-US" w:eastAsia="zh-CN"/>
              </w:rPr>
              <w:t>电话：</w:t>
            </w:r>
          </w:p>
        </w:tc>
      </w:tr>
      <w:t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1.1.3</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招标代理机构</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lang w:val="en-US"/>
              </w:rPr>
            </w:pPr>
            <w:r>
              <w:rPr>
                <w:rFonts w:hint="default" w:ascii="宋体" w:hAnsi="宋体" w:cs="Times New Roman"/>
                <w:color w:val="auto"/>
                <w:kern w:val="2"/>
                <w:sz w:val="21"/>
                <w:szCs w:val="21"/>
                <w:lang w:val="en-US"/>
              </w:rPr>
              <w:t>名称：</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lang w:val="en-US"/>
              </w:rPr>
            </w:pPr>
            <w:r>
              <w:rPr>
                <w:rFonts w:hint="default" w:ascii="宋体" w:hAnsi="宋体" w:cs="Times New Roman"/>
                <w:color w:val="auto"/>
                <w:kern w:val="2"/>
                <w:sz w:val="21"/>
                <w:szCs w:val="21"/>
                <w:lang w:val="en-US"/>
              </w:rPr>
              <w:t>地址：</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lang w:val="en-US"/>
              </w:rPr>
            </w:pPr>
            <w:r>
              <w:rPr>
                <w:rFonts w:hint="default" w:ascii="宋体" w:hAnsi="宋体" w:cs="Times New Roman"/>
                <w:color w:val="auto"/>
                <w:kern w:val="2"/>
                <w:sz w:val="21"/>
                <w:szCs w:val="21"/>
                <w:lang w:val="en-US"/>
              </w:rPr>
              <w:t>联系人：</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eastAsia" w:ascii="宋体" w:hAnsi="宋体"/>
                <w:color w:val="auto"/>
                <w:sz w:val="21"/>
                <w:szCs w:val="21"/>
              </w:rPr>
            </w:pPr>
            <w:r>
              <w:rPr>
                <w:rFonts w:hint="default" w:ascii="宋体" w:hAnsi="宋体" w:cs="Times New Roman"/>
                <w:color w:val="auto"/>
                <w:kern w:val="2"/>
                <w:sz w:val="21"/>
                <w:szCs w:val="21"/>
                <w:lang w:val="en-US"/>
              </w:rPr>
              <w:t>电话：</w:t>
            </w:r>
          </w:p>
        </w:tc>
      </w:tr>
      <w:t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1.1.4</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招标项目名称</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1.1.5</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标段建设地点</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Style w:val="453"/>
                <w:rFonts w:hint="default" w:ascii="宋体" w:hAnsi="宋体" w:eastAsia="宋体"/>
                <w:b w:val="0"/>
                <w:sz w:val="21"/>
                <w:szCs w:val="21"/>
                <w:lang w:eastAsia="zh-CN"/>
              </w:rPr>
            </w:pPr>
            <w:r>
              <w:rPr>
                <w:rStyle w:val="453"/>
                <w:rFonts w:hint="eastAsia" w:ascii="宋体" w:hAnsi="宋体" w:eastAsia="宋体"/>
                <w:b w:val="0"/>
                <w:sz w:val="21"/>
                <w:szCs w:val="21"/>
                <w:lang w:eastAsia="zh-CN"/>
              </w:rPr>
              <w:t>1.1.6</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标段建设规模</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Style w:val="453"/>
                <w:rFonts w:hint="default" w:ascii="宋体" w:hAnsi="宋体" w:eastAsia="宋体"/>
                <w:b w:val="0"/>
                <w:sz w:val="21"/>
                <w:szCs w:val="21"/>
                <w:lang w:eastAsia="zh-CN"/>
              </w:rPr>
            </w:pPr>
            <w:r>
              <w:rPr>
                <w:rStyle w:val="453"/>
                <w:rFonts w:hint="eastAsia" w:ascii="宋体" w:hAnsi="宋体" w:eastAsia="宋体"/>
                <w:b w:val="0"/>
                <w:sz w:val="21"/>
                <w:szCs w:val="21"/>
                <w:lang w:eastAsia="zh-CN"/>
              </w:rPr>
              <w:t>1.1.7</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标段投资估算</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1.2.1</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资金来源及比例</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1.2.2</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资金落实情况</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blPrEx>
          <w:tblCellMar>
            <w:top w:w="0" w:type="dxa"/>
            <w:left w:w="0" w:type="dxa"/>
            <w:bottom w:w="0" w:type="dxa"/>
            <w:right w:w="0" w:type="dxa"/>
          </w:tblCellMar>
        </w:tblPrEx>
        <w:trPr>
          <w:trHeight w:val="1160" w:hRule="atLeas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1.3.1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招标范围</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top"/>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Times New Roman" w:hAnsi="Times New Roman"/>
                <w:color w:val="auto"/>
                <w:sz w:val="21"/>
                <w:szCs w:val="21"/>
                <w:lang w:val="en-US"/>
              </w:rPr>
            </w:pPr>
            <w:r>
              <w:rPr>
                <w:rFonts w:hint="eastAsia" w:ascii="Times New Roman" w:hAnsi="Times New Roman"/>
                <w:color w:val="auto"/>
                <w:sz w:val="21"/>
                <w:szCs w:val="21"/>
                <w:lang w:val="en-US"/>
              </w:rPr>
              <w:t>勘察：</w:t>
            </w:r>
            <w:r>
              <w:rPr>
                <w:rFonts w:hint="eastAsia" w:ascii="Times New Roman" w:hAnsi="Times New Roman"/>
                <w:color w:val="auto"/>
                <w:sz w:val="21"/>
                <w:szCs w:val="21"/>
                <w:u w:val="single"/>
              </w:rPr>
              <w:t>□</w:t>
            </w:r>
            <w:r>
              <w:rPr>
                <w:rFonts w:hint="eastAsia" w:ascii="Times New Roman" w:hAnsi="Times New Roman"/>
                <w:color w:val="auto"/>
                <w:sz w:val="21"/>
                <w:szCs w:val="21"/>
                <w:u w:val="single"/>
                <w:lang w:val="en-US"/>
              </w:rPr>
              <w:t>初勘、初测/</w:t>
            </w:r>
            <w:r>
              <w:rPr>
                <w:rFonts w:hint="eastAsia" w:ascii="Times New Roman" w:hAnsi="Times New Roman"/>
                <w:color w:val="auto"/>
                <w:sz w:val="21"/>
                <w:szCs w:val="21"/>
                <w:u w:val="single"/>
              </w:rPr>
              <w:t>□</w:t>
            </w:r>
            <w:r>
              <w:rPr>
                <w:rFonts w:hint="eastAsia" w:ascii="Times New Roman" w:hAnsi="Times New Roman"/>
                <w:color w:val="auto"/>
                <w:sz w:val="21"/>
                <w:szCs w:val="21"/>
                <w:u w:val="single"/>
                <w:lang w:val="en-US"/>
              </w:rPr>
              <w:t>详勘、定测</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Times New Roman" w:hAnsi="Times New Roman"/>
                <w:color w:val="auto"/>
                <w:sz w:val="21"/>
                <w:szCs w:val="21"/>
                <w:lang w:val="en-US"/>
              </w:rPr>
            </w:pPr>
            <w:r>
              <w:rPr>
                <w:rFonts w:hint="eastAsia" w:ascii="Times New Roman" w:hAnsi="Times New Roman"/>
                <w:color w:val="auto"/>
                <w:sz w:val="21"/>
                <w:szCs w:val="21"/>
                <w:lang w:val="en-US"/>
              </w:rPr>
              <w:t>设计：</w:t>
            </w:r>
            <w:r>
              <w:rPr>
                <w:rFonts w:hint="eastAsia" w:ascii="Times New Roman" w:hAnsi="Times New Roman"/>
                <w:color w:val="auto"/>
                <w:sz w:val="21"/>
                <w:szCs w:val="21"/>
                <w:u w:val="single"/>
              </w:rPr>
              <w:t>□</w:t>
            </w:r>
            <w:r>
              <w:rPr>
                <w:rFonts w:hint="eastAsia" w:ascii="Times New Roman" w:hAnsi="Times New Roman"/>
                <w:color w:val="auto"/>
                <w:sz w:val="21"/>
                <w:szCs w:val="21"/>
                <w:u w:val="single"/>
                <w:lang w:val="en-US"/>
              </w:rPr>
              <w:t>初步设计/</w:t>
            </w:r>
            <w:r>
              <w:rPr>
                <w:rFonts w:hint="eastAsia" w:ascii="Times New Roman" w:hAnsi="Times New Roman"/>
                <w:color w:val="auto"/>
                <w:sz w:val="21"/>
                <w:szCs w:val="21"/>
                <w:u w:val="single"/>
              </w:rPr>
              <w:t>□</w:t>
            </w:r>
            <w:r>
              <w:rPr>
                <w:rFonts w:hint="eastAsia" w:ascii="Times New Roman" w:hAnsi="Times New Roman"/>
                <w:color w:val="auto"/>
                <w:sz w:val="21"/>
                <w:szCs w:val="21"/>
                <w:u w:val="single"/>
                <w:lang w:val="en-US"/>
              </w:rPr>
              <w:t>施工图设计</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eastAsia" w:ascii="Times New Roman" w:hAnsi="Times New Roman"/>
                <w:color w:val="auto"/>
                <w:sz w:val="21"/>
                <w:szCs w:val="21"/>
                <w:lang w:val="en-US"/>
              </w:rPr>
            </w:pPr>
            <w:r>
              <w:rPr>
                <w:rFonts w:hint="eastAsia" w:ascii="Times New Roman" w:hAnsi="Times New Roman"/>
                <w:color w:val="auto"/>
                <w:sz w:val="21"/>
                <w:szCs w:val="21"/>
                <w:lang w:val="en-US"/>
              </w:rPr>
              <w:t>主要工作内容：</w:t>
            </w:r>
            <w:r>
              <w:rPr>
                <w:rFonts w:hint="default" w:ascii="Times New Roman" w:hAnsi="Times New Roman"/>
                <w:color w:val="auto"/>
                <w:sz w:val="21"/>
                <w:szCs w:val="21"/>
                <w:u w:val="single"/>
              </w:rPr>
              <w:t xml:space="preserve">   </w:t>
            </w:r>
            <w:r>
              <w:rPr>
                <w:rFonts w:hint="eastAsia" w:ascii="Times New Roman" w:hAnsi="Times New Roman"/>
                <w:color w:val="auto"/>
                <w:sz w:val="21"/>
                <w:szCs w:val="21"/>
                <w:u w:val="single"/>
                <w:lang w:val="en-US"/>
              </w:rPr>
              <w:t xml:space="preserve">               </w:t>
            </w:r>
            <w:r>
              <w:rPr>
                <w:rFonts w:hint="default" w:ascii="Times New Roman" w:hAnsi="Times New Roman"/>
                <w:color w:val="auto"/>
                <w:sz w:val="21"/>
                <w:szCs w:val="21"/>
                <w:u w:val="single"/>
              </w:rPr>
              <w:t xml:space="preserve">   </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r>
              <w:rPr>
                <w:rFonts w:hint="eastAsia" w:ascii="Times New Roman" w:hAnsi="Times New Roman"/>
                <w:color w:val="auto"/>
                <w:sz w:val="21"/>
                <w:szCs w:val="21"/>
              </w:rPr>
              <w:t>其他：</w:t>
            </w:r>
            <w:r>
              <w:rPr>
                <w:rFonts w:hint="default" w:ascii="Times New Roman" w:hAnsi="Times New Roman"/>
                <w:color w:val="auto"/>
                <w:sz w:val="21"/>
                <w:szCs w:val="21"/>
                <w:u w:val="single"/>
              </w:rPr>
              <w:t xml:space="preserve">   </w:t>
            </w:r>
            <w:r>
              <w:rPr>
                <w:rFonts w:hint="eastAsia" w:ascii="Times New Roman" w:hAnsi="Times New Roman"/>
                <w:color w:val="auto"/>
                <w:sz w:val="21"/>
                <w:szCs w:val="21"/>
                <w:u w:val="single"/>
                <w:lang w:val="en-US"/>
              </w:rPr>
              <w:t xml:space="preserve">               </w:t>
            </w:r>
            <w:r>
              <w:rPr>
                <w:rFonts w:hint="default" w:ascii="Times New Roman" w:hAnsi="Times New Roman"/>
                <w:color w:val="auto"/>
                <w:sz w:val="21"/>
                <w:szCs w:val="21"/>
                <w:u w:val="single"/>
              </w:rPr>
              <w:t xml:space="preserve">   </w:t>
            </w:r>
          </w:p>
        </w:tc>
      </w:tr>
      <w:t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1.3.2</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en-US" w:eastAsia="zh-CN"/>
              </w:rPr>
              <w:t>勘察设计服务期限</w:t>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bottom"/>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left"/>
              <w:textAlignment w:val="auto"/>
              <w:rPr>
                <w:rFonts w:hint="default" w:ascii="宋体" w:hAnsi="宋体" w:eastAsia="宋体" w:cs="MingLiU"/>
                <w:sz w:val="21"/>
                <w:szCs w:val="21"/>
                <w:lang w:val="en-US" w:eastAsia="zh-CN"/>
              </w:rPr>
            </w:pPr>
          </w:p>
        </w:tc>
      </w:tr>
      <w:tr>
        <w:tblPrEx>
          <w:tblCellMar>
            <w:top w:w="0" w:type="dxa"/>
            <w:left w:w="0" w:type="dxa"/>
            <w:bottom w:w="0" w:type="dxa"/>
            <w:right w:w="0" w:type="dxa"/>
          </w:tblCellMar>
        </w:tblPrEx>
        <w:trPr>
          <w:trHeight w:val="90" w:hRule="atLeas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3"/>
                <w:rFonts w:hint="default" w:ascii="宋体" w:hAnsi="宋体" w:eastAsia="宋体"/>
                <w:b w:val="0"/>
                <w:sz w:val="21"/>
                <w:szCs w:val="21"/>
              </w:rPr>
              <w:t>1.3.3</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质量要求</w:t>
            </w:r>
            <w:r>
              <w:rPr>
                <w:rStyle w:val="101"/>
                <w:rFonts w:hint="eastAsia" w:ascii="宋体" w:hAnsi="宋体" w:eastAsia="宋体"/>
                <w:spacing w:val="0"/>
                <w:sz w:val="30"/>
                <w:szCs w:val="24"/>
                <w:lang w:val="en-US" w:eastAsia="zh-CN"/>
              </w:rPr>
              <w:footnoteReference w:id="21"/>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31"/>
              <w:keepNext w:val="0"/>
              <w:keepLines w:val="0"/>
              <w:pageBreakBefore w:val="0"/>
              <w:suppressLineNumbers w:val="0"/>
              <w:kinsoku/>
              <w:wordWrap/>
              <w:overflowPunct/>
              <w:topLinePunct/>
              <w:autoSpaceDE/>
              <w:autoSpaceDN/>
              <w:bidi w:val="0"/>
              <w:adjustRightInd/>
              <w:snapToGrid/>
              <w:spacing w:before="0" w:beforeAutospacing="0" w:after="0" w:afterAutospacing="0"/>
              <w:ind w:left="48" w:leftChars="20" w:right="48" w:rightChars="20"/>
              <w:textAlignment w:val="auto"/>
              <w:rPr>
                <w:rStyle w:val="480"/>
                <w:rFonts w:hint="default" w:ascii="宋体" w:hAnsi="宋体" w:eastAsia="宋体"/>
                <w:sz w:val="21"/>
                <w:szCs w:val="21"/>
                <w:lang w:val="zh-CN" w:eastAsia="zh-CN"/>
              </w:rPr>
            </w:pPr>
          </w:p>
        </w:tc>
      </w:tr>
      <w:t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53"/>
                <w:rFonts w:hint="default" w:ascii="宋体" w:hAnsi="宋体" w:eastAsia="宋体"/>
                <w:b w:val="0"/>
                <w:sz w:val="21"/>
                <w:szCs w:val="21"/>
                <w:lang w:eastAsia="zh-CN"/>
              </w:rPr>
            </w:pPr>
            <w:r>
              <w:rPr>
                <w:rStyle w:val="453"/>
                <w:rFonts w:hint="eastAsia" w:ascii="宋体" w:hAnsi="宋体" w:eastAsia="宋体"/>
                <w:b w:val="0"/>
                <w:sz w:val="21"/>
                <w:szCs w:val="21"/>
                <w:lang w:eastAsia="zh-CN"/>
              </w:rPr>
              <w:t>1.3.4</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eastAsia" w:ascii="宋体" w:hAnsi="宋体" w:eastAsia="宋体"/>
                <w:sz w:val="21"/>
                <w:szCs w:val="21"/>
                <w:lang w:val="en-US" w:eastAsia="zh-CN"/>
              </w:rPr>
            </w:pPr>
            <w:r>
              <w:rPr>
                <w:rStyle w:val="480"/>
                <w:rFonts w:hint="eastAsia" w:ascii="宋体" w:hAnsi="宋体" w:eastAsia="宋体"/>
                <w:sz w:val="21"/>
                <w:szCs w:val="21"/>
                <w:lang w:val="en-US" w:eastAsia="zh-CN"/>
              </w:rPr>
              <w:t>安全目标</w:t>
            </w:r>
            <w:r>
              <w:rPr>
                <w:rStyle w:val="101"/>
                <w:rFonts w:hint="eastAsia" w:ascii="宋体" w:hAnsi="宋体" w:eastAsia="宋体"/>
                <w:spacing w:val="0"/>
                <w:sz w:val="30"/>
                <w:szCs w:val="24"/>
                <w:lang w:val="en-US" w:eastAsia="zh-CN"/>
              </w:rPr>
              <w:footnoteReference w:id="22"/>
            </w:r>
          </w:p>
        </w:tc>
        <w:tc>
          <w:tcPr>
            <w:tcW w:w="5709"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31"/>
              <w:keepNext w:val="0"/>
              <w:keepLines w:val="0"/>
              <w:pageBreakBefore w:val="0"/>
              <w:suppressLineNumbers w:val="0"/>
              <w:kinsoku/>
              <w:wordWrap/>
              <w:overflowPunct/>
              <w:topLinePunct/>
              <w:autoSpaceDE/>
              <w:autoSpaceDN/>
              <w:bidi w:val="0"/>
              <w:adjustRightInd/>
              <w:snapToGrid/>
              <w:spacing w:before="0" w:beforeAutospacing="0" w:after="0" w:afterAutospacing="0"/>
              <w:ind w:left="48" w:leftChars="20" w:right="48" w:rightChars="20"/>
              <w:textAlignment w:val="auto"/>
              <w:rPr>
                <w:rStyle w:val="480"/>
                <w:rFonts w:hint="default" w:ascii="宋体" w:hAnsi="宋体" w:eastAsia="宋体"/>
                <w:sz w:val="21"/>
                <w:szCs w:val="21"/>
                <w:lang w:val="zh-CN" w:eastAsia="zh-CN"/>
              </w:rPr>
            </w:pPr>
          </w:p>
        </w:tc>
      </w:tr>
      <w:t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MingLiU"/>
                <w:sz w:val="21"/>
                <w:szCs w:val="21"/>
                <w:lang w:val="en-US" w:eastAsia="zh-CN"/>
              </w:rPr>
            </w:pPr>
            <w:r>
              <w:rPr>
                <w:rStyle w:val="453"/>
                <w:rFonts w:hint="default" w:ascii="宋体" w:hAnsi="宋体" w:eastAsia="宋体"/>
                <w:b w:val="0"/>
                <w:sz w:val="21"/>
                <w:szCs w:val="21"/>
              </w:rPr>
              <w:t>1.4.1</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投标人资质条件、能力和信誉</w:t>
            </w:r>
          </w:p>
        </w:tc>
        <w:tc>
          <w:tcPr>
            <w:tcW w:w="57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资质</w:t>
            </w:r>
            <w:r>
              <w:rPr>
                <w:rStyle w:val="480"/>
                <w:rFonts w:hint="eastAsia" w:ascii="宋体" w:hAnsi="宋体" w:eastAsia="宋体"/>
                <w:sz w:val="21"/>
                <w:szCs w:val="21"/>
                <w:lang w:val="en-US" w:eastAsia="zh-CN"/>
              </w:rPr>
              <w:t>要求</w:t>
            </w:r>
            <w:r>
              <w:rPr>
                <w:rStyle w:val="480"/>
                <w:rFonts w:hint="eastAsia" w:ascii="宋体" w:hAnsi="宋体" w:eastAsia="宋体"/>
                <w:sz w:val="21"/>
                <w:szCs w:val="21"/>
                <w:lang w:val="zh-CN" w:eastAsia="zh-CN"/>
              </w:rPr>
              <w:t>：见附录</w:t>
            </w:r>
            <w:r>
              <w:rPr>
                <w:rStyle w:val="480"/>
                <w:rFonts w:hint="default" w:ascii="宋体" w:hAnsi="宋体" w:eastAsia="宋体"/>
                <w:sz w:val="21"/>
                <w:szCs w:val="21"/>
                <w:lang w:val="zh-CN" w:eastAsia="zh-CN"/>
              </w:rPr>
              <w:t>1</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en-US" w:eastAsia="zh-CN"/>
              </w:rPr>
              <w:t>业绩</w:t>
            </w:r>
            <w:r>
              <w:rPr>
                <w:rStyle w:val="480"/>
                <w:rFonts w:hint="eastAsia" w:ascii="宋体" w:hAnsi="宋体" w:eastAsia="宋体"/>
                <w:sz w:val="21"/>
                <w:szCs w:val="21"/>
                <w:lang w:val="zh-CN" w:eastAsia="zh-CN"/>
              </w:rPr>
              <w:t>要求：见附录</w:t>
            </w:r>
            <w:r>
              <w:rPr>
                <w:rStyle w:val="480"/>
                <w:rFonts w:hint="default" w:ascii="宋体" w:hAnsi="宋体" w:eastAsia="宋体"/>
                <w:sz w:val="21"/>
                <w:szCs w:val="21"/>
                <w:lang w:val="zh-CN" w:eastAsia="zh-CN"/>
              </w:rPr>
              <w:t>2</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en-US" w:eastAsia="zh-CN"/>
              </w:rPr>
              <w:t>信誉</w:t>
            </w:r>
            <w:r>
              <w:rPr>
                <w:rStyle w:val="480"/>
                <w:rFonts w:hint="eastAsia" w:ascii="宋体" w:hAnsi="宋体" w:eastAsia="宋体"/>
                <w:sz w:val="21"/>
                <w:szCs w:val="21"/>
                <w:lang w:val="zh-CN" w:eastAsia="zh-CN"/>
              </w:rPr>
              <w:t>要求：见附录</w:t>
            </w:r>
            <w:r>
              <w:rPr>
                <w:rStyle w:val="480"/>
                <w:rFonts w:hint="default" w:ascii="宋体" w:hAnsi="宋体" w:eastAsia="宋体"/>
                <w:sz w:val="21"/>
                <w:szCs w:val="21"/>
                <w:lang w:val="zh-CN" w:eastAsia="zh-CN"/>
              </w:rPr>
              <w:t>3</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en-US" w:eastAsia="zh-CN"/>
              </w:rPr>
            </w:pPr>
            <w:r>
              <w:rPr>
                <w:rStyle w:val="480"/>
                <w:rFonts w:hint="eastAsia" w:ascii="宋体" w:hAnsi="宋体" w:eastAsia="宋体"/>
                <w:sz w:val="21"/>
                <w:szCs w:val="21"/>
                <w:lang w:val="en-US" w:eastAsia="zh-CN"/>
              </w:rPr>
              <w:t>项目负责人要求</w:t>
            </w:r>
            <w:r>
              <w:rPr>
                <w:rStyle w:val="480"/>
                <w:rFonts w:hint="eastAsia" w:ascii="宋体" w:hAnsi="宋体" w:eastAsia="宋体"/>
                <w:sz w:val="21"/>
                <w:szCs w:val="21"/>
                <w:lang w:val="zh-CN" w:eastAsia="zh-CN"/>
              </w:rPr>
              <w:t>：见附录</w:t>
            </w:r>
            <w:r>
              <w:rPr>
                <w:rStyle w:val="480"/>
                <w:rFonts w:hint="eastAsia" w:ascii="宋体" w:hAnsi="宋体" w:eastAsia="宋体"/>
                <w:sz w:val="21"/>
                <w:szCs w:val="21"/>
                <w:lang w:val="en-US" w:eastAsia="zh-CN"/>
              </w:rPr>
              <w:t>4</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u w:val="single"/>
                <w:lang w:val="en-US" w:eastAsia="zh-CN"/>
              </w:rPr>
            </w:pPr>
            <w:r>
              <w:rPr>
                <w:rStyle w:val="480"/>
                <w:rFonts w:hint="eastAsia" w:ascii="宋体" w:hAnsi="宋体" w:eastAsia="宋体"/>
                <w:sz w:val="21"/>
                <w:szCs w:val="21"/>
                <w:lang w:val="en-US" w:eastAsia="zh-CN"/>
              </w:rPr>
              <w:t>其他</w:t>
            </w:r>
            <w:r>
              <w:rPr>
                <w:rStyle w:val="480"/>
                <w:rFonts w:hint="eastAsia" w:ascii="宋体" w:hAnsi="宋体" w:eastAsia="宋体"/>
                <w:sz w:val="21"/>
                <w:szCs w:val="21"/>
                <w:lang w:val="zh-CN" w:eastAsia="zh-CN"/>
              </w:rPr>
              <w:t>要求</w:t>
            </w:r>
            <w:r>
              <w:rPr>
                <w:rStyle w:val="101"/>
                <w:rFonts w:hint="eastAsia" w:ascii="宋体" w:hAnsi="宋体" w:eastAsia="宋体"/>
                <w:spacing w:val="0"/>
                <w:sz w:val="30"/>
                <w:szCs w:val="24"/>
                <w:lang w:val="en-US" w:eastAsia="zh-CN"/>
              </w:rPr>
              <w:footnoteReference w:id="23"/>
            </w:r>
            <w:r>
              <w:rPr>
                <w:rStyle w:val="480"/>
                <w:rFonts w:hint="eastAsia" w:ascii="宋体" w:hAnsi="宋体" w:eastAsia="宋体"/>
                <w:sz w:val="21"/>
                <w:szCs w:val="21"/>
                <w:lang w:val="zh-CN" w:eastAsia="zh-CN"/>
              </w:rPr>
              <w:t>：</w:t>
            </w:r>
          </w:p>
        </w:tc>
      </w:tr>
      <w:tr>
        <w:tblPrEx>
          <w:tblCellMar>
            <w:top w:w="0" w:type="dxa"/>
            <w:left w:w="0" w:type="dxa"/>
            <w:bottom w:w="0" w:type="dxa"/>
            <w:right w:w="0" w:type="dxa"/>
          </w:tblCellMar>
        </w:tblPrEx>
        <w:trPr>
          <w:gridAfter w:val="1"/>
          <w:wAfter w:w="9" w:type="dxa"/>
          <w:cantSplit/>
          <w:trHeight w:val="1492" w:hRule="atLeas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MingLiU"/>
                <w:sz w:val="21"/>
                <w:szCs w:val="21"/>
                <w:lang w:val="en-US" w:eastAsia="zh-CN"/>
              </w:rPr>
            </w:pPr>
            <w:r>
              <w:rPr>
                <w:rStyle w:val="480"/>
                <w:rFonts w:hint="default" w:ascii="宋体" w:hAnsi="宋体" w:eastAsia="宋体"/>
                <w:sz w:val="21"/>
                <w:szCs w:val="21"/>
                <w:lang w:val="en-US" w:eastAsia="en-US"/>
              </w:rPr>
              <w:t>1.4.2</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是否接受联合体投标</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lang w:val="en-US"/>
              </w:rPr>
            </w:pPr>
            <w:r>
              <w:rPr>
                <w:rFonts w:hint="eastAsia" w:ascii="宋体" w:hAnsi="宋体" w:cs="Times New Roman"/>
                <w:color w:val="auto"/>
                <w:kern w:val="2"/>
                <w:sz w:val="21"/>
                <w:szCs w:val="21"/>
                <w:lang w:val="en-US"/>
              </w:rPr>
              <w:t>□</w:t>
            </w:r>
            <w:r>
              <w:rPr>
                <w:rFonts w:hint="default" w:ascii="宋体" w:hAnsi="宋体" w:cs="Times New Roman"/>
                <w:color w:val="auto"/>
                <w:kern w:val="2"/>
                <w:sz w:val="21"/>
                <w:szCs w:val="21"/>
                <w:lang w:val="en-US"/>
              </w:rPr>
              <w:t>不接受</w:t>
            </w:r>
          </w:p>
          <w:p>
            <w:pPr>
              <w:keepNext w:val="0"/>
              <w:keepLines w:val="0"/>
              <w:pageBreakBefore w:val="0"/>
              <w:suppressLineNumbers w:val="0"/>
              <w:kinsoku/>
              <w:wordWrap/>
              <w:overflowPunct/>
              <w:topLine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lang w:val="en-US"/>
              </w:rPr>
            </w:pPr>
            <w:r>
              <w:rPr>
                <w:rFonts w:hint="eastAsia" w:ascii="宋体" w:hAnsi="宋体" w:cs="Times New Roman"/>
                <w:color w:val="auto"/>
                <w:kern w:val="2"/>
                <w:sz w:val="21"/>
                <w:szCs w:val="21"/>
                <w:lang w:val="en-US"/>
              </w:rPr>
              <w:t>□</w:t>
            </w:r>
            <w:r>
              <w:rPr>
                <w:rFonts w:hint="default" w:ascii="宋体" w:hAnsi="宋体" w:cs="Times New Roman"/>
                <w:color w:val="auto"/>
                <w:kern w:val="2"/>
                <w:sz w:val="21"/>
                <w:szCs w:val="21"/>
                <w:lang w:val="en-US"/>
              </w:rPr>
              <w:t>接受，</w:t>
            </w:r>
            <w:r>
              <w:rPr>
                <w:rFonts w:hint="eastAsia" w:ascii="宋体" w:hAnsi="宋体" w:cs="Times New Roman"/>
                <w:color w:val="auto"/>
                <w:kern w:val="2"/>
                <w:sz w:val="21"/>
                <w:szCs w:val="21"/>
                <w:lang w:val="en-US"/>
              </w:rPr>
              <w:t>应满足下列要求：</w:t>
            </w:r>
          </w:p>
          <w:p>
            <w:pPr>
              <w:keepNext w:val="0"/>
              <w:keepLines w:val="0"/>
              <w:pageBreakBefore w:val="0"/>
              <w:suppressLineNumbers w:val="0"/>
              <w:kinsoku/>
              <w:wordWrap/>
              <w:overflowPunct/>
              <w:topLine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lang w:val="en-US"/>
              </w:rPr>
            </w:pPr>
            <w:r>
              <w:rPr>
                <w:rFonts w:hint="eastAsia" w:ascii="宋体" w:hAnsi="宋体" w:cs="Times New Roman"/>
                <w:color w:val="auto"/>
                <w:kern w:val="2"/>
                <w:sz w:val="21"/>
                <w:szCs w:val="21"/>
                <w:lang w:val="en-US"/>
              </w:rPr>
              <w:t>（1）</w:t>
            </w:r>
            <w:r>
              <w:rPr>
                <w:rFonts w:hint="default" w:ascii="宋体" w:hAnsi="宋体" w:cs="Times New Roman"/>
                <w:color w:val="auto"/>
                <w:kern w:val="2"/>
                <w:sz w:val="21"/>
                <w:szCs w:val="21"/>
                <w:lang w:val="en-US"/>
              </w:rPr>
              <w:t>联合体所有成员数量不得超过</w:t>
            </w:r>
            <w:r>
              <w:rPr>
                <w:rFonts w:hint="default"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hint="default" w:ascii="宋体" w:hAnsi="宋体" w:cs="Times New Roman"/>
                <w:color w:val="auto"/>
                <w:kern w:val="2"/>
                <w:sz w:val="21"/>
                <w:szCs w:val="21"/>
                <w:u w:val="single"/>
                <w:lang w:val="en-US"/>
              </w:rPr>
              <w:t xml:space="preserve"> </w:t>
            </w:r>
            <w:r>
              <w:rPr>
                <w:rFonts w:hint="default" w:ascii="宋体" w:hAnsi="宋体" w:cs="Times New Roman"/>
                <w:color w:val="auto"/>
                <w:kern w:val="2"/>
                <w:sz w:val="21"/>
                <w:szCs w:val="21"/>
                <w:lang w:val="en-US"/>
              </w:rPr>
              <w:t>家；</w:t>
            </w:r>
          </w:p>
          <w:p>
            <w:pPr>
              <w:keepNext w:val="0"/>
              <w:keepLines w:val="0"/>
              <w:pageBreakBefore w:val="0"/>
              <w:suppressLineNumbers w:val="0"/>
              <w:kinsoku/>
              <w:wordWrap/>
              <w:overflowPunct/>
              <w:topLinePunct/>
              <w:autoSpaceDE/>
              <w:autoSpaceDN/>
              <w:bidi w:val="0"/>
              <w:adjustRightInd/>
              <w:snapToGrid/>
              <w:spacing w:before="0" w:beforeAutospacing="0" w:after="0" w:afterAutospacing="0"/>
              <w:ind w:left="48" w:leftChars="20" w:right="48" w:rightChars="20"/>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（2）联合体牵头人应具备</w:t>
            </w:r>
            <w:r>
              <w:rPr>
                <w:rFonts w:hint="eastAsia"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lang w:val="en-US"/>
              </w:rPr>
              <w:t>资质；</w:t>
            </w:r>
          </w:p>
          <w:p>
            <w:pPr>
              <w:keepNext w:val="0"/>
              <w:keepLines w:val="0"/>
              <w:pageBreakBefore w:val="0"/>
              <w:suppressLineNumbers w:val="0"/>
              <w:kinsoku/>
              <w:wordWrap/>
              <w:overflowPunct/>
              <w:topLinePunct/>
              <w:autoSpaceDE/>
              <w:autoSpaceDN/>
              <w:bidi w:val="0"/>
              <w:adjustRightInd/>
              <w:snapToGrid/>
              <w:spacing w:before="0" w:beforeAutospacing="0" w:after="0" w:afterAutospacing="0"/>
              <w:ind w:left="48" w:leftChars="20" w:right="48" w:rightChars="20"/>
              <w:jc w:val="both"/>
              <w:textAlignment w:val="auto"/>
              <w:rPr>
                <w:rFonts w:hint="default" w:ascii="宋体" w:hAnsi="宋体" w:cs="MingLiU"/>
                <w:color w:val="auto"/>
                <w:sz w:val="21"/>
                <w:szCs w:val="21"/>
                <w:lang w:val="en-US"/>
              </w:rPr>
            </w:pPr>
            <w:r>
              <w:rPr>
                <w:rFonts w:hint="default" w:ascii="宋体" w:hAnsi="宋体" w:cs="Times New Roman"/>
                <w:color w:val="auto"/>
                <w:kern w:val="2"/>
                <w:sz w:val="21"/>
                <w:szCs w:val="21"/>
                <w:lang w:val="en-US"/>
              </w:rPr>
              <w:t>……</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default" w:ascii="宋体" w:hAnsi="宋体" w:eastAsia="宋体"/>
                <w:sz w:val="21"/>
                <w:szCs w:val="21"/>
                <w:lang w:val="en-US" w:eastAsia="en-US"/>
              </w:rPr>
              <w:t>1.4.3</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投标人不得存在的其他关联情形</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default" w:ascii="宋体" w:hAnsi="宋体" w:eastAsia="宋体"/>
                <w:sz w:val="21"/>
                <w:szCs w:val="21"/>
                <w:lang w:val="en-US" w:eastAsia="en-US"/>
              </w:rPr>
              <w:t>1.4.4</w:t>
            </w:r>
          </w:p>
        </w:tc>
        <w:tc>
          <w:tcPr>
            <w:tcW w:w="2337"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投标人不得存在的其他不良状况或不良信用记录</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1.9.1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踏勘现场</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eastAsia" w:ascii="宋体" w:hAnsi="宋体" w:cs="Times New Roman"/>
                <w:color w:val="auto"/>
                <w:sz w:val="21"/>
                <w:szCs w:val="21"/>
                <w:lang w:val="en-US"/>
              </w:rPr>
            </w:pPr>
            <w:r>
              <w:rPr>
                <w:rFonts w:hint="eastAsia" w:ascii="宋体" w:hAnsi="宋体" w:cs="Times New Roman"/>
                <w:color w:val="auto"/>
                <w:kern w:val="2"/>
                <w:sz w:val="21"/>
                <w:szCs w:val="21"/>
                <w:lang w:val="en-US"/>
              </w:rPr>
              <w:t>□</w:t>
            </w:r>
            <w:r>
              <w:rPr>
                <w:rFonts w:hint="eastAsia" w:ascii="宋体" w:hAnsi="宋体" w:cs="Times New Roman"/>
                <w:color w:val="auto"/>
                <w:sz w:val="21"/>
                <w:szCs w:val="21"/>
                <w:lang w:val="en-US"/>
              </w:rPr>
              <w:t>不组织</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u w:val="single"/>
                <w:lang w:val="en-US"/>
              </w:rPr>
            </w:pPr>
            <w:r>
              <w:rPr>
                <w:rFonts w:hint="eastAsia" w:ascii="宋体" w:hAnsi="宋体" w:cs="Times New Roman"/>
                <w:color w:val="auto"/>
                <w:kern w:val="2"/>
                <w:sz w:val="21"/>
                <w:szCs w:val="21"/>
                <w:lang w:val="en-US"/>
              </w:rPr>
              <w:t>□</w:t>
            </w:r>
            <w:r>
              <w:rPr>
                <w:rFonts w:hint="eastAsia" w:ascii="宋体" w:hAnsi="宋体" w:cs="Times New Roman"/>
                <w:color w:val="auto"/>
                <w:sz w:val="21"/>
                <w:szCs w:val="21"/>
                <w:lang w:val="en-US"/>
              </w:rPr>
              <w:t>组织，踏勘时间：</w:t>
            </w:r>
            <w:r>
              <w:rPr>
                <w:rFonts w:hint="default"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hint="default" w:ascii="宋体" w:hAnsi="宋体" w:cs="Times New Roman"/>
                <w:color w:val="auto"/>
                <w:kern w:val="2"/>
                <w:sz w:val="21"/>
                <w:szCs w:val="21"/>
                <w:u w:val="single"/>
                <w:lang w:val="en-US"/>
              </w:rPr>
              <w:t xml:space="preserve"> </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r>
              <w:rPr>
                <w:rFonts w:hint="eastAsia" w:ascii="宋体" w:hAnsi="宋体" w:cs="Times New Roman"/>
                <w:color w:val="auto"/>
                <w:kern w:val="2"/>
                <w:sz w:val="21"/>
                <w:szCs w:val="21"/>
                <w:lang w:val="en-US"/>
              </w:rPr>
              <w:t>踏勘集中地点</w:t>
            </w:r>
            <w:r>
              <w:rPr>
                <w:rFonts w:hint="eastAsia" w:ascii="宋体" w:hAnsi="宋体" w:cs="Times New Roman"/>
                <w:color w:val="auto"/>
                <w:kern w:val="2"/>
                <w:sz w:val="21"/>
                <w:szCs w:val="21"/>
                <w:u w:val="single"/>
                <w:lang w:val="en-US"/>
              </w:rPr>
              <w:t xml:space="preserve">              </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1.10.1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投标预备会</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r>
              <w:rPr>
                <w:rFonts w:hint="eastAsia" w:ascii="宋体" w:hAnsi="宋体" w:cs="Times New Roman"/>
                <w:color w:val="auto"/>
                <w:kern w:val="2"/>
                <w:sz w:val="21"/>
                <w:szCs w:val="21"/>
                <w:lang w:val="en-US"/>
              </w:rPr>
              <w:t>□</w:t>
            </w:r>
            <w:r>
              <w:rPr>
                <w:rFonts w:hint="eastAsia" w:ascii="宋体" w:hAnsi="宋体" w:cs="Times New Roman"/>
                <w:color w:val="auto"/>
                <w:sz w:val="21"/>
                <w:szCs w:val="21"/>
                <w:lang w:val="en-US"/>
              </w:rPr>
              <w:t>不召开</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kern w:val="2"/>
                <w:sz w:val="21"/>
                <w:szCs w:val="21"/>
                <w:u w:val="single"/>
                <w:lang w:val="en-US"/>
              </w:rPr>
            </w:pPr>
            <w:r>
              <w:rPr>
                <w:rFonts w:hint="eastAsia" w:ascii="宋体" w:hAnsi="宋体" w:cs="Times New Roman"/>
                <w:color w:val="auto"/>
                <w:kern w:val="2"/>
                <w:sz w:val="21"/>
                <w:szCs w:val="21"/>
                <w:lang w:val="en-US"/>
              </w:rPr>
              <w:t>□召开</w:t>
            </w:r>
            <w:r>
              <w:rPr>
                <w:rFonts w:hint="eastAsia" w:ascii="宋体" w:hAnsi="宋体" w:cs="Times New Roman"/>
                <w:color w:val="auto"/>
                <w:sz w:val="21"/>
                <w:szCs w:val="21"/>
                <w:lang w:val="en-US"/>
              </w:rPr>
              <w:t>，召开时间：</w:t>
            </w:r>
            <w:r>
              <w:rPr>
                <w:rFonts w:hint="default"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hint="default" w:ascii="宋体" w:hAnsi="宋体" w:cs="Times New Roman"/>
                <w:color w:val="auto"/>
                <w:kern w:val="2"/>
                <w:sz w:val="21"/>
                <w:szCs w:val="21"/>
                <w:u w:val="single"/>
                <w:lang w:val="en-US"/>
              </w:rPr>
              <w:t xml:space="preserve"> </w:t>
            </w:r>
          </w:p>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召开地点</w:t>
            </w:r>
            <w:r>
              <w:rPr>
                <w:rFonts w:hint="eastAsia" w:ascii="宋体" w:hAnsi="宋体" w:cs="Times New Roman"/>
                <w:color w:val="auto"/>
                <w:kern w:val="2"/>
                <w:sz w:val="21"/>
                <w:szCs w:val="21"/>
                <w:u w:val="single"/>
                <w:lang w:val="en-US"/>
              </w:rPr>
              <w:t xml:space="preserve">                 </w:t>
            </w:r>
          </w:p>
        </w:tc>
      </w:tr>
      <w:tr>
        <w:tblPrEx>
          <w:tblCellMar>
            <w:top w:w="0" w:type="dxa"/>
            <w:left w:w="0" w:type="dxa"/>
            <w:bottom w:w="0" w:type="dxa"/>
            <w:right w:w="0" w:type="dxa"/>
          </w:tblCellMar>
        </w:tblPrEx>
        <w:trPr>
          <w:gridAfter w:val="1"/>
          <w:wAfter w:w="9" w:type="dxa"/>
          <w:trHeight w:val="521" w:hRule="atLeast"/>
        </w:trPr>
        <w:tc>
          <w:tcPr>
            <w:tcW w:w="973"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default" w:ascii="宋体" w:hAnsi="宋体" w:eastAsia="宋体"/>
                <w:sz w:val="21"/>
                <w:szCs w:val="21"/>
                <w:lang w:val="en-US" w:eastAsia="en-US"/>
              </w:rPr>
              <w:t>1.10.2</w:t>
            </w:r>
          </w:p>
        </w:tc>
        <w:tc>
          <w:tcPr>
            <w:tcW w:w="2337" w:type="dxa"/>
            <w:vMerge w:val="restart"/>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投标人在投标预备会前提出问题</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olor w:val="auto"/>
                <w:sz w:val="21"/>
                <w:szCs w:val="21"/>
              </w:rPr>
            </w:pPr>
            <w:r>
              <w:rPr>
                <w:rFonts w:hint="eastAsia" w:ascii="宋体" w:hAnsi="宋体"/>
                <w:color w:val="auto"/>
                <w:sz w:val="21"/>
                <w:szCs w:val="21"/>
              </w:rPr>
              <w:t>时间：投标预备会召开</w:t>
            </w:r>
            <w:r>
              <w:rPr>
                <w:rFonts w:hint="default" w:ascii="宋体" w:hAnsi="宋体"/>
                <w:color w:val="auto"/>
                <w:sz w:val="21"/>
                <w:szCs w:val="21"/>
              </w:rPr>
              <w:t>之日</w:t>
            </w:r>
            <w:r>
              <w:rPr>
                <w:rFonts w:hint="eastAsia" w:ascii="宋体" w:hAnsi="宋体"/>
                <w:color w:val="auto"/>
                <w:sz w:val="21"/>
                <w:szCs w:val="21"/>
                <w:u w:val="single"/>
                <w:lang w:val="en-US"/>
              </w:rPr>
              <w:t xml:space="preserve">  </w:t>
            </w:r>
            <w:r>
              <w:rPr>
                <w:rFonts w:hint="default" w:ascii="宋体" w:hAnsi="宋体"/>
                <w:color w:val="auto"/>
                <w:sz w:val="21"/>
                <w:szCs w:val="21"/>
              </w:rPr>
              <w:t>天前</w:t>
            </w:r>
          </w:p>
        </w:tc>
      </w:tr>
      <w:tr>
        <w:trPr>
          <w:gridAfter w:val="1"/>
          <w:wAfter w:w="9" w:type="dxa"/>
        </w:trPr>
        <w:tc>
          <w:tcPr>
            <w:tcW w:w="973" w:type="dxa"/>
            <w:vMerge w:val="continue"/>
            <w:tcBorders>
              <w:top w:val="nil"/>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hanging="260"/>
              <w:jc w:val="left"/>
              <w:rPr>
                <w:rFonts w:hint="default" w:ascii="宋体" w:hAnsi="宋体" w:eastAsia="宋体" w:cs="MingLiU"/>
                <w:sz w:val="21"/>
                <w:szCs w:val="21"/>
                <w:lang w:val="en-US" w:eastAsia="zh-CN"/>
              </w:rPr>
            </w:pPr>
          </w:p>
        </w:tc>
        <w:tc>
          <w:tcPr>
            <w:tcW w:w="2337" w:type="dxa"/>
            <w:vMerge w:val="continue"/>
            <w:tcBorders>
              <w:top w:val="nil"/>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hanging="260"/>
              <w:jc w:val="left"/>
              <w:rPr>
                <w:rFonts w:hint="default" w:ascii="宋体" w:hAnsi="宋体" w:eastAsia="宋体" w:cs="MingLiU"/>
                <w:sz w:val="21"/>
                <w:szCs w:val="21"/>
                <w:lang w:val="en-US" w:eastAsia="zh-CN"/>
              </w:rPr>
            </w:pP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eastAsia" w:ascii="宋体" w:hAnsi="宋体"/>
                <w:color w:val="auto"/>
                <w:sz w:val="21"/>
                <w:szCs w:val="21"/>
              </w:rPr>
            </w:pPr>
            <w:r>
              <w:rPr>
                <w:rFonts w:hint="eastAsia" w:ascii="宋体" w:hAnsi="宋体"/>
                <w:color w:val="auto"/>
                <w:sz w:val="21"/>
                <w:szCs w:val="21"/>
              </w:rPr>
              <w:t>形式：</w:t>
            </w:r>
            <w:r>
              <w:rPr>
                <w:rFonts w:hint="eastAsia" w:ascii="宋体" w:hAnsi="宋体"/>
                <w:color w:val="auto"/>
                <w:sz w:val="21"/>
                <w:szCs w:val="21"/>
                <w:u w:val="single"/>
              </w:rPr>
              <w:t>传真或电子邮件</w:t>
            </w:r>
          </w:p>
        </w:tc>
      </w:tr>
      <w:tr>
        <w:tblPrEx>
          <w:tblCellMar>
            <w:top w:w="0" w:type="dxa"/>
            <w:left w:w="0" w:type="dxa"/>
            <w:bottom w:w="0" w:type="dxa"/>
            <w:right w:w="0" w:type="dxa"/>
          </w:tblCellMar>
        </w:tblPrEx>
        <w:trPr>
          <w:gridAfter w:val="1"/>
          <w:wAfter w:w="9" w:type="dxa"/>
          <w:trHeight w:val="1001" w:hRule="atLeas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MingLiU"/>
                <w:sz w:val="21"/>
                <w:szCs w:val="21"/>
                <w:lang w:val="en-US" w:eastAsia="zh-CN"/>
              </w:rPr>
            </w:pPr>
            <w:r>
              <w:rPr>
                <w:rStyle w:val="480"/>
                <w:rFonts w:hint="default" w:ascii="宋体" w:hAnsi="宋体" w:eastAsia="宋体"/>
                <w:sz w:val="21"/>
                <w:szCs w:val="21"/>
                <w:lang w:val="en-US" w:eastAsia="en-US"/>
              </w:rPr>
              <w:t>1.11.1</w:t>
            </w:r>
            <w:r>
              <w:rPr>
                <w:rStyle w:val="101"/>
                <w:rFonts w:hint="default" w:ascii="宋体" w:hAnsi="宋体" w:eastAsia="宋体"/>
                <w:spacing w:val="0"/>
                <w:sz w:val="30"/>
                <w:szCs w:val="24"/>
                <w:lang w:val="en-US" w:eastAsia="zh-CN"/>
              </w:rPr>
              <w:footnoteReference w:id="24"/>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分包</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□不允许</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□允许，允许分包的工程</w:t>
            </w:r>
            <w:r>
              <w:rPr>
                <w:rStyle w:val="480"/>
                <w:rFonts w:hint="eastAsia" w:ascii="宋体" w:hAnsi="宋体" w:eastAsia="宋体"/>
                <w:sz w:val="21"/>
                <w:szCs w:val="21"/>
                <w:lang w:val="en-US" w:eastAsia="zh-CN"/>
              </w:rPr>
              <w:t>（</w:t>
            </w:r>
            <w:r>
              <w:rPr>
                <w:rStyle w:val="480"/>
                <w:rFonts w:hint="eastAsia" w:ascii="宋体" w:hAnsi="宋体" w:eastAsia="宋体"/>
                <w:sz w:val="21"/>
                <w:szCs w:val="21"/>
                <w:lang w:val="zh-CN" w:eastAsia="zh-CN"/>
              </w:rPr>
              <w:t>或不允许分包的</w:t>
            </w:r>
            <w:r>
              <w:rPr>
                <w:rStyle w:val="245"/>
                <w:rFonts w:hint="eastAsia" w:ascii="宋体" w:hAnsi="宋体" w:eastAsia="宋体"/>
                <w:sz w:val="21"/>
                <w:szCs w:val="21"/>
                <w:lang w:val="zh-CN" w:eastAsia="zh-CN"/>
              </w:rPr>
              <w:t>工程</w:t>
            </w:r>
            <w:r>
              <w:rPr>
                <w:rStyle w:val="245"/>
                <w:rFonts w:hint="eastAsia" w:ascii="宋体" w:hAnsi="宋体" w:eastAsia="宋体"/>
                <w:sz w:val="21"/>
                <w:szCs w:val="21"/>
                <w:lang w:eastAsia="zh-CN"/>
              </w:rPr>
              <w:t>）：</w:t>
            </w:r>
            <w:r>
              <w:rPr>
                <w:rStyle w:val="333"/>
                <w:rFonts w:hint="eastAsia" w:ascii="宋体" w:hAnsi="宋体" w:eastAsia="宋体"/>
                <w:sz w:val="21"/>
                <w:szCs w:val="21"/>
                <w:u w:val="single"/>
                <w:lang w:val="zh-CN" w:eastAsia="zh-CN"/>
              </w:rPr>
              <w:t xml:space="preserve">      </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u w:val="single"/>
                <w:lang w:val="en-US" w:eastAsia="zh-CN"/>
              </w:rPr>
            </w:pPr>
            <w:r>
              <w:rPr>
                <w:rStyle w:val="480"/>
                <w:rFonts w:hint="eastAsia" w:ascii="宋体" w:hAnsi="宋体" w:eastAsia="宋体"/>
                <w:sz w:val="21"/>
                <w:szCs w:val="21"/>
                <w:lang w:val="zh-CN" w:eastAsia="zh-CN"/>
              </w:rPr>
              <w:t>对分包人的资格要求：</w:t>
            </w:r>
            <w:r>
              <w:rPr>
                <w:rStyle w:val="480"/>
                <w:rFonts w:hint="eastAsia" w:ascii="宋体" w:hAnsi="宋体" w:eastAsia="宋体"/>
                <w:sz w:val="21"/>
                <w:szCs w:val="21"/>
                <w:u w:val="single"/>
                <w:lang w:val="zh-CN" w:eastAsia="zh-CN"/>
              </w:rPr>
              <w:t xml:space="preserve">        </w:t>
            </w:r>
          </w:p>
        </w:tc>
      </w:tr>
      <w:tr>
        <w:tblPrEx>
          <w:tblCellMar>
            <w:top w:w="0" w:type="dxa"/>
            <w:left w:w="0" w:type="dxa"/>
            <w:bottom w:w="0" w:type="dxa"/>
            <w:right w:w="0" w:type="dxa"/>
          </w:tblCellMar>
        </w:tblPrEx>
        <w:trPr>
          <w:gridAfter w:val="1"/>
          <w:wAfter w:w="9" w:type="dxa"/>
          <w:trHeight w:val="621" w:hRule="atLeas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default" w:ascii="宋体" w:hAnsi="宋体" w:eastAsia="宋体"/>
                <w:sz w:val="21"/>
                <w:szCs w:val="21"/>
                <w:lang w:val="en-US" w:eastAsia="en-US"/>
              </w:rPr>
              <w:t>2.1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构成招标文件的其他资料</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Style w:val="333"/>
                <w:rFonts w:hint="default" w:ascii="宋体" w:hAnsi="Times New Roman" w:eastAsia="宋体"/>
                <w:color w:val="auto"/>
                <w:sz w:val="21"/>
                <w:szCs w:val="21"/>
                <w:u w:val="single"/>
              </w:rPr>
            </w:pPr>
          </w:p>
        </w:tc>
      </w:tr>
      <w:tr>
        <w:trPr>
          <w:gridAfter w:val="1"/>
          <w:wAfter w:w="9" w:type="dxa"/>
        </w:trPr>
        <w:tc>
          <w:tcPr>
            <w:tcW w:w="973"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2.2.1</w:t>
            </w:r>
          </w:p>
        </w:tc>
        <w:tc>
          <w:tcPr>
            <w:tcW w:w="2337"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投标人要求澄清招标文件</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时间</w:t>
            </w:r>
            <w:r>
              <w:rPr>
                <w:rStyle w:val="333"/>
                <w:rFonts w:hint="eastAsia" w:ascii="宋体" w:hAnsi="Times New Roman" w:eastAsia="宋体"/>
                <w:sz w:val="21"/>
                <w:szCs w:val="21"/>
                <w:lang w:val="zh-CN" w:eastAsia="zh-CN"/>
              </w:rPr>
              <w:t>：</w:t>
            </w:r>
            <w:r>
              <w:rPr>
                <w:rStyle w:val="333"/>
                <w:rFonts w:hint="default" w:ascii="宋体" w:hAnsi="Times New Roman" w:eastAsia="宋体"/>
                <w:sz w:val="21"/>
                <w:szCs w:val="21"/>
                <w:lang w:val="zh-CN" w:eastAsia="zh-CN"/>
              </w:rPr>
              <w:t>递交</w:t>
            </w:r>
            <w:r>
              <w:rPr>
                <w:rStyle w:val="333"/>
                <w:rFonts w:hint="eastAsia" w:ascii="宋体" w:hAnsi="Times New Roman" w:eastAsia="宋体"/>
                <w:sz w:val="21"/>
                <w:szCs w:val="21"/>
                <w:lang w:val="zh-CN" w:eastAsia="zh-CN"/>
              </w:rPr>
              <w:t>投标</w:t>
            </w:r>
            <w:r>
              <w:rPr>
                <w:rStyle w:val="333"/>
                <w:rFonts w:hint="default" w:ascii="宋体" w:hAnsi="Times New Roman" w:eastAsia="宋体"/>
                <w:sz w:val="21"/>
                <w:szCs w:val="21"/>
                <w:lang w:val="zh-CN" w:eastAsia="zh-CN"/>
              </w:rPr>
              <w:t>文件截止之日</w:t>
            </w:r>
            <w:r>
              <w:rPr>
                <w:rStyle w:val="333"/>
                <w:rFonts w:hint="eastAsia" w:ascii="宋体" w:hAnsi="Times New Roman" w:eastAsia="宋体"/>
                <w:sz w:val="21"/>
                <w:szCs w:val="21"/>
                <w:u w:val="single"/>
                <w:lang w:val="en-US" w:eastAsia="zh-CN"/>
              </w:rPr>
              <w:t xml:space="preserve">     </w:t>
            </w:r>
            <w:r>
              <w:rPr>
                <w:rStyle w:val="333"/>
                <w:rFonts w:hint="default" w:ascii="宋体" w:hAnsi="Times New Roman" w:eastAsia="宋体"/>
                <w:sz w:val="21"/>
                <w:szCs w:val="21"/>
                <w:lang w:val="zh-CN" w:eastAsia="zh-CN"/>
              </w:rPr>
              <w:t>天前</w:t>
            </w:r>
          </w:p>
        </w:tc>
      </w:tr>
      <w:tr>
        <w:trPr>
          <w:gridAfter w:val="1"/>
          <w:wAfter w:w="9" w:type="dxa"/>
        </w:trPr>
        <w:tc>
          <w:tcPr>
            <w:tcW w:w="973" w:type="dxa"/>
            <w:vMerge w:val="continue"/>
            <w:tcBorders>
              <w:top w:val="nil"/>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hanging="260"/>
              <w:jc w:val="center"/>
              <w:rPr>
                <w:rFonts w:hint="default" w:ascii="宋体" w:hAnsi="宋体" w:eastAsia="宋体" w:cs="MingLiU"/>
                <w:sz w:val="21"/>
                <w:szCs w:val="21"/>
                <w:lang w:val="en-US" w:eastAsia="zh-CN"/>
              </w:rPr>
            </w:pPr>
          </w:p>
        </w:tc>
        <w:tc>
          <w:tcPr>
            <w:tcW w:w="2337" w:type="dxa"/>
            <w:vMerge w:val="continue"/>
            <w:tcBorders>
              <w:top w:val="nil"/>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hanging="260"/>
              <w:jc w:val="both"/>
              <w:rPr>
                <w:rFonts w:hint="default" w:ascii="宋体" w:hAnsi="宋体" w:eastAsia="宋体" w:cs="MingLiU"/>
                <w:sz w:val="21"/>
                <w:szCs w:val="21"/>
                <w:lang w:val="en-US" w:eastAsia="zh-CN"/>
              </w:rPr>
            </w:pP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Times New Roman" w:eastAsia="宋体"/>
                <w:sz w:val="21"/>
                <w:szCs w:val="21"/>
                <w:lang w:val="en-US" w:eastAsia="zh-CN"/>
              </w:rPr>
            </w:pPr>
            <w:r>
              <w:rPr>
                <w:rStyle w:val="333"/>
                <w:rFonts w:hint="eastAsia" w:ascii="宋体" w:hAnsi="Times New Roman" w:eastAsia="宋体"/>
                <w:sz w:val="21"/>
                <w:szCs w:val="21"/>
                <w:lang w:val="zh-CN" w:eastAsia="zh-CN"/>
              </w:rPr>
              <w:t>形式：</w:t>
            </w:r>
            <w:r>
              <w:rPr>
                <w:rStyle w:val="333"/>
                <w:rFonts w:hint="eastAsia" w:ascii="宋体" w:hAnsi="Times New Roman" w:eastAsia="宋体"/>
                <w:sz w:val="21"/>
                <w:szCs w:val="21"/>
                <w:u w:val="single"/>
                <w:lang w:val="zh-CN" w:eastAsia="zh-CN"/>
              </w:rPr>
              <w:t>传真或电子邮件</w:t>
            </w:r>
          </w:p>
        </w:tc>
      </w:tr>
      <w:tr>
        <w:tblPrEx>
          <w:tblCellMar>
            <w:top w:w="0" w:type="dxa"/>
            <w:left w:w="0" w:type="dxa"/>
            <w:bottom w:w="0" w:type="dxa"/>
            <w:right w:w="0" w:type="dxa"/>
          </w:tblCellMar>
        </w:tblPrEx>
        <w:trPr>
          <w:gridAfter w:val="1"/>
          <w:wAfter w:w="9" w:type="dxa"/>
          <w:trHeight w:val="521" w:hRule="atLeas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2.2.2</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Style w:val="333"/>
                <w:rFonts w:hint="default" w:ascii="宋体" w:hAnsi="宋体" w:eastAsia="宋体"/>
                <w:lang w:val="zh-CN" w:eastAsia="zh-CN"/>
              </w:rPr>
            </w:pPr>
            <w:r>
              <w:rPr>
                <w:rStyle w:val="333"/>
                <w:rFonts w:hint="eastAsia" w:ascii="宋体" w:hAnsi="宋体" w:eastAsia="宋体"/>
                <w:lang w:val="zh-CN" w:eastAsia="zh-CN"/>
              </w:rPr>
              <w:t>招标文件澄清发出的形式</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宋体" w:eastAsia="宋体"/>
                <w:sz w:val="21"/>
                <w:szCs w:val="21"/>
                <w:lang w:val="zh-CN" w:eastAsia="zh-CN"/>
              </w:rPr>
            </w:pPr>
            <w:r>
              <w:rPr>
                <w:rStyle w:val="333"/>
                <w:rFonts w:hint="eastAsia" w:ascii="宋体" w:hAnsi="Times New Roman" w:eastAsia="宋体"/>
                <w:sz w:val="21"/>
                <w:szCs w:val="21"/>
                <w:u w:val="single"/>
                <w:lang w:val="zh-CN" w:eastAsia="zh-CN"/>
              </w:rPr>
              <w:t>传真或电子邮件或网站公告（http://  ）</w:t>
            </w:r>
          </w:p>
        </w:tc>
      </w:tr>
      <w:tr>
        <w:tblPrEx>
          <w:tblCellMar>
            <w:top w:w="0" w:type="dxa"/>
            <w:left w:w="0" w:type="dxa"/>
            <w:bottom w:w="0" w:type="dxa"/>
            <w:right w:w="0" w:type="dxa"/>
          </w:tblCellMar>
        </w:tblPrEx>
        <w:trPr>
          <w:gridAfter w:val="1"/>
          <w:wAfter w:w="9" w:type="dxa"/>
          <w:trHeight w:val="496" w:hRule="atLeast"/>
        </w:trPr>
        <w:tc>
          <w:tcPr>
            <w:tcW w:w="973"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2.2.3</w:t>
            </w:r>
          </w:p>
        </w:tc>
        <w:tc>
          <w:tcPr>
            <w:tcW w:w="2337"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投标人确认收到招标文件澄清</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Times New Roman" w:eastAsia="宋体"/>
                <w:sz w:val="21"/>
                <w:szCs w:val="21"/>
                <w:lang w:val="zh-CN" w:eastAsia="zh-CN"/>
              </w:rPr>
            </w:pPr>
            <w:r>
              <w:rPr>
                <w:rStyle w:val="333"/>
                <w:rFonts w:hint="eastAsia" w:ascii="宋体" w:hAnsi="Times New Roman" w:eastAsia="宋体"/>
                <w:sz w:val="21"/>
                <w:szCs w:val="21"/>
                <w:lang w:val="zh-CN" w:eastAsia="zh-CN"/>
              </w:rPr>
              <w:t>时间：收到澄清后</w:t>
            </w:r>
            <w:r>
              <w:rPr>
                <w:rStyle w:val="333"/>
                <w:rFonts w:hint="eastAsia" w:ascii="宋体" w:hAnsi="Times New Roman" w:eastAsia="宋体"/>
                <w:sz w:val="21"/>
                <w:szCs w:val="21"/>
                <w:u w:val="single"/>
                <w:lang w:val="en-US" w:eastAsia="zh-CN"/>
              </w:rPr>
              <w:t xml:space="preserve">   </w:t>
            </w:r>
            <w:r>
              <w:rPr>
                <w:rStyle w:val="333"/>
                <w:rFonts w:hint="eastAsia" w:ascii="宋体" w:hAnsi="Times New Roman" w:eastAsia="宋体"/>
                <w:sz w:val="21"/>
                <w:szCs w:val="21"/>
                <w:lang w:val="zh-CN" w:eastAsia="zh-CN"/>
              </w:rPr>
              <w:t>小时内（以发出时间为准）</w:t>
            </w:r>
          </w:p>
        </w:tc>
      </w:tr>
      <w:tr>
        <w:trPr>
          <w:gridAfter w:val="1"/>
          <w:wAfter w:w="9" w:type="dxa"/>
        </w:trPr>
        <w:tc>
          <w:tcPr>
            <w:tcW w:w="973" w:type="dxa"/>
            <w:vMerge w:val="continue"/>
            <w:tcBorders>
              <w:top w:val="nil"/>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hanging="260"/>
              <w:jc w:val="center"/>
              <w:rPr>
                <w:rFonts w:hint="default" w:ascii="宋体" w:hAnsi="宋体" w:eastAsia="宋体" w:cs="MingLiU"/>
                <w:sz w:val="21"/>
                <w:szCs w:val="21"/>
                <w:lang w:val="en-US" w:eastAsia="zh-CN"/>
              </w:rPr>
            </w:pPr>
          </w:p>
        </w:tc>
        <w:tc>
          <w:tcPr>
            <w:tcW w:w="2337" w:type="dxa"/>
            <w:vMerge w:val="continue"/>
            <w:tcBorders>
              <w:top w:val="nil"/>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hanging="260"/>
              <w:jc w:val="left"/>
              <w:rPr>
                <w:rFonts w:hint="default" w:ascii="宋体" w:hAnsi="宋体" w:eastAsia="宋体" w:cs="MingLiU"/>
                <w:sz w:val="21"/>
                <w:szCs w:val="21"/>
                <w:lang w:val="en-US" w:eastAsia="zh-CN"/>
              </w:rPr>
            </w:pP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Times New Roman" w:eastAsia="宋体"/>
                <w:sz w:val="21"/>
                <w:szCs w:val="21"/>
                <w:lang w:val="zh-CN" w:eastAsia="zh-CN"/>
              </w:rPr>
            </w:pPr>
            <w:r>
              <w:rPr>
                <w:rStyle w:val="333"/>
                <w:rFonts w:hint="eastAsia" w:ascii="宋体" w:hAnsi="Times New Roman" w:eastAsia="宋体"/>
                <w:sz w:val="21"/>
                <w:szCs w:val="21"/>
                <w:lang w:val="zh-CN" w:eastAsia="zh-CN"/>
              </w:rPr>
              <w:t>形式：</w:t>
            </w:r>
            <w:r>
              <w:rPr>
                <w:rStyle w:val="333"/>
                <w:rFonts w:hint="eastAsia" w:ascii="宋体" w:hAnsi="Times New Roman" w:eastAsia="宋体"/>
                <w:sz w:val="21"/>
                <w:szCs w:val="21"/>
                <w:u w:val="single"/>
                <w:lang w:val="zh-CN" w:eastAsia="zh-CN"/>
              </w:rPr>
              <w:t>传真或电子邮件</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2.3.1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招标文件修改发出的形式</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Times New Roman" w:eastAsia="宋体"/>
                <w:sz w:val="21"/>
                <w:szCs w:val="21"/>
                <w:lang w:val="en-US" w:eastAsia="zh-CN"/>
              </w:rPr>
            </w:pPr>
            <w:r>
              <w:rPr>
                <w:rStyle w:val="333"/>
                <w:rFonts w:hint="eastAsia" w:ascii="宋体" w:hAnsi="Times New Roman" w:eastAsia="宋体"/>
                <w:sz w:val="21"/>
                <w:szCs w:val="21"/>
                <w:u w:val="single"/>
                <w:lang w:val="zh-CN" w:eastAsia="zh-CN"/>
              </w:rPr>
              <w:t>传真或电子邮件或网站公告</w:t>
            </w:r>
            <w:r>
              <w:rPr>
                <w:rStyle w:val="333"/>
                <w:rFonts w:hint="eastAsia" w:ascii="宋体" w:hAnsi="Times New Roman" w:eastAsia="宋体"/>
                <w:sz w:val="21"/>
                <w:szCs w:val="21"/>
                <w:u w:val="single"/>
                <w:lang w:val="en-US" w:eastAsia="zh-CN"/>
              </w:rPr>
              <w:t>（http://  ）</w:t>
            </w:r>
          </w:p>
        </w:tc>
      </w:tr>
      <w:tr>
        <w:trPr>
          <w:gridAfter w:val="1"/>
          <w:wAfter w:w="9" w:type="dxa"/>
        </w:trPr>
        <w:tc>
          <w:tcPr>
            <w:tcW w:w="973"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2.3.2</w:t>
            </w:r>
          </w:p>
        </w:tc>
        <w:tc>
          <w:tcPr>
            <w:tcW w:w="2337" w:type="dxa"/>
            <w:vMerge w:val="restart"/>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投标人确认收到招标文件修改</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Times New Roman" w:eastAsia="宋体"/>
                <w:sz w:val="21"/>
                <w:szCs w:val="21"/>
                <w:lang w:val="zh-CN" w:eastAsia="zh-CN"/>
              </w:rPr>
            </w:pPr>
            <w:r>
              <w:rPr>
                <w:rStyle w:val="333"/>
                <w:rFonts w:hint="eastAsia" w:ascii="宋体" w:hAnsi="Times New Roman" w:eastAsia="宋体"/>
                <w:sz w:val="21"/>
                <w:szCs w:val="21"/>
                <w:lang w:val="zh-CN" w:eastAsia="zh-CN"/>
              </w:rPr>
              <w:t>时间：收到修改后</w:t>
            </w:r>
            <w:r>
              <w:rPr>
                <w:rStyle w:val="333"/>
                <w:rFonts w:hint="eastAsia" w:ascii="宋体" w:hAnsi="Times New Roman" w:eastAsia="宋体"/>
                <w:sz w:val="21"/>
                <w:szCs w:val="21"/>
                <w:u w:val="single"/>
                <w:lang w:val="en-US" w:eastAsia="zh-CN"/>
              </w:rPr>
              <w:t xml:space="preserve">  </w:t>
            </w:r>
            <w:r>
              <w:rPr>
                <w:rStyle w:val="333"/>
                <w:rFonts w:hint="eastAsia" w:ascii="宋体" w:hAnsi="Times New Roman" w:eastAsia="宋体"/>
                <w:sz w:val="21"/>
                <w:szCs w:val="21"/>
                <w:lang w:val="zh-CN" w:eastAsia="zh-CN"/>
              </w:rPr>
              <w:t>小时内（以发出时间为准）</w:t>
            </w:r>
          </w:p>
        </w:tc>
      </w:tr>
      <w:tr>
        <w:trPr>
          <w:gridAfter w:val="1"/>
          <w:wAfter w:w="9" w:type="dxa"/>
        </w:trPr>
        <w:tc>
          <w:tcPr>
            <w:tcW w:w="973" w:type="dxa"/>
            <w:vMerge w:val="continue"/>
            <w:tcBorders>
              <w:top w:val="nil"/>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hanging="260"/>
              <w:jc w:val="left"/>
              <w:rPr>
                <w:rFonts w:hint="default" w:ascii="宋体" w:hAnsi="宋体" w:eastAsia="宋体" w:cs="MingLiU"/>
                <w:sz w:val="21"/>
                <w:szCs w:val="21"/>
                <w:lang w:val="en-US" w:eastAsia="zh-CN"/>
              </w:rPr>
            </w:pPr>
          </w:p>
        </w:tc>
        <w:tc>
          <w:tcPr>
            <w:tcW w:w="2337" w:type="dxa"/>
            <w:vMerge w:val="continue"/>
            <w:tcBorders>
              <w:top w:val="nil"/>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hanging="260"/>
              <w:jc w:val="left"/>
              <w:rPr>
                <w:rFonts w:hint="default" w:ascii="宋体" w:hAnsi="宋体" w:eastAsia="宋体" w:cs="MingLiU"/>
                <w:sz w:val="21"/>
                <w:szCs w:val="21"/>
                <w:lang w:val="en-US" w:eastAsia="zh-CN"/>
              </w:rPr>
            </w:pP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Style w:val="333"/>
                <w:rFonts w:hint="default" w:ascii="宋体" w:hAnsi="Times New Roman" w:eastAsia="宋体"/>
                <w:sz w:val="21"/>
                <w:szCs w:val="21"/>
                <w:lang w:val="zh-CN" w:eastAsia="zh-CN"/>
              </w:rPr>
            </w:pPr>
            <w:r>
              <w:rPr>
                <w:rStyle w:val="333"/>
                <w:rFonts w:hint="eastAsia" w:ascii="宋体" w:hAnsi="Times New Roman" w:eastAsia="宋体"/>
                <w:sz w:val="21"/>
                <w:szCs w:val="21"/>
                <w:lang w:val="zh-CN" w:eastAsia="zh-CN"/>
              </w:rPr>
              <w:t>形式：</w:t>
            </w:r>
            <w:r>
              <w:rPr>
                <w:rStyle w:val="333"/>
                <w:rFonts w:hint="eastAsia" w:ascii="宋体" w:hAnsi="Times New Roman" w:eastAsia="宋体"/>
                <w:sz w:val="21"/>
                <w:szCs w:val="21"/>
                <w:u w:val="single"/>
                <w:lang w:val="zh-CN" w:eastAsia="zh-CN"/>
              </w:rPr>
              <w:t>传真或电子邮件</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3.1.1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构成投标文件的其他资料</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3.2.1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増值税税金的计算方法</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default" w:ascii="宋体" w:hAnsi="宋体" w:cs="Times New Roman"/>
                <w:color w:val="auto"/>
                <w:sz w:val="21"/>
                <w:szCs w:val="21"/>
                <w:lang w:val="en-US"/>
              </w:rPr>
            </w:pPr>
          </w:p>
        </w:tc>
      </w:tr>
      <w:tr>
        <w:tblPrEx>
          <w:tblCellMar>
            <w:top w:w="0" w:type="dxa"/>
            <w:left w:w="0" w:type="dxa"/>
            <w:bottom w:w="0" w:type="dxa"/>
            <w:right w:w="0" w:type="dxa"/>
          </w:tblCellMar>
        </w:tblPrEx>
        <w:trPr>
          <w:gridAfter w:val="1"/>
          <w:wAfter w:w="9" w:type="dxa"/>
          <w:trHeight w:val="595"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3.2.3</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报价方式</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□单价</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□总价</w:t>
            </w:r>
          </w:p>
        </w:tc>
      </w:tr>
      <w:tr>
        <w:tblPrEx>
          <w:tblCellMar>
            <w:top w:w="0" w:type="dxa"/>
            <w:left w:w="0" w:type="dxa"/>
            <w:bottom w:w="0" w:type="dxa"/>
            <w:right w:w="0" w:type="dxa"/>
          </w:tblCellMar>
        </w:tblPrEx>
        <w:trPr>
          <w:gridAfter w:val="1"/>
          <w:wAfter w:w="9" w:type="dxa"/>
          <w:trHeight w:val="1014"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MingLiU"/>
                <w:sz w:val="21"/>
                <w:szCs w:val="21"/>
                <w:lang w:val="en-US" w:eastAsia="zh-CN"/>
              </w:rPr>
            </w:pPr>
            <w:r>
              <w:rPr>
                <w:rStyle w:val="245"/>
                <w:rFonts w:hint="default" w:ascii="宋体" w:hAnsi="宋体" w:eastAsia="宋体"/>
                <w:sz w:val="21"/>
                <w:szCs w:val="21"/>
              </w:rPr>
              <w:t>3.2.</w:t>
            </w:r>
            <w:r>
              <w:rPr>
                <w:rStyle w:val="245"/>
                <w:rFonts w:hint="eastAsia" w:ascii="宋体" w:hAnsi="宋体" w:eastAsia="宋体"/>
                <w:sz w:val="21"/>
                <w:szCs w:val="21"/>
                <w:lang w:eastAsia="zh-CN"/>
              </w:rPr>
              <w:t>4</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最</w:t>
            </w:r>
            <w:r>
              <w:rPr>
                <w:rStyle w:val="480"/>
                <w:rFonts w:hint="eastAsia" w:ascii="宋体" w:hAnsi="宋体" w:eastAsia="宋体"/>
                <w:sz w:val="21"/>
                <w:szCs w:val="21"/>
                <w:lang w:val="en-US" w:eastAsia="zh-CN"/>
              </w:rPr>
              <w:t>高</w:t>
            </w:r>
            <w:r>
              <w:rPr>
                <w:rStyle w:val="480"/>
                <w:rFonts w:hint="eastAsia" w:ascii="宋体" w:hAnsi="宋体" w:eastAsia="宋体"/>
                <w:sz w:val="21"/>
                <w:szCs w:val="21"/>
                <w:lang w:val="zh-CN" w:eastAsia="zh-CN"/>
              </w:rPr>
              <w:t>投标限价</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□无</w:t>
            </w:r>
          </w:p>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□有，</w:t>
            </w:r>
            <w:r>
              <w:rPr>
                <w:rStyle w:val="480"/>
                <w:rFonts w:hint="eastAsia" w:ascii="宋体" w:hAnsi="宋体" w:eastAsia="宋体"/>
                <w:sz w:val="21"/>
                <w:szCs w:val="21"/>
                <w:u w:val="single"/>
                <w:lang w:val="zh-CN" w:eastAsia="zh-CN"/>
              </w:rPr>
              <w:t>最高投标限价      元（其中暂列金额    元）</w:t>
            </w:r>
            <w:r>
              <w:rPr>
                <w:rStyle w:val="101"/>
                <w:rFonts w:hint="eastAsia" w:ascii="宋体" w:hAnsi="宋体" w:eastAsia="宋体"/>
                <w:spacing w:val="0"/>
                <w:sz w:val="30"/>
                <w:szCs w:val="24"/>
                <w:u w:val="single"/>
                <w:lang w:val="en-US" w:eastAsia="zh-CN"/>
              </w:rPr>
              <w:footnoteReference w:id="25"/>
            </w:r>
          </w:p>
        </w:tc>
      </w:tr>
      <w:tr>
        <w:tblPrEx>
          <w:tblCellMar>
            <w:top w:w="0" w:type="dxa"/>
            <w:left w:w="0" w:type="dxa"/>
            <w:bottom w:w="0" w:type="dxa"/>
            <w:right w:w="0" w:type="dxa"/>
          </w:tblCellMar>
        </w:tblPrEx>
        <w:trPr>
          <w:gridAfter w:val="1"/>
          <w:wAfter w:w="9" w:type="dxa"/>
          <w:trHeight w:val="403" w:hRule="exact"/>
        </w:trP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MingLiU"/>
                <w:sz w:val="21"/>
                <w:szCs w:val="21"/>
                <w:lang w:val="en-US" w:eastAsia="zh-CN"/>
              </w:rPr>
            </w:pPr>
            <w:r>
              <w:rPr>
                <w:rStyle w:val="245"/>
                <w:rFonts w:hint="default" w:ascii="宋体" w:hAnsi="宋体" w:eastAsia="宋体"/>
                <w:sz w:val="21"/>
                <w:szCs w:val="21"/>
              </w:rPr>
              <w:t>3.2.</w:t>
            </w:r>
            <w:r>
              <w:rPr>
                <w:rStyle w:val="245"/>
                <w:rFonts w:hint="eastAsia" w:ascii="宋体" w:hAnsi="宋体" w:eastAsia="宋体"/>
                <w:sz w:val="21"/>
                <w:szCs w:val="21"/>
                <w:lang w:eastAsia="zh-CN"/>
              </w:rPr>
              <w:t>5</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投标报价的其他要求</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p>
        </w:tc>
      </w:tr>
      <w:tr>
        <w:tblPrEx>
          <w:tblCellMar>
            <w:top w:w="0" w:type="dxa"/>
            <w:left w:w="0" w:type="dxa"/>
            <w:bottom w:w="0" w:type="dxa"/>
            <w:right w:w="0" w:type="dxa"/>
          </w:tblCellMar>
        </w:tblPrEx>
        <w:trPr>
          <w:gridAfter w:val="1"/>
          <w:wAfter w:w="9" w:type="dxa"/>
          <w:trHeight w:val="403" w:hRule="exact"/>
        </w:trPr>
        <w:tc>
          <w:tcPr>
            <w:tcW w:w="97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3.3.1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投标有效期</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autoSpaceDE/>
              <w:autoSpaceDN/>
              <w:bidi w:val="0"/>
              <w:adjustRightInd/>
              <w:snapToGrid/>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自投标人提交投标文件截止之日起计算</w:t>
            </w:r>
            <w:r>
              <w:rPr>
                <w:rStyle w:val="480"/>
                <w:rFonts w:hint="eastAsia" w:ascii="宋体" w:hAnsi="宋体" w:eastAsia="宋体"/>
                <w:sz w:val="21"/>
                <w:szCs w:val="21"/>
                <w:u w:val="single"/>
                <w:lang w:val="en-US" w:eastAsia="zh-CN"/>
              </w:rPr>
              <w:t xml:space="preserve">   </w:t>
            </w:r>
            <w:r>
              <w:rPr>
                <w:rStyle w:val="480"/>
                <w:rFonts w:hint="eastAsia" w:ascii="宋体" w:hAnsi="宋体" w:eastAsia="宋体"/>
                <w:sz w:val="21"/>
                <w:szCs w:val="21"/>
                <w:lang w:val="zh-CN" w:eastAsia="zh-CN"/>
              </w:rPr>
              <w:t>日</w:t>
            </w:r>
          </w:p>
        </w:tc>
      </w:tr>
      <w:tr>
        <w:tblPrEx>
          <w:tblCellMar>
            <w:top w:w="0" w:type="dxa"/>
            <w:left w:w="0" w:type="dxa"/>
            <w:bottom w:w="0" w:type="dxa"/>
            <w:right w:w="0" w:type="dxa"/>
          </w:tblCellMar>
        </w:tblPrEx>
        <w:trPr>
          <w:gridAfter w:val="1"/>
          <w:wAfter w:w="9" w:type="dxa"/>
          <w:trHeight w:val="5085"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tabs>
                <w:tab w:val="left" w:pos="403"/>
              </w:tabs>
              <w:spacing w:before="0" w:beforeAutospacing="0" w:after="0" w:afterAutospacing="0" w:line="240" w:lineRule="auto"/>
              <w:ind w:left="0" w:right="0"/>
              <w:jc w:val="center"/>
              <w:rPr>
                <w:rStyle w:val="480"/>
                <w:rFonts w:hint="default" w:ascii="宋体" w:hAnsi="宋体" w:eastAsia="宋体"/>
                <w:sz w:val="21"/>
                <w:szCs w:val="21"/>
                <w:lang w:val="zh-CN" w:eastAsia="zh-CN"/>
              </w:rPr>
            </w:pPr>
            <w:r>
              <w:rPr>
                <w:rStyle w:val="480"/>
                <w:rFonts w:hint="default" w:ascii="宋体" w:hAnsi="宋体" w:eastAsia="宋体"/>
                <w:sz w:val="21"/>
                <w:szCs w:val="21"/>
                <w:lang w:val="zh-CN" w:eastAsia="zh-CN"/>
              </w:rPr>
              <w:t>3.4.1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tabs>
                <w:tab w:val="left" w:pos="403"/>
              </w:tabs>
              <w:spacing w:before="0" w:beforeAutospacing="0" w:after="0" w:afterAutospacing="0" w:line="240" w:lineRule="auto"/>
              <w:ind w:left="0" w:right="0"/>
              <w:jc w:val="both"/>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投标保证金</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是否要求投标人递交投标保证金：</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□要求，投标保证金的金额：</w:t>
            </w:r>
            <w:r>
              <w:rPr>
                <w:rStyle w:val="480"/>
                <w:rFonts w:hint="eastAsia" w:ascii="宋体" w:hAnsi="宋体" w:eastAsia="宋体"/>
                <w:sz w:val="21"/>
                <w:szCs w:val="21"/>
                <w:u w:val="single"/>
                <w:lang w:val="en-US" w:eastAsia="zh-CN"/>
              </w:rPr>
              <w:t xml:space="preserve">                       </w:t>
            </w:r>
            <w:r>
              <w:rPr>
                <w:rStyle w:val="333"/>
                <w:rFonts w:hint="eastAsia" w:ascii="宋体" w:hAnsi="Times New Roman" w:eastAsia="宋体"/>
                <w:sz w:val="21"/>
                <w:szCs w:val="21"/>
                <w:u w:val="single"/>
                <w:lang w:val="zh-CN" w:eastAsia="zh-CN"/>
              </w:rPr>
              <w:t xml:space="preserve"> </w:t>
            </w:r>
            <w:r>
              <w:rPr>
                <w:rStyle w:val="101"/>
                <w:rFonts w:hint="eastAsia" w:ascii="宋体" w:hAnsi="宋体" w:eastAsia="宋体"/>
                <w:spacing w:val="0"/>
                <w:sz w:val="30"/>
                <w:szCs w:val="24"/>
                <w:lang w:val="zh-CN" w:eastAsia="zh-CN"/>
              </w:rPr>
              <w:footnoteReference w:id="26"/>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投标保证金可采用的其他形式：</w:t>
            </w:r>
            <w:r>
              <w:rPr>
                <w:rStyle w:val="333"/>
                <w:rFonts w:hint="eastAsia" w:ascii="宋体" w:hAnsi="宋体" w:eastAsia="宋体"/>
                <w:sz w:val="21"/>
                <w:szCs w:val="21"/>
                <w:u w:val="single"/>
                <w:lang w:val="en-US" w:eastAsia="zh-CN"/>
              </w:rPr>
              <w:t xml:space="preserve">                     </w:t>
            </w:r>
            <w:r>
              <w:rPr>
                <w:rStyle w:val="333"/>
                <w:rFonts w:hint="eastAsia" w:ascii="宋体" w:hAnsi="Times New Roman" w:eastAsia="宋体"/>
                <w:sz w:val="21"/>
                <w:szCs w:val="21"/>
                <w:u w:val="single"/>
                <w:lang w:val="zh-CN" w:eastAsia="zh-CN"/>
              </w:rPr>
              <w:t xml:space="preserve"> </w:t>
            </w:r>
            <w:r>
              <w:rPr>
                <w:rStyle w:val="101"/>
                <w:rFonts w:hint="eastAsia" w:ascii="宋体" w:hAnsi="宋体" w:eastAsia="宋体"/>
                <w:spacing w:val="0"/>
                <w:sz w:val="30"/>
                <w:szCs w:val="24"/>
                <w:lang w:val="zh-CN" w:eastAsia="zh-CN"/>
              </w:rPr>
              <w:footnoteReference w:id="27"/>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招标人指定的开户银行及账号如下：</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u w:val="single"/>
                <w:lang w:val="zh-CN" w:eastAsia="zh-CN"/>
              </w:rPr>
            </w:pPr>
            <w:r>
              <w:rPr>
                <w:rStyle w:val="480"/>
                <w:rFonts w:hint="eastAsia" w:ascii="宋体" w:hAnsi="宋体" w:eastAsia="宋体"/>
                <w:sz w:val="21"/>
                <w:szCs w:val="21"/>
                <w:lang w:val="zh-CN" w:eastAsia="zh-CN"/>
              </w:rPr>
              <w:t>账户名称：</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开户银行：</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账</w:t>
            </w:r>
            <w:r>
              <w:rPr>
                <w:rStyle w:val="480"/>
                <w:rFonts w:hint="default" w:ascii="宋体" w:hAnsi="宋体" w:eastAsia="宋体"/>
                <w:sz w:val="21"/>
                <w:szCs w:val="21"/>
                <w:lang w:val="zh-CN" w:eastAsia="zh-CN"/>
              </w:rPr>
              <w:t xml:space="preserve"> </w:t>
            </w:r>
            <w:r>
              <w:rPr>
                <w:rStyle w:val="480"/>
                <w:rFonts w:hint="eastAsia" w:ascii="宋体" w:hAnsi="宋体" w:eastAsia="宋体"/>
                <w:sz w:val="21"/>
                <w:szCs w:val="21"/>
                <w:lang w:val="en-US" w:eastAsia="zh-CN"/>
              </w:rPr>
              <w:t xml:space="preserve">   </w:t>
            </w:r>
            <w:r>
              <w:rPr>
                <w:rStyle w:val="480"/>
                <w:rFonts w:hint="eastAsia" w:ascii="宋体" w:hAnsi="宋体" w:eastAsia="宋体"/>
                <w:sz w:val="21"/>
                <w:szCs w:val="21"/>
                <w:lang w:val="zh-CN" w:eastAsia="zh-CN"/>
              </w:rPr>
              <w:t>号：</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333"/>
                <w:rFonts w:hint="eastAsia" w:ascii="宋体" w:hAnsi="宋体" w:eastAsia="宋体"/>
                <w:sz w:val="21"/>
                <w:szCs w:val="21"/>
                <w:lang w:val="zh-CN" w:eastAsia="zh-CN"/>
              </w:rPr>
            </w:pPr>
            <w:r>
              <w:rPr>
                <w:rStyle w:val="480"/>
                <w:rFonts w:hint="eastAsia" w:ascii="宋体" w:hAnsi="宋体" w:eastAsia="宋体"/>
                <w:sz w:val="21"/>
                <w:szCs w:val="21"/>
                <w:lang w:val="zh-CN" w:eastAsia="zh-CN"/>
              </w:rPr>
              <w:t>财务负责人联系方式：</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u w:val="single"/>
                <w:lang w:val="zh-CN" w:eastAsia="zh-CN"/>
              </w:rPr>
              <w:t xml:space="preserve"> </w:t>
            </w:r>
            <w:r>
              <w:rPr>
                <w:rStyle w:val="333"/>
                <w:rFonts w:hint="eastAsia" w:ascii="宋体" w:hAnsi="宋体" w:eastAsia="宋体"/>
                <w:sz w:val="21"/>
                <w:szCs w:val="21"/>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333"/>
                <w:rFonts w:hint="eastAsia" w:ascii="宋体" w:hAnsi="宋体" w:eastAsia="宋体" w:cs="宋体"/>
                <w:sz w:val="21"/>
                <w:szCs w:val="21"/>
                <w:lang w:val="zh-CN" w:eastAsia="zh-CN"/>
              </w:rPr>
            </w:pPr>
            <w:r>
              <w:rPr>
                <w:rStyle w:val="333"/>
                <w:rFonts w:hint="eastAsia" w:ascii="宋体" w:hAnsi="宋体" w:eastAsia="宋体" w:cs="宋体"/>
                <w:sz w:val="21"/>
                <w:szCs w:val="21"/>
                <w:lang w:val="zh-CN" w:eastAsia="zh-CN"/>
              </w:rPr>
              <w:t>采用现金或支票方式：投标保证金到达招标人指定账户时间</w:t>
            </w:r>
            <w:r>
              <w:rPr>
                <w:rStyle w:val="333"/>
                <w:rFonts w:hint="eastAsia" w:ascii="宋体" w:hAnsi="宋体" w:eastAsia="宋体" w:cs="宋体"/>
                <w:sz w:val="21"/>
                <w:szCs w:val="21"/>
                <w:lang w:val="en-US" w:eastAsia="zh-CN"/>
              </w:rPr>
              <w:t>为：</w:t>
            </w:r>
            <w:r>
              <w:rPr>
                <w:rFonts w:hint="eastAsia" w:ascii="宋体" w:hAnsi="宋体" w:eastAsia="宋体" w:cs="宋体"/>
                <w:spacing w:val="-8"/>
                <w:sz w:val="21"/>
                <w:szCs w:val="21"/>
                <w:u w:val="single"/>
                <w:lang w:val="zh-CN" w:eastAsia="zh-CN"/>
              </w:rPr>
              <w:t>投标文件递交截止时间</w:t>
            </w:r>
            <w:r>
              <w:rPr>
                <w:rFonts w:hint="eastAsia" w:ascii="宋体" w:hAnsi="宋体" w:eastAsia="宋体" w:cs="宋体"/>
                <w:spacing w:val="-8"/>
                <w:sz w:val="21"/>
                <w:szCs w:val="21"/>
                <w:lang w:val="zh-CN" w:eastAsia="zh-CN"/>
              </w:rPr>
              <w:t>前</w:t>
            </w:r>
            <w:r>
              <w:rPr>
                <w:rStyle w:val="333"/>
                <w:rFonts w:hint="eastAsia" w:ascii="宋体" w:hAnsi="宋体" w:eastAsia="宋体" w:cs="宋体"/>
                <w:sz w:val="21"/>
                <w:szCs w:val="21"/>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cs="宋体"/>
                <w:sz w:val="21"/>
                <w:szCs w:val="21"/>
                <w:lang w:val="zh-CN" w:eastAsia="zh-CN"/>
              </w:rPr>
              <w:t>采用银行保函时，</w:t>
            </w:r>
            <w:r>
              <w:rPr>
                <w:rFonts w:hint="eastAsia" w:ascii="宋体" w:hAnsi="宋体" w:eastAsia="宋体" w:cs="宋体"/>
                <w:sz w:val="21"/>
                <w:szCs w:val="21"/>
                <w:lang w:val="zh-CN" w:eastAsia="zh-CN"/>
              </w:rPr>
              <w:t>出具保函的银行级别：</w:t>
            </w:r>
            <w:r>
              <w:rPr>
                <w:rFonts w:hint="eastAsia" w:ascii="宋体" w:hAnsi="宋体" w:eastAsia="宋体" w:cs="宋体"/>
                <w:sz w:val="21"/>
                <w:szCs w:val="21"/>
                <w:u w:val="single"/>
                <w:lang w:val="zh-CN" w:eastAsia="zh-CN"/>
              </w:rPr>
              <w:t>投标人基本账户开户行</w:t>
            </w:r>
            <w:r>
              <w:rPr>
                <w:rStyle w:val="480"/>
                <w:rFonts w:hint="eastAsia" w:ascii="宋体" w:hAnsi="宋体" w:eastAsia="宋体" w:cs="宋体"/>
                <w:sz w:val="21"/>
                <w:szCs w:val="21"/>
                <w:lang w:val="zh-CN" w:eastAsia="zh-CN"/>
              </w:rPr>
              <w:t>，若基本账户银行不能开具，可由上级银行出具并附相关证明材料，否则视为无效。且银行保函原件在递交投标文件时单独密封递交，其复印件装订在投标文件中</w:t>
            </w:r>
            <w:r>
              <w:rPr>
                <w:rStyle w:val="480"/>
                <w:rFonts w:hint="default" w:ascii="宋体" w:hAnsi="宋体" w:eastAsia="宋体"/>
                <w:sz w:val="21"/>
                <w:szCs w:val="21"/>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en-US" w:eastAsia="zh-CN"/>
              </w:rPr>
            </w:pPr>
            <w:r>
              <w:rPr>
                <w:rStyle w:val="480"/>
                <w:rFonts w:hint="eastAsia" w:ascii="宋体" w:hAnsi="宋体" w:eastAsia="宋体"/>
                <w:sz w:val="21"/>
                <w:szCs w:val="21"/>
                <w:lang w:val="en-US" w:eastAsia="zh-CN"/>
              </w:rPr>
              <w:t>采用其他形式时：</w:t>
            </w:r>
            <w:r>
              <w:rPr>
                <w:rStyle w:val="333"/>
                <w:rFonts w:hint="eastAsia" w:ascii="宋体" w:hAnsi="宋体" w:eastAsia="宋体"/>
                <w:sz w:val="21"/>
                <w:szCs w:val="21"/>
                <w:u w:val="single"/>
                <w:lang w:val="en-US" w:eastAsia="zh-CN"/>
              </w:rPr>
              <w:t xml:space="preserve">                      </w:t>
            </w:r>
            <w:r>
              <w:rPr>
                <w:rStyle w:val="333"/>
                <w:rFonts w:hint="eastAsia" w:ascii="宋体" w:hAnsi="Times New Roman" w:eastAsia="宋体"/>
                <w:sz w:val="21"/>
                <w:szCs w:val="21"/>
                <w:u w:val="single"/>
                <w:lang w:val="zh-CN" w:eastAsia="zh-CN"/>
              </w:rPr>
              <w:t xml:space="preserve"> </w:t>
            </w:r>
            <w:r>
              <w:rPr>
                <w:rStyle w:val="99"/>
                <w:rFonts w:hint="eastAsia" w:ascii="Times New Roman" w:hAnsi="Times New Roman" w:eastAsia="宋体"/>
                <w:spacing w:val="0"/>
                <w:kern w:val="2"/>
                <w:lang w:val="zh-CN" w:eastAsia="zh-CN"/>
              </w:rPr>
              <w:t>。</w:t>
            </w:r>
          </w:p>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□不要求</w:t>
            </w:r>
          </w:p>
        </w:tc>
      </w:tr>
      <w:tr>
        <w:tblPrEx>
          <w:tblCellMar>
            <w:top w:w="0" w:type="dxa"/>
            <w:left w:w="0" w:type="dxa"/>
            <w:bottom w:w="0" w:type="dxa"/>
            <w:right w:w="0" w:type="dxa"/>
          </w:tblCellMar>
        </w:tblPrEx>
        <w:trPr>
          <w:gridAfter w:val="1"/>
          <w:wAfter w:w="9" w:type="dxa"/>
          <w:trHeight w:val="2211" w:hRule="exact"/>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eastAsia" w:ascii="宋体" w:hAnsi="宋体" w:eastAsia="宋体"/>
                <w:lang w:val="zh-CN" w:eastAsia="zh-CN"/>
              </w:rPr>
            </w:pPr>
            <w:r>
              <w:rPr>
                <w:rStyle w:val="333"/>
                <w:rFonts w:hint="eastAsia" w:ascii="宋体" w:hAnsi="宋体" w:eastAsia="宋体"/>
                <w:lang w:val="zh-CN" w:eastAsia="zh-CN"/>
              </w:rPr>
              <w:t>3.4.3</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投标保证金的利息计算原则</w:t>
            </w:r>
            <w:r>
              <w:rPr>
                <w:rStyle w:val="101"/>
                <w:rFonts w:hint="eastAsia" w:ascii="宋体" w:hAnsi="宋体" w:eastAsia="宋体" w:cs="宋体"/>
                <w:szCs w:val="21"/>
                <w:lang w:val="zh-CN" w:eastAsia="zh-CN"/>
              </w:rPr>
              <w:footnoteReference w:id="28"/>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tabs>
                <w:tab w:val="left" w:pos="403"/>
              </w:tabs>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w:t>
            </w:r>
            <w:r>
              <w:rPr>
                <w:rStyle w:val="480"/>
                <w:rFonts w:hint="eastAsia" w:ascii="宋体" w:hAnsi="宋体" w:eastAsia="宋体"/>
                <w:sz w:val="21"/>
                <w:szCs w:val="21"/>
                <w:lang w:val="en-US" w:eastAsia="zh-CN"/>
              </w:rPr>
              <w:t>1</w:t>
            </w:r>
            <w:r>
              <w:rPr>
                <w:rStyle w:val="480"/>
                <w:rFonts w:hint="eastAsia" w:ascii="宋体" w:hAnsi="宋体" w:eastAsia="宋体"/>
                <w:sz w:val="21"/>
                <w:szCs w:val="21"/>
                <w:lang w:val="zh-CN" w:eastAsia="zh-CN"/>
              </w:rPr>
              <w:t>）计算利息的起始日期为投标截止当日，终止日期为招标人退还投标保证金日期的前一日；</w:t>
            </w:r>
          </w:p>
          <w:p>
            <w:pPr>
              <w:pStyle w:val="215"/>
              <w:keepNext w:val="0"/>
              <w:keepLines w:val="0"/>
              <w:pageBreakBefore w:val="0"/>
              <w:suppressLineNumbers w:val="0"/>
              <w:shd w:val="clear" w:color="auto" w:fill="auto"/>
              <w:tabs>
                <w:tab w:val="left" w:pos="432"/>
              </w:tabs>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w:t>
            </w:r>
            <w:r>
              <w:rPr>
                <w:rStyle w:val="480"/>
                <w:rFonts w:hint="eastAsia" w:ascii="宋体" w:hAnsi="宋体" w:eastAsia="宋体"/>
                <w:sz w:val="21"/>
                <w:szCs w:val="21"/>
                <w:lang w:val="en-US" w:eastAsia="zh-CN"/>
              </w:rPr>
              <w:t>2</w:t>
            </w:r>
            <w:r>
              <w:rPr>
                <w:rStyle w:val="480"/>
                <w:rFonts w:hint="eastAsia" w:ascii="宋体" w:hAnsi="宋体" w:eastAsia="宋体"/>
                <w:sz w:val="21"/>
                <w:szCs w:val="21"/>
                <w:lang w:val="zh-CN" w:eastAsia="zh-CN"/>
              </w:rPr>
              <w:t>）投标保证金的利息按照第</w:t>
            </w:r>
            <w:r>
              <w:rPr>
                <w:rStyle w:val="480"/>
                <w:rFonts w:hint="eastAsia" w:ascii="宋体" w:hAnsi="宋体" w:eastAsia="宋体"/>
                <w:sz w:val="21"/>
                <w:szCs w:val="21"/>
                <w:lang w:val="en-US" w:eastAsia="zh-CN"/>
              </w:rPr>
              <w:t>（1）</w:t>
            </w:r>
            <w:r>
              <w:rPr>
                <w:rStyle w:val="480"/>
                <w:rFonts w:hint="eastAsia" w:ascii="宋体" w:hAnsi="宋体" w:eastAsia="宋体"/>
                <w:sz w:val="21"/>
                <w:szCs w:val="21"/>
                <w:lang w:val="zh-CN" w:eastAsia="zh-CN"/>
              </w:rPr>
              <w:t>款所述计息时间段内招标人指定汇入银行公告的活期存款利率计付，并扣除招标人汇款手续费；</w:t>
            </w:r>
          </w:p>
          <w:p>
            <w:pPr>
              <w:pStyle w:val="215"/>
              <w:keepNext w:val="0"/>
              <w:keepLines w:val="0"/>
              <w:pageBreakBefore w:val="0"/>
              <w:suppressLineNumbers w:val="0"/>
              <w:shd w:val="clear" w:color="auto" w:fill="auto"/>
              <w:tabs>
                <w:tab w:val="left" w:pos="418"/>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w:t>
            </w:r>
            <w:r>
              <w:rPr>
                <w:rStyle w:val="480"/>
                <w:rFonts w:hint="eastAsia" w:ascii="宋体" w:hAnsi="宋体" w:eastAsia="宋体"/>
                <w:sz w:val="21"/>
                <w:szCs w:val="21"/>
                <w:lang w:val="en-US" w:eastAsia="zh-CN"/>
              </w:rPr>
              <w:t>3</w:t>
            </w:r>
            <w:r>
              <w:rPr>
                <w:rStyle w:val="480"/>
                <w:rFonts w:hint="eastAsia" w:ascii="宋体" w:hAnsi="宋体" w:eastAsia="宋体"/>
                <w:sz w:val="21"/>
                <w:szCs w:val="21"/>
                <w:lang w:val="zh-CN" w:eastAsia="zh-CN"/>
              </w:rPr>
              <w:t>）利息金额计算至分位，分以下尾数四舍五入。</w:t>
            </w:r>
          </w:p>
          <w:p>
            <w:pPr>
              <w:pStyle w:val="215"/>
              <w:keepNext w:val="0"/>
              <w:keepLines w:val="0"/>
              <w:pageBreakBefore w:val="0"/>
              <w:suppressLineNumbers w:val="0"/>
              <w:shd w:val="clear" w:color="auto" w:fill="auto"/>
              <w:tabs>
                <w:tab w:val="left" w:pos="418"/>
              </w:tabs>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en-US" w:eastAsia="zh-CN"/>
              </w:rPr>
            </w:pPr>
            <w:r>
              <w:rPr>
                <w:rStyle w:val="333"/>
                <w:rFonts w:hint="default" w:ascii="宋体" w:hAnsi="宋体" w:eastAsia="宋体"/>
                <w:lang w:val="zh-CN" w:eastAsia="zh-CN"/>
              </w:rPr>
              <w:t>（4）</w:t>
            </w:r>
            <w:r>
              <w:rPr>
                <w:rFonts w:hint="default" w:ascii="宋体" w:hAnsi="宋体" w:eastAsia="宋体" w:cs="宋体"/>
                <w:sz w:val="21"/>
                <w:szCs w:val="21"/>
                <w:lang w:val="en-US" w:eastAsia="zh-CN"/>
              </w:rPr>
              <w:t>利息退</w:t>
            </w:r>
            <w:r>
              <w:rPr>
                <w:rFonts w:hint="eastAsia" w:ascii="宋体" w:hAnsi="宋体" w:eastAsia="宋体" w:cs="宋体"/>
                <w:sz w:val="21"/>
                <w:szCs w:val="21"/>
                <w:lang w:val="en-US" w:eastAsia="zh-CN"/>
              </w:rPr>
              <w:t>还方式按</w:t>
            </w:r>
            <w:r>
              <w:rPr>
                <w:rFonts w:hint="default" w:ascii="宋体" w:hAnsi="宋体" w:eastAsia="宋体" w:cs="宋体"/>
                <w:sz w:val="21"/>
                <w:szCs w:val="21"/>
                <w:u w:val="single"/>
                <w:lang w:val="en-US" w:eastAsia="zh-CN"/>
              </w:rPr>
              <w:t xml:space="preserve">      </w:t>
            </w:r>
            <w:r>
              <w:rPr>
                <w:rFonts w:hint="default" w:ascii="宋体" w:hAnsi="宋体" w:eastAsia="宋体" w:cs="宋体"/>
                <w:sz w:val="21"/>
                <w:szCs w:val="21"/>
                <w:lang w:val="en-US" w:eastAsia="zh-CN"/>
              </w:rPr>
              <w:t>公共</w:t>
            </w:r>
            <w:r>
              <w:rPr>
                <w:rFonts w:hint="eastAsia" w:ascii="宋体" w:hAnsi="宋体" w:eastAsia="宋体" w:cs="宋体"/>
                <w:sz w:val="21"/>
                <w:szCs w:val="21"/>
                <w:lang w:val="en-US" w:eastAsia="zh-CN"/>
              </w:rPr>
              <w:t>资源交易中心规定办理</w:t>
            </w:r>
            <w:r>
              <w:rPr>
                <w:rStyle w:val="101"/>
                <w:rFonts w:hint="default" w:ascii="宋体" w:hAnsi="宋体" w:eastAsia="宋体" w:cs="宋体"/>
                <w:sz w:val="21"/>
                <w:szCs w:val="21"/>
                <w:lang w:val="en-US" w:eastAsia="zh-CN"/>
              </w:rPr>
              <w:footnoteReference w:id="29"/>
            </w:r>
            <w:r>
              <w:rPr>
                <w:rFonts w:hint="eastAsia" w:ascii="宋体" w:hAnsi="宋体" w:eastAsia="宋体" w:cs="宋体"/>
                <w:sz w:val="21"/>
                <w:szCs w:val="21"/>
                <w:lang w:val="en-US" w:eastAsia="zh-CN"/>
              </w:rPr>
              <w:t>。</w:t>
            </w:r>
          </w:p>
        </w:tc>
      </w:tr>
      <w:tr>
        <w:tblPrEx>
          <w:tblCellMar>
            <w:top w:w="0" w:type="dxa"/>
            <w:left w:w="0" w:type="dxa"/>
            <w:bottom w:w="0" w:type="dxa"/>
            <w:right w:w="0" w:type="dxa"/>
          </w:tblCellMar>
        </w:tblPrEx>
        <w:trPr>
          <w:gridAfter w:val="1"/>
          <w:wAfter w:w="9" w:type="dxa"/>
          <w:trHeight w:val="1674" w:hRule="exact"/>
        </w:trPr>
        <w:tc>
          <w:tcPr>
            <w:tcW w:w="9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eastAsia" w:ascii="宋体" w:hAnsi="宋体" w:eastAsia="宋体"/>
                <w:lang w:val="zh-CN" w:eastAsia="zh-CN"/>
              </w:rPr>
            </w:pPr>
            <w:r>
              <w:rPr>
                <w:rStyle w:val="333"/>
                <w:rFonts w:hint="eastAsia" w:ascii="宋体" w:hAnsi="宋体" w:eastAsia="宋体"/>
                <w:lang w:val="zh-CN" w:eastAsia="zh-CN"/>
              </w:rPr>
              <w:t>3.4.4</w:t>
            </w:r>
          </w:p>
        </w:tc>
        <w:tc>
          <w:tcPr>
            <w:tcW w:w="2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其他可以不予退还投标保证金的情形</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ind w:left="48" w:leftChars="20" w:right="48" w:rightChars="20"/>
              <w:textAlignment w:val="auto"/>
              <w:outlineLvl w:val="0"/>
              <w:rPr>
                <w:rFonts w:hint="eastAsia" w:ascii="宋体" w:hAnsi="宋体"/>
                <w:bCs/>
                <w:color w:val="auto"/>
                <w:sz w:val="21"/>
                <w:szCs w:val="21"/>
              </w:rPr>
            </w:pPr>
            <w:r>
              <w:rPr>
                <w:rFonts w:hint="eastAsia" w:ascii="宋体" w:hAnsi="宋体"/>
                <w:bCs/>
                <w:color w:val="auto"/>
                <w:sz w:val="21"/>
                <w:szCs w:val="21"/>
              </w:rPr>
              <w:t>（4）串通投标；或</w:t>
            </w:r>
          </w:p>
          <w:p>
            <w:pPr>
              <w:keepNext w:val="0"/>
              <w:keepLines w:val="0"/>
              <w:pageBreakBefore w:val="0"/>
              <w:suppressLineNumbers w:val="0"/>
              <w:kinsoku/>
              <w:wordWrap/>
              <w:overflowPunct/>
              <w:topLinePunct w:val="0"/>
              <w:bidi w:val="0"/>
              <w:snapToGrid w:val="0"/>
              <w:spacing w:before="0" w:beforeAutospacing="0" w:after="0" w:afterAutospacing="0"/>
              <w:ind w:left="48" w:leftChars="20" w:right="48" w:rightChars="20"/>
              <w:textAlignment w:val="auto"/>
              <w:outlineLvl w:val="0"/>
              <w:rPr>
                <w:rFonts w:hint="eastAsia" w:ascii="宋体" w:hAnsi="宋体"/>
                <w:bCs/>
                <w:color w:val="auto"/>
                <w:sz w:val="21"/>
                <w:szCs w:val="21"/>
              </w:rPr>
            </w:pPr>
            <w:r>
              <w:rPr>
                <w:rFonts w:hint="eastAsia" w:ascii="宋体" w:hAnsi="宋体"/>
                <w:bCs/>
                <w:color w:val="auto"/>
                <w:sz w:val="21"/>
                <w:szCs w:val="21"/>
              </w:rPr>
              <w:t>（5）评标、中标</w:t>
            </w:r>
            <w:r>
              <w:rPr>
                <w:rFonts w:hint="eastAsia" w:ascii="宋体" w:hAnsi="宋体" w:cs="Times New Roman"/>
                <w:color w:val="auto"/>
                <w:sz w:val="21"/>
                <w:szCs w:val="21"/>
                <w:lang w:val="en-US"/>
              </w:rPr>
              <w:t>候选人</w:t>
            </w:r>
            <w:r>
              <w:rPr>
                <w:rFonts w:hint="eastAsia" w:ascii="宋体" w:hAnsi="宋体"/>
                <w:bCs/>
                <w:color w:val="auto"/>
                <w:sz w:val="21"/>
                <w:szCs w:val="21"/>
              </w:rPr>
              <w:t>公示、签订合同前等环节因作假而被取消中标资格；或</w:t>
            </w:r>
          </w:p>
          <w:p>
            <w:pPr>
              <w:keepNext w:val="0"/>
              <w:keepLines w:val="0"/>
              <w:pageBreakBefore w:val="0"/>
              <w:suppressLineNumbers w:val="0"/>
              <w:kinsoku/>
              <w:wordWrap/>
              <w:overflowPunct/>
              <w:topLinePunct w:val="0"/>
              <w:bidi w:val="0"/>
              <w:snapToGrid w:val="0"/>
              <w:spacing w:before="0" w:beforeAutospacing="0" w:after="0" w:afterAutospacing="0"/>
              <w:ind w:left="48" w:leftChars="20" w:right="48" w:rightChars="20"/>
              <w:textAlignment w:val="auto"/>
              <w:outlineLvl w:val="0"/>
              <w:rPr>
                <w:rFonts w:hint="eastAsia" w:ascii="宋体" w:hAnsi="宋体"/>
                <w:bCs/>
                <w:color w:val="auto"/>
                <w:sz w:val="21"/>
                <w:szCs w:val="21"/>
              </w:rPr>
            </w:pPr>
            <w:r>
              <w:rPr>
                <w:rFonts w:hint="eastAsia" w:ascii="宋体" w:hAnsi="宋体"/>
                <w:bCs/>
                <w:color w:val="auto"/>
                <w:sz w:val="21"/>
                <w:szCs w:val="21"/>
              </w:rPr>
              <w:t>（6）因投诉属实取消</w:t>
            </w:r>
            <w:r>
              <w:rPr>
                <w:rFonts w:hint="eastAsia" w:ascii="宋体" w:hAnsi="宋体" w:cs="Times New Roman"/>
                <w:color w:val="auto"/>
                <w:sz w:val="21"/>
                <w:szCs w:val="21"/>
                <w:lang w:val="en-US"/>
              </w:rPr>
              <w:t>投标</w:t>
            </w:r>
            <w:r>
              <w:rPr>
                <w:rFonts w:hint="eastAsia" w:ascii="宋体" w:hAnsi="宋体"/>
                <w:bCs/>
                <w:color w:val="auto"/>
                <w:sz w:val="21"/>
                <w:szCs w:val="21"/>
              </w:rPr>
              <w:t>资格的；或</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jc w:val="both"/>
              <w:textAlignment w:val="auto"/>
              <w:rPr>
                <w:rFonts w:hint="eastAsia" w:ascii="宋体" w:hAnsi="宋体" w:cs="Times New Roman"/>
                <w:color w:val="auto"/>
                <w:sz w:val="21"/>
                <w:szCs w:val="21"/>
                <w:lang w:val="en-US"/>
              </w:rPr>
            </w:pPr>
            <w:r>
              <w:rPr>
                <w:rFonts w:hint="eastAsia" w:ascii="宋体" w:hAnsi="宋体"/>
                <w:bCs/>
                <w:color w:val="auto"/>
                <w:sz w:val="21"/>
                <w:szCs w:val="21"/>
              </w:rPr>
              <w:t>（7）其他违反规定、妨碍公平竞争准则的行为；</w:t>
            </w:r>
            <w:r>
              <w:rPr>
                <w:rFonts w:hint="eastAsia" w:ascii="宋体" w:hAnsi="宋体" w:cs="Times New Roman"/>
                <w:color w:val="auto"/>
                <w:sz w:val="21"/>
                <w:szCs w:val="21"/>
                <w:lang w:val="en-US"/>
              </w:rPr>
              <w:t>或</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jc w:val="both"/>
              <w:textAlignment w:val="auto"/>
              <w:rPr>
                <w:rFonts w:hint="default" w:ascii="宋体" w:hAnsi="宋体" w:cs="Times New Roman"/>
                <w:color w:val="auto"/>
                <w:sz w:val="21"/>
                <w:szCs w:val="21"/>
                <w:lang w:val="en-US"/>
              </w:rPr>
            </w:pPr>
            <w:r>
              <w:rPr>
                <w:rFonts w:hint="default" w:ascii="宋体" w:hAnsi="宋体" w:cs="Times New Roman"/>
                <w:color w:val="auto"/>
                <w:sz w:val="21"/>
                <w:szCs w:val="21"/>
                <w:lang w:val="en-US"/>
              </w:rPr>
              <w:t>……</w:t>
            </w:r>
          </w:p>
        </w:tc>
      </w:tr>
      <w:tr>
        <w:tblPrEx>
          <w:tblCellMar>
            <w:top w:w="0" w:type="dxa"/>
            <w:left w:w="0" w:type="dxa"/>
            <w:bottom w:w="0" w:type="dxa"/>
            <w:right w:w="0" w:type="dxa"/>
          </w:tblCellMar>
        </w:tblPrEx>
        <w:trPr>
          <w:gridAfter w:val="1"/>
          <w:wAfter w:w="9" w:type="dxa"/>
          <w:trHeight w:val="541"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default" w:ascii="宋体" w:hAnsi="宋体" w:eastAsia="宋体"/>
                <w:lang w:val="zh-CN" w:eastAsia="zh-CN"/>
              </w:rPr>
            </w:pPr>
            <w:r>
              <w:rPr>
                <w:rStyle w:val="333"/>
                <w:rFonts w:hint="eastAsia" w:ascii="宋体" w:hAnsi="宋体" w:eastAsia="宋体"/>
                <w:lang w:val="zh-CN" w:eastAsia="zh-CN"/>
              </w:rPr>
              <w:t>3.5</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资格审查资料的特殊要求</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□无</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□有，具体要求：</w:t>
            </w:r>
            <w:r>
              <w:rPr>
                <w:rFonts w:hint="eastAsia" w:hAnsi="宋体" w:cs="宋体"/>
                <w:sz w:val="21"/>
                <w:szCs w:val="21"/>
                <w:u w:val="single"/>
                <w:lang w:val="zh-CN" w:eastAsia="zh-CN"/>
              </w:rPr>
              <w:t xml:space="preserve">        </w:t>
            </w:r>
          </w:p>
        </w:tc>
      </w:tr>
      <w:tr>
        <w:tblPrEx>
          <w:tblCellMar>
            <w:top w:w="0" w:type="dxa"/>
            <w:left w:w="0" w:type="dxa"/>
            <w:bottom w:w="0" w:type="dxa"/>
            <w:right w:w="0" w:type="dxa"/>
          </w:tblCellMar>
        </w:tblPrEx>
        <w:trPr>
          <w:gridAfter w:val="1"/>
          <w:wAfter w:w="9" w:type="dxa"/>
          <w:trHeight w:val="807" w:hRule="exact"/>
        </w:trPr>
        <w:tc>
          <w:tcPr>
            <w:tcW w:w="9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default" w:ascii="宋体" w:hAnsi="宋体" w:eastAsia="宋体"/>
                <w:lang w:val="zh-CN" w:eastAsia="zh-CN"/>
              </w:rPr>
            </w:pPr>
            <w:r>
              <w:rPr>
                <w:rStyle w:val="333"/>
                <w:rFonts w:hint="eastAsia" w:ascii="宋体" w:hAnsi="宋体" w:eastAsia="宋体"/>
                <w:lang w:val="zh-CN" w:eastAsia="zh-CN"/>
              </w:rPr>
              <w:t>3.5.</w:t>
            </w:r>
            <w:r>
              <w:rPr>
                <w:rStyle w:val="333"/>
                <w:rFonts w:hint="default" w:ascii="宋体" w:hAnsi="宋体" w:eastAsia="宋体"/>
                <w:lang w:val="zh-CN" w:eastAsia="zh-CN"/>
              </w:rPr>
              <w:t>2</w:t>
            </w:r>
          </w:p>
        </w:tc>
        <w:tc>
          <w:tcPr>
            <w:tcW w:w="2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近年完成的类似项目情况的时间要求</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firstLine="140" w:firstLineChars="67"/>
              <w:jc w:val="both"/>
              <w:textAlignment w:val="auto"/>
              <w:rPr>
                <w:rFonts w:hint="eastAsia" w:ascii="宋体" w:hAnsi="宋体" w:eastAsia="宋体" w:cs="MingLiU"/>
                <w:sz w:val="21"/>
                <w:szCs w:val="21"/>
                <w:lang w:val="en-US" w:eastAsia="zh-CN"/>
              </w:rPr>
            </w:pPr>
            <w:r>
              <w:rPr>
                <w:rStyle w:val="480"/>
                <w:rFonts w:hint="eastAsia" w:ascii="宋体" w:hAnsi="宋体" w:eastAsia="宋体"/>
                <w:sz w:val="21"/>
                <w:szCs w:val="21"/>
                <w:u w:val="single"/>
                <w:lang w:val="zh-CN" w:eastAsia="zh-CN"/>
              </w:rPr>
              <w:t xml:space="preserve">    </w:t>
            </w:r>
            <w:r>
              <w:rPr>
                <w:rStyle w:val="480"/>
                <w:rFonts w:hint="default" w:ascii="宋体" w:hAnsi="宋体" w:eastAsia="宋体"/>
                <w:sz w:val="21"/>
                <w:szCs w:val="21"/>
                <w:u w:val="single"/>
                <w:lang w:val="zh-CN" w:eastAsia="zh-CN"/>
              </w:rPr>
              <w:t xml:space="preserve"> </w:t>
            </w:r>
            <w:r>
              <w:rPr>
                <w:rStyle w:val="480"/>
                <w:rFonts w:hint="default" w:ascii="宋体" w:hAnsi="宋体" w:eastAsia="宋体"/>
                <w:sz w:val="21"/>
                <w:szCs w:val="21"/>
                <w:lang w:val="zh-CN" w:eastAsia="zh-CN"/>
              </w:rPr>
              <w:t>年</w:t>
            </w:r>
            <w:r>
              <w:rPr>
                <w:rStyle w:val="480"/>
                <w:rFonts w:hint="eastAsia" w:ascii="宋体" w:hAnsi="宋体" w:eastAsia="宋体"/>
                <w:sz w:val="21"/>
                <w:szCs w:val="21"/>
                <w:u w:val="single"/>
                <w:lang w:val="en-US" w:eastAsia="zh-CN"/>
              </w:rPr>
              <w:t xml:space="preserve">   </w:t>
            </w:r>
            <w:r>
              <w:rPr>
                <w:rStyle w:val="480"/>
                <w:rFonts w:hint="eastAsia" w:ascii="宋体" w:hAnsi="宋体" w:eastAsia="宋体"/>
                <w:sz w:val="21"/>
                <w:szCs w:val="21"/>
                <w:lang w:val="zh-CN" w:eastAsia="zh-CN"/>
              </w:rPr>
              <w:t>月</w:t>
            </w:r>
            <w:r>
              <w:rPr>
                <w:rStyle w:val="480"/>
                <w:rFonts w:hint="eastAsia" w:ascii="宋体" w:hAnsi="宋体" w:eastAsia="宋体"/>
                <w:sz w:val="21"/>
                <w:szCs w:val="21"/>
                <w:u w:val="single"/>
                <w:lang w:val="zh-CN" w:eastAsia="zh-CN"/>
              </w:rPr>
              <w:t xml:space="preserve">   </w:t>
            </w:r>
            <w:r>
              <w:rPr>
                <w:rStyle w:val="480"/>
                <w:rFonts w:hint="eastAsia" w:ascii="宋体" w:hAnsi="宋体" w:eastAsia="宋体"/>
                <w:sz w:val="21"/>
                <w:szCs w:val="21"/>
                <w:lang w:val="zh-CN" w:eastAsia="zh-CN"/>
              </w:rPr>
              <w:t>日至</w:t>
            </w:r>
            <w:r>
              <w:rPr>
                <w:rStyle w:val="333"/>
                <w:rFonts w:hint="eastAsia" w:ascii="宋体" w:hAnsi="宋体" w:eastAsia="宋体"/>
                <w:sz w:val="21"/>
                <w:szCs w:val="21"/>
                <w:lang w:val="zh-CN" w:eastAsia="zh-CN"/>
              </w:rPr>
              <w:t>投标</w:t>
            </w:r>
            <w:r>
              <w:rPr>
                <w:rStyle w:val="333"/>
                <w:rFonts w:hint="eastAsia" w:ascii="宋体" w:hAnsi="宋体" w:eastAsia="宋体"/>
                <w:sz w:val="21"/>
                <w:szCs w:val="21"/>
                <w:lang w:val="en-US" w:eastAsia="zh-CN"/>
              </w:rPr>
              <w:t>文件递交截止之日止</w:t>
            </w:r>
            <w:r>
              <w:rPr>
                <w:rStyle w:val="480"/>
                <w:rFonts w:hint="eastAsia" w:ascii="宋体" w:hAnsi="宋体" w:eastAsia="宋体"/>
                <w:sz w:val="21"/>
                <w:szCs w:val="21"/>
                <w:lang w:val="zh-CN" w:eastAsia="zh-CN"/>
              </w:rPr>
              <w:t>，以</w:t>
            </w:r>
            <w:r>
              <w:rPr>
                <w:rStyle w:val="480"/>
                <w:rFonts w:hint="eastAsia" w:ascii="宋体" w:hAnsi="宋体" w:eastAsia="宋体"/>
                <w:sz w:val="21"/>
                <w:szCs w:val="21"/>
                <w:u w:val="single"/>
                <w:lang w:val="en-US" w:eastAsia="zh-CN"/>
              </w:rPr>
              <w:t>设计批复</w:t>
            </w:r>
            <w:r>
              <w:rPr>
                <w:rStyle w:val="101"/>
                <w:rFonts w:hint="eastAsia" w:ascii="宋体" w:hAnsi="宋体" w:eastAsia="宋体"/>
                <w:spacing w:val="0"/>
                <w:sz w:val="30"/>
                <w:szCs w:val="24"/>
                <w:u w:val="single"/>
                <w:lang w:val="zh-CN" w:eastAsia="zh-CN"/>
              </w:rPr>
              <w:footnoteReference w:id="30"/>
            </w:r>
            <w:r>
              <w:rPr>
                <w:rFonts w:hint="eastAsia" w:hAnsi="Times New Roman" w:eastAsia="宋体"/>
                <w:u w:val="single"/>
                <w:lang w:val="zh-CN" w:eastAsia="zh-CN"/>
              </w:rPr>
              <w:t>（</w:t>
            </w:r>
            <w:r>
              <w:rPr>
                <w:rFonts w:hint="eastAsia" w:hAnsi="Times New Roman" w:eastAsia="宋体"/>
                <w:sz w:val="21"/>
                <w:szCs w:val="21"/>
                <w:u w:val="single"/>
                <w:lang w:val="en-US" w:eastAsia="zh-CN"/>
              </w:rPr>
              <w:t>或勘察成果的完工证明</w:t>
            </w:r>
            <w:r>
              <w:rPr>
                <w:rStyle w:val="101"/>
                <w:rFonts w:hint="eastAsia" w:ascii="宋体" w:hAnsi="宋体" w:eastAsia="宋体"/>
                <w:spacing w:val="0"/>
                <w:sz w:val="30"/>
                <w:szCs w:val="24"/>
                <w:u w:val="single"/>
                <w:lang w:val="zh-CN" w:eastAsia="zh-CN"/>
              </w:rPr>
              <w:footnoteReference w:id="31"/>
            </w:r>
            <w:r>
              <w:rPr>
                <w:rFonts w:hint="eastAsia" w:hAnsi="Times New Roman" w:eastAsia="宋体"/>
                <w:lang w:val="zh-CN" w:eastAsia="zh-CN"/>
              </w:rPr>
              <w:t>）</w:t>
            </w:r>
            <w:r>
              <w:rPr>
                <w:rStyle w:val="480"/>
                <w:rFonts w:hint="eastAsia" w:ascii="宋体" w:hAnsi="宋体" w:eastAsia="宋体"/>
                <w:sz w:val="21"/>
                <w:szCs w:val="21"/>
                <w:lang w:val="zh-CN" w:eastAsia="zh-CN"/>
              </w:rPr>
              <w:t>的时间为准。</w:t>
            </w:r>
            <w:r>
              <w:rPr>
                <w:rStyle w:val="101"/>
                <w:rFonts w:hint="eastAsia" w:ascii="宋体" w:hAnsi="宋体" w:eastAsia="宋体"/>
                <w:spacing w:val="0"/>
                <w:sz w:val="30"/>
                <w:szCs w:val="24"/>
                <w:lang w:val="zh-CN" w:eastAsia="zh-CN"/>
              </w:rPr>
              <w:footnoteReference w:id="32"/>
            </w:r>
          </w:p>
        </w:tc>
      </w:tr>
      <w:tr>
        <w:tblPrEx>
          <w:tblCellMar>
            <w:top w:w="0" w:type="dxa"/>
            <w:left w:w="0" w:type="dxa"/>
            <w:bottom w:w="0" w:type="dxa"/>
            <w:right w:w="0" w:type="dxa"/>
          </w:tblCellMar>
        </w:tblPrEx>
        <w:trPr>
          <w:gridAfter w:val="1"/>
          <w:wAfter w:w="9" w:type="dxa"/>
          <w:trHeight w:val="719"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3.6.1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是否允许递交备选投标方案</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□不允许</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□允许</w:t>
            </w:r>
          </w:p>
        </w:tc>
      </w:tr>
      <w:tr>
        <w:tblPrEx>
          <w:tblCellMar>
            <w:top w:w="0" w:type="dxa"/>
            <w:left w:w="0" w:type="dxa"/>
            <w:bottom w:w="0" w:type="dxa"/>
            <w:right w:w="0" w:type="dxa"/>
          </w:tblCellMar>
        </w:tblPrEx>
        <w:trPr>
          <w:gridAfter w:val="1"/>
          <w:wAfter w:w="9" w:type="dxa"/>
          <w:trHeight w:val="1645"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3.7.4</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投标文件副本份数及其他要求</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Fonts w:hint="eastAsia" w:ascii="宋体" w:hAnsi="宋体" w:eastAsia="宋体" w:cs="MingLiU"/>
                <w:sz w:val="21"/>
                <w:szCs w:val="21"/>
                <w:lang w:val="en-US" w:eastAsia="zh-CN"/>
              </w:rPr>
              <w:t>投标文件副本份数：</w:t>
            </w:r>
            <w:r>
              <w:rPr>
                <w:rFonts w:hint="default" w:ascii="宋体" w:hAnsi="宋体" w:eastAsia="宋体" w:cs="MingLiU"/>
                <w:sz w:val="21"/>
                <w:szCs w:val="21"/>
                <w:u w:val="single"/>
                <w:lang w:val="en-US" w:eastAsia="zh-CN"/>
              </w:rPr>
              <w:t xml:space="preserve">  </w:t>
            </w:r>
            <w:r>
              <w:rPr>
                <w:rFonts w:hint="eastAsia" w:ascii="宋体" w:hAnsi="宋体" w:eastAsia="宋体" w:cs="MingLiU"/>
                <w:sz w:val="21"/>
                <w:szCs w:val="21"/>
                <w:lang w:val="en-US" w:eastAsia="zh-CN"/>
              </w:rPr>
              <w:t>份</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eastAsia" w:ascii="宋体" w:hAnsi="宋体" w:eastAsia="宋体" w:cs="MingLiU"/>
                <w:sz w:val="21"/>
                <w:szCs w:val="21"/>
                <w:lang w:val="en-US" w:eastAsia="zh-CN"/>
              </w:rPr>
            </w:pPr>
            <w:r>
              <w:rPr>
                <w:rFonts w:hint="eastAsia" w:ascii="宋体" w:hAnsi="宋体" w:eastAsia="宋体" w:cs="MingLiU"/>
                <w:sz w:val="21"/>
                <w:szCs w:val="21"/>
                <w:lang w:val="en-US" w:eastAsia="zh-CN"/>
              </w:rPr>
              <w:t>是否要求提交电子版文件：是，1份电子文件</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eastAsia" w:ascii="宋体" w:hAnsi="宋体" w:eastAsia="宋体" w:cs="MingLiU"/>
                <w:sz w:val="21"/>
                <w:szCs w:val="21"/>
                <w:lang w:val="en-US" w:eastAsia="zh-CN"/>
              </w:rPr>
            </w:pPr>
            <w:r>
              <w:rPr>
                <w:rFonts w:hint="eastAsia" w:ascii="宋体" w:hAnsi="宋体" w:eastAsia="宋体" w:cs="MingLiU"/>
                <w:sz w:val="21"/>
                <w:szCs w:val="21"/>
                <w:lang w:val="en-US" w:eastAsia="zh-CN"/>
              </w:rPr>
              <w:t>其他要求：副本可以为正本的复印件。</w:t>
            </w:r>
            <w:r>
              <w:rPr>
                <w:rFonts w:hint="eastAsia" w:ascii="宋体" w:hAnsi="宋体" w:eastAsia="宋体" w:cs="宋体"/>
                <w:sz w:val="21"/>
                <w:szCs w:val="21"/>
                <w:u w:val="single"/>
                <w:lang w:val="en-US" w:eastAsia="zh-CN"/>
              </w:rPr>
              <w:t>电子文件以P</w:t>
            </w:r>
            <w:r>
              <w:rPr>
                <w:rFonts w:hint="default" w:ascii="宋体" w:hAnsi="宋体" w:eastAsia="宋体" w:cs="宋体"/>
                <w:sz w:val="21"/>
                <w:szCs w:val="21"/>
                <w:u w:val="single"/>
                <w:lang w:val="en-US" w:eastAsia="zh-CN"/>
              </w:rPr>
              <w:t>DF</w:t>
            </w:r>
            <w:r>
              <w:rPr>
                <w:rFonts w:hint="eastAsia" w:ascii="宋体" w:hAnsi="宋体" w:eastAsia="宋体" w:cs="宋体"/>
                <w:sz w:val="21"/>
                <w:szCs w:val="21"/>
                <w:u w:val="single"/>
                <w:lang w:val="en-US" w:eastAsia="zh-CN"/>
              </w:rPr>
              <w:t>格式和word或excel格式拷贝至投标人自备的U盘中密封在第二个信封（报价文件）中</w:t>
            </w:r>
            <w:r>
              <w:rPr>
                <w:rFonts w:hint="eastAsia" w:ascii="宋体" w:hAnsi="宋体" w:eastAsia="宋体" w:cs="MingLiU"/>
                <w:sz w:val="21"/>
                <w:szCs w:val="21"/>
                <w:lang w:val="en-US" w:eastAsia="zh-CN"/>
              </w:rPr>
              <w:t>。</w:t>
            </w:r>
          </w:p>
        </w:tc>
      </w:tr>
      <w:tr>
        <w:tblPrEx>
          <w:tblCellMar>
            <w:top w:w="0" w:type="dxa"/>
            <w:left w:w="0" w:type="dxa"/>
            <w:bottom w:w="0" w:type="dxa"/>
            <w:right w:w="0" w:type="dxa"/>
          </w:tblCellMar>
        </w:tblPrEx>
        <w:trPr>
          <w:gridAfter w:val="1"/>
          <w:wAfter w:w="9" w:type="dxa"/>
          <w:trHeight w:val="564"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3.7.5</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装订的其他要求</w:t>
            </w:r>
          </w:p>
        </w:tc>
        <w:tc>
          <w:tcPr>
            <w:tcW w:w="5700" w:type="dxa"/>
            <w:tcBorders>
              <w:top w:val="single" w:color="auto" w:sz="4" w:space="0"/>
              <w:left w:val="single" w:color="auto" w:sz="4" w:space="0"/>
              <w:bottom w:val="nil"/>
              <w:right w:val="single" w:color="auto" w:sz="4" w:space="0"/>
            </w:tcBorders>
            <w:shd w:val="clear" w:color="auto" w:fill="FFFFFF"/>
            <w:noWrap w:val="0"/>
            <w:vAlign w:val="top"/>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p>
        </w:tc>
      </w:tr>
      <w:tr>
        <w:tblPrEx>
          <w:tblCellMar>
            <w:top w:w="0" w:type="dxa"/>
            <w:left w:w="0" w:type="dxa"/>
            <w:bottom w:w="0" w:type="dxa"/>
            <w:right w:w="0" w:type="dxa"/>
          </w:tblCellMar>
        </w:tblPrEx>
        <w:trPr>
          <w:gridAfter w:val="1"/>
          <w:wAfter w:w="9" w:type="dxa"/>
          <w:trHeight w:val="6403" w:hRule="exact"/>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4.1.2</w:t>
            </w:r>
            <w:r>
              <w:rPr>
                <w:rStyle w:val="245"/>
                <w:rFonts w:hint="eastAsia" w:ascii="宋体" w:hAnsi="宋体" w:eastAsia="宋体"/>
                <w:sz w:val="21"/>
                <w:szCs w:val="21"/>
                <w:lang w:eastAsia="zh-CN"/>
              </w:rPr>
              <w:t xml:space="preserve"> </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封套上应载明的信息</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b/>
                <w:sz w:val="21"/>
                <w:szCs w:val="21"/>
                <w:lang w:val="zh-CN" w:eastAsia="zh-CN"/>
              </w:rPr>
            </w:pPr>
            <w:r>
              <w:rPr>
                <w:rStyle w:val="480"/>
                <w:rFonts w:hint="eastAsia" w:ascii="宋体" w:hAnsi="宋体" w:eastAsia="宋体"/>
                <w:b/>
                <w:sz w:val="21"/>
                <w:szCs w:val="21"/>
                <w:lang w:val="zh-CN" w:eastAsia="zh-CN"/>
              </w:rPr>
              <w:t>投标文件第一个信封（商务及技术文件）封套：</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招标人名称：</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招标人地址：</w:t>
            </w:r>
            <w:r>
              <w:rPr>
                <w:rStyle w:val="480"/>
                <w:rFonts w:hint="eastAsia" w:ascii="宋体" w:hAnsi="宋体" w:eastAsia="宋体"/>
                <w:sz w:val="21"/>
                <w:szCs w:val="21"/>
                <w:u w:val="single"/>
                <w:lang w:val="zh-CN" w:eastAsia="zh-CN"/>
              </w:rPr>
              <w:t xml:space="preserve">                   </w:t>
            </w:r>
            <w:r>
              <w:rPr>
                <w:rStyle w:val="480"/>
                <w:rFonts w:hint="eastAsia" w:ascii="宋体" w:hAnsi="宋体" w:eastAsia="宋体"/>
                <w:sz w:val="21"/>
                <w:szCs w:val="21"/>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u w:val="single"/>
                <w:lang w:val="en-US" w:eastAsia="zh-CN"/>
              </w:rPr>
              <w:t xml:space="preserve">                   </w:t>
            </w:r>
            <w:r>
              <w:rPr>
                <w:rStyle w:val="480"/>
                <w:rFonts w:hint="default" w:ascii="宋体" w:hAnsi="宋体" w:eastAsia="宋体"/>
                <w:sz w:val="21"/>
                <w:szCs w:val="21"/>
                <w:lang w:val="zh-CN" w:eastAsia="zh-CN"/>
              </w:rPr>
              <w:t xml:space="preserve"> (</w:t>
            </w:r>
            <w:r>
              <w:rPr>
                <w:rStyle w:val="480"/>
                <w:rFonts w:hint="eastAsia" w:ascii="宋体" w:hAnsi="宋体" w:eastAsia="宋体"/>
                <w:sz w:val="21"/>
                <w:szCs w:val="21"/>
                <w:lang w:val="zh-CN" w:eastAsia="zh-CN"/>
              </w:rPr>
              <w:t>项目名称）</w:t>
            </w:r>
            <w:r>
              <w:rPr>
                <w:rStyle w:val="480"/>
                <w:rFonts w:hint="eastAsia" w:ascii="宋体" w:hAnsi="宋体" w:eastAsia="宋体"/>
                <w:sz w:val="21"/>
                <w:szCs w:val="21"/>
                <w:u w:val="single"/>
                <w:lang w:val="zh-CN" w:eastAsia="zh-CN"/>
              </w:rPr>
              <w:t xml:space="preserve">    标类（或标段）</w:t>
            </w:r>
            <w:r>
              <w:rPr>
                <w:rStyle w:val="480"/>
                <w:rFonts w:hint="eastAsia" w:ascii="宋体" w:hAnsi="宋体" w:eastAsia="宋体"/>
                <w:sz w:val="21"/>
                <w:szCs w:val="21"/>
                <w:lang w:val="en-US" w:eastAsia="zh-CN"/>
              </w:rPr>
              <w:t>勘察设计</w:t>
            </w:r>
            <w:r>
              <w:rPr>
                <w:rStyle w:val="480"/>
                <w:rFonts w:hint="eastAsia" w:ascii="宋体" w:hAnsi="宋体" w:eastAsia="宋体"/>
                <w:sz w:val="21"/>
                <w:szCs w:val="21"/>
                <w:lang w:val="zh-CN" w:eastAsia="zh-CN"/>
              </w:rPr>
              <w:t>招标第一个信封</w:t>
            </w:r>
            <w:r>
              <w:rPr>
                <w:rStyle w:val="480"/>
                <w:rFonts w:hint="default" w:ascii="宋体" w:hAnsi="宋体" w:eastAsia="宋体"/>
                <w:sz w:val="21"/>
                <w:szCs w:val="21"/>
                <w:lang w:val="zh-CN" w:eastAsia="zh-CN"/>
              </w:rPr>
              <w:t xml:space="preserve"> (</w:t>
            </w:r>
            <w:r>
              <w:rPr>
                <w:rStyle w:val="480"/>
                <w:rFonts w:hint="eastAsia" w:ascii="宋体" w:hAnsi="宋体" w:eastAsia="宋体"/>
                <w:sz w:val="21"/>
                <w:szCs w:val="21"/>
                <w:lang w:val="zh-CN" w:eastAsia="zh-CN"/>
              </w:rPr>
              <w:t>商务及技术文件）投标文件</w:t>
            </w:r>
            <w:r>
              <w:rPr>
                <w:rStyle w:val="480"/>
                <w:rFonts w:hint="default" w:ascii="宋体" w:hAnsi="宋体" w:eastAsia="宋体"/>
                <w:sz w:val="21"/>
                <w:szCs w:val="21"/>
                <w:lang w:val="zh-CN"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181"/>
                <w:rFonts w:hint="eastAsia" w:ascii="宋体" w:hAnsi="宋体" w:eastAsia="宋体"/>
                <w:sz w:val="21"/>
                <w:szCs w:val="21"/>
                <w:lang w:val="zh-CN" w:eastAsia="zh-CN"/>
              </w:rPr>
            </w:pPr>
            <w:r>
              <w:rPr>
                <w:rStyle w:val="480"/>
                <w:rFonts w:hint="eastAsia" w:ascii="宋体" w:hAnsi="宋体" w:eastAsia="宋体"/>
                <w:sz w:val="21"/>
                <w:szCs w:val="21"/>
                <w:lang w:val="zh-CN" w:eastAsia="zh-CN"/>
              </w:rPr>
              <w:t>在</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lang w:val="zh-CN" w:eastAsia="zh-CN"/>
              </w:rPr>
              <w:t>年</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lang w:val="zh-CN" w:eastAsia="zh-CN"/>
              </w:rPr>
              <w:t>月</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lang w:val="zh-CN" w:eastAsia="zh-CN"/>
              </w:rPr>
              <w:t>日</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lang w:val="zh-CN" w:eastAsia="zh-CN"/>
              </w:rPr>
              <w:t>时</w:t>
            </w:r>
            <w:r>
              <w:rPr>
                <w:rStyle w:val="333"/>
                <w:rFonts w:hint="eastAsia" w:ascii="宋体" w:hAnsi="宋体" w:eastAsia="宋体"/>
                <w:sz w:val="21"/>
                <w:szCs w:val="21"/>
                <w:u w:val="single"/>
                <w:lang w:val="en-US" w:eastAsia="zh-CN"/>
              </w:rPr>
              <w:t xml:space="preserve">   </w:t>
            </w:r>
            <w:r>
              <w:rPr>
                <w:rStyle w:val="333"/>
                <w:rFonts w:hint="eastAsia" w:ascii="宋体" w:hAnsi="宋体" w:eastAsia="宋体"/>
                <w:sz w:val="21"/>
                <w:szCs w:val="21"/>
                <w:lang w:val="zh-CN" w:eastAsia="zh-CN"/>
              </w:rPr>
              <w:t>分前不得开启</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投标人名称：</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b/>
                <w:sz w:val="21"/>
                <w:szCs w:val="21"/>
                <w:lang w:val="en-US" w:eastAsia="zh-CN"/>
              </w:rPr>
            </w:pPr>
            <w:r>
              <w:rPr>
                <w:rStyle w:val="480"/>
                <w:rFonts w:hint="eastAsia" w:ascii="宋体" w:hAnsi="宋体" w:eastAsia="宋体"/>
                <w:b/>
                <w:sz w:val="21"/>
                <w:szCs w:val="21"/>
                <w:lang w:val="zh-CN" w:eastAsia="zh-CN"/>
              </w:rPr>
              <w:t>投标文件第二个信封（报价文件）封套：</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招标人名称：</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招标人地址：</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u w:val="single"/>
                <w:lang w:val="en-US" w:eastAsia="zh-CN"/>
              </w:rPr>
              <w:t xml:space="preserve">                   </w:t>
            </w:r>
            <w:r>
              <w:rPr>
                <w:rStyle w:val="480"/>
                <w:rFonts w:hint="default" w:ascii="宋体" w:hAnsi="宋体" w:eastAsia="宋体"/>
                <w:sz w:val="21"/>
                <w:szCs w:val="21"/>
                <w:lang w:val="zh-CN" w:eastAsia="zh-CN"/>
              </w:rPr>
              <w:t xml:space="preserve"> (</w:t>
            </w:r>
            <w:r>
              <w:rPr>
                <w:rStyle w:val="480"/>
                <w:rFonts w:hint="eastAsia" w:ascii="宋体" w:hAnsi="宋体" w:eastAsia="宋体"/>
                <w:sz w:val="21"/>
                <w:szCs w:val="21"/>
                <w:lang w:val="zh-CN" w:eastAsia="zh-CN"/>
              </w:rPr>
              <w:t>项目名称）</w:t>
            </w:r>
            <w:r>
              <w:rPr>
                <w:rStyle w:val="480"/>
                <w:rFonts w:hint="eastAsia" w:ascii="宋体" w:hAnsi="宋体" w:eastAsia="宋体"/>
                <w:sz w:val="21"/>
                <w:szCs w:val="21"/>
                <w:u w:val="single"/>
                <w:lang w:val="zh-CN" w:eastAsia="zh-CN"/>
              </w:rPr>
              <w:t xml:space="preserve">    标类（或标段）</w:t>
            </w:r>
            <w:r>
              <w:rPr>
                <w:rStyle w:val="480"/>
                <w:rFonts w:hint="eastAsia" w:ascii="宋体" w:hAnsi="宋体" w:eastAsia="宋体"/>
                <w:sz w:val="21"/>
                <w:szCs w:val="21"/>
                <w:lang w:val="en-US" w:eastAsia="zh-CN"/>
              </w:rPr>
              <w:t>勘察设计</w:t>
            </w:r>
            <w:r>
              <w:rPr>
                <w:rStyle w:val="480"/>
                <w:rFonts w:hint="eastAsia" w:ascii="宋体" w:hAnsi="宋体" w:eastAsia="宋体"/>
                <w:sz w:val="21"/>
                <w:szCs w:val="21"/>
                <w:lang w:val="zh-CN" w:eastAsia="zh-CN"/>
              </w:rPr>
              <w:t>招标第二个信封</w:t>
            </w:r>
            <w:r>
              <w:rPr>
                <w:rStyle w:val="480"/>
                <w:rFonts w:hint="default" w:ascii="宋体" w:hAnsi="宋体" w:eastAsia="宋体"/>
                <w:sz w:val="21"/>
                <w:szCs w:val="21"/>
                <w:lang w:val="zh-CN" w:eastAsia="zh-CN"/>
              </w:rPr>
              <w:t xml:space="preserve"> (</w:t>
            </w:r>
            <w:r>
              <w:rPr>
                <w:rStyle w:val="480"/>
                <w:rFonts w:hint="eastAsia" w:ascii="宋体" w:hAnsi="宋体" w:eastAsia="宋体"/>
                <w:sz w:val="21"/>
                <w:szCs w:val="21"/>
                <w:lang w:val="zh-CN" w:eastAsia="zh-CN"/>
              </w:rPr>
              <w:t>报价文件）投标文件</w:t>
            </w:r>
            <w:r>
              <w:rPr>
                <w:rStyle w:val="480"/>
                <w:rFonts w:hint="default" w:ascii="宋体" w:hAnsi="宋体" w:eastAsia="宋体"/>
                <w:sz w:val="21"/>
                <w:szCs w:val="21"/>
                <w:lang w:val="zh-CN"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在投标文件第二个信封（报价文件）开标前不得开启</w:t>
            </w:r>
            <w:r>
              <w:rPr>
                <w:rStyle w:val="480"/>
                <w:rFonts w:hint="default" w:ascii="宋体" w:hAnsi="宋体" w:eastAsia="宋体"/>
                <w:sz w:val="21"/>
                <w:szCs w:val="21"/>
                <w:lang w:val="zh-CN"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投标人名称：</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sz w:val="21"/>
                <w:szCs w:val="21"/>
                <w:u w:val="single"/>
                <w:lang w:val="en-US" w:eastAsia="zh-CN"/>
              </w:rPr>
            </w:pPr>
            <w:r>
              <w:rPr>
                <w:rStyle w:val="333"/>
                <w:rFonts w:hint="eastAsia" w:ascii="宋体" w:hAnsi="Times New Roman" w:eastAsia="宋体"/>
                <w:sz w:val="21"/>
                <w:szCs w:val="21"/>
                <w:lang w:val="zh-CN" w:eastAsia="zh-CN"/>
              </w:rPr>
              <w:t>投标人地址：</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eastAsia" w:ascii="宋体" w:hAnsi="宋体" w:eastAsia="宋体"/>
                <w:b/>
                <w:sz w:val="21"/>
                <w:szCs w:val="21"/>
                <w:lang w:val="zh-CN" w:eastAsia="zh-CN"/>
              </w:rPr>
            </w:pP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b/>
                <w:sz w:val="21"/>
                <w:szCs w:val="21"/>
                <w:lang w:val="en-US" w:eastAsia="zh-CN"/>
              </w:rPr>
            </w:pPr>
            <w:r>
              <w:rPr>
                <w:rStyle w:val="480"/>
                <w:rFonts w:hint="eastAsia" w:ascii="宋体" w:hAnsi="宋体" w:eastAsia="宋体"/>
                <w:b/>
                <w:sz w:val="21"/>
                <w:szCs w:val="21"/>
                <w:lang w:val="zh-CN" w:eastAsia="zh-CN"/>
              </w:rPr>
              <w:t>银行保函（或其他形式投标保证金凭证）封套</w:t>
            </w:r>
            <w:r>
              <w:rPr>
                <w:rFonts w:hint="eastAsia" w:ascii="宋体" w:hAnsi="宋体" w:eastAsia="宋体" w:cs="宋体"/>
                <w:sz w:val="21"/>
                <w:szCs w:val="21"/>
                <w:lang w:val="zh-CN" w:eastAsia="zh-CN"/>
              </w:rPr>
              <w:t>（如有）</w:t>
            </w:r>
            <w:r>
              <w:rPr>
                <w:rStyle w:val="333"/>
                <w:rFonts w:hint="eastAsia" w:ascii="宋体" w:hAnsi="宋体" w:eastAsia="宋体"/>
                <w:b/>
                <w:sz w:val="21"/>
                <w:szCs w:val="21"/>
                <w:lang w:val="zh-CN" w:eastAsia="zh-CN"/>
              </w:rPr>
              <w:t>：</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招标人名称：</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招标人地址：</w:t>
            </w:r>
            <w:r>
              <w:rPr>
                <w:rStyle w:val="480"/>
                <w:rFonts w:hint="eastAsia" w:ascii="宋体" w:hAnsi="宋体" w:eastAsia="宋体"/>
                <w:sz w:val="21"/>
                <w:szCs w:val="21"/>
                <w:u w:val="single"/>
                <w:lang w:val="en-US" w:eastAsia="zh-CN"/>
              </w:rPr>
              <w:t xml:space="preserve">                   </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u w:val="single"/>
                <w:lang w:val="en-US" w:eastAsia="zh-CN"/>
              </w:rPr>
              <w:t xml:space="preserve">                   </w:t>
            </w:r>
            <w:r>
              <w:rPr>
                <w:rStyle w:val="480"/>
                <w:rFonts w:hint="default" w:ascii="宋体" w:hAnsi="宋体" w:eastAsia="宋体"/>
                <w:sz w:val="21"/>
                <w:szCs w:val="21"/>
                <w:lang w:val="zh-CN" w:eastAsia="zh-CN"/>
              </w:rPr>
              <w:t xml:space="preserve"> (</w:t>
            </w:r>
            <w:r>
              <w:rPr>
                <w:rStyle w:val="480"/>
                <w:rFonts w:hint="eastAsia" w:ascii="宋体" w:hAnsi="宋体" w:eastAsia="宋体"/>
                <w:sz w:val="21"/>
                <w:szCs w:val="21"/>
                <w:lang w:val="zh-CN" w:eastAsia="zh-CN"/>
              </w:rPr>
              <w:t>项目名称）</w:t>
            </w:r>
            <w:r>
              <w:rPr>
                <w:rStyle w:val="480"/>
                <w:rFonts w:hint="eastAsia" w:ascii="宋体" w:hAnsi="宋体" w:eastAsia="宋体"/>
                <w:sz w:val="21"/>
                <w:szCs w:val="21"/>
                <w:u w:val="single"/>
                <w:lang w:val="zh-CN" w:eastAsia="zh-CN"/>
              </w:rPr>
              <w:t xml:space="preserve">    标类（或标段）</w:t>
            </w:r>
            <w:r>
              <w:rPr>
                <w:rStyle w:val="480"/>
                <w:rFonts w:hint="eastAsia" w:ascii="宋体" w:hAnsi="宋体" w:eastAsia="宋体"/>
                <w:sz w:val="21"/>
                <w:szCs w:val="21"/>
                <w:lang w:val="en-US" w:eastAsia="zh-CN"/>
              </w:rPr>
              <w:t>勘察设计</w:t>
            </w:r>
            <w:r>
              <w:rPr>
                <w:rStyle w:val="480"/>
                <w:rFonts w:hint="eastAsia" w:ascii="宋体" w:hAnsi="宋体" w:eastAsia="宋体"/>
                <w:sz w:val="21"/>
                <w:szCs w:val="21"/>
                <w:lang w:val="zh-CN" w:eastAsia="zh-CN"/>
              </w:rPr>
              <w:t>招标投标保证金</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投标人名称：</w:t>
            </w:r>
            <w:r>
              <w:rPr>
                <w:rStyle w:val="480"/>
                <w:rFonts w:hint="eastAsia" w:ascii="宋体" w:hAnsi="宋体" w:eastAsia="宋体"/>
                <w:sz w:val="21"/>
                <w:szCs w:val="21"/>
                <w:u w:val="single"/>
                <w:lang w:val="en-US" w:eastAsia="zh-CN"/>
              </w:rPr>
              <w:t xml:space="preserve">                   </w:t>
            </w:r>
          </w:p>
        </w:tc>
      </w:tr>
      <w:tr>
        <w:tblPrEx>
          <w:tblCellMar>
            <w:top w:w="0" w:type="dxa"/>
            <w:left w:w="0" w:type="dxa"/>
            <w:bottom w:w="0" w:type="dxa"/>
            <w:right w:w="0" w:type="dxa"/>
          </w:tblCellMar>
        </w:tblPrEx>
        <w:trPr>
          <w:gridAfter w:val="1"/>
          <w:wAfter w:w="9" w:type="dxa"/>
          <w:trHeight w:val="563" w:hRule="exact"/>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55"/>
                <w:rFonts w:hint="default" w:ascii="宋体" w:hAnsi="宋体" w:eastAsia="宋体"/>
                <w:sz w:val="21"/>
                <w:szCs w:val="21"/>
                <w:lang w:val="en-US" w:eastAsia="zh-CN"/>
              </w:rPr>
            </w:pPr>
            <w:r>
              <w:rPr>
                <w:rStyle w:val="455"/>
                <w:rFonts w:hint="default" w:ascii="宋体" w:hAnsi="宋体" w:eastAsia="宋体"/>
                <w:sz w:val="21"/>
                <w:szCs w:val="21"/>
              </w:rPr>
              <w:t>4.2.3</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是否退还投标文件</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zh-CN" w:eastAsia="zh-CN"/>
              </w:rPr>
            </w:pPr>
            <w:r>
              <w:rPr>
                <w:rStyle w:val="480"/>
                <w:rFonts w:hint="eastAsia" w:ascii="宋体" w:hAnsi="宋体" w:eastAsia="宋体"/>
                <w:sz w:val="21"/>
                <w:szCs w:val="21"/>
                <w:lang w:val="zh-CN" w:eastAsia="zh-CN"/>
              </w:rPr>
              <w:t>□否</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480"/>
                <w:rFonts w:hint="default" w:ascii="宋体" w:hAnsi="宋体" w:eastAsia="宋体"/>
                <w:sz w:val="21"/>
                <w:szCs w:val="21"/>
                <w:lang w:val="en-US" w:eastAsia="zh-CN"/>
              </w:rPr>
            </w:pPr>
            <w:r>
              <w:rPr>
                <w:rStyle w:val="480"/>
                <w:rFonts w:hint="eastAsia" w:ascii="宋体" w:hAnsi="宋体" w:eastAsia="宋体"/>
                <w:sz w:val="21"/>
                <w:szCs w:val="21"/>
                <w:lang w:val="zh-CN" w:eastAsia="zh-CN"/>
              </w:rPr>
              <w:t>□是，退还时间：</w:t>
            </w:r>
          </w:p>
        </w:tc>
      </w:tr>
      <w:tr>
        <w:tblPrEx>
          <w:tblCellMar>
            <w:top w:w="0" w:type="dxa"/>
            <w:left w:w="0" w:type="dxa"/>
            <w:bottom w:w="0" w:type="dxa"/>
            <w:right w:w="0" w:type="dxa"/>
          </w:tblCellMar>
        </w:tblPrEx>
        <w:trPr>
          <w:gridAfter w:val="1"/>
          <w:wAfter w:w="9" w:type="dxa"/>
          <w:trHeight w:val="2842" w:hRule="exact"/>
        </w:trPr>
        <w:tc>
          <w:tcPr>
            <w:tcW w:w="9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Style w:val="455"/>
                <w:rFonts w:hint="default" w:ascii="宋体" w:hAnsi="宋体" w:eastAsia="宋体"/>
                <w:color w:val="auto"/>
                <w:sz w:val="21"/>
                <w:szCs w:val="21"/>
                <w:lang w:val="en-US" w:bidi="ar-SA"/>
              </w:rPr>
            </w:pPr>
            <w:r>
              <w:rPr>
                <w:rStyle w:val="455"/>
                <w:rFonts w:hint="eastAsia" w:ascii="宋体" w:hAnsi="宋体" w:eastAsia="宋体"/>
                <w:color w:val="auto"/>
                <w:sz w:val="21"/>
                <w:szCs w:val="21"/>
                <w:lang w:bidi="ar-SA"/>
              </w:rPr>
              <w:t>5.1</w:t>
            </w:r>
          </w:p>
        </w:tc>
        <w:tc>
          <w:tcPr>
            <w:tcW w:w="2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firstLine="210" w:firstLineChars="100"/>
              <w:rPr>
                <w:rStyle w:val="333"/>
                <w:rFonts w:hint="default" w:ascii="宋体" w:hAnsi="宋体" w:eastAsia="宋体"/>
                <w:sz w:val="21"/>
                <w:szCs w:val="21"/>
              </w:rPr>
            </w:pPr>
            <w:r>
              <w:rPr>
                <w:rStyle w:val="333"/>
                <w:rFonts w:hint="eastAsia" w:ascii="宋体" w:hAnsi="宋体" w:eastAsia="宋体"/>
                <w:sz w:val="21"/>
                <w:szCs w:val="21"/>
              </w:rPr>
              <w:t>开标时间和地点</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Style w:val="333"/>
                <w:rFonts w:hint="default" w:ascii="宋体" w:hAnsi="宋体" w:eastAsia="宋体"/>
                <w:sz w:val="21"/>
                <w:szCs w:val="21"/>
              </w:rPr>
            </w:pPr>
            <w:r>
              <w:rPr>
                <w:rStyle w:val="333"/>
                <w:rFonts w:hint="eastAsia" w:ascii="宋体" w:hAnsi="宋体" w:eastAsia="宋体"/>
                <w:sz w:val="21"/>
                <w:szCs w:val="21"/>
              </w:rPr>
              <w:t>投标文件第一个信封（商务及技术文件）开标时间：同投标截止时间</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Style w:val="333"/>
                <w:rFonts w:hint="default" w:ascii="宋体" w:hAnsi="宋体" w:eastAsia="宋体"/>
                <w:sz w:val="21"/>
                <w:szCs w:val="21"/>
              </w:rPr>
            </w:pPr>
            <w:r>
              <w:rPr>
                <w:rStyle w:val="333"/>
                <w:rFonts w:hint="eastAsia" w:ascii="宋体" w:hAnsi="宋体" w:eastAsia="宋体"/>
                <w:sz w:val="21"/>
                <w:szCs w:val="21"/>
              </w:rPr>
              <w:t>投标文件第一个信封（商务及技术文件）开标地点：同递交投标文件地点</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Style w:val="333"/>
                <w:rFonts w:hint="default" w:ascii="宋体" w:hAnsi="宋体" w:eastAsia="宋体"/>
                <w:sz w:val="21"/>
                <w:szCs w:val="21"/>
              </w:rPr>
            </w:pPr>
            <w:r>
              <w:rPr>
                <w:rStyle w:val="333"/>
                <w:rFonts w:hint="eastAsia" w:ascii="宋体" w:hAnsi="宋体" w:eastAsia="宋体"/>
                <w:sz w:val="21"/>
                <w:szCs w:val="21"/>
              </w:rPr>
              <w:t>投标文件第二个信封（报价文件）开标时间：</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Style w:val="333"/>
                <w:rFonts w:hint="default" w:ascii="宋体" w:hAnsi="宋体" w:eastAsia="宋体"/>
                <w:sz w:val="21"/>
                <w:szCs w:val="21"/>
              </w:rPr>
            </w:pPr>
            <w:r>
              <w:rPr>
                <w:rStyle w:val="333"/>
                <w:rFonts w:hint="eastAsia" w:ascii="宋体" w:hAnsi="宋体" w:eastAsia="宋体"/>
                <w:sz w:val="21"/>
                <w:szCs w:val="21"/>
                <w:u w:val="single"/>
              </w:rPr>
              <w:t>第一个信封（商务及技术文件）评审结束后，另行通知</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Style w:val="333"/>
                <w:rFonts w:hint="default" w:ascii="宋体" w:hAnsi="宋体" w:eastAsia="宋体"/>
                <w:sz w:val="21"/>
                <w:szCs w:val="21"/>
              </w:rPr>
            </w:pPr>
            <w:r>
              <w:rPr>
                <w:rStyle w:val="333"/>
                <w:rFonts w:hint="eastAsia" w:ascii="宋体" w:hAnsi="宋体" w:eastAsia="宋体"/>
                <w:sz w:val="21"/>
                <w:szCs w:val="21"/>
              </w:rPr>
              <w:t>投标文件第二个信封（报价文件）开标地点：</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Style w:val="333"/>
                <w:rFonts w:hint="default" w:ascii="宋体" w:hAnsi="宋体" w:eastAsia="宋体"/>
                <w:sz w:val="21"/>
                <w:szCs w:val="21"/>
              </w:rPr>
            </w:pPr>
            <w:r>
              <w:rPr>
                <w:rStyle w:val="333"/>
                <w:rFonts w:hint="eastAsia" w:ascii="宋体" w:hAnsi="宋体" w:eastAsia="宋体"/>
                <w:sz w:val="21"/>
                <w:szCs w:val="21"/>
                <w:u w:val="single"/>
              </w:rPr>
              <w:t>同递交投标文件地点</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55"/>
                <w:rFonts w:hint="default" w:ascii="宋体" w:hAnsi="宋体" w:eastAsia="宋体"/>
                <w:sz w:val="21"/>
                <w:szCs w:val="21"/>
                <w:lang w:val="en-US" w:eastAsia="zh-CN"/>
              </w:rPr>
            </w:pPr>
            <w:r>
              <w:rPr>
                <w:rStyle w:val="455"/>
                <w:rFonts w:hint="default" w:ascii="宋体" w:hAnsi="宋体" w:eastAsia="宋体"/>
                <w:sz w:val="21"/>
                <w:szCs w:val="21"/>
              </w:rPr>
              <w:t>5.2.1</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lang w:val="en-US" w:eastAsia="zh-CN"/>
              </w:rPr>
            </w:pPr>
            <w:r>
              <w:rPr>
                <w:rStyle w:val="480"/>
                <w:rFonts w:hint="eastAsia" w:ascii="宋体" w:hAnsi="宋体" w:eastAsia="宋体" w:cs="宋体"/>
                <w:sz w:val="21"/>
                <w:szCs w:val="21"/>
                <w:lang w:val="zh-CN" w:eastAsia="zh-CN"/>
              </w:rPr>
              <w:t>第一个信封(商务及技术文件） 开标程序</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tabs>
                <w:tab w:val="left" w:pos="426"/>
              </w:tabs>
              <w:kinsoku/>
              <w:wordWrap/>
              <w:overflowPunct/>
              <w:topLinePunct w:val="0"/>
              <w:bidi w:val="0"/>
              <w:spacing w:before="0" w:beforeAutospacing="0" w:after="0" w:afterAutospacing="0" w:line="240" w:lineRule="auto"/>
              <w:ind w:left="48" w:leftChars="20" w:right="48" w:rightChars="20"/>
              <w:jc w:val="both"/>
              <w:textAlignment w:val="auto"/>
              <w:rPr>
                <w:rStyle w:val="333"/>
                <w:rFonts w:hint="eastAsia" w:ascii="宋体" w:hAnsi="宋体" w:eastAsia="宋体" w:cs="宋体"/>
                <w:sz w:val="21"/>
                <w:szCs w:val="21"/>
                <w:lang w:val="zh-CN" w:eastAsia="zh-CN"/>
              </w:rPr>
            </w:pPr>
            <w:r>
              <w:rPr>
                <w:rStyle w:val="333"/>
                <w:rFonts w:hint="eastAsia" w:ascii="宋体" w:hAnsi="宋体" w:eastAsia="宋体" w:cs="宋体"/>
                <w:sz w:val="21"/>
                <w:szCs w:val="21"/>
                <w:lang w:val="zh-CN" w:eastAsia="zh-CN"/>
              </w:rPr>
              <w:t>（</w:t>
            </w:r>
            <w:r>
              <w:rPr>
                <w:rStyle w:val="333"/>
                <w:rFonts w:hint="eastAsia" w:ascii="宋体" w:hAnsi="宋体" w:eastAsia="宋体" w:cs="宋体"/>
                <w:sz w:val="21"/>
                <w:szCs w:val="21"/>
                <w:lang w:val="en-US" w:eastAsia="zh-CN"/>
              </w:rPr>
              <w:t>4</w:t>
            </w:r>
            <w:r>
              <w:rPr>
                <w:rStyle w:val="333"/>
                <w:rFonts w:hint="eastAsia" w:ascii="宋体" w:hAnsi="宋体" w:eastAsia="宋体" w:cs="宋体"/>
                <w:sz w:val="21"/>
                <w:szCs w:val="21"/>
                <w:lang w:val="zh-CN" w:eastAsia="zh-CN"/>
              </w:rPr>
              <w:t>）密封情况检查：检查商务及技术文件是否存在提前开启情况</w:t>
            </w:r>
          </w:p>
          <w:p>
            <w:pPr>
              <w:pStyle w:val="215"/>
              <w:keepNext w:val="0"/>
              <w:keepLines w:val="0"/>
              <w:pageBreakBefore w:val="0"/>
              <w:suppressLineNumbers w:val="0"/>
              <w:shd w:val="clear" w:color="auto" w:fill="auto"/>
              <w:tabs>
                <w:tab w:val="left" w:pos="415"/>
              </w:tabs>
              <w:kinsoku/>
              <w:wordWrap/>
              <w:overflowPunct/>
              <w:topLinePunct w:val="0"/>
              <w:bidi w:val="0"/>
              <w:spacing w:before="0" w:beforeAutospacing="0" w:after="0" w:afterAutospacing="0" w:line="240" w:lineRule="auto"/>
              <w:ind w:left="48" w:leftChars="20" w:right="48" w:rightChars="20"/>
              <w:jc w:val="both"/>
              <w:textAlignment w:val="auto"/>
              <w:rPr>
                <w:rStyle w:val="333"/>
                <w:rFonts w:hint="eastAsia" w:ascii="宋体" w:hAnsi="宋体" w:eastAsia="宋体" w:cs="宋体"/>
                <w:sz w:val="21"/>
                <w:szCs w:val="21"/>
                <w:lang w:val="zh-CN" w:eastAsia="zh-CN"/>
              </w:rPr>
            </w:pPr>
            <w:r>
              <w:rPr>
                <w:rStyle w:val="333"/>
                <w:rFonts w:hint="eastAsia" w:ascii="宋体" w:hAnsi="宋体" w:eastAsia="宋体" w:cs="宋体"/>
                <w:sz w:val="21"/>
                <w:szCs w:val="21"/>
                <w:lang w:val="zh-CN" w:eastAsia="zh-CN"/>
              </w:rPr>
              <w:t>（</w:t>
            </w:r>
            <w:r>
              <w:rPr>
                <w:rStyle w:val="333"/>
                <w:rFonts w:hint="eastAsia" w:ascii="宋体" w:hAnsi="宋体" w:eastAsia="宋体" w:cs="宋体"/>
                <w:sz w:val="21"/>
                <w:szCs w:val="21"/>
                <w:lang w:val="en-US" w:eastAsia="zh-CN"/>
              </w:rPr>
              <w:t>5</w:t>
            </w:r>
            <w:r>
              <w:rPr>
                <w:rStyle w:val="333"/>
                <w:rFonts w:hint="eastAsia" w:ascii="宋体" w:hAnsi="宋体" w:eastAsia="宋体" w:cs="宋体"/>
                <w:sz w:val="21"/>
                <w:szCs w:val="21"/>
                <w:lang w:val="zh-CN" w:eastAsia="zh-CN"/>
              </w:rPr>
              <w:t>）开标顺序：随机启封、逐一公布</w:t>
            </w:r>
          </w:p>
        </w:tc>
      </w:tr>
      <w:tr>
        <w:trPr>
          <w:gridAfter w:val="1"/>
          <w:wAfter w:w="9" w:type="dxa"/>
        </w:trPr>
        <w:tc>
          <w:tcPr>
            <w:tcW w:w="9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55"/>
                <w:rFonts w:hint="default" w:ascii="宋体" w:hAnsi="宋体" w:eastAsia="宋体"/>
                <w:sz w:val="21"/>
                <w:szCs w:val="21"/>
                <w:lang w:val="en-US" w:eastAsia="zh-CN"/>
              </w:rPr>
            </w:pPr>
            <w:r>
              <w:rPr>
                <w:rStyle w:val="455"/>
                <w:rFonts w:hint="default" w:ascii="宋体" w:hAnsi="宋体" w:eastAsia="宋体"/>
                <w:sz w:val="21"/>
                <w:szCs w:val="21"/>
              </w:rPr>
              <w:t>5.2.3</w:t>
            </w:r>
          </w:p>
        </w:tc>
        <w:tc>
          <w:tcPr>
            <w:tcW w:w="2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80"/>
                <w:rFonts w:hint="eastAsia" w:ascii="宋体" w:hAnsi="宋体" w:eastAsia="宋体"/>
                <w:sz w:val="21"/>
                <w:szCs w:val="21"/>
                <w:lang w:val="zh-CN" w:eastAsia="zh-CN"/>
              </w:rPr>
            </w:pPr>
            <w:r>
              <w:rPr>
                <w:rStyle w:val="480"/>
                <w:rFonts w:hint="eastAsia" w:ascii="宋体" w:hAnsi="宋体" w:eastAsia="宋体"/>
                <w:sz w:val="21"/>
                <w:szCs w:val="21"/>
                <w:lang w:val="zh-CN" w:eastAsia="zh-CN"/>
              </w:rPr>
              <w:t>第二个信封（报价文件）</w:t>
            </w:r>
          </w:p>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开标程序</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tabs>
                <w:tab w:val="left" w:pos="426"/>
              </w:tabs>
              <w:kinsoku/>
              <w:wordWrap/>
              <w:overflowPunct/>
              <w:topLinePunct w:val="0"/>
              <w:bidi w:val="0"/>
              <w:spacing w:before="0" w:beforeAutospacing="0" w:after="0" w:afterAutospacing="0" w:line="240" w:lineRule="auto"/>
              <w:ind w:left="48" w:leftChars="20" w:right="48" w:rightChars="20"/>
              <w:jc w:val="left"/>
              <w:textAlignment w:val="auto"/>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w:t>
            </w:r>
            <w:r>
              <w:rPr>
                <w:rStyle w:val="333"/>
                <w:rFonts w:hint="eastAsia" w:ascii="宋体" w:hAnsi="宋体" w:eastAsia="宋体"/>
                <w:sz w:val="21"/>
                <w:szCs w:val="21"/>
                <w:lang w:val="en-US" w:eastAsia="zh-CN"/>
              </w:rPr>
              <w:t>4</w:t>
            </w:r>
            <w:r>
              <w:rPr>
                <w:rStyle w:val="333"/>
                <w:rFonts w:hint="eastAsia" w:ascii="宋体" w:hAnsi="宋体" w:eastAsia="宋体"/>
                <w:sz w:val="21"/>
                <w:szCs w:val="21"/>
                <w:lang w:val="zh-CN" w:eastAsia="zh-CN"/>
              </w:rPr>
              <w:t>）密封情况检查：检查报价文件是否存在提前开启情况</w:t>
            </w:r>
          </w:p>
          <w:p>
            <w:pPr>
              <w:pStyle w:val="215"/>
              <w:keepNext w:val="0"/>
              <w:keepLines w:val="0"/>
              <w:pageBreakBefore w:val="0"/>
              <w:suppressLineNumbers w:val="0"/>
              <w:shd w:val="clear" w:color="auto" w:fill="auto"/>
              <w:tabs>
                <w:tab w:val="left" w:pos="415"/>
              </w:tabs>
              <w:kinsoku/>
              <w:wordWrap/>
              <w:overflowPunct/>
              <w:topLinePunct w:val="0"/>
              <w:bidi w:val="0"/>
              <w:spacing w:before="0" w:beforeAutospacing="0" w:after="0" w:afterAutospacing="0" w:line="240" w:lineRule="auto"/>
              <w:ind w:left="48" w:leftChars="20" w:right="48" w:rightChars="20"/>
              <w:jc w:val="left"/>
              <w:textAlignment w:val="auto"/>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w:t>
            </w:r>
            <w:r>
              <w:rPr>
                <w:rStyle w:val="333"/>
                <w:rFonts w:hint="eastAsia" w:ascii="宋体" w:hAnsi="宋体" w:eastAsia="宋体"/>
                <w:sz w:val="21"/>
                <w:szCs w:val="21"/>
                <w:lang w:val="en-US" w:eastAsia="zh-CN"/>
              </w:rPr>
              <w:t>5</w:t>
            </w:r>
            <w:r>
              <w:rPr>
                <w:rStyle w:val="333"/>
                <w:rFonts w:hint="eastAsia" w:ascii="宋体" w:hAnsi="宋体" w:eastAsia="宋体"/>
                <w:sz w:val="21"/>
                <w:szCs w:val="21"/>
                <w:lang w:val="zh-CN" w:eastAsia="zh-CN"/>
              </w:rPr>
              <w:t>）开标顺序：随机启封、逐一公布</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455"/>
                <w:rFonts w:hint="default" w:ascii="宋体" w:hAnsi="宋体" w:eastAsia="宋体"/>
                <w:sz w:val="21"/>
                <w:szCs w:val="21"/>
                <w:lang w:val="zh-CN" w:eastAsia="zh-CN"/>
              </w:rPr>
            </w:pPr>
            <w:r>
              <w:rPr>
                <w:rStyle w:val="455"/>
                <w:rFonts w:hint="default" w:ascii="宋体" w:hAnsi="宋体" w:eastAsia="宋体"/>
                <w:sz w:val="21"/>
                <w:szCs w:val="21"/>
              </w:rPr>
              <w:t>6.1.1</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204"/>
                <w:rFonts w:hint="default" w:ascii="宋体" w:hAnsi="Times New Roman" w:eastAsia="宋体"/>
                <w:sz w:val="21"/>
                <w:szCs w:val="21"/>
                <w:lang w:val="zh-CN" w:eastAsia="zh-CN"/>
              </w:rPr>
            </w:pPr>
            <w:r>
              <w:rPr>
                <w:rStyle w:val="204"/>
                <w:rFonts w:hint="eastAsia" w:ascii="宋体" w:hAnsi="Times New Roman" w:eastAsia="宋体"/>
                <w:sz w:val="21"/>
                <w:szCs w:val="21"/>
                <w:lang w:val="zh-CN" w:eastAsia="zh-CN"/>
              </w:rPr>
              <w:t>评标委员会的组建</w:t>
            </w:r>
            <w:r>
              <w:rPr>
                <w:rStyle w:val="101"/>
                <w:rFonts w:hint="default" w:ascii="宋体" w:hAnsi="宋体" w:eastAsia="宋体"/>
                <w:spacing w:val="0"/>
                <w:sz w:val="30"/>
                <w:szCs w:val="24"/>
                <w:lang w:val="zh-CN" w:eastAsia="zh-CN"/>
              </w:rPr>
              <w:footnoteReference w:id="33"/>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8" w:leftChars="20" w:right="48" w:rightChars="20"/>
              <w:jc w:val="both"/>
              <w:textAlignment w:val="auto"/>
              <w:rPr>
                <w:rStyle w:val="333"/>
                <w:rFonts w:hint="eastAsia" w:ascii="宋体" w:hAnsi="宋体" w:eastAsia="宋体"/>
                <w:color w:val="auto"/>
                <w:sz w:val="21"/>
                <w:szCs w:val="21"/>
              </w:rPr>
            </w:pPr>
            <w:r>
              <w:rPr>
                <w:rStyle w:val="333"/>
                <w:rFonts w:hint="eastAsia" w:ascii="宋体" w:hAnsi="宋体" w:eastAsia="宋体"/>
                <w:color w:val="auto"/>
                <w:sz w:val="21"/>
                <w:szCs w:val="21"/>
              </w:rPr>
              <w:t>评标委员会构成：</w:t>
            </w:r>
            <w:r>
              <w:rPr>
                <w:rStyle w:val="333"/>
                <w:rFonts w:hint="eastAsia" w:ascii="宋体" w:hAnsi="宋体" w:eastAsia="宋体"/>
                <w:color w:val="auto"/>
                <w:sz w:val="21"/>
                <w:szCs w:val="21"/>
                <w:u w:val="single"/>
                <w:lang w:val="en-US" w:eastAsia="zh-CN"/>
              </w:rPr>
              <w:t xml:space="preserve">    </w:t>
            </w:r>
            <w:r>
              <w:rPr>
                <w:rStyle w:val="333"/>
                <w:rFonts w:hint="eastAsia" w:ascii="宋体" w:hAnsi="宋体" w:eastAsia="宋体"/>
                <w:color w:val="auto"/>
                <w:sz w:val="21"/>
                <w:szCs w:val="21"/>
                <w:lang w:val="en-US"/>
              </w:rPr>
              <w:t>人，</w:t>
            </w:r>
            <w:r>
              <w:rPr>
                <w:rStyle w:val="333"/>
                <w:rFonts w:hint="eastAsia" w:ascii="宋体" w:hAnsi="宋体" w:eastAsia="宋体"/>
                <w:color w:val="auto"/>
                <w:sz w:val="21"/>
                <w:szCs w:val="21"/>
              </w:rPr>
              <w:t>评标委员会由招标人代表和有关专家组成，其中技术、经济等方面的专家不得少于成员总数的三分之二；</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204"/>
                <w:rFonts w:hint="default" w:ascii="宋体" w:hAnsi="Times New Roman" w:eastAsia="宋体"/>
                <w:sz w:val="21"/>
                <w:szCs w:val="21"/>
                <w:lang w:val="zh-CN" w:eastAsia="zh-CN"/>
              </w:rPr>
            </w:pPr>
            <w:r>
              <w:rPr>
                <w:rStyle w:val="333"/>
                <w:rFonts w:hint="eastAsia" w:ascii="宋体" w:hAnsi="宋体" w:eastAsia="宋体"/>
                <w:sz w:val="21"/>
                <w:szCs w:val="21"/>
                <w:lang w:val="zh-CN" w:eastAsia="zh-CN"/>
              </w:rPr>
              <w:t>评标专家确定方式：依法从相应评标专家库中随机抽取</w:t>
            </w:r>
            <w:r>
              <w:rPr>
                <w:rStyle w:val="101"/>
                <w:rFonts w:hint="eastAsia" w:ascii="宋体" w:hAnsi="宋体" w:eastAsia="宋体"/>
                <w:spacing w:val="0"/>
                <w:sz w:val="30"/>
                <w:szCs w:val="24"/>
                <w:lang w:val="zh-CN" w:eastAsia="zh-CN"/>
              </w:rPr>
              <w:footnoteReference w:id="34"/>
            </w:r>
            <w:r>
              <w:rPr>
                <w:rStyle w:val="333"/>
                <w:rFonts w:hint="eastAsia" w:ascii="宋体" w:hAnsi="宋体" w:eastAsia="宋体"/>
                <w:sz w:val="21"/>
                <w:szCs w:val="21"/>
                <w:lang w:val="zh-CN" w:eastAsia="zh-CN"/>
              </w:rPr>
              <w:t>。</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5"/>
                <w:rFonts w:hint="default" w:ascii="宋体" w:hAnsi="宋体" w:eastAsia="宋体"/>
                <w:sz w:val="21"/>
                <w:szCs w:val="21"/>
              </w:rPr>
              <w:t>6.3.2</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评标委员会推荐中标候选人的人数</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ind w:left="48" w:leftChars="20" w:right="48" w:rightChars="20"/>
              <w:jc w:val="both"/>
              <w:textAlignment w:val="auto"/>
              <w:rPr>
                <w:rStyle w:val="333"/>
                <w:rFonts w:hint="default" w:ascii="宋体" w:hAnsi="宋体" w:eastAsia="宋体"/>
                <w:color w:val="auto"/>
                <w:sz w:val="21"/>
                <w:szCs w:val="21"/>
              </w:rPr>
            </w:pPr>
            <w:r>
              <w:rPr>
                <w:rFonts w:hint="eastAsia" w:ascii="宋体" w:hAnsi="宋体" w:cs="Times New Roman"/>
                <w:color w:val="auto"/>
                <w:sz w:val="21"/>
                <w:szCs w:val="21"/>
                <w:u w:val="single"/>
                <w:lang w:val="en-US"/>
              </w:rPr>
              <w:t>原则上3个</w:t>
            </w:r>
            <w:r>
              <w:rPr>
                <w:rStyle w:val="101"/>
                <w:rFonts w:hint="default" w:ascii="宋体" w:hAnsi="宋体" w:cs="Times New Roman"/>
                <w:color w:val="auto"/>
                <w:sz w:val="30"/>
              </w:rPr>
              <w:footnoteReference w:id="35"/>
            </w:r>
            <w:r>
              <w:rPr>
                <w:rFonts w:hint="eastAsia" w:ascii="宋体" w:hAnsi="宋体" w:cs="Times New Roman"/>
                <w:color w:val="auto"/>
                <w:sz w:val="21"/>
                <w:szCs w:val="21"/>
                <w:lang w:val="en-US"/>
              </w:rPr>
              <w:t>（评标办法规定的特殊情况除外）</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333"/>
                <w:rFonts w:hint="default" w:ascii="宋体" w:hAnsi="宋体" w:eastAsia="宋体"/>
                <w:sz w:val="21"/>
                <w:szCs w:val="21"/>
                <w:lang w:val="en-US" w:eastAsia="en-US"/>
              </w:rPr>
              <w:t>7.1</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中标候选人公示媒介及期限</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left"/>
              <w:textAlignment w:val="auto"/>
              <w:rPr>
                <w:rFonts w:hint="default" w:ascii="宋体" w:hAnsi="宋体" w:eastAsia="宋体" w:cs="MingLiU"/>
                <w:spacing w:val="0"/>
                <w:sz w:val="21"/>
                <w:szCs w:val="21"/>
                <w:lang w:val="en-US" w:eastAsia="zh-CN"/>
              </w:rPr>
            </w:pPr>
            <w:r>
              <w:rPr>
                <w:rStyle w:val="333"/>
                <w:rFonts w:hint="eastAsia" w:ascii="宋体" w:hAnsi="宋体" w:eastAsia="宋体"/>
                <w:sz w:val="21"/>
                <w:szCs w:val="21"/>
                <w:lang w:val="zh-CN" w:eastAsia="zh-CN"/>
              </w:rPr>
              <w:t>公示媒介</w:t>
            </w:r>
            <w:r>
              <w:rPr>
                <w:rStyle w:val="101"/>
                <w:rFonts w:hint="eastAsia" w:ascii="宋体" w:hAnsi="宋体" w:eastAsia="宋体"/>
                <w:spacing w:val="0"/>
                <w:sz w:val="30"/>
                <w:szCs w:val="24"/>
                <w:lang w:val="zh-CN" w:eastAsia="zh-CN"/>
              </w:rPr>
              <w:footnoteReference w:id="36"/>
            </w:r>
            <w:r>
              <w:rPr>
                <w:rStyle w:val="333"/>
                <w:rFonts w:hint="eastAsia" w:ascii="宋体" w:hAnsi="宋体" w:eastAsia="宋体"/>
                <w:sz w:val="21"/>
                <w:szCs w:val="21"/>
                <w:lang w:val="zh-CN" w:eastAsia="zh-CN"/>
              </w:rPr>
              <w:t>：</w:t>
            </w:r>
            <w:r>
              <w:rPr>
                <w:rFonts w:hint="eastAsia" w:ascii="宋体" w:hAnsi="宋体" w:eastAsia="宋体" w:cs="MingLiU"/>
                <w:spacing w:val="0"/>
                <w:sz w:val="21"/>
                <w:szCs w:val="21"/>
                <w:u w:val="single"/>
                <w:lang w:val="en-US" w:eastAsia="zh-CN"/>
              </w:rPr>
              <w:t>广东省招标投标监管网、湛江市公共资源交易中心网站</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left"/>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公示期限：3日</w:t>
            </w:r>
            <w:r>
              <w:rPr>
                <w:rStyle w:val="101"/>
                <w:rFonts w:hint="eastAsia" w:ascii="宋体" w:hAnsi="宋体" w:eastAsia="宋体"/>
                <w:spacing w:val="0"/>
                <w:sz w:val="30"/>
                <w:szCs w:val="24"/>
                <w:lang w:val="zh-CN" w:eastAsia="zh-CN"/>
              </w:rPr>
              <w:footnoteReference w:id="37"/>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left"/>
              <w:textAlignment w:val="auto"/>
              <w:rPr>
                <w:rFonts w:hint="default" w:ascii="宋体" w:hAnsi="宋体" w:eastAsia="宋体" w:cs="MingLiU"/>
                <w:sz w:val="21"/>
                <w:szCs w:val="21"/>
                <w:lang w:val="en-US" w:eastAsia="zh-CN"/>
              </w:rPr>
            </w:pPr>
            <w:r>
              <w:rPr>
                <w:rFonts w:hint="eastAsia" w:ascii="宋体" w:hAnsi="宋体" w:eastAsia="宋体" w:cs="宋体"/>
                <w:spacing w:val="0"/>
                <w:sz w:val="21"/>
                <w:szCs w:val="21"/>
                <w:lang w:val="zh-CN" w:eastAsia="zh-CN"/>
              </w:rPr>
              <w:t>公示的其他内容：</w:t>
            </w:r>
            <w:r>
              <w:rPr>
                <w:rFonts w:hint="eastAsia" w:ascii="宋体" w:hAnsi="宋体" w:eastAsia="宋体" w:cs="宋体"/>
                <w:spacing w:val="0"/>
                <w:sz w:val="21"/>
                <w:szCs w:val="21"/>
                <w:u w:val="single"/>
                <w:lang w:val="zh-CN" w:eastAsia="zh-CN"/>
              </w:rPr>
              <w:t>最新一年度AA、A级投标人的信用等级使用情况及所有承诺使用最新一年度</w:t>
            </w:r>
            <w:r>
              <w:rPr>
                <w:rFonts w:hint="default" w:ascii="宋体" w:hAnsi="宋体" w:eastAsia="宋体" w:cs="宋体"/>
                <w:spacing w:val="0"/>
                <w:sz w:val="21"/>
                <w:szCs w:val="21"/>
                <w:u w:val="single"/>
                <w:lang w:val="zh-CN" w:eastAsia="zh-CN"/>
              </w:rPr>
              <w:t>AA、A</w:t>
            </w:r>
            <w:r>
              <w:rPr>
                <w:rFonts w:hint="eastAsia" w:ascii="宋体" w:hAnsi="宋体" w:eastAsia="宋体" w:cs="宋体"/>
                <w:spacing w:val="0"/>
                <w:sz w:val="21"/>
                <w:szCs w:val="21"/>
                <w:u w:val="single"/>
                <w:lang w:val="zh-CN" w:eastAsia="zh-CN"/>
              </w:rPr>
              <w:t>级投标人的年度信用等级使用情况。</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333"/>
                <w:rFonts w:hint="default" w:ascii="宋体" w:hAnsi="宋体" w:eastAsia="宋体"/>
                <w:sz w:val="21"/>
                <w:szCs w:val="21"/>
                <w:lang w:val="en-US" w:eastAsia="en-US"/>
              </w:rPr>
              <w:t>7.4</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是否授权评标委员会确定中标人</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□是</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□否</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eastAsia" w:ascii="宋体" w:hAnsi="宋体" w:eastAsia="宋体"/>
                <w:sz w:val="21"/>
                <w:szCs w:val="21"/>
                <w:lang w:val="en-US" w:eastAsia="zh-CN"/>
              </w:rPr>
            </w:pPr>
            <w:r>
              <w:rPr>
                <w:rStyle w:val="333"/>
                <w:rFonts w:hint="eastAsia" w:ascii="宋体" w:hAnsi="宋体" w:eastAsia="宋体"/>
                <w:sz w:val="21"/>
                <w:szCs w:val="21"/>
                <w:lang w:val="en-US" w:eastAsia="zh-CN"/>
              </w:rPr>
              <w:t>7.5</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中标通知书和中标结果通知发出的形式</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中标通知书以书面或电子形式发出；中标结果在广东省招投标监管网及广东省公共资源交易平台（湛江市）发布，视为已送达未中标的投标人，不再另行通知。</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333"/>
                <w:rFonts w:hint="default" w:ascii="宋体" w:hAnsi="宋体" w:eastAsia="宋体"/>
                <w:sz w:val="21"/>
                <w:szCs w:val="21"/>
                <w:lang w:val="en-US" w:eastAsia="en-US"/>
              </w:rPr>
              <w:t>7.6</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中标结果公告媒介</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48" w:leftChars="20" w:right="48" w:rightChars="20"/>
              <w:textAlignment w:val="auto"/>
              <w:rPr>
                <w:rStyle w:val="333"/>
                <w:rFonts w:hint="eastAsia" w:ascii="宋体" w:hAnsi="宋体" w:eastAsia="宋体"/>
                <w:color w:val="auto"/>
                <w:sz w:val="21"/>
                <w:szCs w:val="21"/>
                <w:u w:val="single"/>
                <w:lang w:eastAsia="zh-CN"/>
              </w:rPr>
            </w:pPr>
            <w:r>
              <w:rPr>
                <w:rFonts w:hint="eastAsia" w:ascii="宋体" w:hAnsi="宋体" w:cs="宋体"/>
                <w:color w:val="auto"/>
                <w:sz w:val="21"/>
                <w:szCs w:val="21"/>
              </w:rPr>
              <w:t>公告媒介：广东省招标投标监管网</w:t>
            </w:r>
            <w:r>
              <w:rPr>
                <w:rFonts w:hint="default" w:ascii="宋体" w:hAnsi="宋体" w:cs="MingLiU"/>
                <w:sz w:val="21"/>
                <w:vertAlign w:val="superscript"/>
              </w:rPr>
              <w:footnoteReference w:id="38"/>
            </w:r>
            <w:r>
              <w:rPr>
                <w:rFonts w:hint="eastAsia" w:ascii="宋体" w:hAnsi="宋体" w:cs="宋体"/>
                <w:color w:val="auto"/>
                <w:sz w:val="21"/>
                <w:szCs w:val="21"/>
                <w:lang w:eastAsia="zh-CN"/>
              </w:rPr>
              <w:t>、广东省公共资源交易平台（湛江市）</w:t>
            </w:r>
          </w:p>
        </w:tc>
      </w:tr>
      <w:tr>
        <w:trPr>
          <w:gridAfter w:val="1"/>
          <w:wAfter w:w="9" w:type="dxa"/>
        </w:trPr>
        <w:tc>
          <w:tcPr>
            <w:tcW w:w="97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default" w:ascii="宋体" w:hAnsi="宋体" w:eastAsia="宋体"/>
                <w:sz w:val="21"/>
                <w:szCs w:val="21"/>
                <w:lang w:val="en-US" w:eastAsia="zh-CN"/>
              </w:rPr>
            </w:pPr>
            <w:r>
              <w:rPr>
                <w:rStyle w:val="333"/>
                <w:rFonts w:hint="eastAsia" w:ascii="宋体" w:hAnsi="宋体" w:eastAsia="宋体"/>
                <w:sz w:val="21"/>
                <w:szCs w:val="21"/>
                <w:lang w:val="en-US" w:eastAsia="zh-CN"/>
              </w:rPr>
              <w:t>7.7</w:t>
            </w:r>
          </w:p>
        </w:tc>
        <w:tc>
          <w:tcPr>
            <w:tcW w:w="2337"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Style w:val="333"/>
                <w:rFonts w:hint="default" w:ascii="宋体" w:hAnsi="宋体" w:eastAsia="宋体"/>
                <w:sz w:val="21"/>
                <w:szCs w:val="21"/>
                <w:lang w:val="en-US" w:eastAsia="zh-CN"/>
              </w:rPr>
            </w:pPr>
            <w:r>
              <w:rPr>
                <w:rStyle w:val="333"/>
                <w:rFonts w:hint="eastAsia" w:ascii="宋体" w:hAnsi="宋体" w:eastAsia="宋体"/>
                <w:sz w:val="21"/>
                <w:szCs w:val="21"/>
                <w:lang w:val="en-US" w:eastAsia="zh-CN"/>
              </w:rPr>
              <w:t>技术成果经济补偿</w:t>
            </w:r>
          </w:p>
        </w:tc>
        <w:tc>
          <w:tcPr>
            <w:tcW w:w="5700"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w:t>
            </w:r>
            <w:r>
              <w:rPr>
                <w:rStyle w:val="333"/>
                <w:rFonts w:hint="eastAsia" w:ascii="宋体" w:hAnsi="宋体" w:eastAsia="宋体"/>
                <w:sz w:val="21"/>
                <w:szCs w:val="21"/>
                <w:lang w:val="en-US" w:eastAsia="zh-CN"/>
              </w:rPr>
              <w:t>不补偿</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olor w:val="auto"/>
                <w:sz w:val="21"/>
                <w:szCs w:val="21"/>
                <w:u w:val="single"/>
                <w:lang w:val="en-US"/>
              </w:rPr>
            </w:pPr>
            <w:r>
              <w:rPr>
                <w:rStyle w:val="333"/>
                <w:rFonts w:hint="eastAsia" w:ascii="宋体" w:hAnsi="宋体" w:eastAsia="宋体"/>
                <w:color w:val="auto"/>
                <w:sz w:val="21"/>
                <w:szCs w:val="21"/>
              </w:rPr>
              <w:t>□</w:t>
            </w:r>
            <w:r>
              <w:rPr>
                <w:rStyle w:val="333"/>
                <w:rFonts w:hint="eastAsia" w:ascii="宋体" w:hAnsi="宋体" w:eastAsia="宋体"/>
                <w:color w:val="auto"/>
                <w:sz w:val="21"/>
                <w:szCs w:val="21"/>
                <w:lang w:val="en-US"/>
              </w:rPr>
              <w:t>补偿，补偿标准：</w:t>
            </w:r>
            <w:r>
              <w:rPr>
                <w:rStyle w:val="333"/>
                <w:rFonts w:hint="eastAsia" w:ascii="宋体" w:hAnsi="宋体" w:eastAsia="宋体"/>
                <w:color w:val="auto"/>
                <w:sz w:val="21"/>
                <w:szCs w:val="21"/>
                <w:u w:val="single"/>
                <w:lang w:val="en-US"/>
              </w:rPr>
              <w:t xml:space="preserve">                   </w:t>
            </w:r>
            <w:r>
              <w:rPr>
                <w:rStyle w:val="333"/>
                <w:rFonts w:hint="eastAsia" w:ascii="宋体" w:hAnsi="宋体" w:eastAsia="宋体"/>
                <w:color w:val="auto"/>
                <w:sz w:val="21"/>
                <w:szCs w:val="21"/>
                <w:lang w:val="en-US"/>
              </w:rPr>
              <w:t>。</w:t>
            </w:r>
          </w:p>
        </w:tc>
      </w:tr>
      <w:tr>
        <w:tblPrEx>
          <w:tblCellMar>
            <w:top w:w="0" w:type="dxa"/>
            <w:left w:w="0" w:type="dxa"/>
            <w:bottom w:w="0" w:type="dxa"/>
            <w:right w:w="0" w:type="dxa"/>
          </w:tblCellMar>
        </w:tblPrEx>
        <w:trPr>
          <w:gridAfter w:val="1"/>
          <w:wAfter w:w="9" w:type="dxa"/>
          <w:trHeight w:val="260" w:hRule="atLeast"/>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55"/>
                <w:rFonts w:hint="default" w:ascii="宋体" w:hAnsi="宋体" w:eastAsia="宋体"/>
                <w:sz w:val="21"/>
                <w:szCs w:val="21"/>
              </w:rPr>
              <w:t>7.</w:t>
            </w:r>
            <w:r>
              <w:rPr>
                <w:rStyle w:val="455"/>
                <w:rFonts w:hint="eastAsia" w:ascii="宋体" w:hAnsi="宋体" w:eastAsia="宋体"/>
                <w:sz w:val="21"/>
                <w:szCs w:val="21"/>
                <w:lang w:eastAsia="zh-CN"/>
              </w:rPr>
              <w:t>8</w:t>
            </w:r>
            <w:r>
              <w:rPr>
                <w:rStyle w:val="455"/>
                <w:rFonts w:hint="default" w:ascii="宋体" w:hAnsi="宋体" w:eastAsia="宋体"/>
                <w:sz w:val="21"/>
                <w:szCs w:val="21"/>
              </w:rPr>
              <w:t>.1</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履约保证金</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ind w:left="48" w:leftChars="20" w:right="48" w:rightChars="20"/>
              <w:jc w:val="both"/>
              <w:textAlignment w:val="auto"/>
              <w:rPr>
                <w:rStyle w:val="333"/>
                <w:rFonts w:hint="eastAsia" w:ascii="宋体" w:hAnsi="宋体" w:eastAsia="宋体"/>
                <w:color w:val="auto"/>
                <w:sz w:val="21"/>
                <w:szCs w:val="21"/>
              </w:rPr>
            </w:pPr>
            <w:r>
              <w:rPr>
                <w:rStyle w:val="333"/>
                <w:rFonts w:hint="eastAsia" w:ascii="宋体" w:hAnsi="宋体" w:eastAsia="宋体"/>
                <w:color w:val="auto"/>
                <w:sz w:val="21"/>
                <w:szCs w:val="21"/>
              </w:rPr>
              <w:t>是否要求中标人提交履约保证金：</w:t>
            </w:r>
          </w:p>
          <w:p>
            <w:pPr>
              <w:keepNext w:val="0"/>
              <w:keepLines w:val="0"/>
              <w:pageBreakBefore w:val="0"/>
              <w:suppressLineNumbers w:val="0"/>
              <w:kinsoku/>
              <w:wordWrap/>
              <w:overflowPunct/>
              <w:topLinePunct w:val="0"/>
              <w:bidi w:val="0"/>
              <w:snapToGrid w:val="0"/>
              <w:spacing w:before="0" w:beforeAutospacing="0" w:after="0" w:afterAutospacing="0"/>
              <w:ind w:left="48" w:leftChars="20" w:right="48" w:rightChars="20"/>
              <w:jc w:val="both"/>
              <w:textAlignment w:val="auto"/>
              <w:rPr>
                <w:rFonts w:hint="eastAsia" w:ascii="宋体" w:hAnsi="宋体"/>
                <w:color w:val="auto"/>
                <w:sz w:val="21"/>
                <w:szCs w:val="21"/>
              </w:rPr>
            </w:pPr>
            <w:r>
              <w:rPr>
                <w:rStyle w:val="333"/>
                <w:rFonts w:hint="eastAsia" w:ascii="宋体" w:hAnsi="宋体" w:eastAsia="宋体"/>
                <w:color w:val="auto"/>
                <w:sz w:val="21"/>
                <w:szCs w:val="21"/>
              </w:rPr>
              <w:t>□要求，</w:t>
            </w:r>
            <w:r>
              <w:rPr>
                <w:rFonts w:hint="default" w:ascii="宋体" w:hAnsi="宋体"/>
                <w:color w:val="auto"/>
                <w:sz w:val="21"/>
                <w:szCs w:val="21"/>
              </w:rPr>
              <w:t>履约担保形式：</w:t>
            </w:r>
            <w:r>
              <w:rPr>
                <w:rFonts w:hint="eastAsia" w:ascii="宋体" w:hAnsi="宋体"/>
                <w:color w:val="auto"/>
                <w:sz w:val="21"/>
                <w:szCs w:val="21"/>
                <w:u w:val="single"/>
              </w:rPr>
              <w:t>由投标人自主选择采用现金（或支票）、或银行保函</w:t>
            </w:r>
            <w:r>
              <w:rPr>
                <w:rFonts w:hint="eastAsia" w:ascii="宋体" w:hAnsi="宋体"/>
                <w:color w:val="auto"/>
                <w:sz w:val="21"/>
                <w:szCs w:val="21"/>
                <w:u w:val="single"/>
                <w:lang w:val="en-US"/>
              </w:rPr>
              <w:t>或其他合法形式</w:t>
            </w:r>
            <w:r>
              <w:rPr>
                <w:rStyle w:val="101"/>
                <w:rFonts w:hint="eastAsia" w:ascii="宋体" w:hAnsi="宋体" w:cs="宋体"/>
                <w:szCs w:val="21"/>
              </w:rPr>
              <w:footnoteReference w:id="39"/>
            </w:r>
          </w:p>
          <w:p>
            <w:pPr>
              <w:keepNext w:val="0"/>
              <w:keepLines w:val="0"/>
              <w:pageBreakBefore w:val="0"/>
              <w:suppressLineNumbers w:val="0"/>
              <w:kinsoku/>
              <w:wordWrap/>
              <w:overflowPunct/>
              <w:topLinePunct w:val="0"/>
              <w:bidi w:val="0"/>
              <w:snapToGrid w:val="0"/>
              <w:spacing w:before="0" w:beforeAutospacing="0" w:after="0" w:afterAutospacing="0"/>
              <w:ind w:left="48" w:leftChars="20" w:right="48" w:rightChars="20" w:firstLine="420" w:firstLineChars="200"/>
              <w:jc w:val="both"/>
              <w:textAlignment w:val="auto"/>
              <w:rPr>
                <w:rFonts w:hint="default" w:ascii="宋体" w:hAnsi="宋体"/>
                <w:color w:val="auto"/>
                <w:sz w:val="21"/>
                <w:szCs w:val="21"/>
              </w:rPr>
            </w:pPr>
            <w:r>
              <w:rPr>
                <w:rFonts w:hint="default" w:ascii="宋体" w:hAnsi="宋体"/>
                <w:color w:val="auto"/>
                <w:sz w:val="21"/>
                <w:szCs w:val="21"/>
              </w:rPr>
              <w:t>履约</w:t>
            </w:r>
            <w:r>
              <w:rPr>
                <w:rFonts w:hint="eastAsia" w:ascii="宋体" w:hAnsi="宋体"/>
                <w:color w:val="auto"/>
                <w:sz w:val="21"/>
                <w:szCs w:val="21"/>
              </w:rPr>
              <w:t>保证金</w:t>
            </w:r>
            <w:r>
              <w:rPr>
                <w:rFonts w:hint="default" w:ascii="宋体" w:hAnsi="宋体"/>
                <w:color w:val="auto"/>
                <w:sz w:val="21"/>
                <w:szCs w:val="21"/>
              </w:rPr>
              <w:t>金额：</w:t>
            </w:r>
            <w:r>
              <w:rPr>
                <w:rFonts w:hint="eastAsia" w:ascii="宋体" w:hAnsi="宋体"/>
                <w:color w:val="auto"/>
                <w:sz w:val="21"/>
                <w:szCs w:val="21"/>
                <w:u w:val="single"/>
              </w:rPr>
              <w:t xml:space="preserve">   </w:t>
            </w:r>
            <w:r>
              <w:rPr>
                <w:rFonts w:hint="eastAsia" w:ascii="宋体" w:hAnsi="宋体"/>
                <w:color w:val="auto"/>
                <w:sz w:val="21"/>
                <w:szCs w:val="21"/>
              </w:rPr>
              <w:t>%</w:t>
            </w:r>
            <w:r>
              <w:rPr>
                <w:rStyle w:val="101"/>
                <w:rFonts w:hint="eastAsia" w:ascii="宋体" w:hAnsi="宋体" w:cs="Times New Roman"/>
                <w:color w:val="auto"/>
                <w:sz w:val="30"/>
                <w:lang w:val="en-US"/>
              </w:rPr>
              <w:footnoteReference w:id="40"/>
            </w:r>
            <w:r>
              <w:rPr>
                <w:rFonts w:hint="eastAsia" w:ascii="宋体" w:hAnsi="宋体"/>
                <w:color w:val="auto"/>
                <w:sz w:val="21"/>
                <w:szCs w:val="21"/>
                <w:lang w:val="en-US"/>
              </w:rPr>
              <w:t>签约合同价</w:t>
            </w:r>
            <w:r>
              <w:rPr>
                <w:rFonts w:hint="eastAsia" w:ascii="宋体" w:hAnsi="宋体"/>
                <w:color w:val="auto"/>
                <w:sz w:val="21"/>
                <w:szCs w:val="21"/>
              </w:rPr>
              <w:t>。</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firstLine="388" w:firstLineChars="200"/>
              <w:jc w:val="both"/>
              <w:textAlignment w:val="auto"/>
              <w:rPr>
                <w:rFonts w:hint="eastAsia" w:ascii="宋体" w:hAnsi="宋体"/>
                <w:color w:val="auto"/>
                <w:sz w:val="21"/>
                <w:szCs w:val="21"/>
              </w:rPr>
            </w:pPr>
            <w:r>
              <w:rPr>
                <w:rFonts w:hint="default" w:ascii="宋体" w:hAnsi="宋体"/>
                <w:color w:val="auto"/>
                <w:spacing w:val="-8"/>
                <w:sz w:val="21"/>
                <w:szCs w:val="21"/>
              </w:rPr>
              <w:t>采用银行保函时，出具履约担保的银行级别</w:t>
            </w:r>
            <w:r>
              <w:rPr>
                <w:rFonts w:hint="default" w:ascii="宋体" w:hAnsi="宋体"/>
                <w:color w:val="auto"/>
                <w:sz w:val="21"/>
                <w:szCs w:val="21"/>
              </w:rPr>
              <w:t>：</w:t>
            </w:r>
            <w:r>
              <w:rPr>
                <w:rFonts w:hint="eastAsia" w:ascii="宋体" w:hAnsi="宋体"/>
                <w:color w:val="auto"/>
                <w:sz w:val="21"/>
                <w:szCs w:val="21"/>
                <w:u w:val="single"/>
              </w:rPr>
              <w:t>投标人公司注册所在地的全国性国有商业银行或股份制商业银行的分支机构。</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jc w:val="both"/>
              <w:textAlignment w:val="auto"/>
              <w:rPr>
                <w:rFonts w:hint="default" w:ascii="宋体" w:hAnsi="宋体" w:cs="MingLiU"/>
                <w:color w:val="auto"/>
                <w:sz w:val="21"/>
                <w:szCs w:val="21"/>
                <w:lang w:val="en-US"/>
              </w:rPr>
            </w:pPr>
            <w:r>
              <w:rPr>
                <w:rStyle w:val="333"/>
                <w:rFonts w:hint="eastAsia" w:ascii="宋体" w:hAnsi="宋体" w:eastAsia="宋体"/>
                <w:color w:val="auto"/>
                <w:sz w:val="21"/>
                <w:szCs w:val="21"/>
              </w:rPr>
              <w:t>□不要求</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rPr>
              <w:t>8.5.1</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监督部门</w:t>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监督部门</w:t>
            </w:r>
            <w:r>
              <w:rPr>
                <w:rFonts w:hint="eastAsia" w:ascii="宋体" w:hAnsi="宋体" w:cs="宋体"/>
                <w:szCs w:val="21"/>
                <w:vertAlign w:val="superscript"/>
              </w:rPr>
              <w:footnoteReference w:id="41"/>
            </w:r>
            <w:r>
              <w:rPr>
                <w:rFonts w:hint="eastAsia" w:ascii="宋体" w:hAnsi="宋体" w:cs="MingLiU"/>
                <w:color w:val="auto"/>
                <w:sz w:val="21"/>
                <w:szCs w:val="21"/>
                <w:lang w:val="en-US"/>
              </w:rPr>
              <w:t>：</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 xml:space="preserve">电话： </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 xml:space="preserve">传真： </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通信地址：</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邮政编码：</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××交通运输主管部门（或项目上级管理单位）：</w:t>
            </w:r>
            <w:r>
              <w:rPr>
                <w:rFonts w:hint="default" w:ascii="宋体" w:hAnsi="宋体" w:cs="MingLiU"/>
                <w:color w:val="auto"/>
                <w:sz w:val="21"/>
                <w:szCs w:val="21"/>
                <w:u w:val="single"/>
                <w:lang w:val="en-US"/>
              </w:rPr>
              <w:t>（按项目隶属管理关系可选）</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电话：</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传真：</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通信地址：</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邮政编码：</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项目管理单位监督机构：</w:t>
            </w:r>
            <w:r>
              <w:rPr>
                <w:rFonts w:hint="default" w:ascii="宋体" w:hAnsi="宋体" w:cs="MingLiU"/>
                <w:color w:val="auto"/>
                <w:sz w:val="21"/>
                <w:szCs w:val="21"/>
                <w:u w:val="single"/>
                <w:lang w:val="en-US"/>
              </w:rPr>
              <w:t>（按项目管理情况可选）</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电话：</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传真：</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eastAsia" w:ascii="宋体" w:hAnsi="宋体" w:cs="MingLiU"/>
                <w:color w:val="auto"/>
                <w:sz w:val="21"/>
                <w:szCs w:val="21"/>
                <w:lang w:val="en-US"/>
              </w:rPr>
            </w:pPr>
            <w:r>
              <w:rPr>
                <w:rFonts w:hint="eastAsia" w:ascii="宋体" w:hAnsi="宋体" w:cs="MingLiU"/>
                <w:color w:val="auto"/>
                <w:sz w:val="21"/>
                <w:szCs w:val="21"/>
                <w:lang w:val="en-US"/>
              </w:rPr>
              <w:t>通信地址：</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p>
            <w:pPr>
              <w:keepNext w:val="0"/>
              <w:keepLines w:val="0"/>
              <w:pageBreakBefore w:val="0"/>
              <w:suppressLineNumbers w:val="0"/>
              <w:kinsoku/>
              <w:wordWrap/>
              <w:overflowPunct/>
              <w:topLinePunct w:val="0"/>
              <w:bidi w:val="0"/>
              <w:spacing w:before="0" w:beforeAutospacing="0" w:after="0" w:afterAutospacing="0"/>
              <w:ind w:left="48" w:leftChars="20" w:right="48" w:rightChars="20"/>
              <w:textAlignment w:val="auto"/>
              <w:rPr>
                <w:rFonts w:hint="default" w:ascii="宋体" w:hAnsi="宋体" w:cs="MingLiU"/>
                <w:color w:val="auto"/>
                <w:sz w:val="21"/>
                <w:szCs w:val="21"/>
                <w:lang w:val="en-US"/>
              </w:rPr>
            </w:pPr>
            <w:r>
              <w:rPr>
                <w:rFonts w:hint="eastAsia" w:ascii="宋体" w:hAnsi="宋体" w:cs="MingLiU"/>
                <w:color w:val="auto"/>
                <w:sz w:val="21"/>
                <w:szCs w:val="21"/>
                <w:lang w:val="en-US"/>
              </w:rPr>
              <w:t>邮政编码：</w:t>
            </w:r>
            <w:r>
              <w:rPr>
                <w:rStyle w:val="333"/>
                <w:rFonts w:hint="eastAsia" w:ascii="宋体" w:hAnsi="宋体" w:eastAsia="宋体"/>
                <w:color w:val="auto"/>
                <w:sz w:val="21"/>
                <w:szCs w:val="21"/>
                <w:u w:val="single"/>
                <w:lang w:val="en-US"/>
              </w:rPr>
              <w:t xml:space="preserve">                   </w:t>
            </w:r>
            <w:r>
              <w:rPr>
                <w:rFonts w:hint="eastAsia" w:ascii="宋体" w:hAnsi="宋体" w:cs="MingLiU"/>
                <w:color w:val="auto"/>
                <w:sz w:val="21"/>
                <w:szCs w:val="21"/>
                <w:lang w:val="en-US"/>
              </w:rPr>
              <w:t xml:space="preserve">                              </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245"/>
                <w:rFonts w:hint="default" w:ascii="宋体" w:hAnsi="宋体" w:eastAsia="宋体"/>
                <w:sz w:val="21"/>
                <w:szCs w:val="21"/>
                <w:lang w:val="zh-CN" w:eastAsia="zh-CN"/>
              </w:rPr>
              <w:t>9</w:t>
            </w:r>
          </w:p>
        </w:tc>
        <w:tc>
          <w:tcPr>
            <w:tcW w:w="2337"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240" w:lineRule="auto"/>
              <w:ind w:left="0" w:right="0"/>
              <w:jc w:val="center"/>
              <w:rPr>
                <w:rFonts w:hint="default" w:ascii="宋体" w:hAnsi="宋体" w:eastAsia="宋体" w:cs="MingLiU"/>
                <w:sz w:val="21"/>
                <w:szCs w:val="21"/>
                <w:lang w:val="en-US" w:eastAsia="zh-CN"/>
              </w:rPr>
            </w:pPr>
            <w:r>
              <w:rPr>
                <w:rStyle w:val="480"/>
                <w:rFonts w:hint="eastAsia" w:ascii="宋体" w:hAnsi="宋体" w:eastAsia="宋体"/>
                <w:sz w:val="21"/>
                <w:szCs w:val="21"/>
                <w:lang w:val="zh-CN" w:eastAsia="zh-CN"/>
              </w:rPr>
              <w:t>是否采用电子招标投标</w:t>
            </w:r>
            <w:r>
              <w:rPr>
                <w:rStyle w:val="101"/>
                <w:rFonts w:hint="eastAsia" w:ascii="宋体" w:hAnsi="宋体" w:eastAsia="宋体"/>
                <w:spacing w:val="0"/>
                <w:sz w:val="30"/>
                <w:szCs w:val="24"/>
                <w:lang w:val="en-US" w:eastAsia="zh-CN"/>
              </w:rPr>
              <w:footnoteReference w:id="42"/>
            </w:r>
          </w:p>
        </w:tc>
        <w:tc>
          <w:tcPr>
            <w:tcW w:w="5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en-US" w:eastAsia="zh-CN"/>
              </w:rPr>
              <w:t>□</w:t>
            </w:r>
            <w:r>
              <w:rPr>
                <w:rStyle w:val="480"/>
                <w:rFonts w:hint="eastAsia" w:ascii="宋体" w:hAnsi="宋体" w:eastAsia="宋体"/>
                <w:sz w:val="21"/>
                <w:szCs w:val="21"/>
                <w:lang w:val="zh-CN" w:eastAsia="zh-CN"/>
              </w:rPr>
              <w:t>否</w:t>
            </w:r>
          </w:p>
          <w:p>
            <w:pPr>
              <w:pStyle w:val="215"/>
              <w:keepNext w:val="0"/>
              <w:keepLines w:val="0"/>
              <w:pageBreakBefore w:val="0"/>
              <w:suppressLineNumbers w:val="0"/>
              <w:shd w:val="clear" w:color="auto" w:fill="auto"/>
              <w:kinsoku/>
              <w:wordWrap/>
              <w:overflowPunct/>
              <w:topLinePunct w:val="0"/>
              <w:bidi w:val="0"/>
              <w:spacing w:before="0" w:beforeAutospacing="0" w:after="0" w:afterAutospacing="0" w:line="240" w:lineRule="auto"/>
              <w:ind w:left="48" w:leftChars="20" w:right="48" w:rightChars="20"/>
              <w:jc w:val="both"/>
              <w:textAlignment w:val="auto"/>
              <w:rPr>
                <w:rFonts w:hint="default" w:ascii="宋体" w:hAnsi="宋体" w:eastAsia="宋体" w:cs="MingLiU"/>
                <w:sz w:val="21"/>
                <w:szCs w:val="21"/>
                <w:lang w:val="en-US" w:eastAsia="zh-CN"/>
              </w:rPr>
            </w:pPr>
            <w:r>
              <w:rPr>
                <w:rStyle w:val="480"/>
                <w:rFonts w:hint="eastAsia" w:ascii="宋体" w:hAnsi="宋体" w:eastAsia="宋体"/>
                <w:sz w:val="21"/>
                <w:szCs w:val="21"/>
                <w:lang w:val="en-US" w:eastAsia="zh-CN"/>
              </w:rPr>
              <w:t>□</w:t>
            </w:r>
            <w:r>
              <w:rPr>
                <w:rStyle w:val="480"/>
                <w:rFonts w:hint="eastAsia" w:ascii="宋体" w:hAnsi="宋体" w:eastAsia="宋体"/>
                <w:sz w:val="21"/>
                <w:szCs w:val="21"/>
                <w:lang w:val="zh-CN" w:eastAsia="zh-CN"/>
              </w:rPr>
              <w:t>是</w:t>
            </w:r>
            <w:r>
              <w:rPr>
                <w:rStyle w:val="480"/>
                <w:rFonts w:hint="eastAsia" w:ascii="宋体" w:hAnsi="宋体" w:eastAsia="宋体"/>
                <w:sz w:val="21"/>
                <w:szCs w:val="21"/>
                <w:lang w:val="en-US" w:eastAsia="zh-CN"/>
              </w:rPr>
              <w:t>，</w:t>
            </w:r>
            <w:r>
              <w:rPr>
                <w:rStyle w:val="480"/>
                <w:rFonts w:hint="eastAsia" w:ascii="宋体" w:hAnsi="宋体" w:eastAsia="宋体"/>
                <w:sz w:val="21"/>
                <w:szCs w:val="21"/>
                <w:lang w:val="zh-CN" w:eastAsia="zh-CN"/>
              </w:rPr>
              <w:t>具体要求</w:t>
            </w:r>
            <w:r>
              <w:rPr>
                <w:rStyle w:val="480"/>
                <w:rFonts w:hint="eastAsia" w:ascii="宋体" w:hAnsi="宋体" w:eastAsia="宋体"/>
                <w:sz w:val="21"/>
                <w:szCs w:val="21"/>
                <w:lang w:val="en-US" w:eastAsia="zh-CN"/>
              </w:rPr>
              <w:t>：</w:t>
            </w:r>
          </w:p>
        </w:tc>
      </w:tr>
      <w:tr>
        <w:trPr>
          <w:gridAfter w:val="1"/>
          <w:wAfter w:w="9" w:type="dxa"/>
        </w:trPr>
        <w:tc>
          <w:tcPr>
            <w:tcW w:w="901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color w:val="auto"/>
                <w:sz w:val="21"/>
                <w:szCs w:val="21"/>
              </w:rPr>
            </w:pPr>
            <w:r>
              <w:rPr>
                <w:rStyle w:val="370"/>
                <w:rFonts w:hint="eastAsia" w:ascii="宋体" w:hAnsi="宋体" w:eastAsia="宋体"/>
                <w:color w:val="auto"/>
                <w:sz w:val="21"/>
                <w:szCs w:val="21"/>
              </w:rPr>
              <w:t>需要补充的其他内容</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31"/>
              <w:keepNext w:val="0"/>
              <w:keepLines w:val="0"/>
              <w:suppressLineNumbers w:val="0"/>
              <w:topLinePunct/>
              <w:spacing w:before="0" w:beforeAutospacing="0" w:after="0" w:afterAutospacing="0"/>
              <w:ind w:left="0" w:right="0"/>
              <w:jc w:val="center"/>
              <w:rPr>
                <w:rFonts w:hint="eastAsia" w:hAnsi="宋体"/>
                <w:sz w:val="21"/>
                <w:szCs w:val="21"/>
                <w:lang w:val="en-US" w:eastAsia="zh-CN"/>
              </w:rPr>
            </w:pPr>
            <w:r>
              <w:rPr>
                <w:rFonts w:hint="eastAsia" w:hAnsi="宋体"/>
                <w:lang w:val="en-US" w:eastAsia="zh-CN"/>
              </w:rPr>
              <w:t>3.5.2</w:t>
            </w:r>
            <w:r>
              <w:rPr>
                <w:rStyle w:val="101"/>
                <w:rFonts w:hint="eastAsia" w:hAnsi="宋体"/>
                <w:kern w:val="0"/>
                <w:sz w:val="30"/>
                <w:szCs w:val="24"/>
                <w:lang w:val="en-US" w:eastAsia="zh-CN"/>
              </w:rPr>
              <w:footnoteReference w:id="43"/>
            </w:r>
          </w:p>
        </w:tc>
        <w:tc>
          <w:tcPr>
            <w:tcW w:w="803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jc w:val="both"/>
              <w:textAlignment w:val="auto"/>
              <w:rPr>
                <w:rFonts w:hint="eastAsia" w:ascii="宋体" w:hAnsi="宋体" w:cs="宋体"/>
                <w:color w:val="auto"/>
                <w:sz w:val="21"/>
                <w:szCs w:val="21"/>
              </w:rPr>
            </w:pPr>
            <w:r>
              <w:rPr>
                <w:rFonts w:hint="eastAsia" w:ascii="宋体" w:hAnsi="宋体" w:cs="宋体"/>
                <w:color w:val="auto"/>
                <w:sz w:val="21"/>
                <w:szCs w:val="21"/>
              </w:rPr>
              <w:t>投标人须知正文第3.5.</w:t>
            </w:r>
            <w:r>
              <w:rPr>
                <w:rFonts w:hint="eastAsia" w:ascii="宋体" w:hAnsi="宋体" w:cs="宋体"/>
                <w:color w:val="auto"/>
                <w:sz w:val="21"/>
                <w:szCs w:val="21"/>
                <w:lang w:val="en-US"/>
              </w:rPr>
              <w:t>2</w:t>
            </w:r>
            <w:r>
              <w:rPr>
                <w:rFonts w:hint="eastAsia" w:ascii="宋体" w:hAnsi="宋体" w:cs="宋体"/>
                <w:color w:val="auto"/>
                <w:sz w:val="21"/>
                <w:szCs w:val="21"/>
              </w:rPr>
              <w:t>项内容修改如下：</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420" w:firstLineChars="200"/>
              <w:jc w:val="both"/>
              <w:textAlignment w:val="auto"/>
              <w:rPr>
                <w:rFonts w:hint="default" w:ascii="宋体" w:hAnsi="宋体"/>
                <w:color w:val="auto"/>
                <w:sz w:val="21"/>
                <w:szCs w:val="21"/>
                <w:lang w:val="en-US"/>
              </w:rPr>
            </w:pPr>
            <w:r>
              <w:rPr>
                <w:rFonts w:hint="eastAsia" w:ascii="宋体" w:hAnsi="宋体" w:cs="宋体"/>
                <w:color w:val="auto"/>
                <w:sz w:val="21"/>
                <w:szCs w:val="21"/>
              </w:rPr>
              <w:t>“近年完成的类似项目”应是已列入交通运输部“全国水运建设市场信用信息管理系统”并公开的已建业绩，具体时间要求见投标人须知前附表。</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420" w:firstLineChars="200"/>
              <w:jc w:val="both"/>
              <w:textAlignment w:val="auto"/>
              <w:rPr>
                <w:rFonts w:hint="eastAsia" w:ascii="宋体" w:hAnsi="宋体"/>
                <w:color w:val="auto"/>
                <w:sz w:val="21"/>
                <w:szCs w:val="21"/>
                <w:lang w:val="en-US"/>
              </w:rPr>
            </w:pPr>
            <w:r>
              <w:rPr>
                <w:rFonts w:hint="eastAsia" w:ascii="宋体" w:hAnsi="宋体"/>
                <w:color w:val="auto"/>
                <w:sz w:val="21"/>
                <w:szCs w:val="21"/>
                <w:lang w:val="en-US"/>
              </w:rPr>
              <w:t>“近年完成的类似项目情况表”应附在交通运输部“全国水运建设市场信用信息管理系统”中查询到的企业“业绩信息”相关项目网页截图复印件或网页打印件，即包括招标文件中资格审查条件和评标办法所要求的提供的项目详细信息网页截图复印件或网页打印件。除网页截图复印件或网页打印件外，投标人无须再提供任何业绩证明材料。</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420" w:firstLineChars="200"/>
              <w:textAlignment w:val="auto"/>
              <w:rPr>
                <w:rFonts w:hint="eastAsia" w:ascii="宋体" w:hAnsi="宋体"/>
                <w:color w:val="auto"/>
                <w:sz w:val="21"/>
                <w:szCs w:val="21"/>
              </w:rPr>
            </w:pPr>
            <w:r>
              <w:rPr>
                <w:rFonts w:hint="eastAsia" w:ascii="宋体" w:hAnsi="宋体" w:cs="宋体"/>
                <w:color w:val="auto"/>
                <w:sz w:val="21"/>
                <w:szCs w:val="21"/>
              </w:rPr>
              <w:t>如投标人未提供相关项目网页截图或相关项目网页截图中的信息无法证实投标人满足招标文件规定的资格审查条件（业绩最低要求）或评标办法评分标准（如有），则该项目业绩不予认定。</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pStyle w:val="31"/>
              <w:keepNext w:val="0"/>
              <w:keepLines w:val="0"/>
              <w:suppressLineNumbers w:val="0"/>
              <w:topLinePunct/>
              <w:spacing w:before="0" w:beforeAutospacing="0" w:after="0" w:afterAutospacing="0"/>
              <w:ind w:left="0" w:right="0"/>
              <w:jc w:val="center"/>
              <w:rPr>
                <w:rFonts w:hint="eastAsia" w:hAnsi="宋体"/>
                <w:lang w:val="en-US" w:eastAsia="zh-CN"/>
              </w:rPr>
            </w:pPr>
            <w:r>
              <w:rPr>
                <w:rFonts w:hint="eastAsia" w:hAnsi="宋体"/>
                <w:sz w:val="21"/>
                <w:szCs w:val="21"/>
                <w:lang w:val="en-US" w:eastAsia="zh-CN"/>
              </w:rPr>
              <w:t>3.5.4</w:t>
            </w:r>
            <w:r>
              <w:rPr>
                <w:rStyle w:val="101"/>
                <w:rFonts w:hint="eastAsia" w:hAnsi="宋体"/>
                <w:kern w:val="0"/>
                <w:sz w:val="30"/>
                <w:szCs w:val="24"/>
                <w:lang w:val="en-US" w:eastAsia="zh-CN"/>
              </w:rPr>
              <w:footnoteReference w:id="44"/>
            </w:r>
          </w:p>
        </w:tc>
        <w:tc>
          <w:tcPr>
            <w:tcW w:w="803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textAlignment w:val="auto"/>
              <w:rPr>
                <w:rFonts w:hint="eastAsia" w:ascii="宋体" w:hAnsi="宋体"/>
                <w:color w:val="auto"/>
                <w:sz w:val="21"/>
                <w:szCs w:val="21"/>
              </w:rPr>
            </w:pPr>
            <w:r>
              <w:rPr>
                <w:rFonts w:hint="eastAsia" w:ascii="宋体" w:hAnsi="宋体"/>
                <w:color w:val="auto"/>
                <w:sz w:val="21"/>
                <w:szCs w:val="21"/>
              </w:rPr>
              <w:t>投标人须知正文第3.5.</w:t>
            </w:r>
            <w:r>
              <w:rPr>
                <w:rFonts w:hint="eastAsia" w:ascii="宋体" w:hAnsi="宋体"/>
                <w:color w:val="auto"/>
                <w:sz w:val="21"/>
                <w:szCs w:val="21"/>
                <w:lang w:val="en-US"/>
              </w:rPr>
              <w:t>4</w:t>
            </w:r>
            <w:r>
              <w:rPr>
                <w:rFonts w:hint="eastAsia" w:ascii="宋体" w:hAnsi="宋体"/>
                <w:color w:val="auto"/>
                <w:sz w:val="21"/>
                <w:szCs w:val="21"/>
              </w:rPr>
              <w:t>项内容修改如下：</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420" w:firstLineChars="200"/>
              <w:textAlignment w:val="auto"/>
              <w:rPr>
                <w:rFonts w:hint="eastAsia" w:ascii="宋体" w:hAnsi="宋体"/>
                <w:color w:val="auto"/>
                <w:sz w:val="21"/>
                <w:szCs w:val="21"/>
              </w:rPr>
            </w:pPr>
            <w:r>
              <w:rPr>
                <w:rFonts w:hint="eastAsia" w:ascii="宋体" w:hAnsi="宋体"/>
                <w:color w:val="auto"/>
                <w:sz w:val="21"/>
                <w:szCs w:val="21"/>
              </w:rPr>
              <w:t>“拟委任的项目负责人资历表”中项目负责人（含备选，如有）应附身份证、职称资格证书（如职称证书不能体现专业类型的，还应提供最高学历证书）以及资格审查条件所要求的其他相关证书的复印件，以及投标人在社保系统打印的项目负责人（含备选，如有）参加社保的有效证明材料复印件（社保时段为</w:t>
            </w:r>
            <w:r>
              <w:rPr>
                <w:rFonts w:hint="eastAsia" w:ascii="宋体" w:hAnsi="宋体"/>
                <w:color w:val="auto"/>
                <w:sz w:val="21"/>
                <w:szCs w:val="21"/>
                <w:lang w:val="en-US"/>
              </w:rPr>
              <w:t>投标</w:t>
            </w:r>
            <w:r>
              <w:rPr>
                <w:rFonts w:hint="eastAsia" w:ascii="宋体" w:hAnsi="宋体"/>
                <w:color w:val="auto"/>
                <w:sz w:val="21"/>
                <w:szCs w:val="21"/>
              </w:rPr>
              <w:t>文件递交截止日前半年时间内连续不少于三个月）。</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420" w:firstLineChars="200"/>
              <w:textAlignment w:val="auto"/>
              <w:rPr>
                <w:rFonts w:hint="eastAsia" w:ascii="宋体" w:hAnsi="宋体" w:cs="宋体"/>
                <w:color w:val="auto"/>
                <w:sz w:val="21"/>
                <w:szCs w:val="21"/>
              </w:rPr>
            </w:pPr>
            <w:r>
              <w:rPr>
                <w:rFonts w:hint="eastAsia" w:ascii="宋体" w:hAnsi="宋体"/>
                <w:color w:val="auto"/>
                <w:sz w:val="21"/>
                <w:szCs w:val="21"/>
              </w:rPr>
              <w:t>“拟委任的项目负责人资历表”还应附交通运输部“全国水运建设市场信用信息管理系统”中载明的、能够证明项目负责人（含备选，如有）具有相关业绩的网页截图复印件。除网页截图复印件外，投标人无须再提供任何业绩证明材料。如投标人未提供相关业绩网页截图复印件或相关业绩网页截图中的信息无法证实投标人满足招标文件规定的资格审查条件（项目负责人最低要求）</w:t>
            </w:r>
            <w:r>
              <w:rPr>
                <w:rFonts w:hint="eastAsia" w:ascii="宋体" w:hAnsi="宋体" w:cs="宋体"/>
                <w:color w:val="auto"/>
                <w:sz w:val="21"/>
                <w:szCs w:val="21"/>
              </w:rPr>
              <w:t>或评标办法评分标准（如有）</w:t>
            </w:r>
            <w:r>
              <w:rPr>
                <w:rFonts w:hint="eastAsia" w:ascii="宋体" w:hAnsi="宋体"/>
                <w:color w:val="auto"/>
                <w:sz w:val="21"/>
                <w:szCs w:val="21"/>
              </w:rPr>
              <w:t>，则该业绩不予认定。</w:t>
            </w:r>
          </w:p>
        </w:tc>
      </w:tr>
      <w:tr>
        <w:trPr>
          <w:gridAfter w:val="1"/>
          <w:wAfter w:w="9" w:type="dxa"/>
        </w:trPr>
        <w:tc>
          <w:tcPr>
            <w:tcW w:w="97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 w:val="21"/>
                <w:szCs w:val="21"/>
              </w:rPr>
            </w:pPr>
            <w:r>
              <w:rPr>
                <w:rFonts w:hint="eastAsia" w:ascii="宋体" w:hAnsi="宋体"/>
                <w:color w:val="auto"/>
                <w:sz w:val="21"/>
                <w:szCs w:val="21"/>
              </w:rPr>
              <w:t>10</w:t>
            </w:r>
          </w:p>
        </w:tc>
        <w:tc>
          <w:tcPr>
            <w:tcW w:w="803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在10.1款后增加如下条款：10.2款、10.3款、10.4款、10.5款、10.6款、10.7款。</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10.2信用等级的确定原则：</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  信用等级的确定原则：</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10.2.1 招标文件中的信用等级指的是</w:t>
            </w:r>
            <w:r>
              <w:rPr>
                <w:rFonts w:hint="eastAsia" w:ascii="宋体" w:hAnsi="宋体" w:cs="宋体"/>
                <w:color w:val="auto"/>
                <w:sz w:val="21"/>
                <w:szCs w:val="21"/>
                <w:lang w:eastAsia="zh-CN"/>
              </w:rPr>
              <w:t>湛江市</w:t>
            </w:r>
            <w:r>
              <w:rPr>
                <w:rFonts w:hint="eastAsia" w:ascii="宋体" w:hAnsi="宋体" w:cs="宋体"/>
                <w:color w:val="auto"/>
                <w:sz w:val="21"/>
                <w:szCs w:val="21"/>
              </w:rPr>
              <w:t>交通运输</w:t>
            </w:r>
            <w:r>
              <w:rPr>
                <w:rFonts w:hint="eastAsia" w:ascii="宋体" w:hAnsi="宋体" w:cs="宋体"/>
                <w:color w:val="auto"/>
                <w:sz w:val="21"/>
                <w:szCs w:val="21"/>
                <w:lang w:eastAsia="zh-CN"/>
              </w:rPr>
              <w:t>局</w:t>
            </w:r>
            <w:r>
              <w:rPr>
                <w:rFonts w:hint="eastAsia" w:ascii="宋体" w:hAnsi="宋体" w:cs="宋体"/>
                <w:color w:val="auto"/>
                <w:sz w:val="21"/>
                <w:szCs w:val="21"/>
              </w:rPr>
              <w:t>最新年度的信用评价结果。如无</w:t>
            </w:r>
            <w:r>
              <w:rPr>
                <w:rFonts w:hint="eastAsia" w:ascii="宋体" w:hAnsi="宋体" w:cs="宋体"/>
                <w:color w:val="auto"/>
                <w:sz w:val="21"/>
                <w:szCs w:val="21"/>
                <w:lang w:eastAsia="zh-CN"/>
              </w:rPr>
              <w:t>湛江市</w:t>
            </w:r>
            <w:r>
              <w:rPr>
                <w:rFonts w:hint="eastAsia" w:ascii="宋体" w:hAnsi="宋体" w:cs="宋体"/>
                <w:color w:val="auto"/>
                <w:sz w:val="21"/>
                <w:szCs w:val="21"/>
              </w:rPr>
              <w:t>最新年度信用等级而有上一年度</w:t>
            </w:r>
            <w:r>
              <w:rPr>
                <w:rFonts w:hint="eastAsia" w:ascii="宋体" w:hAnsi="宋体" w:cs="宋体"/>
                <w:color w:val="auto"/>
                <w:sz w:val="21"/>
                <w:szCs w:val="21"/>
                <w:lang w:eastAsia="zh-CN"/>
              </w:rPr>
              <w:t>湛江市</w:t>
            </w:r>
            <w:r>
              <w:rPr>
                <w:rFonts w:hint="eastAsia" w:ascii="宋体" w:hAnsi="宋体" w:cs="宋体"/>
                <w:color w:val="auto"/>
                <w:sz w:val="21"/>
                <w:szCs w:val="21"/>
              </w:rPr>
              <w:t>信用等级的，则其原信用等级可延续一年，但在递交投标文件时信用等级的使用次数应按上一年度公布的信用评价结果顺延上一年度的使用次数。具体使用次数有关规定如下：</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1.对于信用等级为AA级的从业单位:</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(1)仅最新一年度信用等级为AA级的从业单位在参加</w:t>
            </w:r>
            <w:r>
              <w:rPr>
                <w:rFonts w:hint="eastAsia" w:ascii="宋体" w:hAnsi="宋体" w:cs="宋体"/>
                <w:color w:val="auto"/>
                <w:sz w:val="21"/>
                <w:szCs w:val="21"/>
                <w:lang w:eastAsia="zh-CN"/>
              </w:rPr>
              <w:t>湛江市</w:t>
            </w:r>
            <w:r>
              <w:rPr>
                <w:rFonts w:hint="eastAsia" w:ascii="宋体" w:hAnsi="宋体" w:cs="宋体"/>
                <w:color w:val="auto"/>
                <w:sz w:val="21"/>
                <w:szCs w:val="21"/>
              </w:rPr>
              <w:t>水运工程建设项目投标活动（以递交资格预审申请文件或资格后审递交投标文件时间为准）时，可申请使用AA级分值8次，用完8次后信用等级分值将按A级分值取定；</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(2)连续最近两个年度信用等级为AA级的单位在参加</w:t>
            </w:r>
            <w:r>
              <w:rPr>
                <w:rFonts w:hint="eastAsia" w:ascii="宋体" w:hAnsi="宋体" w:cs="宋体"/>
                <w:color w:val="auto"/>
                <w:sz w:val="21"/>
                <w:szCs w:val="21"/>
                <w:lang w:eastAsia="zh-CN"/>
              </w:rPr>
              <w:t>湛江市</w:t>
            </w:r>
            <w:r>
              <w:rPr>
                <w:rFonts w:hint="eastAsia" w:ascii="宋体" w:hAnsi="宋体" w:cs="宋体"/>
                <w:color w:val="auto"/>
                <w:sz w:val="21"/>
                <w:szCs w:val="21"/>
              </w:rPr>
              <w:t>水运工程投标活动（以递交资格预审申请文件或资格后审递交投标文件时间为准）时，可申请使用AA级分值12次，用完12次后信用等级分值将按A级取定；</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2.对于信用等级为A级的从业单位:当年度信用等级A级单位在参加</w:t>
            </w:r>
            <w:r>
              <w:rPr>
                <w:rFonts w:hint="eastAsia" w:ascii="宋体" w:hAnsi="宋体" w:cs="宋体"/>
                <w:color w:val="auto"/>
                <w:sz w:val="21"/>
                <w:szCs w:val="21"/>
                <w:lang w:eastAsia="zh-CN"/>
              </w:rPr>
              <w:t>湛江市</w:t>
            </w:r>
            <w:r>
              <w:rPr>
                <w:rFonts w:hint="eastAsia" w:ascii="宋体" w:hAnsi="宋体" w:cs="宋体"/>
                <w:color w:val="auto"/>
                <w:sz w:val="21"/>
                <w:szCs w:val="21"/>
              </w:rPr>
              <w:t>水运工程建设项目招投标活动（以递交资格预审申请文件或资格后审递交投标文件时间为准）时，可申请使用A级分值12次，用完12次后信用等级分值将按B级分值取定。</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3.当年度信用等级为AA、A级的从业单位未承诺使用的信用等级分值的，AA级信用等级企业按A级对待、A级信用等级企业按B级对待。</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4.若从业企业在信用评价年度信用等级由AA降级为A级时，AA级信用等级已使用次数纳入A级信用等级使用次数合并累计。</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10.2.2信用等级延续1年后仍无信用评价等级的，按照初次进入</w:t>
            </w:r>
            <w:r>
              <w:rPr>
                <w:rFonts w:hint="eastAsia" w:ascii="宋体" w:hAnsi="宋体" w:cs="宋体"/>
                <w:color w:val="auto"/>
                <w:sz w:val="21"/>
                <w:szCs w:val="21"/>
                <w:lang w:eastAsia="zh-CN"/>
              </w:rPr>
              <w:t>湛江市</w:t>
            </w:r>
            <w:r>
              <w:rPr>
                <w:rFonts w:hint="eastAsia" w:ascii="宋体" w:hAnsi="宋体" w:cs="宋体"/>
                <w:color w:val="auto"/>
                <w:sz w:val="21"/>
                <w:szCs w:val="21"/>
              </w:rPr>
              <w:t>确定，原则上按B级对待，但下列情况除外：最新年度的</w:t>
            </w:r>
            <w:r>
              <w:rPr>
                <w:rFonts w:hint="eastAsia" w:ascii="宋体" w:hAnsi="宋体" w:cs="宋体"/>
                <w:color w:val="auto"/>
                <w:sz w:val="21"/>
                <w:szCs w:val="21"/>
                <w:lang w:eastAsia="zh-CN"/>
              </w:rPr>
              <w:t>广东省</w:t>
            </w:r>
            <w:r>
              <w:rPr>
                <w:rFonts w:hint="eastAsia" w:ascii="宋体" w:hAnsi="宋体" w:cs="宋体"/>
                <w:color w:val="auto"/>
                <w:sz w:val="21"/>
                <w:szCs w:val="21"/>
                <w:lang w:val="en-US" w:eastAsia="zh-CN"/>
              </w:rPr>
              <w:t>/全国</w:t>
            </w:r>
            <w:r>
              <w:rPr>
                <w:rFonts w:hint="eastAsia" w:ascii="宋体" w:hAnsi="宋体" w:cs="宋体"/>
                <w:color w:val="auto"/>
                <w:sz w:val="21"/>
                <w:szCs w:val="21"/>
              </w:rPr>
              <w:t>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单位）信用评价结果为C级或D级的，则按最新年度的</w:t>
            </w:r>
            <w:r>
              <w:rPr>
                <w:rFonts w:hint="eastAsia" w:ascii="宋体" w:hAnsi="宋体" w:cs="宋体"/>
                <w:color w:val="auto"/>
                <w:sz w:val="21"/>
                <w:szCs w:val="21"/>
                <w:lang w:eastAsia="zh-CN"/>
              </w:rPr>
              <w:t>广东省</w:t>
            </w:r>
            <w:r>
              <w:rPr>
                <w:rFonts w:hint="eastAsia" w:ascii="宋体" w:hAnsi="宋体" w:cs="宋体"/>
                <w:color w:val="auto"/>
                <w:sz w:val="21"/>
                <w:szCs w:val="21"/>
                <w:lang w:val="en-US" w:eastAsia="zh-CN"/>
              </w:rPr>
              <w:t>/全国</w:t>
            </w:r>
            <w:r>
              <w:rPr>
                <w:rFonts w:hint="eastAsia" w:ascii="宋体" w:hAnsi="宋体" w:cs="宋体"/>
                <w:color w:val="auto"/>
                <w:sz w:val="21"/>
                <w:szCs w:val="21"/>
              </w:rPr>
              <w:t>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单位）信用评价结果对待；或最新年度的</w:t>
            </w:r>
            <w:r>
              <w:rPr>
                <w:rFonts w:hint="eastAsia" w:ascii="宋体" w:hAnsi="宋体" w:cs="宋体"/>
                <w:color w:val="auto"/>
                <w:sz w:val="21"/>
                <w:szCs w:val="21"/>
                <w:lang w:eastAsia="zh-CN"/>
              </w:rPr>
              <w:t>广东省</w:t>
            </w:r>
            <w:r>
              <w:rPr>
                <w:rFonts w:hint="eastAsia" w:ascii="宋体" w:hAnsi="宋体" w:cs="宋体"/>
                <w:color w:val="auto"/>
                <w:sz w:val="21"/>
                <w:szCs w:val="21"/>
                <w:lang w:val="en-US" w:eastAsia="zh-CN"/>
              </w:rPr>
              <w:t>/</w:t>
            </w:r>
            <w:r>
              <w:rPr>
                <w:rFonts w:hint="eastAsia" w:ascii="宋体" w:hAnsi="宋体" w:cs="宋体"/>
                <w:color w:val="auto"/>
                <w:sz w:val="21"/>
                <w:szCs w:val="21"/>
              </w:rPr>
              <w:t>全国水运从业单位（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单位）信用评价结果未被评为C级或D级的，但在</w:t>
            </w:r>
            <w:r>
              <w:rPr>
                <w:rFonts w:hint="eastAsia" w:ascii="宋体" w:hAnsi="宋体" w:cs="宋体"/>
                <w:color w:val="auto"/>
                <w:sz w:val="21"/>
                <w:szCs w:val="21"/>
                <w:lang w:eastAsia="zh-CN"/>
              </w:rPr>
              <w:t>湛江市</w:t>
            </w:r>
            <w:r>
              <w:rPr>
                <w:rFonts w:hint="eastAsia" w:ascii="宋体" w:hAnsi="宋体" w:cs="宋体"/>
                <w:color w:val="auto"/>
                <w:sz w:val="21"/>
                <w:szCs w:val="21"/>
              </w:rPr>
              <w:t>最近年度原评价等级为D级的，则按C级对待。</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10.2.3 AA、A级单位是指使用</w:t>
            </w:r>
            <w:r>
              <w:rPr>
                <w:rFonts w:hint="eastAsia" w:ascii="宋体" w:hAnsi="宋体" w:cs="宋体"/>
                <w:color w:val="auto"/>
                <w:sz w:val="21"/>
                <w:szCs w:val="21"/>
                <w:lang w:eastAsia="zh-CN"/>
              </w:rPr>
              <w:t>湛江市</w:t>
            </w:r>
            <w:r>
              <w:rPr>
                <w:rFonts w:hint="eastAsia" w:ascii="宋体" w:hAnsi="宋体" w:cs="宋体"/>
                <w:color w:val="auto"/>
                <w:sz w:val="21"/>
                <w:szCs w:val="21"/>
              </w:rPr>
              <w:t>信用评价等级申请承诺书的单位。提交申请承诺书未使用AA、A时，在评标过程中，AA级信用等级企业按A级对待、A级信用等级企业按B级对待。</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10.2.4 在招标评标中，信用评价等级采用按次、按标段或标类申请使用的原则，即在同一次招标中的多个标段的投标，可自愿对其中部分或全部标段申请使用AA或A信用等级，无论中标与否，均应根据申请递交投标（或申请）文件情况按标段计算使用次数（非投标人原因导致招标失败的情况除外）。</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s="宋体"/>
                <w:color w:val="auto"/>
                <w:sz w:val="21"/>
                <w:szCs w:val="21"/>
              </w:rPr>
            </w:pPr>
            <w:r>
              <w:rPr>
                <w:rFonts w:hint="eastAsia" w:ascii="宋体" w:hAnsi="宋体" w:cs="宋体"/>
                <w:color w:val="auto"/>
                <w:sz w:val="21"/>
                <w:szCs w:val="21"/>
              </w:rPr>
              <w:t>10.2.5以联合体形式投标的，信用等级以联合体中信用等级较低的为准。如联合体成员中存在不属于</w:t>
            </w:r>
            <w:r>
              <w:rPr>
                <w:rFonts w:hint="eastAsia" w:ascii="宋体" w:hAnsi="宋体" w:cs="宋体"/>
                <w:color w:val="auto"/>
                <w:sz w:val="21"/>
                <w:szCs w:val="21"/>
                <w:lang w:eastAsia="zh-CN"/>
              </w:rPr>
              <w:t>湛江市</w:t>
            </w:r>
            <w:r>
              <w:rPr>
                <w:rFonts w:hint="eastAsia" w:ascii="宋体" w:hAnsi="宋体" w:cs="宋体"/>
                <w:color w:val="auto"/>
                <w:sz w:val="21"/>
                <w:szCs w:val="21"/>
              </w:rPr>
              <w:t>水运工程从业企业信用评价体系的参评范围的单位，其信用评价等级视为B级。</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bCs/>
                <w:color w:val="auto"/>
                <w:sz w:val="21"/>
                <w:szCs w:val="21"/>
              </w:rPr>
            </w:pPr>
            <w:r>
              <w:rPr>
                <w:rFonts w:hint="eastAsia" w:ascii="宋体" w:hAnsi="宋体" w:cs="宋体"/>
                <w:color w:val="auto"/>
                <w:sz w:val="21"/>
                <w:szCs w:val="21"/>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tc>
      </w:tr>
      <w:tr>
        <w:trPr>
          <w:gridAfter w:val="1"/>
          <w:wAfter w:w="9" w:type="dxa"/>
        </w:trPr>
        <w:tc>
          <w:tcPr>
            <w:tcW w:w="973" w:type="dxa"/>
            <w:vMerge w:val="continue"/>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 w:val="21"/>
                <w:szCs w:val="21"/>
              </w:rPr>
            </w:pPr>
          </w:p>
        </w:tc>
        <w:tc>
          <w:tcPr>
            <w:tcW w:w="803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olor w:val="auto"/>
                <w:sz w:val="21"/>
                <w:szCs w:val="21"/>
                <w:lang w:val="en-US"/>
              </w:rPr>
            </w:pPr>
            <w:r>
              <w:rPr>
                <w:rFonts w:hint="eastAsia" w:ascii="宋体" w:hAnsi="宋体"/>
                <w:color w:val="auto"/>
                <w:sz w:val="21"/>
                <w:szCs w:val="21"/>
                <w:lang w:val="en-US"/>
              </w:rPr>
              <w:t>10.4 如果开标后至中标通知书发出前，第一中标候选人发生投标人须知1.4.4（1）至（7）的情形及中标候选人信用等级被</w:t>
            </w:r>
            <w:r>
              <w:rPr>
                <w:rFonts w:hint="eastAsia" w:ascii="宋体" w:hAnsi="宋体"/>
                <w:color w:val="auto"/>
                <w:sz w:val="21"/>
                <w:szCs w:val="21"/>
                <w:lang w:val="en-US" w:eastAsia="zh-CN"/>
              </w:rPr>
              <w:t>湛江市</w:t>
            </w:r>
            <w:r>
              <w:rPr>
                <w:rFonts w:hint="eastAsia" w:ascii="宋体" w:hAnsi="宋体"/>
                <w:color w:val="auto"/>
                <w:sz w:val="21"/>
                <w:szCs w:val="21"/>
                <w:lang w:val="en-US"/>
              </w:rPr>
              <w:t>交通运输</w:t>
            </w:r>
            <w:r>
              <w:rPr>
                <w:rFonts w:hint="eastAsia" w:ascii="宋体" w:hAnsi="宋体"/>
                <w:color w:val="auto"/>
                <w:sz w:val="21"/>
                <w:szCs w:val="21"/>
                <w:lang w:val="en-US" w:eastAsia="zh-CN"/>
              </w:rPr>
              <w:t>局</w:t>
            </w:r>
            <w:r>
              <w:rPr>
                <w:rFonts w:hint="eastAsia" w:ascii="宋体" w:hAnsi="宋体"/>
                <w:color w:val="auto"/>
                <w:sz w:val="21"/>
                <w:szCs w:val="21"/>
                <w:lang w:val="en-US"/>
              </w:rPr>
              <w:t>直接降为D级的情形，则取消其中标资格，招标人按推荐中标候选人排名顺序依次确定中标人，或重新组织招标。</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olor w:val="auto"/>
                <w:sz w:val="21"/>
                <w:szCs w:val="21"/>
                <w:lang w:val="en-US"/>
              </w:rPr>
            </w:pPr>
            <w:r>
              <w:rPr>
                <w:rFonts w:hint="eastAsia" w:ascii="宋体" w:hAnsi="宋体"/>
                <w:color w:val="auto"/>
                <w:sz w:val="21"/>
                <w:szCs w:val="21"/>
                <w:lang w:val="en-US"/>
              </w:rPr>
              <w:t>10.5本招标文件中所有“类似工程”</w:t>
            </w:r>
            <w:r>
              <w:rPr>
                <w:rStyle w:val="101"/>
                <w:rFonts w:hint="eastAsia" w:ascii="宋体" w:hAnsi="宋体" w:cs="Times New Roman"/>
                <w:color w:val="auto"/>
                <w:sz w:val="30"/>
                <w:lang w:val="en-US"/>
              </w:rPr>
              <w:footnoteReference w:id="45"/>
            </w:r>
            <w:r>
              <w:rPr>
                <w:rFonts w:hint="eastAsia" w:ascii="宋体" w:hAnsi="宋体"/>
                <w:color w:val="auto"/>
                <w:sz w:val="21"/>
                <w:szCs w:val="21"/>
                <w:lang w:val="en-US"/>
              </w:rPr>
              <w:t>均指</w:t>
            </w:r>
            <w:r>
              <w:rPr>
                <w:rFonts w:hint="eastAsia" w:ascii="宋体" w:hAnsi="宋体"/>
                <w:color w:val="auto"/>
                <w:sz w:val="21"/>
                <w:szCs w:val="21"/>
                <w:u w:val="single"/>
                <w:lang w:val="en-US"/>
              </w:rPr>
              <w:t>新建或改、扩建（技术规模）水运勘察或设计或勘察设计</w:t>
            </w:r>
            <w:r>
              <w:rPr>
                <w:rFonts w:hint="eastAsia" w:ascii="宋体" w:hAnsi="宋体"/>
                <w:color w:val="auto"/>
                <w:sz w:val="21"/>
                <w:szCs w:val="21"/>
                <w:lang w:val="en-US"/>
              </w:rPr>
              <w:t>项目。</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420" w:firstLineChars="200"/>
              <w:textAlignment w:val="auto"/>
              <w:rPr>
                <w:rFonts w:hint="eastAsia" w:ascii="宋体" w:hAnsi="宋体"/>
                <w:color w:val="auto"/>
                <w:sz w:val="21"/>
                <w:szCs w:val="21"/>
                <w:lang w:val="en-US"/>
              </w:rPr>
            </w:pPr>
            <w:r>
              <w:rPr>
                <w:rFonts w:hint="eastAsia" w:ascii="宋体" w:hAnsi="宋体"/>
                <w:color w:val="auto"/>
                <w:sz w:val="21"/>
                <w:szCs w:val="21"/>
                <w:lang w:val="en-US"/>
              </w:rPr>
              <w:t>10.6若投标人在递交投标文件期间，出现采取不正当手段妨碍其他投标人投标的过激行为，或出现在开标会现场扰乱招投标市场秩序的行为，招标人有权将投标人此行为上报省级交通主管部门，作为不良记录。</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ind w:left="48" w:leftChars="20" w:right="48" w:rightChars="20" w:firstLine="315" w:firstLineChars="150"/>
              <w:textAlignment w:val="auto"/>
              <w:rPr>
                <w:rFonts w:hint="eastAsia" w:ascii="宋体" w:hAnsi="宋体"/>
                <w:color w:val="auto"/>
                <w:sz w:val="21"/>
                <w:szCs w:val="21"/>
                <w:lang w:val="en-US"/>
              </w:rPr>
            </w:pPr>
            <w:r>
              <w:rPr>
                <w:rFonts w:hint="eastAsia" w:ascii="宋体" w:hAnsi="宋体"/>
                <w:color w:val="auto"/>
                <w:sz w:val="21"/>
                <w:szCs w:val="21"/>
                <w:lang w:val="en-US"/>
              </w:rPr>
              <w:t>10.7同时对两个及两个以上标段进行投标的投标人，不能使用同一套人员。（如果最终只允许中一个标段，则允许使用同一套人员）。</w:t>
            </w:r>
          </w:p>
        </w:tc>
      </w:tr>
      <w:tr>
        <w:trPr>
          <w:gridAfter w:val="1"/>
          <w:wAfter w:w="9" w:type="dxa"/>
        </w:trPr>
        <w:tc>
          <w:tcPr>
            <w:tcW w:w="973"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lang w:val="en-US"/>
              </w:rPr>
            </w:pPr>
            <w:r>
              <w:rPr>
                <w:rFonts w:hint="eastAsia" w:ascii="宋体" w:hAnsi="宋体"/>
                <w:color w:val="auto"/>
                <w:sz w:val="21"/>
                <w:szCs w:val="21"/>
                <w:lang w:val="en-US"/>
              </w:rPr>
              <w:t>...</w:t>
            </w:r>
          </w:p>
        </w:tc>
        <w:tc>
          <w:tcPr>
            <w:tcW w:w="803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141" w:rightChars="59" w:firstLine="315" w:firstLineChars="150"/>
              <w:rPr>
                <w:rFonts w:hint="default" w:ascii="宋体" w:hAnsi="宋体"/>
                <w:color w:val="auto"/>
                <w:sz w:val="21"/>
                <w:szCs w:val="21"/>
                <w:lang w:val="en-US"/>
              </w:rPr>
            </w:pPr>
            <w:r>
              <w:rPr>
                <w:rFonts w:hint="eastAsia" w:ascii="宋体" w:hAnsi="宋体"/>
                <w:color w:val="auto"/>
                <w:sz w:val="21"/>
                <w:szCs w:val="21"/>
                <w:lang w:val="en-US"/>
              </w:rPr>
              <w:t>...</w:t>
            </w:r>
          </w:p>
        </w:tc>
      </w:tr>
    </w:tbl>
    <w:p>
      <w:pPr>
        <w:pStyle w:val="84"/>
        <w:snapToGrid w:val="0"/>
        <w:spacing w:line="360" w:lineRule="auto"/>
        <w:outlineLvl w:val="1"/>
        <w:rPr>
          <w:rFonts w:hint="eastAsia" w:ascii="宋体" w:hAnsi="宋体"/>
          <w:bCs/>
          <w:sz w:val="24"/>
          <w:szCs w:val="16"/>
          <w:vertAlign w:val="superscript"/>
        </w:rPr>
      </w:pPr>
      <w:r>
        <w:rPr>
          <w:rFonts w:ascii="宋体" w:hAnsi="宋体"/>
          <w:sz w:val="28"/>
          <w:szCs w:val="28"/>
        </w:rPr>
        <w:br w:type="page"/>
      </w:r>
      <w:r>
        <w:rPr>
          <w:rFonts w:ascii="宋体" w:hAnsi="宋体"/>
          <w:bCs/>
          <w:sz w:val="24"/>
          <w:szCs w:val="16"/>
        </w:rPr>
        <w:t>附录1 资格审查条件(资质最低条件)</w:t>
      </w:r>
      <w:r>
        <w:rPr>
          <w:bCs/>
          <w:sz w:val="24"/>
          <w:szCs w:val="16"/>
        </w:rPr>
        <w:t xml:space="preserve"> </w:t>
      </w:r>
      <w:r>
        <w:rPr>
          <w:rStyle w:val="101"/>
          <w:rFonts w:hint="eastAsia" w:ascii="宋体" w:hAnsi="宋体"/>
          <w:b w:val="0"/>
          <w:sz w:val="30"/>
          <w:szCs w:val="24"/>
          <w:lang w:val="en-US" w:eastAsia="zh-CN"/>
        </w:rPr>
        <w:footnoteReference w:id="46"/>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3"/>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933" w:type="dxa"/>
            <w:vMerge w:val="restart"/>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标段类别</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lang w:val="en-US"/>
              </w:rPr>
              <w:t>勘察设计</w:t>
            </w:r>
            <w:r>
              <w:rPr>
                <w:rFonts w:hint="eastAsia" w:ascii="宋体" w:hAnsi="宋体" w:cs="宋体"/>
                <w:color w:val="auto"/>
                <w:sz w:val="21"/>
                <w:szCs w:val="21"/>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933"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同时具备以下资质：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93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bCs/>
                <w:color w:val="auto"/>
                <w:spacing w:val="-4"/>
                <w:sz w:val="21"/>
                <w:szCs w:val="21"/>
              </w:rPr>
            </w:pPr>
            <w:r>
              <w:rPr>
                <w:rFonts w:hint="eastAsia" w:ascii="宋体" w:hAnsi="宋体" w:cs="宋体"/>
                <w:bCs/>
                <w:color w:val="auto"/>
                <w:spacing w:val="-4"/>
                <w:sz w:val="21"/>
                <w:szCs w:val="21"/>
              </w:rPr>
              <w:t>A类</w:t>
            </w:r>
          </w:p>
          <w:p>
            <w:pPr>
              <w:keepNext w:val="0"/>
              <w:keepLines w:val="0"/>
              <w:suppressLineNumbers w:val="0"/>
              <w:snapToGrid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bCs/>
                <w:color w:val="auto"/>
                <w:spacing w:val="-4"/>
                <w:sz w:val="21"/>
                <w:szCs w:val="21"/>
              </w:rPr>
              <w:t>（港口工程）</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lang w:val="en-US"/>
              </w:rPr>
              <w:t>工程勘察综合类甲级资质或工程勘察专业类</w:t>
            </w:r>
            <w:r>
              <w:rPr>
                <w:rFonts w:hint="eastAsia" w:ascii="宋体" w:hAnsi="宋体" w:cs="宋体"/>
                <w:color w:val="auto"/>
                <w:sz w:val="21"/>
                <w:szCs w:val="21"/>
                <w:u w:val="single"/>
                <w:lang w:val="en-US"/>
              </w:rPr>
              <w:t>（   ）</w:t>
            </w:r>
            <w:r>
              <w:rPr>
                <w:rFonts w:hint="eastAsia" w:ascii="宋体" w:hAnsi="宋体" w:cs="宋体"/>
                <w:color w:val="auto"/>
                <w:sz w:val="21"/>
                <w:szCs w:val="21"/>
                <w:lang w:val="en-US"/>
              </w:rPr>
              <w:t>级资质；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lang w:val="en-US"/>
              </w:rPr>
              <w:t>（2）工程设计综合甲级资质或工程设计水运行业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级资质或工程设计水运行业</w:t>
            </w:r>
            <w:r>
              <w:rPr>
                <w:rFonts w:hint="eastAsia" w:ascii="宋体" w:hAnsi="宋体" w:cs="宋体"/>
                <w:color w:val="auto"/>
                <w:sz w:val="21"/>
                <w:szCs w:val="21"/>
                <w:u w:val="single"/>
                <w:lang w:val="en-US"/>
              </w:rPr>
              <w:t>（港口工程）</w:t>
            </w:r>
            <w:r>
              <w:rPr>
                <w:rFonts w:hint="eastAsia" w:ascii="宋体" w:hAnsi="宋体" w:cs="宋体"/>
                <w:color w:val="auto"/>
                <w:sz w:val="21"/>
                <w:szCs w:val="21"/>
                <w:lang w:val="en-US"/>
              </w:rPr>
              <w:t>专业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93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bCs/>
                <w:color w:val="auto"/>
                <w:spacing w:val="-4"/>
                <w:sz w:val="21"/>
                <w:szCs w:val="21"/>
              </w:rPr>
            </w:pPr>
            <w:r>
              <w:rPr>
                <w:rFonts w:hint="eastAsia" w:ascii="宋体" w:hAnsi="宋体" w:cs="宋体"/>
                <w:bCs/>
                <w:color w:val="auto"/>
                <w:spacing w:val="-4"/>
                <w:sz w:val="21"/>
                <w:szCs w:val="21"/>
              </w:rPr>
              <w:t>B类</w:t>
            </w:r>
          </w:p>
          <w:p>
            <w:pPr>
              <w:keepNext w:val="0"/>
              <w:keepLines w:val="0"/>
              <w:suppressLineNumbers w:val="0"/>
              <w:snapToGrid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bCs/>
                <w:color w:val="auto"/>
                <w:spacing w:val="-4"/>
                <w:sz w:val="21"/>
                <w:szCs w:val="21"/>
              </w:rPr>
              <w:t>（</w:t>
            </w:r>
            <w:r>
              <w:rPr>
                <w:rFonts w:hint="eastAsia" w:ascii="宋体" w:hAnsi="宋体" w:cs="宋体"/>
                <w:bCs/>
                <w:color w:val="auto"/>
                <w:spacing w:val="-4"/>
                <w:kern w:val="2"/>
                <w:sz w:val="21"/>
                <w:szCs w:val="21"/>
                <w:lang w:val="en-US"/>
              </w:rPr>
              <w:t>航道工程</w:t>
            </w:r>
            <w:r>
              <w:rPr>
                <w:rFonts w:hint="eastAsia" w:ascii="宋体" w:hAnsi="宋体" w:cs="宋体"/>
                <w:bCs/>
                <w:color w:val="auto"/>
                <w:spacing w:val="-4"/>
                <w:sz w:val="21"/>
                <w:szCs w:val="21"/>
              </w:rPr>
              <w:t>）</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lang w:val="en-US"/>
              </w:rPr>
              <w:t>工程勘察综合类甲级资质或工程勘察专业类</w:t>
            </w:r>
            <w:r>
              <w:rPr>
                <w:rFonts w:hint="eastAsia" w:ascii="宋体" w:hAnsi="宋体" w:cs="宋体"/>
                <w:color w:val="auto"/>
                <w:sz w:val="21"/>
                <w:szCs w:val="21"/>
                <w:u w:val="single"/>
                <w:lang w:val="en-US"/>
              </w:rPr>
              <w:t>（   ）</w:t>
            </w:r>
            <w:r>
              <w:rPr>
                <w:rFonts w:hint="eastAsia" w:ascii="宋体" w:hAnsi="宋体" w:cs="宋体"/>
                <w:color w:val="auto"/>
                <w:sz w:val="21"/>
                <w:szCs w:val="21"/>
                <w:lang w:val="en-US"/>
              </w:rPr>
              <w:t>级资质；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（2）工程设计综合甲级资质或工程设计水运行业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级资质或工程设计水运行业</w:t>
            </w:r>
            <w:r>
              <w:rPr>
                <w:rFonts w:hint="eastAsia" w:ascii="宋体" w:hAnsi="宋体" w:cs="宋体"/>
                <w:color w:val="auto"/>
                <w:sz w:val="21"/>
                <w:szCs w:val="21"/>
                <w:u w:val="single"/>
                <w:lang w:val="en-US"/>
              </w:rPr>
              <w:t>（航道工程）</w:t>
            </w:r>
            <w:r>
              <w:rPr>
                <w:rFonts w:hint="eastAsia" w:ascii="宋体" w:hAnsi="宋体" w:cs="宋体"/>
                <w:color w:val="auto"/>
                <w:sz w:val="21"/>
                <w:szCs w:val="21"/>
                <w:lang w:val="en-US"/>
              </w:rPr>
              <w:t>专业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93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bCs/>
                <w:color w:val="auto"/>
                <w:spacing w:val="-4"/>
                <w:sz w:val="21"/>
                <w:szCs w:val="21"/>
              </w:rPr>
            </w:pPr>
            <w:r>
              <w:rPr>
                <w:rFonts w:hint="eastAsia" w:ascii="宋体" w:hAnsi="宋体" w:cs="宋体"/>
                <w:bCs/>
                <w:color w:val="auto"/>
                <w:spacing w:val="-4"/>
                <w:sz w:val="21"/>
                <w:szCs w:val="21"/>
              </w:rPr>
              <w:t>C类</w:t>
            </w:r>
          </w:p>
          <w:p>
            <w:pPr>
              <w:keepNext w:val="0"/>
              <w:keepLines w:val="0"/>
              <w:suppressLineNumbers w:val="0"/>
              <w:snapToGrid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bCs/>
                <w:color w:val="auto"/>
                <w:spacing w:val="-4"/>
                <w:sz w:val="21"/>
                <w:szCs w:val="21"/>
              </w:rPr>
              <w:t>（</w:t>
            </w:r>
            <w:r>
              <w:rPr>
                <w:rFonts w:hint="eastAsia" w:ascii="宋体" w:hAnsi="宋体" w:cs="宋体"/>
                <w:bCs/>
                <w:color w:val="auto"/>
                <w:spacing w:val="-4"/>
                <w:kern w:val="2"/>
                <w:sz w:val="21"/>
                <w:szCs w:val="21"/>
                <w:lang w:val="en-US"/>
              </w:rPr>
              <w:t>修造船厂水工工程</w:t>
            </w:r>
            <w:r>
              <w:rPr>
                <w:rFonts w:hint="eastAsia" w:ascii="宋体" w:hAnsi="宋体" w:cs="宋体"/>
                <w:bCs/>
                <w:color w:val="auto"/>
                <w:spacing w:val="-4"/>
                <w:sz w:val="21"/>
                <w:szCs w:val="21"/>
              </w:rPr>
              <w:t>）</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lang w:val="en-US"/>
              </w:rPr>
              <w:t>工程勘察综合类甲级资质或工程勘察专业类</w:t>
            </w:r>
            <w:r>
              <w:rPr>
                <w:rFonts w:hint="eastAsia" w:ascii="宋体" w:hAnsi="宋体" w:cs="宋体"/>
                <w:color w:val="auto"/>
                <w:sz w:val="21"/>
                <w:szCs w:val="21"/>
                <w:u w:val="single"/>
                <w:lang w:val="en-US"/>
              </w:rPr>
              <w:t>（   ）</w:t>
            </w:r>
            <w:r>
              <w:rPr>
                <w:rFonts w:hint="eastAsia" w:ascii="宋体" w:hAnsi="宋体" w:cs="宋体"/>
                <w:color w:val="auto"/>
                <w:sz w:val="21"/>
                <w:szCs w:val="21"/>
                <w:lang w:val="en-US"/>
              </w:rPr>
              <w:t>级资质；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（2）工程设计综合甲级资质或工程设计水运行业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级资质或工程设计水运行业</w:t>
            </w:r>
            <w:r>
              <w:rPr>
                <w:rFonts w:hint="eastAsia" w:ascii="宋体" w:hAnsi="宋体" w:cs="宋体"/>
                <w:color w:val="auto"/>
                <w:sz w:val="21"/>
                <w:szCs w:val="21"/>
                <w:u w:val="single"/>
                <w:lang w:val="en-US"/>
              </w:rPr>
              <w:t>（修造船厂水工工程）</w:t>
            </w:r>
            <w:r>
              <w:rPr>
                <w:rFonts w:hint="eastAsia" w:ascii="宋体" w:hAnsi="宋体" w:cs="宋体"/>
                <w:color w:val="auto"/>
                <w:sz w:val="21"/>
                <w:szCs w:val="21"/>
                <w:lang w:val="en-US"/>
              </w:rPr>
              <w:t>专业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93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bCs/>
                <w:color w:val="auto"/>
                <w:spacing w:val="-4"/>
                <w:sz w:val="21"/>
                <w:szCs w:val="21"/>
              </w:rPr>
            </w:pPr>
            <w:r>
              <w:rPr>
                <w:rFonts w:hint="eastAsia" w:ascii="宋体" w:hAnsi="宋体" w:cs="宋体"/>
                <w:bCs/>
                <w:color w:val="auto"/>
                <w:spacing w:val="-4"/>
                <w:sz w:val="21"/>
                <w:szCs w:val="21"/>
              </w:rPr>
              <w:t>D类</w:t>
            </w:r>
          </w:p>
          <w:p>
            <w:pPr>
              <w:keepNext w:val="0"/>
              <w:keepLines w:val="0"/>
              <w:suppressLineNumbers w:val="0"/>
              <w:snapToGrid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bCs/>
                <w:color w:val="auto"/>
                <w:spacing w:val="-4"/>
                <w:sz w:val="21"/>
                <w:szCs w:val="21"/>
              </w:rPr>
              <w:t>（</w:t>
            </w:r>
            <w:r>
              <w:rPr>
                <w:rFonts w:hint="eastAsia" w:ascii="宋体" w:hAnsi="宋体" w:cs="宋体"/>
                <w:bCs/>
                <w:color w:val="auto"/>
                <w:spacing w:val="-4"/>
                <w:kern w:val="2"/>
                <w:sz w:val="21"/>
                <w:szCs w:val="21"/>
                <w:lang w:val="en-US"/>
              </w:rPr>
              <w:t>通航建筑工程</w:t>
            </w:r>
            <w:r>
              <w:rPr>
                <w:rFonts w:hint="eastAsia" w:ascii="宋体" w:hAnsi="宋体" w:cs="宋体"/>
                <w:bCs/>
                <w:color w:val="auto"/>
                <w:spacing w:val="-4"/>
                <w:sz w:val="21"/>
                <w:szCs w:val="21"/>
              </w:rPr>
              <w:t>）</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lang w:val="en-US"/>
              </w:rPr>
              <w:t>工程勘察综合类甲级资质或工程勘察专业类</w:t>
            </w:r>
            <w:r>
              <w:rPr>
                <w:rFonts w:hint="eastAsia" w:ascii="宋体" w:hAnsi="宋体" w:cs="宋体"/>
                <w:color w:val="auto"/>
                <w:sz w:val="21"/>
                <w:szCs w:val="21"/>
                <w:u w:val="single"/>
                <w:lang w:val="en-US"/>
              </w:rPr>
              <w:t>（   ）</w:t>
            </w:r>
            <w:r>
              <w:rPr>
                <w:rFonts w:hint="eastAsia" w:ascii="宋体" w:hAnsi="宋体" w:cs="宋体"/>
                <w:color w:val="auto"/>
                <w:sz w:val="21"/>
                <w:szCs w:val="21"/>
                <w:lang w:val="en-US"/>
              </w:rPr>
              <w:t>级资质；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（2）工程设计综合甲级资质或工程设计水运行业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级资质或工程设计水运行业</w:t>
            </w:r>
            <w:r>
              <w:rPr>
                <w:rFonts w:hint="eastAsia" w:ascii="宋体" w:hAnsi="宋体" w:cs="宋体"/>
                <w:color w:val="auto"/>
                <w:sz w:val="21"/>
                <w:szCs w:val="21"/>
                <w:u w:val="single"/>
                <w:lang w:val="en-US"/>
              </w:rPr>
              <w:t>（通航建筑工程）</w:t>
            </w:r>
            <w:r>
              <w:rPr>
                <w:rFonts w:hint="eastAsia" w:ascii="宋体" w:hAnsi="宋体" w:cs="宋体"/>
                <w:color w:val="auto"/>
                <w:sz w:val="21"/>
                <w:szCs w:val="21"/>
                <w:lang w:val="en-US"/>
              </w:rPr>
              <w:t>专业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93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bCs/>
                <w:color w:val="auto"/>
                <w:spacing w:val="-4"/>
                <w:sz w:val="21"/>
                <w:szCs w:val="21"/>
              </w:rPr>
            </w:pPr>
            <w:r>
              <w:rPr>
                <w:rFonts w:hint="eastAsia" w:ascii="宋体" w:hAnsi="宋体" w:cs="宋体"/>
                <w:bCs/>
                <w:color w:val="auto"/>
                <w:spacing w:val="-4"/>
                <w:sz w:val="21"/>
                <w:szCs w:val="21"/>
                <w:lang w:val="en-US"/>
              </w:rPr>
              <w:t>E</w:t>
            </w:r>
            <w:r>
              <w:rPr>
                <w:rFonts w:hint="eastAsia" w:ascii="宋体" w:hAnsi="宋体" w:cs="宋体"/>
                <w:bCs/>
                <w:color w:val="auto"/>
                <w:spacing w:val="-4"/>
                <w:sz w:val="21"/>
                <w:szCs w:val="21"/>
              </w:rPr>
              <w:t>类</w:t>
            </w:r>
          </w:p>
          <w:p>
            <w:pPr>
              <w:keepNext w:val="0"/>
              <w:keepLines w:val="0"/>
              <w:suppressLineNumbers w:val="0"/>
              <w:snapToGrid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bCs/>
                <w:color w:val="auto"/>
                <w:spacing w:val="-4"/>
                <w:sz w:val="21"/>
                <w:szCs w:val="21"/>
              </w:rPr>
              <w:t>（</w:t>
            </w:r>
            <w:r>
              <w:rPr>
                <w:rFonts w:hint="eastAsia" w:ascii="宋体" w:hAnsi="宋体" w:cs="宋体"/>
                <w:bCs/>
                <w:color w:val="auto"/>
                <w:spacing w:val="-4"/>
                <w:kern w:val="2"/>
                <w:sz w:val="21"/>
                <w:szCs w:val="21"/>
                <w:lang w:val="en-US"/>
              </w:rPr>
              <w:t>水上交通管制工程</w:t>
            </w:r>
            <w:r>
              <w:rPr>
                <w:rFonts w:hint="eastAsia" w:ascii="宋体" w:hAnsi="宋体" w:cs="宋体"/>
                <w:bCs/>
                <w:color w:val="auto"/>
                <w:spacing w:val="-4"/>
                <w:sz w:val="21"/>
                <w:szCs w:val="21"/>
              </w:rPr>
              <w:t>）</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lang w:val="en-US"/>
              </w:rPr>
              <w:t>工程勘察综合类甲级资质或工程勘察专业类</w:t>
            </w:r>
            <w:r>
              <w:rPr>
                <w:rFonts w:hint="eastAsia" w:ascii="宋体" w:hAnsi="宋体" w:cs="宋体"/>
                <w:color w:val="auto"/>
                <w:sz w:val="21"/>
                <w:szCs w:val="21"/>
                <w:u w:val="single"/>
                <w:lang w:val="en-US"/>
              </w:rPr>
              <w:t>（   ）</w:t>
            </w:r>
            <w:r>
              <w:rPr>
                <w:rFonts w:hint="eastAsia" w:ascii="宋体" w:hAnsi="宋体" w:cs="宋体"/>
                <w:color w:val="auto"/>
                <w:sz w:val="21"/>
                <w:szCs w:val="21"/>
                <w:lang w:val="en-US"/>
              </w:rPr>
              <w:t>级资质；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（2）工程设计综合甲级资质或工程设计水运行业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级资质或工程设计水运行业</w:t>
            </w:r>
            <w:r>
              <w:rPr>
                <w:rFonts w:hint="eastAsia" w:ascii="宋体" w:hAnsi="宋体" w:cs="宋体"/>
                <w:color w:val="auto"/>
                <w:sz w:val="21"/>
                <w:szCs w:val="21"/>
                <w:u w:val="single"/>
                <w:lang w:val="en-US"/>
              </w:rPr>
              <w:t>（水上交通管制工程）</w:t>
            </w:r>
            <w:r>
              <w:rPr>
                <w:rFonts w:hint="eastAsia" w:ascii="宋体" w:hAnsi="宋体" w:cs="宋体"/>
                <w:color w:val="auto"/>
                <w:sz w:val="21"/>
                <w:szCs w:val="21"/>
                <w:lang w:val="en-US"/>
              </w:rPr>
              <w:t>专业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933"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bCs/>
                <w:color w:val="auto"/>
                <w:spacing w:val="-4"/>
                <w:sz w:val="21"/>
                <w:szCs w:val="21"/>
              </w:rPr>
            </w:pPr>
            <w:r>
              <w:rPr>
                <w:rFonts w:hint="eastAsia" w:ascii="宋体" w:hAnsi="宋体" w:cs="宋体"/>
                <w:bCs/>
                <w:color w:val="auto"/>
                <w:spacing w:val="-4"/>
                <w:sz w:val="21"/>
                <w:szCs w:val="21"/>
                <w:lang w:val="en-US"/>
              </w:rPr>
              <w:t>F</w:t>
            </w:r>
            <w:r>
              <w:rPr>
                <w:rFonts w:hint="eastAsia" w:ascii="宋体" w:hAnsi="宋体" w:cs="宋体"/>
                <w:bCs/>
                <w:color w:val="auto"/>
                <w:spacing w:val="-4"/>
                <w:sz w:val="21"/>
                <w:szCs w:val="21"/>
              </w:rPr>
              <w:t>类</w:t>
            </w:r>
          </w:p>
          <w:p>
            <w:pPr>
              <w:keepNext w:val="0"/>
              <w:keepLines w:val="0"/>
              <w:suppressLineNumbers w:val="0"/>
              <w:snapToGrid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bCs/>
                <w:color w:val="auto"/>
                <w:spacing w:val="-4"/>
                <w:sz w:val="21"/>
                <w:szCs w:val="21"/>
              </w:rPr>
              <w:t>（</w:t>
            </w:r>
            <w:r>
              <w:rPr>
                <w:rFonts w:hint="eastAsia" w:ascii="宋体" w:hAnsi="宋体" w:cs="宋体"/>
                <w:bCs/>
                <w:color w:val="auto"/>
                <w:spacing w:val="-4"/>
                <w:kern w:val="2"/>
                <w:sz w:val="21"/>
                <w:szCs w:val="21"/>
                <w:lang w:val="en-US"/>
              </w:rPr>
              <w:t>港口装卸工艺</w:t>
            </w:r>
            <w:r>
              <w:rPr>
                <w:rFonts w:hint="eastAsia" w:ascii="宋体" w:hAnsi="宋体" w:cs="宋体"/>
                <w:bCs/>
                <w:color w:val="auto"/>
                <w:spacing w:val="-4"/>
                <w:sz w:val="21"/>
                <w:szCs w:val="21"/>
              </w:rPr>
              <w:t>）</w:t>
            </w:r>
          </w:p>
        </w:tc>
        <w:tc>
          <w:tcPr>
            <w:tcW w:w="6009"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lang w:val="en-US"/>
              </w:rPr>
              <w:t>工程勘察综合类甲级资质或工程勘察专业类</w:t>
            </w:r>
            <w:r>
              <w:rPr>
                <w:rFonts w:hint="eastAsia" w:ascii="宋体" w:hAnsi="宋体" w:cs="宋体"/>
                <w:color w:val="auto"/>
                <w:sz w:val="21"/>
                <w:szCs w:val="21"/>
                <w:u w:val="single"/>
                <w:lang w:val="en-US"/>
              </w:rPr>
              <w:t>（   ）</w:t>
            </w:r>
            <w:r>
              <w:rPr>
                <w:rFonts w:hint="eastAsia" w:ascii="宋体" w:hAnsi="宋体" w:cs="宋体"/>
                <w:color w:val="auto"/>
                <w:sz w:val="21"/>
                <w:szCs w:val="21"/>
                <w:lang w:val="en-US"/>
              </w:rPr>
              <w:t>级资质；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（2）工程设计综合甲级资质或工程设计水运行业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级资质或工程设计水运行业</w:t>
            </w:r>
            <w:r>
              <w:rPr>
                <w:rFonts w:hint="eastAsia" w:ascii="宋体" w:hAnsi="宋体" w:cs="宋体"/>
                <w:color w:val="auto"/>
                <w:sz w:val="21"/>
                <w:szCs w:val="21"/>
                <w:u w:val="single"/>
                <w:lang w:val="en-US"/>
              </w:rPr>
              <w:t>（港口装卸工艺）</w:t>
            </w:r>
            <w:r>
              <w:rPr>
                <w:rFonts w:hint="eastAsia" w:ascii="宋体" w:hAnsi="宋体" w:cs="宋体"/>
                <w:color w:val="auto"/>
                <w:sz w:val="21"/>
                <w:szCs w:val="21"/>
                <w:lang w:val="en-US"/>
              </w:rPr>
              <w:t>专业</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级资质。</w:t>
            </w:r>
          </w:p>
        </w:tc>
      </w:tr>
    </w:tbl>
    <w:p>
      <w:pPr>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注：若联合体协议约定同一专业分工由两个及以上单位共同承担的，按照就低不就高的原则确定联合体的资质；不同专业分工由不同单位分别承担的，按照各自的专业资质确定联合体的资质。</w:t>
      </w:r>
    </w:p>
    <w:p>
      <w:pPr>
        <w:pStyle w:val="84"/>
        <w:snapToGrid w:val="0"/>
        <w:spacing w:line="360" w:lineRule="auto"/>
        <w:outlineLvl w:val="1"/>
        <w:rPr>
          <w:rFonts w:hint="eastAsia" w:ascii="宋体" w:hAnsi="宋体"/>
          <w:bCs/>
          <w:sz w:val="24"/>
          <w:szCs w:val="16"/>
          <w:vertAlign w:val="superscript"/>
        </w:rPr>
      </w:pPr>
      <w:r>
        <w:rPr>
          <w:rFonts w:ascii="宋体" w:hAnsi="宋体"/>
          <w:bCs/>
          <w:sz w:val="24"/>
          <w:szCs w:val="16"/>
        </w:rPr>
        <w:br w:type="page"/>
      </w:r>
      <w:r>
        <w:rPr>
          <w:rFonts w:ascii="宋体" w:hAnsi="宋体"/>
          <w:bCs/>
          <w:sz w:val="24"/>
          <w:szCs w:val="16"/>
        </w:rPr>
        <w:t>附录</w:t>
      </w:r>
      <w:r>
        <w:rPr>
          <w:rFonts w:hint="eastAsia" w:ascii="宋体" w:hAnsi="宋体"/>
          <w:bCs/>
          <w:sz w:val="24"/>
          <w:szCs w:val="16"/>
          <w:lang w:val="en-US" w:eastAsia="zh-CN"/>
        </w:rPr>
        <w:t>2</w:t>
      </w:r>
      <w:r>
        <w:rPr>
          <w:rFonts w:ascii="宋体" w:hAnsi="宋体"/>
          <w:bCs/>
          <w:sz w:val="24"/>
          <w:szCs w:val="16"/>
        </w:rPr>
        <w:t xml:space="preserve"> 资格审查条件(业绩最低要求)</w:t>
      </w:r>
      <w:r>
        <w:rPr>
          <w:szCs w:val="16"/>
        </w:rPr>
        <w:t xml:space="preserve"> </w:t>
      </w:r>
      <w:r>
        <w:rPr>
          <w:rStyle w:val="101"/>
          <w:rFonts w:hint="eastAsia" w:ascii="宋体" w:hAnsi="宋体"/>
          <w:b w:val="0"/>
          <w:sz w:val="30"/>
          <w:szCs w:val="24"/>
          <w:lang w:val="en-US" w:eastAsia="zh-CN"/>
        </w:rPr>
        <w:footnoteReference w:id="47"/>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9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0"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招标人应根据招标项目具体特点和实际情况进行业绩的选择设置</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A类（港口工程）</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近五年内</w:t>
            </w:r>
            <w:r>
              <w:rPr>
                <w:rFonts w:hint="eastAsia" w:ascii="宋体" w:hAnsi="宋体" w:cs="宋体"/>
                <w:color w:val="auto"/>
                <w:sz w:val="21"/>
                <w:szCs w:val="21"/>
                <w:highlight w:val="none"/>
              </w:rPr>
              <w:t>，成</w:t>
            </w:r>
            <w:r>
              <w:rPr>
                <w:rFonts w:hint="eastAsia" w:ascii="宋体" w:hAnsi="宋体" w:cs="宋体"/>
                <w:color w:val="auto"/>
                <w:sz w:val="21"/>
                <w:szCs w:val="21"/>
              </w:rPr>
              <w:t>功完成以下</w:t>
            </w:r>
            <w:r>
              <w:rPr>
                <w:rFonts w:hint="eastAsia" w:ascii="宋体" w:hAnsi="宋体" w:cs="宋体"/>
                <w:color w:val="auto"/>
                <w:sz w:val="21"/>
                <w:szCs w:val="21"/>
                <w:u w:val="single"/>
                <w:lang w:val="en-US"/>
              </w:rPr>
              <w:t>（勘察、设计或勘察设计）</w:t>
            </w:r>
            <w:r>
              <w:rPr>
                <w:rFonts w:hint="eastAsia" w:ascii="宋体" w:hAnsi="宋体" w:cs="宋体"/>
                <w:color w:val="auto"/>
                <w:sz w:val="21"/>
                <w:szCs w:val="21"/>
              </w:rPr>
              <w:t>业绩：</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（1）</w:t>
            </w:r>
            <w:r>
              <w:rPr>
                <w:rStyle w:val="101"/>
                <w:rFonts w:hint="eastAsia" w:ascii="宋体" w:hAnsi="宋体" w:cs="Times New Roman"/>
                <w:color w:val="auto"/>
                <w:sz w:val="30"/>
                <w:lang w:val="en-US"/>
              </w:rPr>
              <w:footnoteReference w:id="48"/>
            </w:r>
            <w:r>
              <w:rPr>
                <w:rFonts w:hint="eastAsia" w:ascii="宋体" w:hAnsi="宋体" w:cs="宋体"/>
                <w:color w:val="auto"/>
                <w:sz w:val="21"/>
                <w:szCs w:val="21"/>
                <w:u w:val="single"/>
              </w:rPr>
              <w:t>沿海不少于     吨级</w:t>
            </w:r>
            <w:r>
              <w:rPr>
                <w:rFonts w:hint="eastAsia" w:ascii="宋体" w:hAnsi="宋体" w:cs="宋体"/>
                <w:color w:val="auto"/>
                <w:sz w:val="21"/>
                <w:szCs w:val="21"/>
                <w:u w:val="single"/>
                <w:lang w:val="en-US"/>
              </w:rPr>
              <w:t>码头</w:t>
            </w:r>
            <w:r>
              <w:rPr>
                <w:rFonts w:hint="eastAsia" w:ascii="宋体" w:hAnsi="宋体" w:cs="宋体"/>
                <w:color w:val="auto"/>
                <w:sz w:val="21"/>
                <w:szCs w:val="21"/>
              </w:rPr>
              <w:t>工程</w:t>
            </w:r>
            <w:r>
              <w:rPr>
                <w:rFonts w:hint="eastAsia" w:ascii="宋体" w:hAnsi="宋体" w:cs="宋体"/>
                <w:color w:val="auto"/>
                <w:sz w:val="21"/>
                <w:szCs w:val="21"/>
                <w:u w:val="single"/>
              </w:rPr>
              <w:t xml:space="preserve">     个。</w:t>
            </w:r>
          </w:p>
          <w:p>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u w:val="single"/>
              </w:rPr>
              <w:t>内河不少于     吨级</w:t>
            </w:r>
            <w:r>
              <w:rPr>
                <w:rFonts w:hint="eastAsia" w:ascii="宋体" w:hAnsi="宋体" w:cs="宋体"/>
                <w:color w:val="auto"/>
                <w:sz w:val="21"/>
                <w:szCs w:val="21"/>
                <w:u w:val="single"/>
                <w:lang w:val="en-US"/>
              </w:rPr>
              <w:t>码头</w:t>
            </w:r>
            <w:r>
              <w:rPr>
                <w:rFonts w:hint="eastAsia" w:ascii="宋体" w:hAnsi="宋体" w:cs="宋体"/>
                <w:color w:val="auto"/>
                <w:sz w:val="21"/>
                <w:szCs w:val="21"/>
              </w:rPr>
              <w:t>工程</w:t>
            </w:r>
            <w:r>
              <w:rPr>
                <w:rFonts w:hint="eastAsia" w:ascii="宋体" w:hAnsi="宋体" w:cs="宋体"/>
                <w:color w:val="auto"/>
                <w:sz w:val="21"/>
                <w:szCs w:val="21"/>
                <w:u w:val="single"/>
              </w:rPr>
              <w:t xml:space="preserve">     个。</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u w:val="single"/>
              </w:rPr>
            </w:pPr>
            <w:r>
              <w:rPr>
                <w:rFonts w:hint="eastAsia" w:ascii="宋体" w:hAnsi="宋体" w:cs="宋体"/>
                <w:color w:val="auto"/>
                <w:sz w:val="21"/>
                <w:szCs w:val="21"/>
              </w:rPr>
              <w:t>（</w:t>
            </w:r>
            <w:r>
              <w:rPr>
                <w:rFonts w:hint="eastAsia" w:ascii="宋体" w:hAnsi="宋体" w:cs="宋体"/>
                <w:color w:val="auto"/>
                <w:sz w:val="21"/>
                <w:szCs w:val="21"/>
                <w:lang w:val="en-US"/>
              </w:rPr>
              <w:t>2</w:t>
            </w:r>
            <w:r>
              <w:rPr>
                <w:rFonts w:hint="eastAsia" w:ascii="宋体" w:hAnsi="宋体" w:cs="宋体"/>
                <w:color w:val="auto"/>
                <w:sz w:val="21"/>
                <w:szCs w:val="21"/>
              </w:rPr>
              <w:t>）</w:t>
            </w:r>
            <w:r>
              <w:rPr>
                <w:rFonts w:hint="eastAsia" w:ascii="宋体" w:hAnsi="宋体" w:cs="宋体"/>
                <w:color w:val="auto"/>
                <w:sz w:val="21"/>
                <w:szCs w:val="21"/>
                <w:u w:val="single"/>
              </w:rPr>
              <w:t>水深</w:t>
            </w:r>
            <w:r>
              <w:rPr>
                <w:rFonts w:hint="eastAsia" w:ascii="宋体" w:hAnsi="宋体" w:cs="宋体"/>
                <w:color w:val="auto"/>
                <w:sz w:val="21"/>
                <w:szCs w:val="21"/>
                <w:u w:val="single"/>
                <w:lang w:val="en-US"/>
              </w:rPr>
              <w:t>不少于</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 xml:space="preserve"> 米的防波堤、</w:t>
            </w:r>
            <w:r>
              <w:rPr>
                <w:rFonts w:hint="eastAsia" w:ascii="宋体" w:hAnsi="宋体" w:cs="宋体"/>
                <w:color w:val="auto"/>
                <w:sz w:val="21"/>
                <w:szCs w:val="21"/>
                <w:u w:val="single"/>
                <w:lang w:val="en-US"/>
              </w:rPr>
              <w:t>导流堤、海上人工岛等水上建筑</w:t>
            </w:r>
            <w:r>
              <w:rPr>
                <w:rFonts w:hint="eastAsia" w:ascii="宋体" w:hAnsi="宋体" w:cs="宋体"/>
                <w:color w:val="auto"/>
                <w:sz w:val="21"/>
                <w:szCs w:val="21"/>
              </w:rPr>
              <w:t>工程</w:t>
            </w:r>
            <w:r>
              <w:rPr>
                <w:rFonts w:hint="eastAsia" w:ascii="宋体" w:hAnsi="宋体" w:cs="宋体"/>
                <w:color w:val="auto"/>
                <w:sz w:val="21"/>
                <w:szCs w:val="21"/>
                <w:u w:val="single"/>
              </w:rPr>
              <w:t>不少于    米。</w:t>
            </w:r>
            <w:r>
              <w:rPr>
                <w:rFonts w:hint="eastAsia" w:ascii="宋体" w:hAnsi="宋体" w:cs="宋体"/>
                <w:color w:val="auto"/>
                <w:sz w:val="21"/>
                <w:szCs w:val="21"/>
                <w:lang w:val="en-US"/>
              </w:rPr>
              <w:t>或</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rPr>
            </w:pPr>
            <w:r>
              <w:rPr>
                <w:rFonts w:hint="eastAsia" w:ascii="宋体" w:hAnsi="宋体"/>
                <w:color w:val="auto"/>
                <w:sz w:val="21"/>
                <w:szCs w:val="21"/>
                <w:u w:val="single"/>
              </w:rPr>
              <w:t>水深</w:t>
            </w:r>
            <w:r>
              <w:rPr>
                <w:rFonts w:hint="eastAsia" w:ascii="宋体" w:hAnsi="宋体" w:cs="宋体"/>
                <w:color w:val="auto"/>
                <w:sz w:val="21"/>
                <w:szCs w:val="21"/>
                <w:u w:val="single"/>
                <w:lang w:val="en-US"/>
              </w:rPr>
              <w:t>不少于</w:t>
            </w:r>
            <w:r>
              <w:rPr>
                <w:rFonts w:hint="eastAsia" w:ascii="宋体" w:hAnsi="宋体"/>
                <w:color w:val="auto"/>
                <w:sz w:val="21"/>
                <w:szCs w:val="21"/>
                <w:u w:val="single"/>
              </w:rPr>
              <w:t xml:space="preserve">   米的</w:t>
            </w:r>
            <w:r>
              <w:rPr>
                <w:rFonts w:hint="eastAsia" w:ascii="宋体" w:hAnsi="宋体" w:cs="宋体"/>
                <w:color w:val="auto"/>
                <w:sz w:val="21"/>
                <w:szCs w:val="21"/>
                <w:u w:val="single"/>
              </w:rPr>
              <w:t>防波堤、</w:t>
            </w:r>
            <w:r>
              <w:rPr>
                <w:rFonts w:hint="eastAsia" w:ascii="宋体" w:hAnsi="宋体" w:cs="宋体"/>
                <w:color w:val="auto"/>
                <w:sz w:val="21"/>
                <w:szCs w:val="21"/>
                <w:u w:val="single"/>
                <w:lang w:val="en-US"/>
              </w:rPr>
              <w:t>导流堤、海上人工岛等水上建筑</w:t>
            </w:r>
            <w:r>
              <w:rPr>
                <w:rFonts w:hint="eastAsia" w:ascii="宋体" w:hAnsi="宋体" w:cs="宋体"/>
                <w:color w:val="auto"/>
                <w:sz w:val="21"/>
                <w:szCs w:val="21"/>
              </w:rPr>
              <w:t>工程</w:t>
            </w:r>
            <w:r>
              <w:rPr>
                <w:rFonts w:hint="eastAsia" w:ascii="宋体" w:hAnsi="宋体"/>
                <w:color w:val="auto"/>
                <w:sz w:val="21"/>
                <w:szCs w:val="21"/>
                <w:u w:val="single"/>
              </w:rPr>
              <w:t>单项合同金额不少于    万元。</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u w:val="single"/>
              </w:rPr>
            </w:pPr>
            <w:r>
              <w:rPr>
                <w:rFonts w:hint="eastAsia" w:ascii="宋体" w:hAnsi="宋体" w:cs="宋体"/>
                <w:color w:val="auto"/>
                <w:sz w:val="21"/>
                <w:szCs w:val="21"/>
              </w:rPr>
              <w:t>（</w:t>
            </w:r>
            <w:r>
              <w:rPr>
                <w:rFonts w:hint="eastAsia" w:ascii="宋体" w:hAnsi="宋体" w:cs="宋体"/>
                <w:color w:val="auto"/>
                <w:sz w:val="21"/>
                <w:szCs w:val="21"/>
                <w:lang w:val="en-US"/>
              </w:rPr>
              <w:t>3</w:t>
            </w:r>
            <w:r>
              <w:rPr>
                <w:rFonts w:hint="eastAsia" w:ascii="宋体" w:hAnsi="宋体" w:cs="宋体"/>
                <w:color w:val="auto"/>
                <w:sz w:val="21"/>
                <w:szCs w:val="21"/>
              </w:rPr>
              <w:t>）</w:t>
            </w:r>
            <w:r>
              <w:rPr>
                <w:rFonts w:hint="eastAsia" w:ascii="宋体" w:hAnsi="宋体" w:cs="宋体"/>
                <w:color w:val="auto"/>
                <w:sz w:val="21"/>
                <w:szCs w:val="21"/>
                <w:u w:val="single"/>
              </w:rPr>
              <w:t>水深</w:t>
            </w:r>
            <w:r>
              <w:rPr>
                <w:rFonts w:hint="eastAsia" w:ascii="宋体" w:hAnsi="宋体" w:cs="宋体"/>
                <w:color w:val="auto"/>
                <w:sz w:val="21"/>
                <w:szCs w:val="21"/>
                <w:u w:val="single"/>
                <w:lang w:val="en-US"/>
              </w:rPr>
              <w:t>不少于</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 xml:space="preserve"> 米的</w:t>
            </w:r>
            <w:r>
              <w:rPr>
                <w:rFonts w:hint="eastAsia" w:ascii="宋体" w:hAnsi="宋体" w:cs="宋体"/>
                <w:color w:val="auto"/>
                <w:sz w:val="21"/>
                <w:szCs w:val="21"/>
                <w:u w:val="single"/>
                <w:lang w:val="en-US"/>
              </w:rPr>
              <w:t>护岸、引堤、海墙等建筑防护</w:t>
            </w:r>
            <w:r>
              <w:rPr>
                <w:rFonts w:hint="eastAsia" w:ascii="宋体" w:hAnsi="宋体" w:cs="宋体"/>
                <w:color w:val="auto"/>
                <w:sz w:val="21"/>
                <w:szCs w:val="21"/>
              </w:rPr>
              <w:t>工程</w:t>
            </w:r>
            <w:r>
              <w:rPr>
                <w:rFonts w:hint="eastAsia" w:ascii="宋体" w:hAnsi="宋体" w:cs="宋体"/>
                <w:color w:val="auto"/>
                <w:sz w:val="21"/>
                <w:szCs w:val="21"/>
                <w:u w:val="single"/>
              </w:rPr>
              <w:t>不少于    米。</w:t>
            </w:r>
            <w:r>
              <w:rPr>
                <w:rFonts w:hint="eastAsia" w:ascii="宋体" w:hAnsi="宋体" w:cs="宋体"/>
                <w:color w:val="auto"/>
                <w:sz w:val="21"/>
                <w:szCs w:val="21"/>
                <w:lang w:val="en-US"/>
              </w:rPr>
              <w:t>或</w:t>
            </w:r>
          </w:p>
          <w:p>
            <w:pPr>
              <w:keepNext w:val="0"/>
              <w:keepLines w:val="0"/>
              <w:suppressLineNumbers w:val="0"/>
              <w:adjustRightInd w:val="0"/>
              <w:snapToGrid w:val="0"/>
              <w:spacing w:before="0" w:beforeAutospacing="0" w:after="0" w:afterAutospacing="0" w:line="360" w:lineRule="auto"/>
              <w:ind w:left="209" w:leftChars="87" w:right="0" w:firstLine="210" w:firstLineChars="100"/>
              <w:rPr>
                <w:rFonts w:hint="eastAsia" w:ascii="宋体" w:hAnsi="宋体" w:cs="宋体"/>
                <w:color w:val="auto"/>
                <w:sz w:val="21"/>
                <w:szCs w:val="21"/>
              </w:rPr>
            </w:pPr>
            <w:r>
              <w:rPr>
                <w:rFonts w:hint="eastAsia" w:ascii="宋体" w:hAnsi="宋体"/>
                <w:color w:val="auto"/>
                <w:sz w:val="21"/>
                <w:szCs w:val="21"/>
                <w:u w:val="single"/>
              </w:rPr>
              <w:t>水深</w:t>
            </w:r>
            <w:r>
              <w:rPr>
                <w:rFonts w:hint="eastAsia" w:ascii="宋体" w:hAnsi="宋体" w:cs="宋体"/>
                <w:color w:val="auto"/>
                <w:sz w:val="21"/>
                <w:szCs w:val="21"/>
                <w:u w:val="single"/>
                <w:lang w:val="en-US"/>
              </w:rPr>
              <w:t>不少于</w:t>
            </w:r>
            <w:r>
              <w:rPr>
                <w:rFonts w:hint="eastAsia" w:ascii="宋体" w:hAnsi="宋体"/>
                <w:color w:val="auto"/>
                <w:sz w:val="21"/>
                <w:szCs w:val="21"/>
                <w:u w:val="single"/>
              </w:rPr>
              <w:t xml:space="preserve">   米的</w:t>
            </w:r>
            <w:r>
              <w:rPr>
                <w:rFonts w:hint="eastAsia" w:ascii="宋体" w:hAnsi="宋体" w:cs="宋体"/>
                <w:color w:val="auto"/>
                <w:sz w:val="21"/>
                <w:szCs w:val="21"/>
                <w:u w:val="single"/>
                <w:lang w:val="en-US"/>
              </w:rPr>
              <w:t>护岸、引堤、海墙等建筑防护</w:t>
            </w:r>
            <w:r>
              <w:rPr>
                <w:rFonts w:hint="eastAsia" w:ascii="宋体" w:hAnsi="宋体" w:cs="宋体"/>
                <w:color w:val="auto"/>
                <w:sz w:val="21"/>
                <w:szCs w:val="21"/>
              </w:rPr>
              <w:t>工程</w:t>
            </w:r>
            <w:r>
              <w:rPr>
                <w:rFonts w:hint="eastAsia" w:ascii="宋体" w:hAnsi="宋体"/>
                <w:color w:val="auto"/>
                <w:sz w:val="21"/>
                <w:szCs w:val="21"/>
                <w:u w:val="single"/>
              </w:rPr>
              <w:t>单项合同金额不少于    万元。</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4</w:t>
            </w:r>
            <w:r>
              <w:rPr>
                <w:rFonts w:hint="eastAsia" w:ascii="宋体" w:hAnsi="宋体" w:cs="宋体"/>
                <w:color w:val="auto"/>
                <w:sz w:val="21"/>
                <w:szCs w:val="21"/>
              </w:rPr>
              <w:t>）</w:t>
            </w:r>
            <w:r>
              <w:rPr>
                <w:rFonts w:hint="eastAsia" w:ascii="宋体" w:hAnsi="宋体" w:cs="宋体"/>
                <w:color w:val="auto"/>
                <w:sz w:val="21"/>
                <w:szCs w:val="21"/>
                <w:u w:val="single"/>
              </w:rPr>
              <w:t>其它业绩（应符合招标项目具体特点和实际情况）。</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B类（航道工程）：</w:t>
            </w:r>
            <w:r>
              <w:rPr>
                <w:rFonts w:hint="eastAsia" w:ascii="宋体" w:hAnsi="宋体" w:cs="宋体"/>
                <w:color w:val="auto"/>
                <w:sz w:val="21"/>
                <w:szCs w:val="21"/>
                <w:u w:val="single"/>
              </w:rPr>
              <w:t>近五年内</w:t>
            </w:r>
            <w:r>
              <w:rPr>
                <w:rFonts w:hint="eastAsia" w:ascii="宋体" w:hAnsi="宋体" w:cs="宋体"/>
                <w:color w:val="auto"/>
                <w:sz w:val="21"/>
                <w:szCs w:val="21"/>
              </w:rPr>
              <w:t>，成功完成以下</w:t>
            </w:r>
            <w:r>
              <w:rPr>
                <w:rFonts w:hint="eastAsia" w:ascii="宋体" w:hAnsi="宋体" w:cs="宋体"/>
                <w:color w:val="auto"/>
                <w:sz w:val="21"/>
                <w:szCs w:val="21"/>
                <w:u w:val="single"/>
                <w:lang w:val="en-US"/>
              </w:rPr>
              <w:t>（勘察、设计或勘察设计）</w:t>
            </w:r>
            <w:r>
              <w:rPr>
                <w:rFonts w:hint="eastAsia" w:ascii="宋体" w:hAnsi="宋体" w:cs="宋体"/>
                <w:color w:val="auto"/>
                <w:sz w:val="21"/>
                <w:szCs w:val="21"/>
              </w:rPr>
              <w:t>业绩：</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u w:val="single"/>
              </w:rPr>
              <w:t>沿海</w:t>
            </w:r>
            <w:r>
              <w:rPr>
                <w:rFonts w:hint="eastAsia" w:ascii="宋体" w:hAnsi="宋体" w:cs="宋体"/>
                <w:color w:val="auto"/>
                <w:sz w:val="21"/>
                <w:szCs w:val="21"/>
                <w:u w:val="single"/>
                <w:lang w:val="en-US"/>
              </w:rPr>
              <w:t>/内河</w:t>
            </w:r>
            <w:r>
              <w:rPr>
                <w:rFonts w:hint="eastAsia" w:ascii="宋体" w:hAnsi="宋体" w:cs="宋体"/>
                <w:color w:val="auto"/>
                <w:sz w:val="21"/>
                <w:szCs w:val="21"/>
                <w:u w:val="single"/>
              </w:rPr>
              <w:t xml:space="preserve">不少于    </w:t>
            </w:r>
            <w:r>
              <w:rPr>
                <w:rFonts w:hint="eastAsia" w:ascii="宋体" w:hAnsi="宋体" w:cs="宋体"/>
                <w:color w:val="auto"/>
                <w:sz w:val="21"/>
                <w:szCs w:val="21"/>
              </w:rPr>
              <w:t>吨级</w:t>
            </w:r>
            <w:r>
              <w:rPr>
                <w:rFonts w:hint="eastAsia" w:ascii="宋体" w:hAnsi="宋体" w:cs="宋体"/>
                <w:color w:val="auto"/>
                <w:sz w:val="21"/>
                <w:szCs w:val="21"/>
                <w:lang w:val="en-US"/>
              </w:rPr>
              <w:t>/等级航道</w:t>
            </w:r>
            <w:r>
              <w:rPr>
                <w:rFonts w:hint="eastAsia" w:ascii="宋体" w:hAnsi="宋体" w:cs="宋体"/>
                <w:color w:val="auto"/>
                <w:sz w:val="21"/>
                <w:szCs w:val="21"/>
              </w:rPr>
              <w:t>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u w:val="singl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2</w:t>
            </w:r>
            <w:r>
              <w:rPr>
                <w:rFonts w:hint="eastAsia" w:ascii="宋体" w:hAnsi="宋体" w:cs="宋体"/>
                <w:color w:val="auto"/>
                <w:sz w:val="21"/>
                <w:szCs w:val="21"/>
              </w:rPr>
              <w:t>）</w:t>
            </w:r>
            <w:r>
              <w:rPr>
                <w:rFonts w:hint="eastAsia" w:ascii="宋体" w:hAnsi="宋体" w:cs="宋体"/>
                <w:color w:val="auto"/>
                <w:sz w:val="21"/>
                <w:szCs w:val="21"/>
                <w:u w:val="single"/>
              </w:rPr>
              <w:t>不少于     吨级</w:t>
            </w:r>
            <w:r>
              <w:rPr>
                <w:rFonts w:hint="eastAsia" w:ascii="宋体" w:hAnsi="宋体" w:cs="宋体"/>
                <w:color w:val="auto"/>
                <w:sz w:val="21"/>
                <w:szCs w:val="21"/>
                <w:u w:val="single"/>
                <w:lang w:val="en-US"/>
              </w:rPr>
              <w:t>/等级内河整治</w:t>
            </w:r>
            <w:r>
              <w:rPr>
                <w:rFonts w:hint="eastAsia" w:ascii="宋体" w:hAnsi="宋体" w:cs="宋体"/>
                <w:color w:val="auto"/>
                <w:sz w:val="21"/>
                <w:szCs w:val="21"/>
              </w:rPr>
              <w:t>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u w:val="singl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u w:val="single"/>
                <w:lang w:val="en-US"/>
              </w:rPr>
            </w:pPr>
            <w:r>
              <w:rPr>
                <w:rFonts w:hint="eastAsia" w:ascii="宋体" w:hAnsi="宋体" w:cs="宋体"/>
                <w:color w:val="auto"/>
                <w:sz w:val="21"/>
                <w:szCs w:val="21"/>
              </w:rPr>
              <w:t>（</w:t>
            </w:r>
            <w:r>
              <w:rPr>
                <w:rFonts w:hint="eastAsia" w:ascii="宋体" w:hAnsi="宋体" w:cs="宋体"/>
                <w:color w:val="auto"/>
                <w:sz w:val="21"/>
                <w:szCs w:val="21"/>
                <w:lang w:val="en-US"/>
              </w:rPr>
              <w:t>3</w:t>
            </w:r>
            <w:r>
              <w:rPr>
                <w:rFonts w:hint="eastAsia" w:ascii="宋体" w:hAnsi="宋体" w:cs="宋体"/>
                <w:color w:val="auto"/>
                <w:sz w:val="21"/>
                <w:szCs w:val="21"/>
              </w:rPr>
              <w:t>）</w:t>
            </w:r>
            <w:r>
              <w:rPr>
                <w:rFonts w:hint="eastAsia" w:ascii="宋体" w:hAnsi="宋体" w:cs="宋体"/>
                <w:color w:val="auto"/>
                <w:sz w:val="21"/>
                <w:szCs w:val="21"/>
                <w:u w:val="single"/>
              </w:rPr>
              <w:t>疏浚、吹填工程不少于     立方米。</w:t>
            </w:r>
            <w:r>
              <w:rPr>
                <w:rFonts w:hint="eastAsia" w:ascii="宋体" w:hAnsi="宋体" w:cs="宋体"/>
                <w:color w:val="auto"/>
                <w:sz w:val="21"/>
                <w:szCs w:val="21"/>
                <w:lang w:val="en-US"/>
              </w:rPr>
              <w:t>或</w:t>
            </w:r>
          </w:p>
          <w:p>
            <w:pPr>
              <w:keepNext w:val="0"/>
              <w:keepLines w:val="0"/>
              <w:suppressLineNumbers w:val="0"/>
              <w:adjustRightInd w:val="0"/>
              <w:snapToGrid w:val="0"/>
              <w:spacing w:before="0" w:beforeAutospacing="0" w:after="0" w:afterAutospacing="0" w:line="360" w:lineRule="auto"/>
              <w:ind w:left="209" w:leftChars="87" w:right="0" w:firstLine="210" w:firstLineChars="100"/>
              <w:rPr>
                <w:rFonts w:hint="eastAsia" w:ascii="宋体" w:hAnsi="宋体" w:cs="宋体"/>
                <w:color w:val="auto"/>
                <w:sz w:val="21"/>
                <w:szCs w:val="21"/>
              </w:rPr>
            </w:pPr>
            <w:r>
              <w:rPr>
                <w:rFonts w:hint="eastAsia" w:ascii="宋体" w:hAnsi="宋体" w:cs="宋体"/>
                <w:color w:val="auto"/>
                <w:sz w:val="21"/>
                <w:szCs w:val="21"/>
                <w:u w:val="single"/>
              </w:rPr>
              <w:t>疏浚、吹填</w:t>
            </w:r>
            <w:r>
              <w:rPr>
                <w:rFonts w:hint="eastAsia" w:ascii="宋体" w:hAnsi="宋体"/>
                <w:color w:val="auto"/>
                <w:sz w:val="21"/>
                <w:szCs w:val="21"/>
                <w:u w:val="single"/>
              </w:rPr>
              <w:t>单项合同金额不少于    万元。</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4</w:t>
            </w:r>
            <w:r>
              <w:rPr>
                <w:rFonts w:hint="eastAsia" w:ascii="宋体" w:hAnsi="宋体" w:cs="宋体"/>
                <w:color w:val="auto"/>
                <w:sz w:val="21"/>
                <w:szCs w:val="21"/>
              </w:rPr>
              <w:t>）</w:t>
            </w:r>
            <w:r>
              <w:rPr>
                <w:rFonts w:hint="eastAsia" w:ascii="宋体" w:hAnsi="宋体" w:cs="宋体"/>
                <w:color w:val="auto"/>
                <w:sz w:val="21"/>
                <w:szCs w:val="21"/>
                <w:u w:val="single"/>
              </w:rPr>
              <w:t>其它业绩（应符合招标项目具体特点和实际情况）。</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C类（修造船厂水工工程）：</w:t>
            </w:r>
            <w:r>
              <w:rPr>
                <w:rFonts w:hint="eastAsia" w:ascii="宋体" w:hAnsi="宋体" w:cs="宋体"/>
                <w:color w:val="auto"/>
                <w:sz w:val="21"/>
                <w:szCs w:val="21"/>
                <w:u w:val="single"/>
              </w:rPr>
              <w:t>近五年内</w:t>
            </w:r>
            <w:r>
              <w:rPr>
                <w:rFonts w:hint="eastAsia" w:ascii="宋体" w:hAnsi="宋体" w:cs="宋体"/>
                <w:color w:val="auto"/>
                <w:sz w:val="21"/>
                <w:szCs w:val="21"/>
              </w:rPr>
              <w:t>，成功完成以下</w:t>
            </w:r>
            <w:r>
              <w:rPr>
                <w:rFonts w:hint="eastAsia" w:ascii="宋体" w:hAnsi="宋体" w:cs="宋体"/>
                <w:color w:val="auto"/>
                <w:sz w:val="21"/>
                <w:szCs w:val="21"/>
                <w:u w:val="single"/>
                <w:lang w:val="en-US"/>
              </w:rPr>
              <w:t>（勘察、设计或勘察设计）</w:t>
            </w:r>
            <w:r>
              <w:rPr>
                <w:rFonts w:hint="eastAsia" w:ascii="宋体" w:hAnsi="宋体" w:cs="宋体"/>
                <w:color w:val="auto"/>
                <w:sz w:val="21"/>
                <w:szCs w:val="21"/>
              </w:rPr>
              <w:t>业绩：</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u w:val="single"/>
                <w:lang w:val="en-US"/>
              </w:rPr>
              <w:t>船舶吨位</w:t>
            </w:r>
            <w:r>
              <w:rPr>
                <w:rFonts w:hint="eastAsia" w:ascii="宋体" w:hAnsi="宋体" w:cs="宋体"/>
                <w:color w:val="auto"/>
                <w:sz w:val="21"/>
                <w:szCs w:val="21"/>
                <w:u w:val="single"/>
              </w:rPr>
              <w:t>不少于    吨级</w:t>
            </w:r>
            <w:r>
              <w:rPr>
                <w:rFonts w:hint="eastAsia" w:ascii="宋体" w:hAnsi="宋体" w:cs="宋体"/>
                <w:color w:val="auto"/>
                <w:sz w:val="21"/>
                <w:szCs w:val="21"/>
              </w:rPr>
              <w:t>船坞工程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u w:val="single"/>
              </w:rPr>
              <w:t>。</w:t>
            </w:r>
            <w:r>
              <w:rPr>
                <w:rFonts w:hint="eastAsia" w:ascii="宋体" w:hAnsi="宋体" w:cs="宋体"/>
                <w:color w:val="auto"/>
                <w:sz w:val="21"/>
                <w:szCs w:val="21"/>
                <w:lang w:val="en-US"/>
              </w:rPr>
              <w:t>或</w:t>
            </w:r>
          </w:p>
          <w:p>
            <w:pPr>
              <w:pStyle w:val="34"/>
              <w:keepNext w:val="0"/>
              <w:keepLines w:val="0"/>
              <w:suppressLineNumbers w:val="0"/>
              <w:spacing w:before="0" w:beforeAutospacing="0" w:afterAutospacing="0"/>
              <w:ind w:left="0" w:right="0" w:firstLine="420" w:firstLineChars="200"/>
              <w:rPr>
                <w:rFonts w:hint="default" w:ascii="Times New Roman" w:hAnsi="Times New Roman"/>
                <w:lang w:val="en-US" w:eastAsia="zh-CN"/>
              </w:rPr>
            </w:pPr>
            <w:r>
              <w:rPr>
                <w:rFonts w:hint="eastAsia" w:ascii="宋体" w:hAnsi="宋体" w:cs="宋体"/>
                <w:szCs w:val="21"/>
                <w:u w:val="single"/>
                <w:lang w:val="zh-CN" w:eastAsia="zh-CN"/>
              </w:rPr>
              <w:t>船坞工程</w:t>
            </w:r>
            <w:r>
              <w:rPr>
                <w:rFonts w:hint="eastAsia" w:ascii="宋体" w:hAnsi="宋体" w:cs="宋体"/>
                <w:szCs w:val="21"/>
                <w:u w:val="single"/>
                <w:lang w:val="en-US" w:eastAsia="zh-CN"/>
              </w:rPr>
              <w:t>单项合同额不少于       万元。</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lang w:val="en-US"/>
              </w:rPr>
              <w:t>船体重量</w:t>
            </w:r>
            <w:r>
              <w:rPr>
                <w:rFonts w:hint="eastAsia" w:ascii="宋体" w:hAnsi="宋体" w:cs="宋体"/>
                <w:color w:val="auto"/>
                <w:sz w:val="21"/>
                <w:szCs w:val="21"/>
                <w:u w:val="single"/>
              </w:rPr>
              <w:t>不少于    吨级的</w:t>
            </w:r>
            <w:r>
              <w:rPr>
                <w:rFonts w:hint="eastAsia" w:ascii="宋体" w:hAnsi="宋体" w:cs="宋体"/>
                <w:color w:val="auto"/>
                <w:sz w:val="21"/>
                <w:szCs w:val="21"/>
                <w:u w:val="single"/>
                <w:lang w:val="en-US"/>
              </w:rPr>
              <w:t>船台、滑道</w:t>
            </w:r>
            <w:r>
              <w:rPr>
                <w:rFonts w:hint="eastAsia" w:ascii="宋体" w:hAnsi="宋体" w:cs="宋体"/>
                <w:color w:val="auto"/>
                <w:sz w:val="21"/>
                <w:szCs w:val="21"/>
              </w:rPr>
              <w:t>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u w:val="singl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rPr>
              <w:t>（</w:t>
            </w:r>
            <w:r>
              <w:rPr>
                <w:rFonts w:hint="eastAsia" w:ascii="宋体" w:hAnsi="宋体" w:cs="宋体"/>
                <w:color w:val="auto"/>
                <w:sz w:val="21"/>
                <w:szCs w:val="21"/>
                <w:lang w:val="en-US"/>
              </w:rPr>
              <w:t>3</w:t>
            </w:r>
            <w:r>
              <w:rPr>
                <w:rFonts w:hint="eastAsia" w:ascii="宋体" w:hAnsi="宋体" w:cs="宋体"/>
                <w:color w:val="auto"/>
                <w:sz w:val="21"/>
                <w:szCs w:val="21"/>
              </w:rPr>
              <w:t>）</w:t>
            </w:r>
            <w:r>
              <w:rPr>
                <w:rFonts w:hint="eastAsia" w:ascii="宋体" w:hAnsi="宋体" w:cs="宋体"/>
                <w:color w:val="auto"/>
                <w:sz w:val="21"/>
                <w:szCs w:val="21"/>
                <w:u w:val="single"/>
              </w:rPr>
              <w:t>不少于    吨级</w:t>
            </w:r>
            <w:r>
              <w:rPr>
                <w:rFonts w:hint="eastAsia" w:ascii="宋体" w:hAnsi="宋体" w:cs="宋体"/>
                <w:color w:val="auto"/>
                <w:sz w:val="21"/>
                <w:szCs w:val="21"/>
                <w:u w:val="single"/>
                <w:lang w:val="en-US"/>
              </w:rPr>
              <w:t>舾装码头工程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4</w:t>
            </w:r>
            <w:r>
              <w:rPr>
                <w:rFonts w:hint="eastAsia" w:ascii="宋体" w:hAnsi="宋体" w:cs="宋体"/>
                <w:color w:val="auto"/>
                <w:sz w:val="21"/>
                <w:szCs w:val="21"/>
              </w:rPr>
              <w:t>）</w:t>
            </w:r>
            <w:r>
              <w:rPr>
                <w:rFonts w:hint="eastAsia" w:ascii="宋体" w:hAnsi="宋体" w:cs="宋体"/>
                <w:color w:val="auto"/>
                <w:sz w:val="21"/>
                <w:szCs w:val="21"/>
                <w:u w:val="single"/>
              </w:rPr>
              <w:t>其它业绩（应符合招标项目具体特点和实际情况）</w:t>
            </w:r>
            <w:r>
              <w:rPr>
                <w:rFonts w:hint="eastAsia" w:ascii="宋体" w:hAnsi="宋体" w:cs="宋体"/>
                <w:color w:val="auto"/>
                <w:sz w:val="21"/>
                <w:szCs w:val="21"/>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r>
              <w:rPr>
                <w:rFonts w:hint="eastAsia" w:ascii="宋体" w:hAnsi="宋体" w:cs="宋体"/>
                <w:color w:val="auto"/>
                <w:sz w:val="21"/>
                <w:szCs w:val="21"/>
                <w:lang w:val="en-US"/>
              </w:rPr>
              <w:t>D类（通航建筑工程）</w:t>
            </w:r>
            <w:r>
              <w:rPr>
                <w:rFonts w:hint="eastAsia" w:ascii="宋体" w:hAnsi="宋体" w:cs="宋体"/>
                <w:color w:val="auto"/>
                <w:sz w:val="21"/>
                <w:szCs w:val="21"/>
              </w:rPr>
              <w:t>：</w:t>
            </w:r>
            <w:r>
              <w:rPr>
                <w:rFonts w:hint="eastAsia" w:ascii="宋体" w:hAnsi="宋体" w:cs="宋体"/>
                <w:color w:val="auto"/>
                <w:sz w:val="21"/>
                <w:szCs w:val="21"/>
                <w:u w:val="single"/>
              </w:rPr>
              <w:t>近五年内</w:t>
            </w:r>
            <w:r>
              <w:rPr>
                <w:rFonts w:hint="eastAsia" w:ascii="宋体" w:hAnsi="宋体" w:cs="宋体"/>
                <w:color w:val="auto"/>
                <w:sz w:val="21"/>
                <w:szCs w:val="21"/>
              </w:rPr>
              <w:t>，成功完成以下</w:t>
            </w:r>
            <w:r>
              <w:rPr>
                <w:rFonts w:hint="eastAsia" w:ascii="宋体" w:hAnsi="宋体" w:cs="宋体"/>
                <w:color w:val="auto"/>
                <w:sz w:val="21"/>
                <w:szCs w:val="21"/>
                <w:u w:val="single"/>
                <w:lang w:val="en-US"/>
              </w:rPr>
              <w:t>（勘察、设计或勘察设计）</w:t>
            </w:r>
            <w:r>
              <w:rPr>
                <w:rFonts w:hint="eastAsia" w:ascii="宋体" w:hAnsi="宋体" w:cs="宋体"/>
                <w:color w:val="auto"/>
                <w:sz w:val="21"/>
                <w:szCs w:val="21"/>
              </w:rPr>
              <w:t>业绩：</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u w:val="single"/>
              </w:rPr>
              <w:t>不少于      吨级</w:t>
            </w:r>
            <w:r>
              <w:rPr>
                <w:rFonts w:hint="eastAsia" w:ascii="宋体" w:hAnsi="宋体" w:cs="宋体"/>
                <w:color w:val="auto"/>
                <w:sz w:val="21"/>
                <w:szCs w:val="21"/>
                <w:u w:val="single"/>
                <w:lang w:val="en-US"/>
              </w:rPr>
              <w:t>渠化枢纽、</w:t>
            </w:r>
            <w:r>
              <w:rPr>
                <w:rFonts w:hint="eastAsia" w:ascii="宋体" w:hAnsi="宋体" w:cs="宋体"/>
                <w:color w:val="auto"/>
                <w:sz w:val="21"/>
                <w:szCs w:val="21"/>
                <w:u w:val="single"/>
              </w:rPr>
              <w:t>船闸、升船机</w:t>
            </w:r>
            <w:r>
              <w:rPr>
                <w:rFonts w:hint="eastAsia" w:ascii="宋体" w:hAnsi="宋体" w:cs="宋体"/>
                <w:color w:val="auto"/>
                <w:sz w:val="21"/>
                <w:szCs w:val="21"/>
              </w:rPr>
              <w:t>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u w:val="singl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2</w:t>
            </w:r>
            <w:r>
              <w:rPr>
                <w:rFonts w:hint="eastAsia" w:ascii="宋体" w:hAnsi="宋体" w:cs="宋体"/>
                <w:color w:val="auto"/>
                <w:sz w:val="21"/>
                <w:szCs w:val="21"/>
              </w:rPr>
              <w:t>）</w:t>
            </w:r>
            <w:r>
              <w:rPr>
                <w:rFonts w:hint="eastAsia" w:ascii="宋体" w:hAnsi="宋体" w:cs="宋体"/>
                <w:color w:val="auto"/>
                <w:sz w:val="21"/>
                <w:szCs w:val="21"/>
                <w:u w:val="single"/>
              </w:rPr>
              <w:t>其它业绩（应符合招标项目具体特点和实际情况）。</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E类（水上交通管制工程）：</w:t>
            </w:r>
            <w:r>
              <w:rPr>
                <w:rFonts w:hint="eastAsia" w:ascii="宋体" w:hAnsi="宋体" w:cs="宋体"/>
                <w:color w:val="auto"/>
                <w:sz w:val="21"/>
                <w:szCs w:val="21"/>
                <w:u w:val="single"/>
              </w:rPr>
              <w:t>近五年内</w:t>
            </w:r>
            <w:r>
              <w:rPr>
                <w:rFonts w:hint="eastAsia" w:ascii="宋体" w:hAnsi="宋体" w:cs="宋体"/>
                <w:color w:val="auto"/>
                <w:sz w:val="21"/>
                <w:szCs w:val="21"/>
              </w:rPr>
              <w:t>，成功完成以下</w:t>
            </w:r>
            <w:r>
              <w:rPr>
                <w:rFonts w:hint="eastAsia" w:ascii="宋体" w:hAnsi="宋体" w:cs="宋体"/>
                <w:color w:val="auto"/>
                <w:sz w:val="21"/>
                <w:szCs w:val="21"/>
                <w:u w:val="single"/>
                <w:lang w:val="en-US"/>
              </w:rPr>
              <w:t>（勘察、设计或勘察设计）</w:t>
            </w:r>
            <w:r>
              <w:rPr>
                <w:rFonts w:hint="eastAsia" w:ascii="宋体" w:hAnsi="宋体" w:cs="宋体"/>
                <w:color w:val="auto"/>
                <w:sz w:val="21"/>
                <w:szCs w:val="21"/>
              </w:rPr>
              <w:t>业绩：</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u w:val="single"/>
              </w:rPr>
            </w:pP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hint="eastAsia" w:ascii="宋体" w:hAnsi="宋体" w:cs="宋体"/>
                <w:color w:val="auto"/>
                <w:sz w:val="21"/>
                <w:szCs w:val="21"/>
                <w:u w:val="single"/>
                <w:lang w:val="en-US"/>
              </w:rPr>
              <w:t>投资不少于  万元航标、船舶交通管理系统、通信导航系统</w:t>
            </w:r>
            <w:r>
              <w:rPr>
                <w:rFonts w:hint="eastAsia" w:ascii="宋体" w:hAnsi="宋体" w:cs="宋体"/>
                <w:color w:val="auto"/>
                <w:sz w:val="21"/>
                <w:szCs w:val="21"/>
                <w:lang w:val="en-US"/>
              </w:rPr>
              <w:t>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u w:val="singl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2</w:t>
            </w:r>
            <w:r>
              <w:rPr>
                <w:rFonts w:hint="eastAsia" w:ascii="宋体" w:hAnsi="宋体" w:cs="宋体"/>
                <w:color w:val="auto"/>
                <w:sz w:val="21"/>
                <w:szCs w:val="21"/>
              </w:rPr>
              <w:t>）</w:t>
            </w:r>
            <w:r>
              <w:rPr>
                <w:rFonts w:hint="eastAsia" w:ascii="宋体" w:hAnsi="宋体" w:cs="宋体"/>
                <w:color w:val="auto"/>
                <w:sz w:val="21"/>
                <w:szCs w:val="21"/>
                <w:u w:val="single"/>
              </w:rPr>
              <w:t>其它业绩（应符合招标项目具体特点和实际情况）。</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lang w:val="en-US"/>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val="en-US"/>
              </w:rPr>
              <w:t>F</w:t>
            </w:r>
            <w:r>
              <w:rPr>
                <w:rFonts w:hint="eastAsia" w:ascii="宋体" w:hAnsi="宋体" w:cs="宋体"/>
                <w:color w:val="auto"/>
                <w:sz w:val="21"/>
                <w:szCs w:val="21"/>
              </w:rPr>
              <w:t>类（</w:t>
            </w:r>
            <w:r>
              <w:rPr>
                <w:rFonts w:hint="eastAsia" w:ascii="宋体" w:hAnsi="宋体" w:cs="宋体"/>
                <w:color w:val="auto"/>
                <w:sz w:val="21"/>
                <w:szCs w:val="21"/>
                <w:lang w:val="en-US"/>
              </w:rPr>
              <w:t>港口装卸工艺</w:t>
            </w:r>
            <w:r>
              <w:rPr>
                <w:rFonts w:hint="eastAsia" w:ascii="宋体" w:hAnsi="宋体" w:cs="宋体"/>
                <w:color w:val="auto"/>
                <w:sz w:val="21"/>
                <w:szCs w:val="21"/>
              </w:rPr>
              <w:t>工程）：</w:t>
            </w:r>
            <w:r>
              <w:rPr>
                <w:rFonts w:hint="eastAsia" w:ascii="宋体" w:hAnsi="宋体" w:cs="宋体"/>
                <w:color w:val="auto"/>
                <w:sz w:val="21"/>
                <w:szCs w:val="21"/>
                <w:u w:val="single"/>
              </w:rPr>
              <w:t>近五年内</w:t>
            </w:r>
            <w:r>
              <w:rPr>
                <w:rFonts w:hint="eastAsia" w:ascii="宋体" w:hAnsi="宋体" w:cs="宋体"/>
                <w:color w:val="auto"/>
                <w:sz w:val="21"/>
                <w:szCs w:val="21"/>
              </w:rPr>
              <w:t>，成功完成以下</w:t>
            </w:r>
            <w:r>
              <w:rPr>
                <w:rFonts w:hint="eastAsia" w:ascii="宋体" w:hAnsi="宋体" w:cs="宋体"/>
                <w:color w:val="auto"/>
                <w:sz w:val="21"/>
                <w:szCs w:val="21"/>
                <w:u w:val="single"/>
                <w:lang w:val="en-US"/>
              </w:rPr>
              <w:t>（勘察、设计或勘察设计）</w:t>
            </w:r>
            <w:r>
              <w:rPr>
                <w:rFonts w:hint="eastAsia" w:ascii="宋体" w:hAnsi="宋体" w:cs="宋体"/>
                <w:color w:val="auto"/>
                <w:sz w:val="21"/>
                <w:szCs w:val="21"/>
              </w:rPr>
              <w:t>业绩：</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u w:val="single"/>
              </w:rPr>
              <w:t>（</w:t>
            </w:r>
            <w:r>
              <w:rPr>
                <w:rFonts w:hint="eastAsia" w:ascii="宋体" w:hAnsi="宋体" w:cs="宋体"/>
                <w:color w:val="auto"/>
                <w:sz w:val="21"/>
                <w:szCs w:val="21"/>
                <w:u w:val="single"/>
                <w:lang w:val="en-US"/>
              </w:rPr>
              <w:t>大、中</w:t>
            </w:r>
            <w:r>
              <w:rPr>
                <w:rFonts w:hint="eastAsia" w:ascii="宋体" w:hAnsi="宋体" w:cs="宋体"/>
                <w:color w:val="auto"/>
                <w:sz w:val="21"/>
                <w:szCs w:val="21"/>
                <w:u w:val="single"/>
              </w:rPr>
              <w:t>）</w:t>
            </w:r>
            <w:r>
              <w:rPr>
                <w:rFonts w:hint="eastAsia" w:ascii="宋体" w:hAnsi="宋体" w:cs="宋体"/>
                <w:color w:val="auto"/>
                <w:sz w:val="21"/>
                <w:szCs w:val="21"/>
                <w:u w:val="single"/>
                <w:lang w:val="en-US"/>
              </w:rPr>
              <w:t>型港口工程相应装卸工艺工程</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个</w:t>
            </w:r>
            <w:r>
              <w:rPr>
                <w:rFonts w:hint="eastAsia" w:ascii="宋体" w:hAnsi="宋体" w:cs="宋体"/>
                <w:color w:val="auto"/>
                <w:sz w:val="21"/>
                <w:szCs w:val="21"/>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rPr>
              <w:t>其它业绩（应符合招标项目具体特点和实际情况）</w:t>
            </w:r>
            <w:r>
              <w:rPr>
                <w:rFonts w:hint="eastAsia" w:ascii="宋体" w:hAnsi="宋体" w:cs="宋体"/>
                <w:color w:val="auto"/>
                <w:sz w:val="21"/>
                <w:szCs w:val="21"/>
              </w:rPr>
              <w:t>。</w:t>
            </w:r>
          </w:p>
        </w:tc>
      </w:tr>
    </w:tbl>
    <w:p>
      <w:pPr>
        <w:adjustRightInd w:val="0"/>
        <w:snapToGrid w:val="0"/>
        <w:rPr>
          <w:rFonts w:hint="eastAsia" w:ascii="宋体" w:hAnsi="宋体"/>
          <w:color w:val="auto"/>
          <w:sz w:val="21"/>
          <w:szCs w:val="21"/>
        </w:rPr>
      </w:pPr>
      <w:r>
        <w:rPr>
          <w:rFonts w:hint="eastAsia" w:ascii="宋体" w:hAnsi="宋体"/>
          <w:color w:val="auto"/>
          <w:sz w:val="21"/>
          <w:szCs w:val="21"/>
        </w:rPr>
        <w:t>注：1、本附录所要求的业绩仅限中华人民共和国境内业绩。</w:t>
      </w:r>
    </w:p>
    <w:p>
      <w:pPr>
        <w:rPr>
          <w:rFonts w:ascii="宋体" w:hAnsi="宋体"/>
          <w:bCs/>
          <w:szCs w:val="16"/>
        </w:rPr>
      </w:pPr>
      <w:r>
        <w:rPr>
          <w:rFonts w:hint="eastAsia" w:ascii="宋体" w:hAnsi="宋体"/>
          <w:color w:val="auto"/>
          <w:sz w:val="21"/>
          <w:szCs w:val="21"/>
        </w:rPr>
        <w:t>2、若为联合体投标，投标人业绩的资格审查条件和加分条件（如有）的认定原则如下</w:t>
      </w:r>
      <w:r>
        <w:rPr>
          <w:rStyle w:val="101"/>
          <w:rFonts w:hint="eastAsia" w:ascii="宋体" w:hAnsi="宋体" w:cs="Times New Roman"/>
          <w:color w:val="auto"/>
          <w:sz w:val="30"/>
          <w:lang w:val="en-US"/>
        </w:rPr>
        <w:footnoteReference w:id="49"/>
      </w:r>
      <w:r>
        <w:rPr>
          <w:rFonts w:hint="eastAsia" w:ascii="宋体" w:hAnsi="宋体"/>
          <w:color w:val="auto"/>
          <w:sz w:val="21"/>
          <w:szCs w:val="21"/>
        </w:rPr>
        <w:t>：</w:t>
      </w:r>
    </w:p>
    <w:p>
      <w:pPr>
        <w:pStyle w:val="84"/>
        <w:adjustRightInd/>
        <w:spacing w:line="360" w:lineRule="auto"/>
        <w:jc w:val="left"/>
        <w:outlineLvl w:val="1"/>
        <w:rPr>
          <w:rFonts w:ascii="宋体" w:hAnsi="宋体"/>
          <w:bCs/>
          <w:sz w:val="24"/>
          <w:szCs w:val="16"/>
          <w:u w:val="single"/>
          <w:lang w:val="en-US"/>
        </w:rPr>
        <w:sectPr>
          <w:footnotePr>
            <w:numRestart w:val="eachPage"/>
          </w:footnotePr>
          <w:pgSz w:w="11900" w:h="16838"/>
          <w:pgMar w:top="1803" w:right="1440" w:bottom="1803" w:left="1440" w:header="680" w:footer="680" w:gutter="0"/>
          <w:cols w:space="720" w:num="1"/>
          <w:docGrid w:linePitch="360" w:charSpace="0"/>
        </w:sectPr>
      </w:pPr>
      <w:r>
        <w:rPr>
          <w:rFonts w:hint="eastAsia" w:ascii="宋体" w:hAnsi="宋体"/>
          <w:bCs/>
          <w:sz w:val="24"/>
          <w:szCs w:val="16"/>
          <w:u w:val="single"/>
          <w:lang w:val="en-US" w:eastAsia="zh-CN"/>
        </w:rPr>
        <w:t xml:space="preserve">                                                                     。</w:t>
      </w:r>
    </w:p>
    <w:p>
      <w:pPr>
        <w:pStyle w:val="84"/>
        <w:snapToGrid w:val="0"/>
        <w:spacing w:line="360" w:lineRule="auto"/>
        <w:outlineLvl w:val="1"/>
        <w:rPr>
          <w:rFonts w:hint="eastAsia" w:ascii="宋体" w:hAnsi="宋体"/>
          <w:bCs/>
          <w:sz w:val="24"/>
          <w:szCs w:val="16"/>
          <w:vertAlign w:val="superscript"/>
        </w:rPr>
      </w:pPr>
      <w:r>
        <w:rPr>
          <w:rFonts w:ascii="宋体" w:hAnsi="宋体"/>
          <w:bCs/>
          <w:sz w:val="24"/>
          <w:szCs w:val="16"/>
        </w:rPr>
        <w:t>附录</w:t>
      </w:r>
      <w:r>
        <w:rPr>
          <w:rFonts w:hint="eastAsia" w:ascii="宋体" w:hAnsi="宋体"/>
          <w:bCs/>
          <w:sz w:val="24"/>
          <w:szCs w:val="16"/>
          <w:lang w:val="en-US" w:eastAsia="zh-CN"/>
        </w:rPr>
        <w:t>3</w:t>
      </w:r>
      <w:r>
        <w:rPr>
          <w:rFonts w:ascii="宋体" w:hAnsi="宋体"/>
          <w:bCs/>
          <w:sz w:val="24"/>
          <w:szCs w:val="16"/>
        </w:rPr>
        <w:t xml:space="preserve"> 资格审查条件(信誉最低要求)</w:t>
      </w:r>
      <w:r>
        <w:rPr>
          <w:szCs w:val="16"/>
        </w:rPr>
        <w:t xml:space="preserve"> </w:t>
      </w:r>
      <w:r>
        <w:rPr>
          <w:rStyle w:val="101"/>
          <w:rFonts w:hint="eastAsia" w:ascii="宋体" w:hAnsi="宋体"/>
          <w:b w:val="0"/>
          <w:sz w:val="30"/>
          <w:szCs w:val="24"/>
          <w:lang w:val="en-US" w:eastAsia="zh-CN"/>
        </w:rPr>
        <w:footnoteReference w:id="50"/>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51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7" w:hRule="atLeast"/>
          <w:jc w:val="center"/>
        </w:trPr>
        <w:tc>
          <w:tcPr>
            <w:tcW w:w="8516" w:type="dxa"/>
            <w:noWrap w:val="0"/>
            <w:vAlign w:val="top"/>
          </w:tcPr>
          <w:p>
            <w:pPr>
              <w:keepNext w:val="0"/>
              <w:keepLines w:val="0"/>
              <w:suppressLineNumbers w:val="0"/>
              <w:adjustRightInd w:val="0"/>
              <w:snapToGrid w:val="0"/>
              <w:spacing w:before="0" w:beforeAutospacing="0" w:after="0" w:afterAutospacing="0" w:line="360" w:lineRule="auto"/>
              <w:ind w:left="0" w:right="0" w:firstLine="502"/>
              <w:jc w:val="both"/>
              <w:rPr>
                <w:rFonts w:hint="eastAsia" w:ascii="宋体" w:hAnsi="宋体" w:cs="宋体"/>
                <w:color w:val="auto"/>
                <w:sz w:val="21"/>
                <w:szCs w:val="21"/>
              </w:rPr>
            </w:pPr>
          </w:p>
          <w:p>
            <w:pPr>
              <w:keepNext w:val="0"/>
              <w:keepLines w:val="0"/>
              <w:suppressLineNumbers w:val="0"/>
              <w:adjustRightInd w:val="0"/>
              <w:snapToGrid w:val="0"/>
              <w:spacing w:before="0" w:beforeAutospacing="0" w:after="0" w:afterAutospacing="0" w:line="360" w:lineRule="auto"/>
              <w:ind w:left="0" w:right="0" w:firstLine="502"/>
              <w:jc w:val="both"/>
              <w:rPr>
                <w:rFonts w:hint="eastAsia" w:ascii="宋体" w:hAnsi="宋体" w:cs="宋体"/>
                <w:color w:val="auto"/>
                <w:sz w:val="21"/>
                <w:szCs w:val="21"/>
              </w:rPr>
            </w:pPr>
            <w:r>
              <w:rPr>
                <w:rFonts w:hint="eastAsia" w:ascii="宋体" w:hAnsi="宋体" w:cs="宋体"/>
                <w:color w:val="auto"/>
                <w:sz w:val="21"/>
                <w:szCs w:val="21"/>
              </w:rPr>
              <w:t>在最新年度</w:t>
            </w:r>
            <w:r>
              <w:rPr>
                <w:rFonts w:hint="eastAsia" w:ascii="宋体" w:hAnsi="宋体" w:cs="宋体"/>
                <w:color w:val="auto"/>
                <w:sz w:val="21"/>
                <w:szCs w:val="21"/>
                <w:lang w:eastAsia="zh-CN"/>
              </w:rPr>
              <w:t>湛江市水运工程从业单位（设计单位）信用评价</w:t>
            </w:r>
            <w:r>
              <w:rPr>
                <w:rFonts w:hint="eastAsia" w:ascii="宋体" w:hAnsi="宋体" w:cs="宋体"/>
                <w:color w:val="auto"/>
                <w:sz w:val="21"/>
                <w:szCs w:val="21"/>
              </w:rPr>
              <w:t>（含无最新年度而上一年度有信用评价）中，信用等级未被评为D级；初次进入</w:t>
            </w:r>
            <w:r>
              <w:rPr>
                <w:rFonts w:hint="eastAsia" w:ascii="宋体" w:hAnsi="宋体" w:cs="宋体"/>
                <w:color w:val="auto"/>
                <w:sz w:val="21"/>
                <w:szCs w:val="21"/>
                <w:lang w:eastAsia="zh-CN"/>
              </w:rPr>
              <w:t>湛江市</w:t>
            </w:r>
            <w:r>
              <w:rPr>
                <w:rFonts w:hint="eastAsia" w:ascii="宋体" w:hAnsi="宋体" w:cs="宋体"/>
                <w:color w:val="auto"/>
                <w:sz w:val="21"/>
                <w:szCs w:val="21"/>
              </w:rPr>
              <w:t>的投标人，在最新年度的全国水运从业单位（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单位）信用评价结果中未被评为D级。</w:t>
            </w:r>
          </w:p>
        </w:tc>
      </w:tr>
    </w:tbl>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注：</w:t>
      </w:r>
      <w:r>
        <w:rPr>
          <w:rFonts w:hint="eastAsia" w:ascii="宋体" w:hAnsi="宋体" w:cs="宋体"/>
          <w:color w:val="auto"/>
          <w:sz w:val="21"/>
          <w:szCs w:val="21"/>
          <w:lang w:val="en-US"/>
        </w:rPr>
        <w:t>1、</w:t>
      </w:r>
      <w:r>
        <w:rPr>
          <w:rFonts w:hint="eastAsia" w:ascii="宋体" w:hAnsi="宋体" w:cs="宋体"/>
          <w:color w:val="auto"/>
          <w:sz w:val="21"/>
          <w:szCs w:val="21"/>
        </w:rPr>
        <w:t>信用等级的确定原则遵遁投标人须知前附表10.2款的规定。</w:t>
      </w:r>
    </w:p>
    <w:p>
      <w:pPr>
        <w:adjustRightInd w:val="0"/>
        <w:snapToGrid w:val="0"/>
        <w:spacing w:line="360" w:lineRule="auto"/>
        <w:ind w:firstLine="840" w:firstLineChars="400"/>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、以联合体形式投标的，上述信用等级的要求以联合体中信用等级较低的为准。</w:t>
      </w:r>
    </w:p>
    <w:p>
      <w:pPr>
        <w:adjustRightInd w:val="0"/>
        <w:snapToGrid w:val="0"/>
        <w:spacing w:line="360" w:lineRule="auto"/>
        <w:rPr>
          <w:rFonts w:hint="eastAsia" w:ascii="宋体" w:hAnsi="宋体"/>
          <w:color w:val="auto"/>
          <w:sz w:val="21"/>
          <w:szCs w:val="21"/>
        </w:rPr>
      </w:pPr>
    </w:p>
    <w:p>
      <w:pPr>
        <w:pStyle w:val="84"/>
        <w:snapToGrid w:val="0"/>
        <w:spacing w:line="360" w:lineRule="auto"/>
        <w:outlineLvl w:val="1"/>
        <w:rPr>
          <w:rFonts w:ascii="宋体" w:hAnsi="宋体"/>
          <w:bCs/>
          <w:sz w:val="24"/>
          <w:szCs w:val="16"/>
        </w:rPr>
      </w:pPr>
      <w:r>
        <w:rPr>
          <w:rFonts w:ascii="宋体" w:hAnsi="宋体"/>
          <w:sz w:val="28"/>
          <w:szCs w:val="28"/>
        </w:rPr>
        <w:br w:type="page"/>
      </w:r>
      <w:r>
        <w:rPr>
          <w:rFonts w:hint="eastAsia" w:ascii="宋体" w:hAnsi="宋体"/>
        </w:rPr>
        <w:t xml:space="preserve"> </w:t>
      </w:r>
      <w:r>
        <w:rPr>
          <w:rFonts w:ascii="宋体" w:hAnsi="宋体"/>
          <w:bCs/>
          <w:sz w:val="24"/>
          <w:szCs w:val="16"/>
        </w:rPr>
        <w:t>附录</w:t>
      </w:r>
      <w:r>
        <w:rPr>
          <w:rFonts w:hint="eastAsia" w:ascii="宋体" w:hAnsi="宋体"/>
          <w:bCs/>
          <w:sz w:val="24"/>
          <w:szCs w:val="16"/>
          <w:lang w:val="en-US" w:eastAsia="zh-CN"/>
        </w:rPr>
        <w:t>4</w:t>
      </w:r>
      <w:r>
        <w:rPr>
          <w:rFonts w:ascii="宋体" w:hAnsi="宋体"/>
          <w:bCs/>
          <w:sz w:val="24"/>
          <w:szCs w:val="16"/>
        </w:rPr>
        <w:t xml:space="preserve">  资格审查条件(</w:t>
      </w:r>
      <w:r>
        <w:rPr>
          <w:rFonts w:hint="eastAsia" w:ascii="宋体" w:hAnsi="宋体"/>
          <w:bCs/>
          <w:sz w:val="24"/>
          <w:szCs w:val="16"/>
          <w:lang w:val="en-US" w:eastAsia="zh-CN"/>
        </w:rPr>
        <w:t>项目负责人</w:t>
      </w:r>
      <w:r>
        <w:rPr>
          <w:rFonts w:ascii="宋体" w:hAnsi="宋体"/>
          <w:bCs/>
          <w:sz w:val="24"/>
          <w:szCs w:val="16"/>
        </w:rPr>
        <w:t>最低要求)</w:t>
      </w:r>
      <w:r>
        <w:rPr>
          <w:rStyle w:val="101"/>
          <w:rFonts w:hint="eastAsia" w:ascii="宋体" w:hAnsi="宋体"/>
          <w:b w:val="0"/>
          <w:sz w:val="30"/>
          <w:szCs w:val="24"/>
          <w:lang w:val="en-US" w:eastAsia="zh-CN"/>
        </w:rPr>
        <w:footnoteReference w:id="51"/>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862"/>
        <w:gridCol w:w="5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2603"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人  员</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数  量</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260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项目负责人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具有水运工程系列</w:t>
            </w:r>
            <w:r>
              <w:rPr>
                <w:rFonts w:hint="eastAsia" w:ascii="宋体" w:hAnsi="宋体" w:cs="宋体"/>
                <w:color w:val="auto"/>
                <w:sz w:val="21"/>
                <w:szCs w:val="21"/>
                <w:u w:val="single"/>
                <w:lang w:val="en-US"/>
              </w:rPr>
              <w:t>中级</w:t>
            </w:r>
            <w:r>
              <w:rPr>
                <w:rFonts w:hint="eastAsia" w:ascii="宋体" w:hAnsi="宋体" w:cs="宋体"/>
                <w:color w:val="auto"/>
                <w:sz w:val="21"/>
                <w:szCs w:val="21"/>
                <w:u w:val="single"/>
              </w:rPr>
              <w:t>职称，具有注册土木工程师（港口与航道工程）资格，</w:t>
            </w:r>
            <w:r>
              <w:rPr>
                <w:rFonts w:hint="eastAsia" w:ascii="宋体" w:hAnsi="宋体" w:cs="宋体"/>
                <w:color w:val="auto"/>
                <w:sz w:val="21"/>
                <w:szCs w:val="21"/>
                <w:u w:val="single"/>
                <w:lang w:val="en-US"/>
              </w:rPr>
              <w:t>近5年内作为项目负责人主持过1个类似工程的（勘察、设计或勘察设计）工作</w:t>
            </w:r>
            <w:r>
              <w:rPr>
                <w:rFonts w:hint="eastAsia" w:ascii="宋体" w:hAnsi="宋体" w:cs="宋体"/>
                <w:color w:val="auto"/>
                <w:sz w:val="21"/>
                <w:szCs w:val="21"/>
              </w:rPr>
              <w:t>。</w:t>
            </w:r>
          </w:p>
        </w:tc>
      </w:tr>
    </w:tbl>
    <w:p>
      <w:pPr>
        <w:pStyle w:val="84"/>
        <w:snapToGrid w:val="0"/>
        <w:spacing w:line="360" w:lineRule="auto"/>
        <w:outlineLvl w:val="1"/>
        <w:rPr>
          <w:rFonts w:ascii="宋体" w:hAnsi="宋体"/>
          <w:bCs/>
          <w:sz w:val="24"/>
          <w:szCs w:val="16"/>
        </w:rPr>
      </w:pPr>
    </w:p>
    <w:p>
      <w:pPr>
        <w:pStyle w:val="84"/>
        <w:snapToGrid w:val="0"/>
        <w:spacing w:line="360" w:lineRule="auto"/>
        <w:outlineLvl w:val="1"/>
        <w:rPr>
          <w:rFonts w:ascii="宋体" w:hAnsi="宋体"/>
          <w:bCs/>
          <w:sz w:val="24"/>
          <w:szCs w:val="16"/>
        </w:rPr>
        <w:sectPr>
          <w:footnotePr>
            <w:numRestart w:val="eachPage"/>
          </w:footnotePr>
          <w:pgSz w:w="11900" w:h="16838"/>
          <w:pgMar w:top="1803" w:right="1440" w:bottom="1803" w:left="1440" w:header="680" w:footer="680" w:gutter="0"/>
          <w:cols w:space="720" w:num="1"/>
          <w:docGrid w:linePitch="360" w:charSpace="0"/>
        </w:sectPr>
      </w:pPr>
    </w:p>
    <w:p>
      <w:pPr>
        <w:pStyle w:val="84"/>
        <w:snapToGrid w:val="0"/>
        <w:spacing w:line="360" w:lineRule="auto"/>
        <w:outlineLvl w:val="1"/>
        <w:rPr>
          <w:rFonts w:ascii="宋体" w:hAnsi="宋体"/>
          <w:bCs/>
          <w:sz w:val="24"/>
          <w:szCs w:val="16"/>
        </w:rPr>
      </w:pPr>
      <w:r>
        <w:rPr>
          <w:rFonts w:ascii="宋体" w:hAnsi="宋体"/>
          <w:bCs/>
          <w:sz w:val="24"/>
          <w:szCs w:val="16"/>
        </w:rPr>
        <w:t>附录</w:t>
      </w:r>
      <w:r>
        <w:rPr>
          <w:rFonts w:hint="eastAsia" w:ascii="宋体" w:hAnsi="宋体"/>
          <w:bCs/>
          <w:sz w:val="24"/>
          <w:szCs w:val="16"/>
          <w:lang w:val="en-US" w:eastAsia="zh-CN"/>
        </w:rPr>
        <w:t>5</w:t>
      </w:r>
      <w:r>
        <w:rPr>
          <w:rFonts w:ascii="宋体" w:hAnsi="宋体"/>
          <w:bCs/>
          <w:sz w:val="24"/>
          <w:szCs w:val="16"/>
        </w:rPr>
        <w:t xml:space="preserve">  资格审查条件(</w:t>
      </w:r>
      <w:r>
        <w:rPr>
          <w:rFonts w:hint="eastAsia" w:ascii="宋体" w:hAnsi="宋体"/>
          <w:bCs/>
          <w:sz w:val="24"/>
          <w:szCs w:val="16"/>
          <w:lang w:val="en-US" w:eastAsia="zh-CN"/>
        </w:rPr>
        <w:t>其他主要人员</w:t>
      </w:r>
      <w:r>
        <w:rPr>
          <w:rFonts w:ascii="宋体" w:hAnsi="宋体"/>
          <w:bCs/>
          <w:sz w:val="24"/>
          <w:szCs w:val="16"/>
        </w:rPr>
        <w:t>最低要求)</w:t>
      </w:r>
      <w:r>
        <w:rPr>
          <w:rStyle w:val="101"/>
          <w:rFonts w:hint="eastAsia" w:ascii="宋体" w:hAnsi="宋体"/>
          <w:b w:val="0"/>
          <w:sz w:val="30"/>
          <w:szCs w:val="24"/>
          <w:lang w:val="en-US" w:eastAsia="zh-CN"/>
        </w:rPr>
        <w:footnoteReference w:id="52"/>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862"/>
        <w:gridCol w:w="5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03"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人  员</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数  量</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u w:val="none"/>
              </w:rPr>
            </w:pPr>
            <w:r>
              <w:rPr>
                <w:rFonts w:hint="eastAsia" w:ascii="宋体" w:hAnsi="宋体" w:cs="宋体"/>
                <w:color w:val="auto"/>
                <w:sz w:val="21"/>
                <w:szCs w:val="21"/>
                <w:u w:val="none"/>
              </w:rPr>
              <w:t>项目总工程师</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具有水运工程系列</w:t>
            </w:r>
            <w:r>
              <w:rPr>
                <w:rFonts w:hint="eastAsia" w:ascii="宋体" w:hAnsi="宋体" w:cs="宋体"/>
                <w:color w:val="auto"/>
                <w:sz w:val="21"/>
                <w:szCs w:val="21"/>
                <w:u w:val="single"/>
                <w:lang w:val="en-US"/>
              </w:rPr>
              <w:t>中</w:t>
            </w:r>
            <w:r>
              <w:rPr>
                <w:rFonts w:hint="eastAsia" w:ascii="宋体" w:hAnsi="宋体" w:cs="宋体"/>
                <w:color w:val="auto"/>
                <w:sz w:val="21"/>
                <w:szCs w:val="21"/>
                <w:u w:val="single"/>
              </w:rPr>
              <w:t>级职称或注册土木工程师（港口与航道工程）资格，至少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u w:val="none"/>
              </w:rPr>
            </w:pPr>
            <w:r>
              <w:rPr>
                <w:rFonts w:hint="eastAsia" w:hAnsi="宋体"/>
                <w:color w:val="auto"/>
                <w:sz w:val="21"/>
                <w:szCs w:val="21"/>
                <w:u w:val="none"/>
              </w:rPr>
              <w:t>工程勘察负责人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级职称，至少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u w:val="none"/>
              </w:rPr>
            </w:pPr>
            <w:r>
              <w:rPr>
                <w:rFonts w:hint="eastAsia" w:hAnsi="宋体"/>
                <w:color w:val="auto"/>
                <w:sz w:val="21"/>
                <w:szCs w:val="21"/>
                <w:u w:val="none"/>
              </w:rPr>
              <w:t>工程设计负责人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具有水运工程系列</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级职称，至少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u w:val="none"/>
              </w:rPr>
            </w:pPr>
            <w:r>
              <w:rPr>
                <w:rFonts w:hint="eastAsia" w:hAnsi="宋体"/>
                <w:color w:val="auto"/>
                <w:sz w:val="21"/>
                <w:szCs w:val="21"/>
                <w:u w:val="none"/>
              </w:rPr>
              <w:t>水工专业分项负责人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具有水运工程系列</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级职称，至少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u w:val="none"/>
              </w:rPr>
            </w:pPr>
            <w:r>
              <w:rPr>
                <w:rFonts w:hint="eastAsia" w:hAnsi="宋体"/>
                <w:color w:val="auto"/>
                <w:sz w:val="21"/>
                <w:szCs w:val="21"/>
                <w:u w:val="none"/>
              </w:rPr>
              <w:t>总图专业分项负责人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具有水运工程系列</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级职称，至少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u w:val="none"/>
              </w:rPr>
            </w:pPr>
            <w:r>
              <w:rPr>
                <w:rFonts w:hint="eastAsia" w:hAnsi="宋体"/>
                <w:color w:val="auto"/>
                <w:sz w:val="21"/>
                <w:szCs w:val="21"/>
                <w:u w:val="none"/>
              </w:rPr>
              <w:t>装卸工艺专业分项负责人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具有水运工程系列</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级职称，至少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b/>
                <w:color w:val="auto"/>
                <w:sz w:val="21"/>
                <w:szCs w:val="21"/>
                <w:u w:val="none"/>
              </w:rPr>
            </w:pPr>
            <w:r>
              <w:rPr>
                <w:rFonts w:hint="eastAsia" w:hAnsi="宋体"/>
                <w:color w:val="auto"/>
                <w:sz w:val="21"/>
                <w:szCs w:val="21"/>
                <w:u w:val="none"/>
              </w:rPr>
              <w:t>电气专业分项负责人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级职称，至少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u w:val="none"/>
              </w:rPr>
            </w:pPr>
            <w:r>
              <w:rPr>
                <w:rFonts w:hint="eastAsia" w:hAnsi="宋体"/>
                <w:color w:val="auto"/>
                <w:sz w:val="21"/>
                <w:szCs w:val="21"/>
                <w:u w:val="none"/>
              </w:rPr>
              <w:t>工程造价分项负责人</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u w:val="single"/>
              </w:rPr>
              <w:t>具有交通运输部颁发的   级水运工程造价工程师证书或</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 xml:space="preserve"> 级交通运输工程</w:t>
            </w:r>
            <w:r>
              <w:rPr>
                <w:rFonts w:hint="eastAsia" w:ascii="宋体" w:hAnsi="宋体" w:cs="宋体"/>
                <w:color w:val="auto"/>
                <w:sz w:val="21"/>
                <w:szCs w:val="21"/>
                <w:u w:val="single"/>
                <w:lang w:val="en-US"/>
              </w:rPr>
              <w:t>专业</w:t>
            </w:r>
            <w:r>
              <w:rPr>
                <w:rFonts w:hint="eastAsia" w:ascii="宋体" w:hAnsi="宋体" w:cs="宋体"/>
                <w:color w:val="auto"/>
                <w:sz w:val="21"/>
                <w:szCs w:val="21"/>
                <w:u w:val="single"/>
              </w:rPr>
              <w:t>造价工程师注册证书，至少</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年工作经验</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03" w:type="dxa"/>
            <w:noWrap w:val="0"/>
            <w:vAlign w:val="center"/>
          </w:tcPr>
          <w:p>
            <w:pPr>
              <w:pStyle w:val="719"/>
              <w:keepNext w:val="0"/>
              <w:keepLines w:val="0"/>
              <w:suppressLineNumbers w:val="0"/>
              <w:spacing w:before="0" w:beforeAutospacing="0" w:after="0" w:afterAutospacing="0"/>
              <w:ind w:left="0" w:right="0"/>
              <w:jc w:val="center"/>
              <w:rPr>
                <w:rFonts w:hint="eastAsia" w:hAnsi="宋体"/>
                <w:color w:val="auto"/>
                <w:sz w:val="21"/>
                <w:szCs w:val="21"/>
              </w:rPr>
            </w:pPr>
            <w:r>
              <w:rPr>
                <w:rFonts w:hint="eastAsia" w:hAnsi="宋体"/>
                <w:color w:val="auto"/>
                <w:sz w:val="21"/>
                <w:szCs w:val="21"/>
              </w:rPr>
              <w:t>……</w:t>
            </w:r>
          </w:p>
        </w:tc>
        <w:tc>
          <w:tcPr>
            <w:tcW w:w="862"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rPr>
            </w:pPr>
          </w:p>
        </w:tc>
        <w:tc>
          <w:tcPr>
            <w:tcW w:w="542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p>
        </w:tc>
      </w:tr>
    </w:tbl>
    <w:p>
      <w:pPr>
        <w:adjustRightInd w:val="0"/>
        <w:snapToGrid w:val="0"/>
        <w:spacing w:line="360" w:lineRule="auto"/>
        <w:rPr>
          <w:rFonts w:hint="eastAsia"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olor w:val="auto"/>
          <w:sz w:val="21"/>
          <w:szCs w:val="21"/>
        </w:rPr>
      </w:pPr>
      <w:r>
        <w:rPr>
          <w:rFonts w:hint="eastAsia" w:ascii="宋体" w:hAnsi="宋体"/>
          <w:color w:val="auto"/>
          <w:sz w:val="21"/>
          <w:szCs w:val="21"/>
        </w:rPr>
        <w:t>注：</w:t>
      </w:r>
      <w:r>
        <w:rPr>
          <w:rFonts w:hint="eastAsia" w:ascii="宋体" w:hAnsi="宋体"/>
          <w:bCs/>
          <w:color w:val="auto"/>
          <w:sz w:val="21"/>
          <w:szCs w:val="21"/>
        </w:rPr>
        <w:t>1、</w:t>
      </w:r>
      <w:r>
        <w:rPr>
          <w:rFonts w:hint="eastAsia" w:ascii="宋体" w:hAnsi="宋体"/>
          <w:color w:val="auto"/>
          <w:sz w:val="21"/>
          <w:szCs w:val="21"/>
          <w:lang w:val="en-US"/>
        </w:rPr>
        <w:t>工程造价分项负责人</w:t>
      </w:r>
      <w:r>
        <w:rPr>
          <w:rFonts w:hint="eastAsia" w:ascii="宋体" w:hAnsi="宋体"/>
          <w:color w:val="auto"/>
          <w:sz w:val="21"/>
          <w:szCs w:val="21"/>
        </w:rPr>
        <w:t>的造价人员证书的等级结合项目属性按规定合理设定。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lang w:val="en-US"/>
        </w:rPr>
        <w:t>2</w:t>
      </w:r>
      <w:r>
        <w:rPr>
          <w:rFonts w:hint="eastAsia" w:ascii="宋体" w:hAnsi="宋体"/>
          <w:color w:val="auto"/>
          <w:sz w:val="21"/>
          <w:szCs w:val="21"/>
        </w:rPr>
        <w:t>、如无明确的</w:t>
      </w:r>
      <w:r>
        <w:rPr>
          <w:rFonts w:hint="eastAsia" w:ascii="宋体" w:hAnsi="宋体"/>
          <w:color w:val="auto"/>
          <w:sz w:val="21"/>
          <w:szCs w:val="21"/>
          <w:lang w:val="en-US"/>
        </w:rPr>
        <w:t>人员岗位</w:t>
      </w:r>
      <w:r>
        <w:rPr>
          <w:rFonts w:hint="eastAsia" w:ascii="宋体" w:hAnsi="宋体"/>
          <w:color w:val="auto"/>
          <w:sz w:val="21"/>
          <w:szCs w:val="21"/>
        </w:rPr>
        <w:t>业绩要求，工作经验时间以《其他</w:t>
      </w:r>
      <w:r>
        <w:rPr>
          <w:rFonts w:hint="eastAsia" w:ascii="宋体" w:hAnsi="宋体"/>
          <w:color w:val="auto"/>
          <w:sz w:val="21"/>
          <w:szCs w:val="21"/>
          <w:lang w:val="en-US"/>
        </w:rPr>
        <w:t>主要人员资历表</w:t>
      </w:r>
      <w:r>
        <w:rPr>
          <w:rFonts w:hint="eastAsia" w:ascii="宋体" w:hAnsi="宋体"/>
          <w:color w:val="auto"/>
          <w:sz w:val="21"/>
          <w:szCs w:val="21"/>
        </w:rPr>
        <w:t>》中“经历栏"填入的最早开始时间起算。</w:t>
      </w:r>
    </w:p>
    <w:p>
      <w:pPr>
        <w:adjustRightInd w:val="0"/>
        <w:snapToGrid w:val="0"/>
        <w:spacing w:line="360" w:lineRule="auto"/>
        <w:jc w:val="center"/>
        <w:rPr>
          <w:rFonts w:hint="eastAsia" w:ascii="宋体" w:hAnsi="宋体"/>
          <w:color w:val="auto"/>
          <w:sz w:val="28"/>
          <w:szCs w:val="28"/>
        </w:rPr>
      </w:pPr>
    </w:p>
    <w:p>
      <w:pPr>
        <w:pStyle w:val="84"/>
        <w:snapToGrid w:val="0"/>
        <w:spacing w:line="360" w:lineRule="auto"/>
        <w:outlineLvl w:val="1"/>
        <w:rPr>
          <w:rFonts w:ascii="宋体" w:hAnsi="宋体"/>
          <w:bCs/>
          <w:sz w:val="24"/>
          <w:szCs w:val="16"/>
        </w:rPr>
        <w:sectPr>
          <w:footnotePr>
            <w:numRestart w:val="eachPage"/>
          </w:footnotePr>
          <w:pgSz w:w="11900" w:h="16838"/>
          <w:pgMar w:top="1803" w:right="1440" w:bottom="1803" w:left="1440" w:header="680" w:footer="680" w:gutter="0"/>
          <w:cols w:space="720" w:num="1"/>
          <w:docGrid w:linePitch="360" w:charSpace="0"/>
        </w:sectPr>
      </w:pPr>
      <w:bookmarkStart w:id="25" w:name="_Hlk111748335"/>
    </w:p>
    <w:p>
      <w:pPr>
        <w:pStyle w:val="84"/>
        <w:snapToGrid w:val="0"/>
        <w:spacing w:line="360" w:lineRule="auto"/>
        <w:outlineLvl w:val="1"/>
        <w:rPr>
          <w:rStyle w:val="101"/>
          <w:rFonts w:hint="eastAsia" w:ascii="宋体" w:hAnsi="宋体"/>
          <w:b w:val="0"/>
          <w:sz w:val="30"/>
          <w:szCs w:val="24"/>
          <w:lang w:val="en-US" w:eastAsia="zh-CN"/>
        </w:rPr>
      </w:pPr>
      <w:r>
        <w:rPr>
          <w:rFonts w:ascii="宋体" w:hAnsi="宋体"/>
          <w:bCs/>
          <w:sz w:val="24"/>
          <w:szCs w:val="16"/>
        </w:rPr>
        <w:t>附录</w:t>
      </w:r>
      <w:r>
        <w:rPr>
          <w:rFonts w:hint="eastAsia" w:ascii="宋体" w:hAnsi="宋体"/>
          <w:bCs/>
          <w:sz w:val="24"/>
          <w:szCs w:val="16"/>
          <w:lang w:val="en-US" w:eastAsia="zh-CN"/>
        </w:rPr>
        <w:t>6</w:t>
      </w:r>
      <w:r>
        <w:rPr>
          <w:rFonts w:ascii="宋体" w:hAnsi="宋体"/>
          <w:bCs/>
          <w:sz w:val="24"/>
          <w:szCs w:val="16"/>
        </w:rPr>
        <w:t xml:space="preserve">  资格审查条件(</w:t>
      </w:r>
      <w:r>
        <w:rPr>
          <w:rFonts w:hint="eastAsia" w:ascii="宋体" w:hAnsi="宋体"/>
          <w:bCs/>
          <w:sz w:val="24"/>
          <w:szCs w:val="16"/>
          <w:lang w:val="en-US" w:eastAsia="zh-CN"/>
        </w:rPr>
        <w:t>其他</w:t>
      </w:r>
      <w:r>
        <w:rPr>
          <w:rFonts w:ascii="宋体" w:hAnsi="宋体"/>
          <w:bCs/>
          <w:sz w:val="24"/>
          <w:szCs w:val="16"/>
        </w:rPr>
        <w:t>要求)</w:t>
      </w:r>
      <w:bookmarkEnd w:id="25"/>
      <w:r>
        <w:rPr>
          <w:rStyle w:val="101"/>
          <w:rFonts w:hint="eastAsia" w:ascii="宋体" w:hAnsi="宋体"/>
          <w:b w:val="0"/>
          <w:sz w:val="30"/>
          <w:szCs w:val="24"/>
          <w:lang w:val="en-US" w:eastAsia="zh-CN"/>
        </w:rPr>
        <w:t xml:space="preserve"> </w:t>
      </w:r>
      <w:r>
        <w:rPr>
          <w:rStyle w:val="101"/>
          <w:rFonts w:hint="eastAsia" w:ascii="宋体" w:hAnsi="宋体"/>
          <w:b w:val="0"/>
          <w:sz w:val="30"/>
          <w:szCs w:val="24"/>
          <w:lang w:val="en-US" w:eastAsia="zh-CN"/>
        </w:rPr>
        <w:footnoteReference w:id="53"/>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78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1"/>
                <w:szCs w:val="21"/>
              </w:rPr>
            </w:pPr>
            <w:r>
              <w:rPr>
                <w:rFonts w:hint="eastAsia" w:ascii="宋体" w:hAnsi="宋体"/>
                <w:color w:val="auto"/>
                <w:sz w:val="21"/>
                <w:szCs w:val="21"/>
                <w:lang w:val="en-US"/>
              </w:rPr>
              <w:t>其 他</w:t>
            </w:r>
            <w:r>
              <w:rPr>
                <w:rFonts w:hint="default" w:ascii="宋体" w:hAnsi="宋体"/>
                <w:color w:val="auto"/>
                <w:sz w:val="21"/>
                <w:szCs w:val="21"/>
              </w:rPr>
              <w:t xml:space="preserve">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8786" w:type="dxa"/>
            <w:noWrap w:val="0"/>
            <w:vAlign w:val="center"/>
          </w:tcPr>
          <w:p>
            <w:pPr>
              <w:keepNext w:val="0"/>
              <w:keepLines w:val="0"/>
              <w:suppressLineNumbers w:val="0"/>
              <w:snapToGrid w:val="0"/>
              <w:spacing w:before="0" w:beforeAutospacing="0" w:after="0" w:afterAutospacing="0" w:line="360" w:lineRule="auto"/>
              <w:ind w:left="0" w:right="0" w:firstLine="435"/>
              <w:rPr>
                <w:rFonts w:hint="eastAsia" w:ascii="宋体" w:hAnsi="宋体"/>
                <w:color w:val="auto"/>
                <w:sz w:val="21"/>
                <w:szCs w:val="21"/>
                <w:lang w:val="en-US"/>
              </w:rPr>
            </w:pPr>
            <w:r>
              <w:rPr>
                <w:rFonts w:hint="eastAsia" w:ascii="宋体" w:hAnsi="宋体"/>
                <w:color w:val="auto"/>
                <w:sz w:val="21"/>
                <w:szCs w:val="21"/>
                <w:lang w:val="en-US"/>
              </w:rPr>
              <w:t>……</w:t>
            </w:r>
          </w:p>
        </w:tc>
      </w:tr>
    </w:tbl>
    <w:p>
      <w:pPr>
        <w:adjustRightInd w:val="0"/>
        <w:snapToGrid w:val="0"/>
        <w:spacing w:line="360" w:lineRule="auto"/>
        <w:rPr>
          <w:rFonts w:hint="eastAsia" w:ascii="宋体" w:hAnsi="宋体"/>
          <w:bCs/>
          <w:color w:val="auto"/>
          <w:sz w:val="21"/>
          <w:szCs w:val="21"/>
        </w:rPr>
      </w:pPr>
    </w:p>
    <w:p>
      <w:pPr>
        <w:spacing w:line="360" w:lineRule="auto"/>
        <w:ind w:firstLine="360"/>
        <w:jc w:val="center"/>
        <w:rPr>
          <w:rFonts w:ascii="宋体"/>
          <w:b/>
          <w:bCs/>
          <w:color w:val="auto"/>
          <w:sz w:val="36"/>
          <w:szCs w:val="36"/>
        </w:rPr>
      </w:pPr>
      <w:r>
        <w:rPr>
          <w:rFonts w:ascii="宋体" w:hAnsi="宋体"/>
          <w:color w:val="auto"/>
          <w:szCs w:val="21"/>
        </w:rPr>
        <w:br w:type="page"/>
      </w:r>
      <w:r>
        <w:rPr>
          <w:rStyle w:val="164"/>
          <w:rFonts w:ascii="宋体" w:hAnsi="宋体" w:eastAsia="宋体"/>
          <w:color w:val="auto"/>
        </w:rPr>
        <w:tab/>
      </w:r>
      <w:r>
        <w:rPr>
          <w:rFonts w:hint="eastAsia" w:ascii="宋体"/>
          <w:b/>
          <w:bCs/>
          <w:color w:val="auto"/>
          <w:sz w:val="36"/>
          <w:szCs w:val="36"/>
        </w:rPr>
        <w:t>投标人须知</w:t>
      </w:r>
    </w:p>
    <w:p>
      <w:pPr>
        <w:pStyle w:val="84"/>
        <w:snapToGrid w:val="0"/>
        <w:spacing w:line="360" w:lineRule="auto"/>
        <w:jc w:val="left"/>
        <w:outlineLvl w:val="1"/>
        <w:rPr>
          <w:rFonts w:hint="eastAsia"/>
          <w:bCs/>
          <w:sz w:val="24"/>
          <w:szCs w:val="13"/>
        </w:rPr>
      </w:pPr>
      <w:bookmarkStart w:id="26" w:name="_Toc262422508"/>
      <w:bookmarkStart w:id="27" w:name="_Toc391906946"/>
      <w:bookmarkStart w:id="28" w:name="_Toc257368317"/>
      <w:bookmarkStart w:id="29" w:name="_Toc376010697"/>
      <w:bookmarkStart w:id="30" w:name="_Toc375904738"/>
      <w:bookmarkStart w:id="31" w:name="_Toc285979798"/>
      <w:bookmarkStart w:id="32" w:name="_Toc305942037"/>
      <w:bookmarkStart w:id="33" w:name="_Toc263042926"/>
      <w:bookmarkStart w:id="34" w:name="_Toc271710680"/>
      <w:bookmarkStart w:id="35" w:name="_Toc351559106"/>
      <w:bookmarkStart w:id="36" w:name="_Toc237841327"/>
      <w:bookmarkStart w:id="37" w:name="_Toc206258828"/>
      <w:bookmarkStart w:id="38" w:name="_Toc268475706"/>
      <w:bookmarkStart w:id="39" w:name="_Toc238457505"/>
      <w:bookmarkStart w:id="40" w:name="_Toc228845070"/>
      <w:bookmarkStart w:id="41" w:name="_Toc202502792"/>
      <w:bookmarkStart w:id="42" w:name="_Toc252849792"/>
      <w:bookmarkStart w:id="43" w:name="_Toc245528810"/>
      <w:bookmarkStart w:id="44" w:name="_Toc202104645"/>
      <w:r>
        <w:rPr>
          <w:rFonts w:hint="eastAsia"/>
          <w:bCs/>
          <w:sz w:val="24"/>
          <w:szCs w:val="13"/>
        </w:rPr>
        <w:t>1．总则</w:t>
      </w:r>
      <w:bookmarkEnd w:id="26"/>
      <w:bookmarkEnd w:id="27"/>
      <w:bookmarkEnd w:id="28"/>
      <w:bookmarkEnd w:id="29"/>
      <w:bookmarkEnd w:id="30"/>
      <w:bookmarkEnd w:id="31"/>
      <w:bookmarkEnd w:id="32"/>
      <w:bookmarkEnd w:id="33"/>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 xml:space="preserve">1.1 </w:t>
      </w:r>
      <w:r>
        <w:rPr>
          <w:rFonts w:hint="eastAsia" w:ascii="宋体" w:hAnsi="宋体"/>
          <w:b/>
          <w:color w:val="auto"/>
          <w:lang w:val="en-US"/>
        </w:rPr>
        <w:t>招标</w:t>
      </w:r>
      <w:r>
        <w:rPr>
          <w:rFonts w:hint="eastAsia" w:ascii="宋体" w:hAnsi="宋体"/>
          <w:b/>
          <w:color w:val="auto"/>
        </w:rPr>
        <w:t>项目概况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1.1.1 根据《中华人民共和国招标投标法》《中华人民共和国招标投标法实施条例》《水运工程建设项目招标投标管理办法》等有关法律、法规和规章的规定，本招标项目已具备招标条件，现对</w:t>
      </w:r>
      <w:r>
        <w:rPr>
          <w:rFonts w:hint="eastAsia" w:ascii="宋体" w:hAnsi="宋体"/>
          <w:color w:val="auto"/>
          <w:lang w:val="en-US"/>
        </w:rPr>
        <w:t>勘察设计</w:t>
      </w:r>
      <w:r>
        <w:rPr>
          <w:rStyle w:val="101"/>
          <w:rFonts w:hint="eastAsia" w:ascii="宋体" w:hAnsi="宋体" w:cs="Times New Roman"/>
          <w:color w:val="auto"/>
          <w:sz w:val="30"/>
          <w:lang w:val="en-US"/>
        </w:rPr>
        <w:footnoteReference w:id="54"/>
      </w:r>
      <w:r>
        <w:rPr>
          <w:rFonts w:hint="eastAsia" w:ascii="宋体" w:hAnsi="宋体"/>
          <w:color w:val="auto"/>
        </w:rPr>
        <w:t>进行招标。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1.1.2 招标人：见投标人须知前附表。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1.1.3 招标代理机构：见投标人须知前附表。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1.1.4 招标项目名称：见投标人须知前附表。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1.1.5 </w:t>
      </w:r>
      <w:r>
        <w:rPr>
          <w:rFonts w:hint="eastAsia" w:ascii="宋体" w:hAnsi="宋体"/>
          <w:color w:val="auto"/>
          <w:lang w:val="en-US"/>
        </w:rPr>
        <w:t>项目</w:t>
      </w:r>
      <w:r>
        <w:rPr>
          <w:rFonts w:hint="eastAsia" w:ascii="宋体" w:hAnsi="宋体"/>
          <w:color w:val="auto"/>
        </w:rPr>
        <w:t>建设地点：见投标人须知前附表。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w:t>
      </w:r>
      <w:r>
        <w:rPr>
          <w:rFonts w:hint="eastAsia" w:ascii="宋体" w:hAnsi="宋体"/>
          <w:color w:val="auto"/>
          <w:lang w:val="en-US"/>
        </w:rPr>
        <w:t>6</w:t>
      </w:r>
      <w:r>
        <w:rPr>
          <w:rFonts w:hint="eastAsia" w:ascii="宋体" w:hAnsi="宋体"/>
          <w:color w:val="auto"/>
        </w:rPr>
        <w:t xml:space="preserve"> </w:t>
      </w:r>
      <w:r>
        <w:rPr>
          <w:rFonts w:hint="eastAsia" w:ascii="宋体" w:hAnsi="宋体"/>
          <w:color w:val="auto"/>
          <w:lang w:val="en-US"/>
        </w:rPr>
        <w:t>项目</w:t>
      </w:r>
      <w:r>
        <w:rPr>
          <w:rFonts w:hint="eastAsia" w:ascii="宋体" w:hAnsi="宋体"/>
          <w:color w:val="auto"/>
        </w:rPr>
        <w:t>建设</w:t>
      </w:r>
      <w:r>
        <w:rPr>
          <w:rFonts w:hint="eastAsia" w:ascii="宋体" w:hAnsi="宋体"/>
          <w:color w:val="auto"/>
          <w:lang w:val="en-US"/>
        </w:rPr>
        <w:t>规模</w:t>
      </w:r>
      <w:r>
        <w:rPr>
          <w:rFonts w:hint="eastAsia" w:ascii="宋体" w:hAnsi="宋体"/>
          <w:color w:val="auto"/>
        </w:rPr>
        <w:t>：见投标人须知前附表。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w:t>
      </w:r>
      <w:r>
        <w:rPr>
          <w:rFonts w:hint="eastAsia" w:ascii="宋体" w:hAnsi="宋体"/>
          <w:color w:val="auto"/>
          <w:lang w:val="en-US"/>
        </w:rPr>
        <w:t>7</w:t>
      </w:r>
      <w:r>
        <w:rPr>
          <w:rFonts w:hint="eastAsia" w:ascii="宋体" w:hAnsi="宋体"/>
          <w:color w:val="auto"/>
        </w:rPr>
        <w:t xml:space="preserve"> </w:t>
      </w:r>
      <w:r>
        <w:rPr>
          <w:rFonts w:hint="eastAsia" w:ascii="宋体" w:hAnsi="宋体"/>
          <w:color w:val="auto"/>
          <w:lang w:val="en-US"/>
        </w:rPr>
        <w:t>项目投资估算</w:t>
      </w:r>
      <w:r>
        <w:rPr>
          <w:rFonts w:hint="eastAsia" w:ascii="宋体" w:hAnsi="宋体"/>
          <w:color w:val="auto"/>
        </w:rPr>
        <w:t>：见投标人须知前附表。</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 xml:space="preserve">1.2 </w:t>
      </w:r>
      <w:r>
        <w:rPr>
          <w:rFonts w:hint="eastAsia" w:ascii="宋体" w:hAnsi="宋体"/>
          <w:b/>
          <w:color w:val="auto"/>
          <w:lang w:val="en-US"/>
        </w:rPr>
        <w:t>招标项目的</w:t>
      </w:r>
      <w:r>
        <w:rPr>
          <w:rFonts w:hint="eastAsia" w:ascii="宋体" w:hAnsi="宋体"/>
          <w:b/>
          <w:color w:val="auto"/>
        </w:rPr>
        <w:t>资金来源和落实情况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1.2.1 资金来源</w:t>
      </w:r>
      <w:r>
        <w:rPr>
          <w:rFonts w:hint="eastAsia" w:ascii="宋体" w:hAnsi="宋体"/>
          <w:color w:val="auto"/>
          <w:lang w:val="en-US"/>
        </w:rPr>
        <w:t>及比例</w:t>
      </w:r>
      <w:r>
        <w:rPr>
          <w:rFonts w:hint="eastAsia" w:ascii="宋体" w:hAnsi="宋体"/>
          <w:color w:val="auto"/>
        </w:rPr>
        <w:t>：见投标人须知前附表。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1.2.2 资金落实情况：见投标人须知前附表。</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1.3 招标范围、</w:t>
      </w:r>
      <w:r>
        <w:rPr>
          <w:rFonts w:hint="eastAsia" w:ascii="宋体" w:hAnsi="宋体"/>
          <w:b/>
          <w:color w:val="auto"/>
          <w:lang w:val="en-US"/>
        </w:rPr>
        <w:t>勘察设计服务期限、质量要求和安全目标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1.3.1 招标范围：见投标人须知前附表。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1.3.2 </w:t>
      </w:r>
      <w:r>
        <w:rPr>
          <w:rFonts w:hint="eastAsia" w:ascii="宋体" w:hAnsi="宋体"/>
          <w:color w:val="auto"/>
          <w:lang w:val="en-US"/>
        </w:rPr>
        <w:t>勘察设计服务期限</w:t>
      </w:r>
      <w:r>
        <w:rPr>
          <w:rFonts w:hint="eastAsia" w:ascii="宋体" w:hAnsi="宋体"/>
          <w:color w:val="auto"/>
        </w:rPr>
        <w:t>：见投标人须知前附表。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1.3.3 </w:t>
      </w:r>
      <w:r>
        <w:rPr>
          <w:rFonts w:hint="eastAsia" w:ascii="宋体" w:hAnsi="宋体"/>
          <w:color w:val="auto"/>
          <w:lang w:val="en-US"/>
        </w:rPr>
        <w:t>质量要求</w:t>
      </w:r>
      <w:r>
        <w:rPr>
          <w:rFonts w:hint="eastAsia" w:ascii="宋体" w:hAnsi="宋体"/>
          <w:color w:val="auto"/>
        </w:rPr>
        <w:t>：见投标人须知前附表。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1.3.</w:t>
      </w:r>
      <w:r>
        <w:rPr>
          <w:rFonts w:hint="eastAsia" w:ascii="宋体" w:hAnsi="宋体"/>
          <w:color w:val="auto"/>
          <w:lang w:val="en-US"/>
        </w:rPr>
        <w:t>4</w:t>
      </w:r>
      <w:r>
        <w:rPr>
          <w:rFonts w:hint="eastAsia" w:ascii="宋体" w:hAnsi="宋体"/>
          <w:color w:val="auto"/>
        </w:rPr>
        <w:t xml:space="preserve"> </w:t>
      </w:r>
      <w:r>
        <w:rPr>
          <w:rFonts w:hint="eastAsia" w:ascii="宋体" w:hAnsi="宋体"/>
          <w:color w:val="auto"/>
          <w:lang w:val="en-US"/>
        </w:rPr>
        <w:t>安全目标</w:t>
      </w:r>
      <w:r>
        <w:rPr>
          <w:rFonts w:hint="eastAsia" w:ascii="宋体" w:hAnsi="宋体"/>
          <w:color w:val="auto"/>
        </w:rPr>
        <w:t>：见投标人须知前附表</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1.4 投标人资格要求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1.4.1 投标人应具备承担本</w:t>
      </w:r>
      <w:r>
        <w:rPr>
          <w:rFonts w:hint="eastAsia" w:ascii="宋体" w:hAnsi="宋体"/>
          <w:color w:val="auto"/>
          <w:lang w:val="en-US"/>
        </w:rPr>
        <w:t>招标项目</w:t>
      </w:r>
      <w:r>
        <w:rPr>
          <w:rFonts w:hint="eastAsia" w:ascii="宋体" w:hAnsi="宋体"/>
          <w:color w:val="auto"/>
        </w:rPr>
        <w:t>资质条件、能力和信誉。</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（l）资质</w:t>
      </w:r>
      <w:r>
        <w:rPr>
          <w:rFonts w:hint="eastAsia" w:ascii="宋体" w:hAnsi="宋体"/>
          <w:color w:val="auto"/>
          <w:lang w:val="en-US"/>
        </w:rPr>
        <w:t>要求</w:t>
      </w:r>
      <w:r>
        <w:rPr>
          <w:rFonts w:hint="eastAsia" w:ascii="宋体" w:hAnsi="宋体"/>
          <w:color w:val="auto"/>
        </w:rPr>
        <w:t>：见投标人须知前附表；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w:t>
      </w:r>
      <w:r>
        <w:rPr>
          <w:rFonts w:hint="eastAsia" w:ascii="宋体" w:hAnsi="宋体"/>
          <w:color w:val="auto"/>
          <w:lang w:val="en-US"/>
        </w:rPr>
        <w:t>业绩</w:t>
      </w:r>
      <w:r>
        <w:rPr>
          <w:rFonts w:hint="eastAsia" w:ascii="宋体" w:hAnsi="宋体"/>
          <w:color w:val="auto"/>
        </w:rPr>
        <w:t>要求：见投标人须知前附表；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w:t>
      </w:r>
      <w:r>
        <w:rPr>
          <w:rFonts w:hint="eastAsia" w:ascii="宋体" w:hAnsi="宋体"/>
          <w:color w:val="auto"/>
          <w:lang w:val="en-US"/>
        </w:rPr>
        <w:t>信誉</w:t>
      </w:r>
      <w:r>
        <w:rPr>
          <w:rFonts w:hint="eastAsia" w:ascii="宋体" w:hAnsi="宋体"/>
          <w:color w:val="auto"/>
        </w:rPr>
        <w:t>要求：见投标人须知前附表；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w:t>
      </w:r>
      <w:r>
        <w:rPr>
          <w:rFonts w:hint="eastAsia" w:ascii="宋体" w:hAnsi="宋体"/>
          <w:color w:val="auto"/>
          <w:lang w:val="en-US"/>
        </w:rPr>
        <w:t>项目负责人要求：</w:t>
      </w:r>
      <w:r>
        <w:rPr>
          <w:rFonts w:hint="eastAsia" w:ascii="宋体" w:hAnsi="宋体"/>
          <w:color w:val="auto"/>
        </w:rPr>
        <w:t>见投标人须知前附表；</w:t>
      </w:r>
    </w:p>
    <w:p>
      <w:pPr>
        <w:adjustRightInd w:val="0"/>
        <w:snapToGrid w:val="0"/>
        <w:spacing w:line="360" w:lineRule="auto"/>
        <w:ind w:firstLine="480" w:firstLineChars="200"/>
        <w:rPr>
          <w:rFonts w:ascii="宋体" w:hAnsi="宋体"/>
          <w:color w:val="auto"/>
          <w:lang w:val="en-US"/>
        </w:rPr>
      </w:pPr>
      <w:r>
        <w:rPr>
          <w:rFonts w:hint="eastAsia" w:ascii="宋体" w:hAnsi="宋体"/>
          <w:color w:val="auto"/>
        </w:rPr>
        <w:t>（</w:t>
      </w:r>
      <w:r>
        <w:rPr>
          <w:rFonts w:hint="eastAsia" w:ascii="宋体" w:hAnsi="宋体"/>
          <w:color w:val="auto"/>
          <w:lang w:val="en-US"/>
        </w:rPr>
        <w:t>5</w:t>
      </w:r>
      <w:r>
        <w:rPr>
          <w:rFonts w:hint="eastAsia" w:ascii="宋体" w:hAnsi="宋体"/>
          <w:color w:val="auto"/>
        </w:rPr>
        <w:t>）</w:t>
      </w:r>
      <w:r>
        <w:rPr>
          <w:rFonts w:hint="eastAsia" w:ascii="宋体" w:hAnsi="宋体"/>
          <w:color w:val="auto"/>
          <w:lang w:val="en-US"/>
        </w:rPr>
        <w:t>其他要求：</w:t>
      </w:r>
      <w:r>
        <w:rPr>
          <w:rFonts w:hint="eastAsia" w:ascii="宋体" w:hAnsi="宋体"/>
          <w:color w:val="auto"/>
        </w:rPr>
        <w:t>见投标人须知前附表。</w:t>
      </w:r>
    </w:p>
    <w:p>
      <w:pPr>
        <w:spacing w:line="360" w:lineRule="auto"/>
        <w:ind w:firstLine="480" w:firstLineChars="200"/>
        <w:rPr>
          <w:rFonts w:hint="eastAsia" w:ascii="宋体" w:hAnsi="宋体"/>
          <w:color w:val="auto"/>
        </w:rPr>
      </w:pPr>
      <w:r>
        <w:rPr>
          <w:rFonts w:hint="eastAsia" w:ascii="宋体" w:hAnsi="宋体"/>
          <w:color w:val="auto"/>
        </w:rPr>
        <w:t>1.4.2 投标人须知前附表规定接受联合体投标的，除应符合本章第1.4.1款和投标人须知前附表的要求外，</w:t>
      </w:r>
      <w:r>
        <w:rPr>
          <w:rFonts w:hint="eastAsia" w:ascii="宋体" w:hAnsi="宋体"/>
          <w:color w:val="auto"/>
          <w:lang w:val="en-US"/>
        </w:rPr>
        <w:t>还</w:t>
      </w:r>
      <w:r>
        <w:rPr>
          <w:rFonts w:hint="eastAsia" w:ascii="宋体" w:hAnsi="宋体"/>
          <w:color w:val="auto"/>
        </w:rPr>
        <w:t>应符合下列规定：</w:t>
      </w:r>
    </w:p>
    <w:p>
      <w:pPr>
        <w:spacing w:line="360" w:lineRule="auto"/>
        <w:ind w:firstLine="480" w:firstLineChars="200"/>
        <w:rPr>
          <w:rFonts w:hint="eastAsia" w:ascii="宋体" w:hAnsi="宋体"/>
          <w:color w:val="auto"/>
        </w:rPr>
      </w:pPr>
      <w:r>
        <w:rPr>
          <w:rFonts w:hint="eastAsia" w:ascii="宋体" w:hAnsi="宋体"/>
          <w:color w:val="auto"/>
        </w:rPr>
        <w:t>（1) 联合体各方按招标文件提供的格式签订联合体协议书，明确联合体</w:t>
      </w:r>
      <w:r>
        <w:rPr>
          <w:rFonts w:hint="eastAsia" w:ascii="宋体" w:hAnsi="宋体"/>
          <w:color w:val="auto"/>
          <w:lang w:val="en-US"/>
        </w:rPr>
        <w:t>牵头人</w:t>
      </w:r>
      <w:r>
        <w:rPr>
          <w:rFonts w:hint="eastAsia" w:ascii="宋体" w:hAnsi="宋体"/>
          <w:color w:val="auto"/>
        </w:rPr>
        <w:t>和各方权利义务；</w:t>
      </w:r>
    </w:p>
    <w:p>
      <w:pPr>
        <w:spacing w:line="360" w:lineRule="auto"/>
        <w:ind w:firstLine="480" w:firstLineChars="200"/>
        <w:rPr>
          <w:rFonts w:hint="eastAsia" w:ascii="宋体" w:hAnsi="宋体"/>
          <w:color w:val="auto"/>
        </w:rPr>
      </w:pPr>
      <w:r>
        <w:rPr>
          <w:rFonts w:hint="eastAsia" w:ascii="宋体" w:hAnsi="宋体"/>
          <w:color w:val="auto"/>
        </w:rPr>
        <w:t>（2) 同一专业的单位组成的联合体，按照资质等级较低的单位确定资质等级；</w:t>
      </w:r>
    </w:p>
    <w:p>
      <w:pPr>
        <w:spacing w:line="360" w:lineRule="auto"/>
        <w:ind w:firstLine="480" w:firstLineChars="200"/>
        <w:rPr>
          <w:rFonts w:hint="eastAsia" w:ascii="宋体" w:hAnsi="宋体"/>
          <w:color w:val="auto"/>
        </w:rPr>
      </w:pPr>
      <w:r>
        <w:rPr>
          <w:rFonts w:hint="eastAsia" w:ascii="宋体" w:hAnsi="宋体"/>
          <w:color w:val="auto"/>
        </w:rPr>
        <w:t>（3) 联合体各方不得再以自己名义单独或参加其他联合体在同一标段中投标；</w:t>
      </w:r>
    </w:p>
    <w:p>
      <w:pPr>
        <w:spacing w:line="360" w:lineRule="auto"/>
        <w:ind w:firstLine="480" w:firstLineChars="200"/>
        <w:rPr>
          <w:rFonts w:hint="eastAsia" w:ascii="宋体" w:hAnsi="宋体"/>
          <w:color w:val="auto"/>
        </w:rPr>
      </w:pPr>
      <w:r>
        <w:rPr>
          <w:rFonts w:hint="eastAsia" w:ascii="宋体" w:hAnsi="宋体"/>
          <w:color w:val="auto"/>
        </w:rPr>
        <w:t>（4) 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 尽管委任了联合体牵头人，但联合体各成员在投标、签约与履行合同过程中，仍负有连带的和各自的法律责任。</w:t>
      </w:r>
    </w:p>
    <w:p>
      <w:pPr>
        <w:adjustRightInd w:val="0"/>
        <w:snapToGrid w:val="0"/>
        <w:spacing w:line="360" w:lineRule="auto"/>
        <w:ind w:firstLine="480" w:firstLineChars="200"/>
        <w:rPr>
          <w:color w:val="auto"/>
        </w:rPr>
      </w:pPr>
      <w:r>
        <w:rPr>
          <w:color w:val="auto"/>
        </w:rPr>
        <w:t>1.4.3 投标人（包括联合体各成员）不得与本标段相关单位存在下列关联关系：</w:t>
      </w:r>
    </w:p>
    <w:p>
      <w:pPr>
        <w:adjustRightInd w:val="0"/>
        <w:snapToGrid w:val="0"/>
        <w:spacing w:line="360" w:lineRule="auto"/>
        <w:ind w:firstLine="480" w:firstLineChars="200"/>
        <w:rPr>
          <w:color w:val="auto"/>
        </w:rPr>
      </w:pPr>
      <w:r>
        <w:rPr>
          <w:color w:val="auto"/>
        </w:rPr>
        <w:t>（1）为招标人不具有独立法人资格的附属机构（单位）；</w:t>
      </w:r>
    </w:p>
    <w:p>
      <w:pPr>
        <w:adjustRightInd w:val="0"/>
        <w:snapToGrid w:val="0"/>
        <w:spacing w:line="360" w:lineRule="auto"/>
        <w:ind w:firstLine="480" w:firstLineChars="200"/>
        <w:rPr>
          <w:color w:val="auto"/>
        </w:rPr>
      </w:pPr>
      <w:r>
        <w:rPr>
          <w:color w:val="auto"/>
        </w:rPr>
        <w:t>（2）与招标人存在利害关系且可能影响招标公正性；</w:t>
      </w:r>
    </w:p>
    <w:p>
      <w:pPr>
        <w:adjustRightInd w:val="0"/>
        <w:snapToGrid w:val="0"/>
        <w:spacing w:line="360" w:lineRule="auto"/>
        <w:ind w:firstLine="480" w:firstLineChars="200"/>
        <w:rPr>
          <w:rFonts w:hint="eastAsia"/>
          <w:color w:val="auto"/>
        </w:rPr>
      </w:pPr>
      <w:r>
        <w:rPr>
          <w:color w:val="auto"/>
        </w:rPr>
        <w:t>（3）与本标段的其他投标人同为一个单位负责人；</w:t>
      </w:r>
    </w:p>
    <w:p>
      <w:pPr>
        <w:adjustRightInd w:val="0"/>
        <w:snapToGrid w:val="0"/>
        <w:spacing w:line="360" w:lineRule="auto"/>
        <w:ind w:firstLine="480" w:firstLineChars="200"/>
        <w:rPr>
          <w:rFonts w:hint="eastAsia"/>
          <w:color w:val="auto"/>
        </w:rPr>
      </w:pPr>
      <w:r>
        <w:rPr>
          <w:color w:val="auto"/>
        </w:rPr>
        <w:t>（4）与本标段的其他投标人存在控股、管理关系；</w:t>
      </w:r>
    </w:p>
    <w:p>
      <w:pPr>
        <w:adjustRightInd w:val="0"/>
        <w:snapToGrid w:val="0"/>
        <w:spacing w:line="360" w:lineRule="auto"/>
        <w:ind w:firstLine="480" w:firstLineChars="200"/>
        <w:rPr>
          <w:rFonts w:hint="eastAsia"/>
          <w:color w:val="auto"/>
        </w:rPr>
      </w:pPr>
      <w:r>
        <w:rPr>
          <w:color w:val="auto"/>
        </w:rPr>
        <w:t>（5）为本标段的代建人；</w:t>
      </w:r>
    </w:p>
    <w:p>
      <w:pPr>
        <w:adjustRightInd w:val="0"/>
        <w:snapToGrid w:val="0"/>
        <w:spacing w:line="360" w:lineRule="auto"/>
        <w:ind w:firstLine="480" w:firstLineChars="200"/>
        <w:rPr>
          <w:rFonts w:hint="eastAsia"/>
          <w:color w:val="auto"/>
        </w:rPr>
      </w:pPr>
      <w:r>
        <w:rPr>
          <w:color w:val="auto"/>
        </w:rPr>
        <w:t>（</w:t>
      </w:r>
      <w:r>
        <w:rPr>
          <w:rFonts w:hint="eastAsia"/>
          <w:color w:val="auto"/>
          <w:lang w:val="en-US"/>
        </w:rPr>
        <w:t>6</w:t>
      </w:r>
      <w:r>
        <w:rPr>
          <w:color w:val="auto"/>
        </w:rPr>
        <w:t>）为本标段的招标代理机构；</w:t>
      </w:r>
    </w:p>
    <w:p>
      <w:pPr>
        <w:adjustRightInd w:val="0"/>
        <w:snapToGrid w:val="0"/>
        <w:spacing w:line="360" w:lineRule="auto"/>
        <w:ind w:firstLine="480" w:firstLineChars="200"/>
        <w:rPr>
          <w:rFonts w:hint="eastAsia"/>
          <w:color w:val="auto"/>
        </w:rPr>
      </w:pPr>
      <w:r>
        <w:rPr>
          <w:color w:val="auto"/>
        </w:rPr>
        <w:t>（</w:t>
      </w:r>
      <w:r>
        <w:rPr>
          <w:rFonts w:hint="eastAsia"/>
          <w:color w:val="auto"/>
          <w:lang w:val="en-US"/>
        </w:rPr>
        <w:t>7</w:t>
      </w:r>
      <w:r>
        <w:rPr>
          <w:color w:val="auto"/>
        </w:rPr>
        <w:t>）与本标段的代建人或招标代理机构同为一个法定代表人；</w:t>
      </w:r>
    </w:p>
    <w:p>
      <w:pPr>
        <w:adjustRightInd w:val="0"/>
        <w:snapToGrid w:val="0"/>
        <w:spacing w:line="360" w:lineRule="auto"/>
        <w:ind w:firstLine="480" w:firstLineChars="200"/>
        <w:rPr>
          <w:rFonts w:hint="eastAsia"/>
          <w:color w:val="auto"/>
        </w:rPr>
      </w:pPr>
      <w:r>
        <w:rPr>
          <w:color w:val="auto"/>
        </w:rPr>
        <w:t>（</w:t>
      </w:r>
      <w:r>
        <w:rPr>
          <w:rFonts w:hint="eastAsia"/>
          <w:color w:val="auto"/>
          <w:lang w:val="en-US"/>
        </w:rPr>
        <w:t>8</w:t>
      </w:r>
      <w:r>
        <w:rPr>
          <w:color w:val="auto"/>
        </w:rPr>
        <w:t>）与本标段的代建人或招标代理机构存在控股或参股关系；</w:t>
      </w:r>
    </w:p>
    <w:p>
      <w:pPr>
        <w:adjustRightInd w:val="0"/>
        <w:snapToGrid w:val="0"/>
        <w:spacing w:line="360" w:lineRule="auto"/>
        <w:ind w:firstLine="480" w:firstLineChars="200"/>
        <w:rPr>
          <w:color w:val="auto"/>
        </w:rPr>
      </w:pPr>
      <w:r>
        <w:rPr>
          <w:color w:val="auto"/>
        </w:rPr>
        <w:t>（</w:t>
      </w:r>
      <w:r>
        <w:rPr>
          <w:rFonts w:hint="eastAsia"/>
          <w:color w:val="auto"/>
          <w:lang w:val="en-US"/>
        </w:rPr>
        <w:t>9</w:t>
      </w:r>
      <w:r>
        <w:rPr>
          <w:color w:val="auto"/>
        </w:rPr>
        <w:t>）法律法规或投标人须知前附表规定的其他情形。</w:t>
      </w:r>
    </w:p>
    <w:p>
      <w:pPr>
        <w:adjustRightInd w:val="0"/>
        <w:snapToGrid w:val="0"/>
        <w:spacing w:line="360" w:lineRule="auto"/>
        <w:ind w:firstLine="480" w:firstLineChars="200"/>
        <w:rPr>
          <w:color w:val="auto"/>
        </w:rPr>
      </w:pPr>
      <w:r>
        <w:rPr>
          <w:color w:val="auto"/>
        </w:rPr>
        <w:t>1.4.4 投标人（包括联合体各成员）不得存在下列不良状况或不良信用记录：</w:t>
      </w:r>
    </w:p>
    <w:p>
      <w:pPr>
        <w:adjustRightInd w:val="0"/>
        <w:snapToGrid w:val="0"/>
        <w:spacing w:line="360" w:lineRule="auto"/>
        <w:ind w:firstLine="480" w:firstLineChars="200"/>
        <w:rPr>
          <w:rFonts w:hint="eastAsia"/>
          <w:color w:val="auto"/>
        </w:rPr>
      </w:pPr>
      <w:r>
        <w:rPr>
          <w:color w:val="auto"/>
        </w:rPr>
        <w:t>（1）被</w:t>
      </w:r>
      <w:r>
        <w:rPr>
          <w:rFonts w:hint="eastAsia"/>
          <w:color w:val="auto"/>
          <w:lang w:eastAsia="zh-CN"/>
        </w:rPr>
        <w:t>地市</w:t>
      </w:r>
      <w:r>
        <w:rPr>
          <w:color w:val="auto"/>
        </w:rPr>
        <w:t>级及以上交通运输主管部门取消</w:t>
      </w:r>
      <w:r>
        <w:rPr>
          <w:rFonts w:hint="eastAsia"/>
          <w:color w:val="auto"/>
          <w:lang w:eastAsia="zh-CN"/>
        </w:rPr>
        <w:t>招标湛江市</w:t>
      </w:r>
      <w:r>
        <w:rPr>
          <w:color w:val="auto"/>
        </w:rPr>
        <w:t>的投标资格且处于有效期内；</w:t>
      </w:r>
    </w:p>
    <w:p>
      <w:pPr>
        <w:adjustRightInd w:val="0"/>
        <w:snapToGrid w:val="0"/>
        <w:spacing w:line="360" w:lineRule="auto"/>
        <w:ind w:firstLine="480" w:firstLineChars="200"/>
        <w:rPr>
          <w:rFonts w:hint="eastAsia"/>
          <w:color w:val="auto"/>
        </w:rPr>
      </w:pPr>
      <w:r>
        <w:rPr>
          <w:color w:val="auto"/>
        </w:rPr>
        <w:t>（2）被责令停业，暂扣或吊销执照，或吊销资质证书；</w:t>
      </w:r>
    </w:p>
    <w:p>
      <w:pPr>
        <w:adjustRightInd w:val="0"/>
        <w:snapToGrid w:val="0"/>
        <w:spacing w:line="360" w:lineRule="auto"/>
        <w:ind w:firstLine="480" w:firstLineChars="200"/>
        <w:rPr>
          <w:rFonts w:hint="eastAsia"/>
          <w:color w:val="auto"/>
        </w:rPr>
      </w:pPr>
      <w:r>
        <w:rPr>
          <w:color w:val="auto"/>
        </w:rPr>
        <w:t>（3）进入清算程序，或被宣告破产，或其他丧失履约能力的情形；</w:t>
      </w:r>
    </w:p>
    <w:p>
      <w:pPr>
        <w:adjustRightInd w:val="0"/>
        <w:snapToGrid w:val="0"/>
        <w:spacing w:line="360" w:lineRule="auto"/>
        <w:ind w:firstLine="480" w:firstLineChars="200"/>
        <w:rPr>
          <w:rFonts w:hint="eastAsia"/>
          <w:color w:val="auto"/>
        </w:rPr>
      </w:pPr>
      <w:r>
        <w:rPr>
          <w:color w:val="auto"/>
        </w:rPr>
        <w:t>（4）在国家企业信用信息公示系统（http://www.gsxt.gov.cn/）中被列入严重违法失信企业名单；</w:t>
      </w:r>
    </w:p>
    <w:p>
      <w:pPr>
        <w:adjustRightInd w:val="0"/>
        <w:snapToGrid w:val="0"/>
        <w:spacing w:line="360" w:lineRule="auto"/>
        <w:ind w:firstLine="480" w:firstLineChars="200"/>
        <w:rPr>
          <w:rFonts w:hint="eastAsia"/>
          <w:color w:val="auto"/>
        </w:rPr>
      </w:pPr>
      <w:r>
        <w:rPr>
          <w:color w:val="auto"/>
        </w:rPr>
        <w:t>（5）在“信用中国”网站（http://www.creditchina.gov.cn/）中被列入失信被执行人名单；</w:t>
      </w:r>
    </w:p>
    <w:p>
      <w:pPr>
        <w:adjustRightInd w:val="0"/>
        <w:snapToGrid w:val="0"/>
        <w:spacing w:line="360" w:lineRule="auto"/>
        <w:ind w:firstLine="480" w:firstLineChars="200"/>
        <w:rPr>
          <w:rFonts w:hint="eastAsia"/>
          <w:color w:val="auto"/>
        </w:rPr>
      </w:pPr>
      <w:r>
        <w:rPr>
          <w:color w:val="auto"/>
        </w:rPr>
        <w:t>（6）</w:t>
      </w:r>
      <w:r>
        <w:rPr>
          <w:rFonts w:hint="eastAsia"/>
          <w:color w:val="auto"/>
        </w:rPr>
        <w:t>投标人及其法定代表人、拟委任的项目负责人在近三年内有行贿犯罪行为的（以投标人投标函中的承诺为准）；</w:t>
      </w:r>
    </w:p>
    <w:p>
      <w:pPr>
        <w:adjustRightInd w:val="0"/>
        <w:snapToGrid w:val="0"/>
        <w:spacing w:line="360" w:lineRule="auto"/>
        <w:ind w:firstLine="480" w:firstLineChars="200"/>
        <w:rPr>
          <w:rFonts w:hint="eastAsia"/>
          <w:color w:val="auto"/>
          <w:lang w:val="en-US"/>
        </w:rPr>
      </w:pPr>
      <w:r>
        <w:rPr>
          <w:color w:val="auto"/>
        </w:rPr>
        <w:t>（7）法律法规或投标人须知前附表规定的其他情形。</w:t>
      </w:r>
      <w:r>
        <w:rPr>
          <w:rFonts w:hint="eastAsia"/>
          <w:color w:val="auto"/>
          <w:lang w:val="en-US"/>
        </w:rPr>
        <w:t xml:space="preserve"> </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1.5 费用承担</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投标人准备和参加投标活动发生的</w:t>
      </w:r>
      <w:r>
        <w:rPr>
          <w:rFonts w:hint="eastAsia" w:ascii="宋体" w:hAnsi="宋体"/>
          <w:color w:val="auto"/>
          <w:lang w:val="en-US"/>
        </w:rPr>
        <w:t>所有</w:t>
      </w:r>
      <w:r>
        <w:rPr>
          <w:rFonts w:hint="eastAsia" w:ascii="宋体" w:hAnsi="宋体"/>
          <w:color w:val="auto"/>
        </w:rPr>
        <w:t>费用</w:t>
      </w:r>
      <w:r>
        <w:rPr>
          <w:rFonts w:hint="eastAsia" w:ascii="宋体" w:hAnsi="宋体"/>
          <w:color w:val="auto"/>
          <w:lang w:val="en-US"/>
        </w:rPr>
        <w:t>自行承担</w:t>
      </w:r>
      <w:r>
        <w:rPr>
          <w:rFonts w:hint="eastAsia" w:ascii="宋体" w:hAnsi="宋体"/>
          <w:color w:val="auto"/>
        </w:rPr>
        <w:t>。</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1.6 保密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参与招标投标活动的各方应对招标文件和投标文件中的商业和技术等秘密保密，</w:t>
      </w:r>
      <w:r>
        <w:rPr>
          <w:rFonts w:hint="eastAsia" w:ascii="宋体" w:hAnsi="宋体"/>
          <w:color w:val="auto"/>
          <w:lang w:val="en-US"/>
        </w:rPr>
        <w:t>否则应</w:t>
      </w:r>
      <w:r>
        <w:rPr>
          <w:rFonts w:hint="eastAsia" w:ascii="宋体" w:hAnsi="宋体"/>
          <w:color w:val="auto"/>
        </w:rPr>
        <w:t>对由此造成的后果承担法律责任。</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1.7 语言文字</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除专用术语外，与招标投标有关的语言均使用中文。必要时专用术语应附有中文注释。</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1.8 计量单位</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所有计量均采用中华人民共和国法定计量单位。</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1.9 踏勘现场</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1.9.1 投标人须知前附表规定组织踏勘现场的，招标人按投标人须知前附表规定的时间、地点组织投标人踏勘项目现场。部分投标人未按时参加踏勘现场的，不影响踏勘现场的正常进行。招标人不得组织单个或部分投标人踏勘项目现场。</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1.9.2 投标人踏勘现场发生的费用自理。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1.9.3 </w:t>
      </w:r>
      <w:r>
        <w:rPr>
          <w:rFonts w:hint="eastAsia" w:ascii="宋体" w:hAnsi="宋体"/>
          <w:color w:val="auto"/>
          <w:lang w:val="en-US"/>
        </w:rPr>
        <w:t>除招标人的原因外，</w:t>
      </w:r>
      <w:r>
        <w:rPr>
          <w:rFonts w:hint="eastAsia" w:ascii="宋体" w:hAnsi="宋体"/>
          <w:color w:val="auto"/>
        </w:rPr>
        <w:t>投标人自行负责在踏勘现场中所发生的人员伤亡和财产损失。</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1.9.4 招标人在踏勘现场中介绍的工程场地和相关的周边环境情况，供投标人在编制投标文件时参考，招标人不对投标人据此作出的判断和决策负责。</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1.10 投标预备会</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1.10.1 投标人须知前附表规定召开投标预备会的，招标人按按投标人须知前附表规定的时间和地点召开投标预备会，澄清投标人提出的问题。</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1.10.2 投标人应按投标人须知前附表规定的时间和形式将提出的问题送达招标人，以便招标人在会议期间澄清。</w:t>
      </w:r>
    </w:p>
    <w:p>
      <w:pPr>
        <w:adjustRightInd w:val="0"/>
        <w:snapToGrid w:val="0"/>
        <w:spacing w:line="360" w:lineRule="auto"/>
        <w:ind w:firstLine="480" w:firstLineChars="200"/>
        <w:rPr>
          <w:rFonts w:ascii="宋体" w:hAnsi="宋体"/>
          <w:color w:val="auto"/>
          <w:lang w:val="en-US"/>
        </w:rPr>
      </w:pPr>
      <w:r>
        <w:rPr>
          <w:rFonts w:hint="eastAsia" w:ascii="宋体" w:hAnsi="宋体"/>
          <w:color w:val="auto"/>
          <w:lang w:val="en-US"/>
        </w:rPr>
        <w:t>1.10.3 投标人可自行决定是否参加投标预备会。</w:t>
      </w:r>
    </w:p>
    <w:p>
      <w:pPr>
        <w:adjustRightInd w:val="0"/>
        <w:snapToGrid w:val="0"/>
        <w:spacing w:line="360" w:lineRule="auto"/>
        <w:ind w:firstLine="480" w:firstLineChars="200"/>
        <w:rPr>
          <w:rFonts w:ascii="宋体" w:hAnsi="宋体"/>
          <w:color w:val="auto"/>
        </w:rPr>
      </w:pPr>
      <w:r>
        <w:rPr>
          <w:rFonts w:hint="eastAsia" w:ascii="宋体" w:hAnsi="宋体"/>
          <w:color w:val="auto"/>
        </w:rPr>
        <w:t>1.10.3 投标预备会后，招标人将对投标人所提问题的澄清，以本章第2.2款规定的形式通知所有购买招标文件的投标人。该澄清内容为招标文件的组成部分。</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1.11 分包</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1.11.1 投标人拟在中标后将中标项目的部分非主体、非关键性工作进行分包的，应符合以下规定：</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（1）分包内容要求：允许分包的工程范围仅限于</w:t>
      </w:r>
      <w:r>
        <w:rPr>
          <w:rFonts w:hint="eastAsia" w:ascii="宋体" w:hAnsi="宋体"/>
          <w:color w:val="auto"/>
          <w:lang w:val="en-US"/>
        </w:rPr>
        <w:t>工程设计中非主体、非关键性的技术工作</w:t>
      </w:r>
      <w:r>
        <w:rPr>
          <w:rFonts w:hint="eastAsia" w:ascii="宋体" w:hAnsi="宋体"/>
          <w:color w:val="auto"/>
        </w:rPr>
        <w:t>。招标人允许分包或不允许分包的工程（如有）应在投标人须知前附表中载明。</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（2）接受分包的第三人资格要求：分包人的资格能力应与其分包工程的标准和规模相适应，且具备投标人须知前附表中规定的资格条件。</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（3）其他要求：投标人如有分包计划，应按第</w:t>
      </w:r>
      <w:r>
        <w:rPr>
          <w:rFonts w:hint="eastAsia" w:ascii="宋体" w:hAnsi="宋体"/>
          <w:color w:val="auto"/>
          <w:lang w:val="en-US"/>
        </w:rPr>
        <w:t>六</w:t>
      </w:r>
      <w:r>
        <w:rPr>
          <w:rFonts w:hint="eastAsia" w:ascii="宋体" w:hAnsi="宋体"/>
          <w:color w:val="auto"/>
        </w:rPr>
        <w:t>章“投标文件格式”的要求填写“拟分包项目情况表”，明确拟分包的工程及规模，且投标人中标后的分包应满足合同条款第</w:t>
      </w:r>
      <w:r>
        <w:rPr>
          <w:rFonts w:hint="eastAsia" w:ascii="宋体" w:hAnsi="宋体"/>
          <w:color w:val="auto"/>
          <w:lang w:val="en-US"/>
        </w:rPr>
        <w:t>3.7</w:t>
      </w:r>
      <w:r>
        <w:rPr>
          <w:rFonts w:hint="eastAsia" w:ascii="宋体" w:hAnsi="宋体"/>
          <w:color w:val="auto"/>
        </w:rPr>
        <w:t>款的相关要求。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1.11.2 中标人不得向他人转让中标项目，接受分包的人不得再次分包。中标人应就分包项目向招标人负责，接受分包的人就分包项目承担连带责任。</w:t>
      </w:r>
    </w:p>
    <w:p>
      <w:pPr>
        <w:adjustRightInd w:val="0"/>
        <w:snapToGrid w:val="0"/>
        <w:spacing w:line="360" w:lineRule="auto"/>
        <w:ind w:firstLine="482"/>
        <w:rPr>
          <w:rFonts w:hint="eastAsia" w:ascii="宋体" w:hAnsi="宋体"/>
          <w:b/>
          <w:color w:val="auto"/>
        </w:rPr>
      </w:pPr>
      <w:r>
        <w:rPr>
          <w:rFonts w:hint="eastAsia" w:ascii="宋体" w:hAnsi="宋体"/>
          <w:b/>
          <w:color w:val="auto"/>
        </w:rPr>
        <w:t>1.12 响应和偏差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1.12.1 投标文件偏离招标文件某些要求，视为投标文件存在偏差。偏差包括重大偏差和细微偏差。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1.12.2 投标文件应对招标文件的实质性要求和条件作出满足性或更有利于招标人的响应，否则，视为投标文件存在重大偏差，投标人的投标将被否决。</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投标文件存在第三章“评标办法”中所列任一否决投标情形的，均属于存在重大偏差。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1.12.3 投标文件中的下列偏差为细微偏差：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在按照第三章“评标办法”的规定对投标价进行算术性错误修正及其他错误修正后，最终投标报价未超过最高投标限价（如有）的情况下，出现第三章“评标办法”规定的算术性错误和投标报价的其他错误；</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w:t>
      </w:r>
      <w:r>
        <w:rPr>
          <w:rFonts w:hint="eastAsia" w:ascii="宋体" w:hAnsi="宋体"/>
          <w:color w:val="auto"/>
          <w:lang w:val="en-US"/>
        </w:rPr>
        <w:t>技术建议书</w:t>
      </w:r>
      <w:r>
        <w:rPr>
          <w:rFonts w:hint="eastAsia" w:ascii="宋体" w:hAnsi="宋体"/>
          <w:color w:val="auto"/>
        </w:rPr>
        <w:t>不够完善；</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（3）投标文件页码不连续、采用活页夹装订、个别文字有遗漏错误等不影响投标文件实质性内容的偏差。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1.12.4 评标委员会对投标文件中的细微偏差按如下规定处理：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（1）对于本章第1.12.3项（1）目所述的细微偏差，按照第三章“评标办法”的规定予以修正并要求投标人进行澄清；</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（2）对于本章第1.12.3项（2）、（</w:t>
      </w:r>
      <w:r>
        <w:rPr>
          <w:rFonts w:hint="eastAsia" w:ascii="宋体" w:hAnsi="宋体"/>
          <w:color w:val="auto"/>
          <w:lang w:val="en-US"/>
        </w:rPr>
        <w:t>3</w:t>
      </w:r>
      <w:r>
        <w:rPr>
          <w:rFonts w:hint="eastAsia" w:ascii="宋体" w:hAnsi="宋体"/>
          <w:color w:val="auto"/>
        </w:rPr>
        <w:t>）目所述的细微偏差，可在相关评分因素的评分中酌情扣分。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1.12.5 投标人应根据招标文件的要求提供</w:t>
      </w:r>
      <w:r>
        <w:rPr>
          <w:rFonts w:hint="eastAsia" w:ascii="宋体" w:hAnsi="宋体"/>
          <w:color w:val="auto"/>
          <w:lang w:val="en-US"/>
        </w:rPr>
        <w:t>技术建议书</w:t>
      </w:r>
      <w:r>
        <w:rPr>
          <w:rFonts w:hint="eastAsia" w:ascii="宋体" w:hAnsi="宋体"/>
          <w:color w:val="auto"/>
        </w:rPr>
        <w:t>等内容以对招标文件作出响应。</w:t>
      </w:r>
    </w:p>
    <w:p>
      <w:pPr>
        <w:pStyle w:val="84"/>
        <w:snapToGrid w:val="0"/>
        <w:spacing w:line="360" w:lineRule="auto"/>
        <w:jc w:val="left"/>
        <w:outlineLvl w:val="1"/>
        <w:rPr>
          <w:rFonts w:hint="eastAsia"/>
          <w:bCs/>
          <w:sz w:val="24"/>
          <w:szCs w:val="13"/>
        </w:rPr>
      </w:pPr>
      <w:bookmarkStart w:id="45" w:name="_Toc376010698"/>
      <w:bookmarkStart w:id="46" w:name="_Toc375904739"/>
      <w:bookmarkStart w:id="47" w:name="_Toc262422509"/>
      <w:bookmarkStart w:id="48" w:name="_Toc263042927"/>
      <w:bookmarkStart w:id="49" w:name="_Toc257368318"/>
      <w:bookmarkStart w:id="50" w:name="_Toc305942038"/>
      <w:r>
        <w:rPr>
          <w:rFonts w:hint="eastAsia"/>
          <w:bCs/>
          <w:sz w:val="24"/>
          <w:szCs w:val="13"/>
        </w:rPr>
        <w:t>2．招标文件</w:t>
      </w:r>
      <w:bookmarkEnd w:id="45"/>
      <w:bookmarkEnd w:id="46"/>
      <w:bookmarkEnd w:id="47"/>
      <w:bookmarkEnd w:id="48"/>
      <w:bookmarkEnd w:id="49"/>
      <w:bookmarkEnd w:id="50"/>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2.1 招标文件的组成</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（1）招标公告（或投标邀请书）；</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（2）投标人须知；</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（3）评标办法；</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（4）合同条款及格式；</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w:t>
      </w:r>
      <w:r>
        <w:rPr>
          <w:rFonts w:hint="eastAsia" w:ascii="宋体" w:hAnsi="宋体"/>
          <w:color w:val="auto"/>
          <w:lang w:val="en-US"/>
        </w:rPr>
        <w:t>发包人要求</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（6）投标文件格式；</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w:t>
      </w:r>
      <w:r>
        <w:rPr>
          <w:rFonts w:hint="eastAsia" w:ascii="宋体" w:hAnsi="宋体"/>
          <w:color w:val="auto"/>
          <w:lang w:val="en-US"/>
        </w:rPr>
        <w:t>7</w:t>
      </w:r>
      <w:r>
        <w:rPr>
          <w:rFonts w:hint="eastAsia" w:ascii="宋体" w:hAnsi="宋体"/>
          <w:color w:val="auto"/>
        </w:rPr>
        <w:t>）投标人须知前附表规定的其他资料。</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根据本章第1.10款、第2.2款和第2.3款对招标文件所作的澄清、修改，构成招标文件的组成部分。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当招标文件、招标文件的澄清或修改等在同一内容的表述上不一致时，以最后发出的书面文件为准。</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2.2 招标文件的澄清</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2.2.3 投标人在收到澄清后，应按投标人须知前附表规定的时间和形式通知招标人，确认已收到该澄清。</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2.2.4 除非招标人认为确有必要答复，否则，招标人有权拒绝回复投标人在本章第2.2.1项规定的时间后提出的任何澄清要求。</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2.3 招标文件的修改</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2.3.1 </w:t>
      </w:r>
      <w:r>
        <w:rPr>
          <w:color w:val="auto"/>
        </w:rPr>
        <w:t>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r>
        <w:rPr>
          <w:rFonts w:hint="eastAsia" w:ascii="宋体" w:hAnsi="宋体"/>
          <w:color w:val="auto"/>
        </w:rPr>
        <w:t>。</w:t>
      </w:r>
    </w:p>
    <w:p>
      <w:pPr>
        <w:adjustRightInd w:val="0"/>
        <w:snapToGrid w:val="0"/>
        <w:spacing w:line="360" w:lineRule="auto"/>
        <w:ind w:firstLine="480" w:firstLineChars="200"/>
        <w:rPr>
          <w:rFonts w:ascii="宋体" w:hAnsi="宋体"/>
          <w:color w:val="auto"/>
        </w:rPr>
      </w:pPr>
      <w:r>
        <w:rPr>
          <w:rFonts w:hint="eastAsia" w:ascii="宋体" w:hAnsi="宋体"/>
          <w:color w:val="auto"/>
        </w:rPr>
        <w:t>2.3.2</w:t>
      </w:r>
      <w:r>
        <w:rPr>
          <w:color w:val="auto"/>
        </w:rPr>
        <w:t>投标人收到修改内容后，应按投标人须知前附表规定的时间和形式通知招标人，确认已收到该修改</w:t>
      </w:r>
      <w:r>
        <w:rPr>
          <w:rFonts w:hint="eastAsia" w:ascii="宋体" w:hAnsi="宋体"/>
          <w:color w:val="auto"/>
        </w:rPr>
        <w:t>。</w:t>
      </w:r>
    </w:p>
    <w:p>
      <w:pPr>
        <w:adjustRightInd w:val="0"/>
        <w:snapToGrid w:val="0"/>
        <w:spacing w:line="360" w:lineRule="auto"/>
        <w:ind w:firstLine="482" w:firstLineChars="200"/>
        <w:rPr>
          <w:rFonts w:ascii="宋体" w:hAnsi="宋体"/>
          <w:b/>
          <w:color w:val="auto"/>
        </w:rPr>
      </w:pPr>
      <w:r>
        <w:rPr>
          <w:rFonts w:ascii="宋体" w:hAnsi="宋体"/>
          <w:b/>
          <w:color w:val="auto"/>
        </w:rPr>
        <w:t xml:space="preserve">2.4 招标文件的异议 </w:t>
      </w:r>
    </w:p>
    <w:p>
      <w:pPr>
        <w:adjustRightInd w:val="0"/>
        <w:snapToGrid w:val="0"/>
        <w:spacing w:line="360" w:lineRule="auto"/>
        <w:ind w:firstLine="480" w:firstLineChars="200"/>
        <w:rPr>
          <w:rFonts w:hint="eastAsia" w:ascii="宋体" w:hAnsi="宋体"/>
          <w:color w:val="auto"/>
        </w:rPr>
      </w:pPr>
      <w:r>
        <w:rPr>
          <w:color w:val="auto"/>
        </w:rPr>
        <w:t>投标人或其他利害关系人对招标文件有异议的，应在投标截止时间10日前以书面形式提出。招标人将在收到异议之日起3日内作出答复；作出答复前，将暂停招标投标活动。</w:t>
      </w:r>
    </w:p>
    <w:p>
      <w:pPr>
        <w:pStyle w:val="84"/>
        <w:snapToGrid w:val="0"/>
        <w:spacing w:line="360" w:lineRule="auto"/>
        <w:jc w:val="left"/>
        <w:outlineLvl w:val="1"/>
        <w:rPr>
          <w:rFonts w:hint="eastAsia" w:ascii="宋体" w:hAnsi="宋体"/>
          <w:bCs/>
          <w:sz w:val="24"/>
          <w:szCs w:val="13"/>
        </w:rPr>
      </w:pPr>
      <w:bookmarkStart w:id="51" w:name="_Toc262422510"/>
      <w:bookmarkStart w:id="52" w:name="_Toc257368319"/>
      <w:bookmarkStart w:id="53" w:name="_Toc375904740"/>
      <w:bookmarkStart w:id="54" w:name="_Toc305942039"/>
      <w:bookmarkStart w:id="55" w:name="_Toc263042928"/>
      <w:bookmarkStart w:id="56" w:name="_Toc376010699"/>
      <w:r>
        <w:rPr>
          <w:rFonts w:hint="eastAsia" w:ascii="宋体" w:hAnsi="宋体"/>
          <w:bCs/>
          <w:sz w:val="24"/>
          <w:szCs w:val="13"/>
        </w:rPr>
        <w:t>3．投标文件</w:t>
      </w:r>
      <w:bookmarkEnd w:id="51"/>
      <w:bookmarkEnd w:id="52"/>
      <w:bookmarkEnd w:id="53"/>
      <w:bookmarkEnd w:id="54"/>
      <w:bookmarkEnd w:id="55"/>
      <w:bookmarkEnd w:id="56"/>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3.1 投标文件的组成</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3.1.</w:t>
      </w:r>
      <w:r>
        <w:rPr>
          <w:rFonts w:hint="eastAsia" w:ascii="宋体" w:hAnsi="宋体"/>
          <w:color w:val="auto"/>
          <w:lang w:val="en-US"/>
        </w:rPr>
        <w:t>1 投标文件应采用双信封形式，</w:t>
      </w:r>
      <w:r>
        <w:rPr>
          <w:rFonts w:ascii="宋体" w:hAnsi="宋体"/>
          <w:color w:val="auto"/>
        </w:rPr>
        <w:t>包括下列内容：</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第一个信封（商务及技术文件）：</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（1）投标函；</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（2）授权委托书或法定代表人身份证明；</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（3）联合体协议书；</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（4）投标保证金；</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（5）</w:t>
      </w:r>
      <w:r>
        <w:rPr>
          <w:rFonts w:hint="eastAsia" w:ascii="宋体" w:hAnsi="宋体"/>
          <w:color w:val="auto"/>
          <w:lang w:val="en-US"/>
        </w:rPr>
        <w:t>拟分包项目情况表</w:t>
      </w:r>
      <w:r>
        <w:rPr>
          <w:rFonts w:ascii="宋体" w:hAnsi="宋体"/>
          <w:color w:val="auto"/>
        </w:rPr>
        <w:t>；</w:t>
      </w:r>
    </w:p>
    <w:p>
      <w:pPr>
        <w:tabs>
          <w:tab w:val="left" w:pos="1120"/>
        </w:tabs>
        <w:adjustRightInd w:val="0"/>
        <w:snapToGrid w:val="0"/>
        <w:spacing w:line="360" w:lineRule="auto"/>
        <w:ind w:left="480"/>
        <w:jc w:val="both"/>
        <w:rPr>
          <w:rFonts w:ascii="宋体" w:hAnsi="宋体"/>
          <w:color w:val="auto"/>
        </w:rPr>
      </w:pPr>
      <w:r>
        <w:rPr>
          <w:rFonts w:ascii="宋体" w:hAnsi="宋体"/>
          <w:color w:val="auto"/>
        </w:rPr>
        <w:t>（6）</w:t>
      </w:r>
      <w:r>
        <w:rPr>
          <w:rFonts w:hint="eastAsia" w:ascii="宋体" w:hAnsi="宋体"/>
          <w:color w:val="auto"/>
          <w:lang w:val="en-US"/>
        </w:rPr>
        <w:t>资格审查资料</w:t>
      </w:r>
      <w:r>
        <w:rPr>
          <w:rFonts w:ascii="宋体" w:hAnsi="宋体"/>
          <w:color w:val="auto"/>
        </w:rPr>
        <w:t>；</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（7）</w:t>
      </w:r>
      <w:r>
        <w:rPr>
          <w:rFonts w:hint="eastAsia" w:ascii="宋体" w:hAnsi="宋体"/>
          <w:color w:val="auto"/>
          <w:lang w:val="en-US"/>
        </w:rPr>
        <w:t>技术建议书</w:t>
      </w:r>
      <w:r>
        <w:rPr>
          <w:rFonts w:ascii="宋体" w:hAnsi="宋体"/>
          <w:color w:val="auto"/>
        </w:rPr>
        <w:t>；</w:t>
      </w:r>
    </w:p>
    <w:p>
      <w:pPr>
        <w:tabs>
          <w:tab w:val="left" w:pos="1120"/>
        </w:tabs>
        <w:adjustRightInd w:val="0"/>
        <w:snapToGrid w:val="0"/>
        <w:spacing w:line="360" w:lineRule="auto"/>
        <w:ind w:left="480"/>
        <w:jc w:val="both"/>
        <w:rPr>
          <w:rFonts w:hint="eastAsia" w:ascii="宋体" w:hAnsi="宋体"/>
          <w:color w:val="auto"/>
        </w:rPr>
      </w:pPr>
      <w:r>
        <w:rPr>
          <w:rFonts w:ascii="宋体" w:hAnsi="宋体"/>
          <w:color w:val="auto"/>
        </w:rPr>
        <w:t>（8）投标人须知前附表规定的其他资料。</w:t>
      </w:r>
    </w:p>
    <w:p>
      <w:pPr>
        <w:tabs>
          <w:tab w:val="left" w:pos="1120"/>
        </w:tabs>
        <w:adjustRightInd w:val="0"/>
        <w:snapToGrid w:val="0"/>
        <w:spacing w:line="360" w:lineRule="auto"/>
        <w:ind w:left="480"/>
        <w:jc w:val="both"/>
        <w:rPr>
          <w:rFonts w:hint="eastAsia"/>
          <w:color w:val="auto"/>
        </w:rPr>
      </w:pPr>
      <w:r>
        <w:rPr>
          <w:color w:val="auto"/>
        </w:rPr>
        <w:t>第二个信封（报价文件）：</w:t>
      </w:r>
    </w:p>
    <w:p>
      <w:pPr>
        <w:tabs>
          <w:tab w:val="left" w:pos="1120"/>
        </w:tabs>
        <w:adjustRightInd w:val="0"/>
        <w:snapToGrid w:val="0"/>
        <w:spacing w:line="360" w:lineRule="auto"/>
        <w:ind w:left="480"/>
        <w:jc w:val="both"/>
        <w:rPr>
          <w:rFonts w:hint="eastAsia"/>
          <w:color w:val="auto"/>
        </w:rPr>
      </w:pPr>
      <w:r>
        <w:rPr>
          <w:color w:val="auto"/>
        </w:rPr>
        <w:t>（1）投标函；</w:t>
      </w:r>
    </w:p>
    <w:p>
      <w:pPr>
        <w:tabs>
          <w:tab w:val="left" w:pos="1120"/>
        </w:tabs>
        <w:adjustRightInd w:val="0"/>
        <w:snapToGrid w:val="0"/>
        <w:spacing w:line="360" w:lineRule="auto"/>
        <w:ind w:left="480"/>
        <w:jc w:val="both"/>
        <w:rPr>
          <w:rFonts w:hint="eastAsia"/>
          <w:color w:val="auto"/>
        </w:rPr>
      </w:pPr>
      <w:r>
        <w:rPr>
          <w:color w:val="auto"/>
        </w:rPr>
        <w:t>（</w:t>
      </w:r>
      <w:r>
        <w:rPr>
          <w:rFonts w:hint="eastAsia"/>
          <w:color w:val="auto"/>
          <w:lang w:val="en-US"/>
        </w:rPr>
        <w:t>2</w:t>
      </w:r>
      <w:r>
        <w:rPr>
          <w:color w:val="auto"/>
        </w:rPr>
        <w:t>）</w:t>
      </w:r>
      <w:r>
        <w:rPr>
          <w:rFonts w:hint="eastAsia"/>
          <w:color w:val="auto"/>
          <w:lang w:val="en-US"/>
        </w:rPr>
        <w:t>勘察设计费用</w:t>
      </w:r>
      <w:r>
        <w:rPr>
          <w:color w:val="auto"/>
        </w:rPr>
        <w:t>清单</w:t>
      </w:r>
      <w:r>
        <w:rPr>
          <w:rFonts w:hint="eastAsia"/>
          <w:color w:val="auto"/>
        </w:rPr>
        <w:t>。</w:t>
      </w:r>
    </w:p>
    <w:p>
      <w:pPr>
        <w:tabs>
          <w:tab w:val="left" w:pos="1120"/>
        </w:tabs>
        <w:adjustRightInd w:val="0"/>
        <w:snapToGrid w:val="0"/>
        <w:spacing w:line="360" w:lineRule="auto"/>
        <w:ind w:firstLine="480" w:firstLineChars="200"/>
        <w:jc w:val="both"/>
        <w:rPr>
          <w:rFonts w:hint="eastAsia"/>
          <w:color w:val="auto"/>
        </w:rPr>
      </w:pPr>
      <w:r>
        <w:rPr>
          <w:color w:val="auto"/>
        </w:rPr>
        <w:t>投标人在评标过程中作出的符合法律法规和招标文件规定的澄清确认，构成投标</w:t>
      </w:r>
      <w:r>
        <w:rPr>
          <w:rFonts w:hint="eastAsia"/>
          <w:color w:val="auto"/>
          <w:lang w:val="en-US"/>
        </w:rPr>
        <w:t>文</w:t>
      </w:r>
      <w:r>
        <w:rPr>
          <w:color w:val="auto"/>
        </w:rPr>
        <w:t>件的组成部分。</w:t>
      </w:r>
    </w:p>
    <w:p>
      <w:pPr>
        <w:adjustRightInd w:val="0"/>
        <w:snapToGrid w:val="0"/>
        <w:spacing w:line="360" w:lineRule="auto"/>
        <w:ind w:firstLine="480" w:firstLineChars="200"/>
        <w:rPr>
          <w:rFonts w:ascii="宋体" w:hAnsi="宋体"/>
          <w:color w:val="auto"/>
        </w:rPr>
      </w:pPr>
      <w:r>
        <w:rPr>
          <w:rFonts w:ascii="宋体" w:hAnsi="宋体"/>
          <w:color w:val="auto"/>
        </w:rPr>
        <w:t>3.1.2</w:t>
      </w:r>
      <w:r>
        <w:rPr>
          <w:rFonts w:hint="eastAsia"/>
          <w:color w:val="auto"/>
        </w:rPr>
        <w:t>投标人须知前附表规定不接受联合体投标的，或投标人没有组成联合体的，投标文件不包括本章第3.1.1（3）目所指的联合体协议书。</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3.1.3 投标人须知前附表未要求提交投标保证金的，投标文件不包括本章第3.1.1（4）目所指的投标保证金。</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3.2 投标报价</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3.2.1 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color w:val="auto"/>
          <w:lang w:val="en-US"/>
        </w:rPr>
        <w:t>勘察</w:t>
      </w:r>
      <w:r>
        <w:rPr>
          <w:rFonts w:hint="eastAsia" w:ascii="宋体" w:hAnsi="宋体"/>
          <w:color w:val="auto"/>
        </w:rPr>
        <w:t>设计费用清单。</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3.2.2 投标人应充分了解该项目的总体情况以及影响投标报价的其他要素，</w:t>
      </w:r>
      <w:r>
        <w:rPr>
          <w:rFonts w:hint="eastAsia" w:ascii="宋体" w:hAnsi="宋体"/>
          <w:color w:val="auto"/>
          <w:lang w:val="en-US"/>
        </w:rPr>
        <w:t>按照招标文件规定的勘察设计工作内容和计划工作量，自行测算勘察设计费用</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3.2.3 本项目的报价方式见投标人须知前附表。投标人在投标截止时间前修改投标函中的投标报价总额，应同时修改投标文件“</w:t>
      </w:r>
      <w:r>
        <w:rPr>
          <w:rFonts w:hint="eastAsia" w:ascii="宋体" w:hAnsi="宋体"/>
          <w:color w:val="auto"/>
          <w:lang w:val="en-US"/>
        </w:rPr>
        <w:t>勘察</w:t>
      </w:r>
      <w:r>
        <w:rPr>
          <w:rFonts w:hint="eastAsia" w:ascii="宋体" w:hAnsi="宋体"/>
          <w:color w:val="auto"/>
        </w:rPr>
        <w:t>设计费用清单”中的相应报价。此修改须符合本章第4.3款的有关要求。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3.2.4 招标人设有最高投标限价的，投标人的投标报价不得超过最高投标限价，最高投标限价在投标人须知前附表中载明。</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3.2.5 投标报价的其他要求见投标人须知前附表。</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3.3 投标有效期</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3.3.1除投标人须知前附表另有规定外，投标有效期为90日。</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3.3.2 在投标有效期内，投标人撤销投标文件的，应承担招标文件和法律规定的责任。</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3.4 投标保证金</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3.4.1 投标人在递交投标文件的同时，应按投标人须知前附表规定的金额和第</w:t>
      </w:r>
      <w:r>
        <w:rPr>
          <w:rFonts w:hint="eastAsia" w:ascii="宋体" w:hAnsi="宋体"/>
          <w:color w:val="auto"/>
          <w:lang w:val="en-US"/>
        </w:rPr>
        <w:t>六</w:t>
      </w:r>
      <w:r>
        <w:rPr>
          <w:rFonts w:hint="eastAsia" w:ascii="宋体" w:hAnsi="宋体"/>
          <w:color w:val="auto"/>
        </w:rPr>
        <w:t>章“投标文件格式”规定的投标保证金格式递交投标保证金，并作为其投标文件的组成部分。联合体投标的，其投标保证金由牵头人递交，并应符合投标人须知前附表的规定。</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投标保证金应采用现金、支票、银行保函或招标人在投标人须知前附表规定的其他形式。</w:t>
      </w:r>
    </w:p>
    <w:p>
      <w:pPr>
        <w:adjustRightInd w:val="0"/>
        <w:snapToGrid w:val="0"/>
        <w:spacing w:line="360" w:lineRule="auto"/>
        <w:ind w:firstLine="480" w:firstLineChars="200"/>
        <w:rPr>
          <w:rFonts w:hint="eastAsia" w:ascii="宋体" w:hAnsi="宋体"/>
          <w:color w:val="auto"/>
        </w:rPr>
      </w:pPr>
      <w:r>
        <w:rPr>
          <w:rFonts w:ascii="宋体" w:hAnsi="宋体"/>
          <w:color w:val="auto"/>
        </w:rPr>
        <w:t>（1）若采用现金或支票，投标人应在递交投标文件截止时间之前，将投标保证金由投标人的基本账户转入招标人指定账户，否则视为投标保证金无效。招标人指定的开户银行及账号见投标人须知前附表。</w:t>
      </w:r>
    </w:p>
    <w:p>
      <w:pPr>
        <w:adjustRightInd w:val="0"/>
        <w:snapToGrid w:val="0"/>
        <w:spacing w:line="360" w:lineRule="auto"/>
        <w:ind w:firstLine="480" w:firstLineChars="200"/>
        <w:rPr>
          <w:rFonts w:hint="eastAsia" w:ascii="宋体" w:hAnsi="宋体"/>
          <w:color w:val="auto"/>
        </w:rPr>
      </w:pPr>
      <w:r>
        <w:rPr>
          <w:rFonts w:ascii="宋体" w:hAnsi="宋体"/>
          <w:color w:val="auto"/>
        </w:rPr>
        <w:t>（2）若采用银行保函，则应由符合投标人须知前附表规定级别的银行开具，并采用招标文件提供的格式。银行保函复印件装订在投标文件内，原件应在递交投标文件截止时间之前单独密封递交给招标人。</w:t>
      </w:r>
    </w:p>
    <w:p>
      <w:pPr>
        <w:adjustRightInd w:val="0"/>
        <w:snapToGrid w:val="0"/>
        <w:spacing w:line="360" w:lineRule="auto"/>
        <w:ind w:firstLine="480" w:firstLineChars="200"/>
        <w:rPr>
          <w:rFonts w:hint="eastAsia" w:ascii="宋体" w:hAnsi="宋体"/>
          <w:color w:val="auto"/>
        </w:rPr>
      </w:pPr>
      <w:r>
        <w:rPr>
          <w:rFonts w:ascii="宋体" w:hAnsi="宋体"/>
          <w:color w:val="auto"/>
        </w:rPr>
        <w:t>无论采取何种形式的投标保证金，投标保证金有效期均应与投标有效期一致。招标人如果按本章第3.3.3项的规定延长了投标有效期，则投标保证金的有效期也相应延长。</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3.4.2 </w:t>
      </w:r>
      <w:r>
        <w:rPr>
          <w:rFonts w:ascii="宋体" w:hAnsi="宋体"/>
          <w:color w:val="auto"/>
        </w:rPr>
        <w:t>投标人不按本章第3.4.1项要求提交投标保证金的，评标委员会将否决其投标</w:t>
      </w:r>
      <w:r>
        <w:rPr>
          <w:rFonts w:hint="eastAsia" w:ascii="宋体" w:hAnsi="宋体"/>
          <w:color w:val="auto"/>
        </w:rPr>
        <w:t>。</w:t>
      </w:r>
    </w:p>
    <w:p>
      <w:pPr>
        <w:adjustRightInd w:val="0"/>
        <w:snapToGrid w:val="0"/>
        <w:spacing w:line="360" w:lineRule="auto"/>
        <w:ind w:firstLine="480" w:firstLineChars="200"/>
        <w:rPr>
          <w:rFonts w:ascii="宋体" w:hAnsi="宋体"/>
          <w:color w:val="auto"/>
        </w:rPr>
      </w:pPr>
      <w:r>
        <w:rPr>
          <w:rFonts w:hint="eastAsia" w:ascii="宋体" w:hAnsi="宋体"/>
          <w:color w:val="auto"/>
        </w:rPr>
        <w:t xml:space="preserve">3.4.3 </w:t>
      </w:r>
      <w:r>
        <w:rPr>
          <w:rFonts w:ascii="宋体" w:hAnsi="宋体"/>
          <w:color w:val="auto"/>
        </w:rPr>
        <w:t>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ascii="宋体" w:hAnsi="宋体"/>
          <w:color w:val="auto"/>
        </w:rPr>
        <w:t>利息计算原则见投标人须知前附表</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3.4.4 有下列情形之一的，投标保证金将不予退还：</w:t>
      </w:r>
    </w:p>
    <w:p>
      <w:pPr>
        <w:adjustRightInd w:val="0"/>
        <w:snapToGrid w:val="0"/>
        <w:spacing w:line="360" w:lineRule="auto"/>
        <w:ind w:firstLine="480" w:firstLineChars="200"/>
        <w:rPr>
          <w:rFonts w:hint="eastAsia" w:ascii="宋体" w:hAnsi="宋体"/>
          <w:color w:val="auto"/>
        </w:rPr>
      </w:pPr>
      <w:r>
        <w:rPr>
          <w:rFonts w:ascii="宋体" w:hAnsi="宋体"/>
          <w:color w:val="auto"/>
        </w:rPr>
        <w:t>（1）投标人在投标有效期内撤销投标文件；</w:t>
      </w:r>
    </w:p>
    <w:p>
      <w:pPr>
        <w:adjustRightInd w:val="0"/>
        <w:snapToGrid w:val="0"/>
        <w:spacing w:line="360" w:lineRule="auto"/>
        <w:ind w:firstLine="480" w:firstLineChars="200"/>
        <w:rPr>
          <w:color w:val="auto"/>
        </w:rPr>
      </w:pPr>
      <w:r>
        <w:rPr>
          <w:rFonts w:ascii="宋体" w:hAnsi="宋体"/>
          <w:color w:val="auto"/>
        </w:rPr>
        <w:t>（2）中标人在收到中标通知书后，无正当理由不与招标人订立合同，在签订合同</w:t>
      </w:r>
      <w:r>
        <w:rPr>
          <w:color w:val="auto"/>
        </w:rPr>
        <w:t>时向招标人提出附加条件，或不按照招标文件要求提交履约保证金；</w:t>
      </w:r>
    </w:p>
    <w:p>
      <w:pPr>
        <w:adjustRightInd w:val="0"/>
        <w:snapToGrid w:val="0"/>
        <w:spacing w:line="360" w:lineRule="auto"/>
        <w:ind w:firstLine="480" w:firstLineChars="200"/>
        <w:rPr>
          <w:rFonts w:hint="eastAsia" w:ascii="宋体" w:hAnsi="宋体"/>
          <w:color w:val="auto"/>
        </w:rPr>
      </w:pPr>
      <w:r>
        <w:rPr>
          <w:color w:val="auto"/>
        </w:rPr>
        <w:t>（3）发生投标人须知前附表规定的其他可以不予退还投标保证金的情形</w:t>
      </w:r>
      <w:r>
        <w:rPr>
          <w:rFonts w:hint="eastAsia" w:ascii="宋体" w:hAnsi="宋体"/>
          <w:color w:val="auto"/>
        </w:rPr>
        <w:t>。</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3.5 资格审查资料</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除投标人须知前附表另有规定外，投标人应按下列规定提供资格审查资料，以证明其满足本章第1.4款规定的资质、业绩、信誉等要求。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3.5.1 “投标人基本情况表”应附企业法人营业执照副本、资质证书、基本账户开户许可证（如企业所在地已取消企业银行账户许可而无法提供开户许可证的，则需附上开户银行出具的“基本存款账户信息”或“人民银行账户管理系统查询的基本账户信息截图”）的复印件，投标人在国家企业信用信息公示系统中基础信息（体现股东及出资详细信息）的网页截图。</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企业法人营业执照副本、资质证书、基本账户开户许可证（如企业所在地已取消企业银行账户许可而无法提供开户许可证的，则需附上开户银行出具的“基本存款账户信息”或“人民银行账户管理系统查询的基本账户信息截图”）的复印件应提供全本（证书封面、封底、空白页除外），应包括投标人名称、投标人其他相关信息、颁发机构名称、投标人信息变更情况等关键页在内。</w:t>
      </w:r>
    </w:p>
    <w:p>
      <w:pPr>
        <w:spacing w:line="360" w:lineRule="auto"/>
        <w:ind w:firstLine="480" w:firstLineChars="200"/>
        <w:jc w:val="both"/>
        <w:rPr>
          <w:rFonts w:hint="eastAsia" w:ascii="宋体" w:hAnsi="宋体"/>
          <w:color w:val="auto"/>
          <w:lang w:val="en-US"/>
        </w:rPr>
      </w:pPr>
      <w:r>
        <w:rPr>
          <w:rFonts w:hint="eastAsia" w:ascii="宋体" w:hAnsi="宋体"/>
          <w:color w:val="auto"/>
        </w:rPr>
        <w:t xml:space="preserve">3.5.2 </w:t>
      </w:r>
      <w:r>
        <w:rPr>
          <w:rFonts w:hint="eastAsia" w:ascii="宋体" w:hAnsi="宋体"/>
          <w:color w:val="auto"/>
          <w:lang w:val="en-US"/>
        </w:rPr>
        <w:t>“近年完成的类似项目情况表”应同时附中标通知书（如有）、合同协议书、</w:t>
      </w:r>
      <w:r>
        <w:rPr>
          <w:rFonts w:hint="eastAsia" w:ascii="宋体" w:hAnsi="宋体"/>
          <w:color w:val="auto"/>
          <w:u w:val="single"/>
          <w:lang w:val="en-US"/>
        </w:rPr>
        <w:t>发包人对类似项目勘察成果的完工证明（仅适用于勘察业绩）或行业主管部门对项目设计的批复文件（适用于设计业绩和勘察设计业绩）</w:t>
      </w:r>
      <w:r>
        <w:rPr>
          <w:rFonts w:hint="eastAsia" w:ascii="宋体" w:hAnsi="宋体"/>
          <w:color w:val="auto"/>
          <w:lang w:val="en-US"/>
        </w:rPr>
        <w:t>复印件，具体年份要求见投标人须知前附表，业绩认定时间以</w:t>
      </w:r>
      <w:r>
        <w:rPr>
          <w:rFonts w:hint="eastAsia" w:ascii="宋体" w:hAnsi="宋体"/>
          <w:color w:val="auto"/>
          <w:u w:val="single"/>
          <w:lang w:val="en-US"/>
        </w:rPr>
        <w:t>发包人对勘察成果的完工证明（仅适用于勘察业绩）或行业主管部门对项目设计的批复（适用于设计业绩和勘察设计业绩）时间</w:t>
      </w:r>
      <w:r>
        <w:rPr>
          <w:rFonts w:hint="eastAsia" w:ascii="宋体" w:hAnsi="宋体"/>
          <w:color w:val="auto"/>
          <w:lang w:val="en-US"/>
        </w:rPr>
        <w:t>为准。每张表格只填写一个项目，并标明序号。</w:t>
      </w:r>
    </w:p>
    <w:p>
      <w:pPr>
        <w:spacing w:line="360" w:lineRule="auto"/>
        <w:ind w:firstLine="480" w:firstLineChars="200"/>
        <w:jc w:val="both"/>
        <w:rPr>
          <w:rFonts w:hint="eastAsia" w:ascii="宋体" w:hAnsi="宋体"/>
          <w:color w:val="auto"/>
          <w:lang w:val="en-US"/>
        </w:rPr>
      </w:pPr>
      <w:r>
        <w:rPr>
          <w:rFonts w:hint="eastAsia" w:ascii="宋体" w:hAnsi="宋体"/>
          <w:color w:val="auto"/>
          <w:lang w:val="en-US"/>
        </w:rPr>
        <w:t>投标人法人机构发生合法变更或重组或法人名称变更时，应提供相关部门的合法批件及其他相关证明材料来证明其所附业绩的继承性。</w:t>
      </w:r>
    </w:p>
    <w:p>
      <w:pPr>
        <w:spacing w:line="360" w:lineRule="auto"/>
        <w:ind w:firstLine="480" w:firstLineChars="200"/>
        <w:jc w:val="both"/>
        <w:rPr>
          <w:rFonts w:hint="eastAsia" w:ascii="宋体" w:hAnsi="宋体"/>
          <w:color w:val="auto"/>
          <w:lang w:val="en-US"/>
        </w:rPr>
      </w:pPr>
      <w:r>
        <w:rPr>
          <w:rFonts w:hint="eastAsia" w:ascii="宋体" w:hAnsi="宋体"/>
          <w:color w:val="auto"/>
          <w:lang w:val="en-US"/>
        </w:rPr>
        <w:t>如投标人未提供相关项目证明材料复印件或相关项目证明材料中的信息无法证实投标人满足招标文件规定的资格审查条件（业绩最低要求）或评标办法评分标准（如有），投标人可补充提供主管部门或项目业主出具的证明材料，否则该项目业绩不予认定。</w:t>
      </w:r>
    </w:p>
    <w:p>
      <w:pPr>
        <w:spacing w:line="360" w:lineRule="auto"/>
        <w:ind w:firstLine="480" w:firstLineChars="200"/>
        <w:jc w:val="both"/>
        <w:rPr>
          <w:rFonts w:hint="eastAsia" w:ascii="宋体" w:hAnsi="宋体"/>
          <w:color w:val="auto"/>
        </w:rPr>
      </w:pPr>
      <w:r>
        <w:rPr>
          <w:rFonts w:hint="eastAsia" w:ascii="宋体" w:hAnsi="宋体"/>
          <w:color w:val="auto"/>
        </w:rPr>
        <w:t>3.5.</w:t>
      </w:r>
      <w:r>
        <w:rPr>
          <w:rFonts w:hint="eastAsia" w:ascii="宋体" w:hAnsi="宋体"/>
          <w:color w:val="auto"/>
          <w:lang w:val="en-US"/>
        </w:rPr>
        <w:t>3</w:t>
      </w:r>
      <w:r>
        <w:rPr>
          <w:rFonts w:hint="eastAsia" w:ascii="宋体" w:hAnsi="宋体"/>
          <w:color w:val="auto"/>
        </w:rPr>
        <w:t xml:space="preserve"> “投标人的信誉情况</w:t>
      </w:r>
      <w:r>
        <w:rPr>
          <w:rFonts w:hint="eastAsia" w:ascii="宋体" w:hAnsi="宋体"/>
          <w:color w:val="auto"/>
          <w:lang w:val="en-US"/>
        </w:rPr>
        <w:t>表</w:t>
      </w:r>
      <w:r>
        <w:rPr>
          <w:rFonts w:hint="eastAsia" w:ascii="宋体" w:hAnsi="宋体"/>
          <w:color w:val="auto"/>
        </w:rPr>
        <w:t>”应附投标人在国家企业信用信息公示系统中未被列入严重违法失信企业名单、在“信用中国”网站中未被列入失信被执行人名单的网页截图复印件。</w:t>
      </w:r>
    </w:p>
    <w:p>
      <w:pPr>
        <w:adjustRightInd w:val="0"/>
        <w:snapToGrid w:val="0"/>
        <w:spacing w:line="360" w:lineRule="auto"/>
        <w:ind w:firstLine="480" w:firstLineChars="200"/>
        <w:rPr>
          <w:rFonts w:hint="eastAsia" w:ascii="宋体" w:hAnsi="宋体"/>
          <w:color w:val="auto"/>
        </w:rPr>
      </w:pPr>
      <w:r>
        <w:rPr>
          <w:rFonts w:hint="eastAsia" w:ascii="宋体" w:hAnsi="宋体"/>
          <w:color w:val="auto"/>
          <w:lang w:val="en-US"/>
        </w:rPr>
        <w:t>3.5.4</w:t>
      </w:r>
      <w:r>
        <w:rPr>
          <w:rFonts w:hint="eastAsia" w:ascii="宋体" w:hAnsi="宋体"/>
          <w:color w:val="auto"/>
        </w:rPr>
        <w:t>“拟委任的项目负责人资历表”中项目负责人（含备选，如有）应附身份证、职称资格证书以及资格审查条件所要求的其他相关证书的复印件，以及投标人在社保系统打印的项目负责人（含备选，如有）参加社保的有效证明材料复印件（社保时段为</w:t>
      </w:r>
      <w:r>
        <w:rPr>
          <w:rFonts w:hint="eastAsia" w:ascii="宋体" w:hAnsi="宋体"/>
          <w:color w:val="auto"/>
          <w:lang w:val="en-US"/>
        </w:rPr>
        <w:t>投标</w:t>
      </w:r>
      <w:r>
        <w:rPr>
          <w:rFonts w:hint="eastAsia" w:ascii="宋体" w:hAnsi="宋体"/>
          <w:color w:val="auto"/>
        </w:rPr>
        <w:t>文件递交截止日前半年时间内连续不少于三个月）。</w:t>
      </w:r>
    </w:p>
    <w:p>
      <w:pPr>
        <w:adjustRightInd w:val="0"/>
        <w:snapToGrid w:val="0"/>
        <w:spacing w:line="360" w:lineRule="auto"/>
        <w:ind w:firstLine="480" w:firstLineChars="200"/>
        <w:jc w:val="both"/>
        <w:rPr>
          <w:rFonts w:hint="eastAsia" w:ascii="宋体" w:hAnsi="宋体"/>
          <w:color w:val="auto"/>
        </w:rPr>
      </w:pPr>
      <w:r>
        <w:rPr>
          <w:rFonts w:hint="eastAsia" w:ascii="宋体" w:hAnsi="宋体"/>
          <w:color w:val="auto"/>
        </w:rPr>
        <w:t>“拟委任的项目负责人资历表”</w:t>
      </w:r>
      <w:r>
        <w:rPr>
          <w:rFonts w:hint="eastAsia"/>
          <w:color w:val="auto"/>
        </w:rPr>
        <w:t>还应附相关业绩证明材料</w:t>
      </w:r>
      <w:r>
        <w:rPr>
          <w:rFonts w:hint="eastAsia" w:hAnsi="宋体" w:cs="宋体"/>
        </w:rPr>
        <w:t>（业绩证明材料应</w:t>
      </w:r>
      <w:r>
        <w:rPr>
          <w:rFonts w:hint="eastAsia" w:ascii="宋体" w:hAnsi="宋体"/>
          <w:color w:val="auto"/>
          <w:lang w:val="en-US"/>
        </w:rPr>
        <w:t>附中标通知书（如有）、合同协议书、</w:t>
      </w:r>
      <w:r>
        <w:rPr>
          <w:rFonts w:hint="eastAsia" w:ascii="宋体" w:hAnsi="宋体"/>
          <w:color w:val="auto"/>
          <w:u w:val="single"/>
          <w:lang w:val="en-US"/>
        </w:rPr>
        <w:t>发包人对类似项目勘察成果的完工证明（仅适用于勘察业绩）或行业主管部门对项目设计的批复文件（适用于设计业绩和勘察设计业绩）</w:t>
      </w:r>
      <w:r>
        <w:rPr>
          <w:rFonts w:hint="eastAsia" w:ascii="宋体" w:hAnsi="宋体"/>
          <w:color w:val="auto"/>
          <w:lang w:val="en-US"/>
        </w:rPr>
        <w:t>复印件</w:t>
      </w:r>
      <w:r>
        <w:rPr>
          <w:rFonts w:hint="eastAsia" w:hAnsi="宋体" w:cs="宋体"/>
        </w:rPr>
        <w:t>）</w:t>
      </w:r>
      <w:r>
        <w:rPr>
          <w:rFonts w:hint="eastAsia"/>
          <w:color w:val="auto"/>
        </w:rPr>
        <w:t>。</w:t>
      </w:r>
      <w:r>
        <w:rPr>
          <w:color w:val="auto"/>
        </w:rPr>
        <w:t>如投标人</w:t>
      </w:r>
      <w:r>
        <w:rPr>
          <w:rFonts w:hint="eastAsia"/>
          <w:color w:val="auto"/>
        </w:rPr>
        <w:t>未提供上述证明材料复印件或上述证明材料的信息无法证实投标人满足招标文件规定的</w:t>
      </w:r>
      <w:r>
        <w:rPr>
          <w:color w:val="auto"/>
        </w:rPr>
        <w:t>资格</w:t>
      </w:r>
      <w:r>
        <w:rPr>
          <w:rFonts w:hint="eastAsia"/>
          <w:color w:val="auto"/>
        </w:rPr>
        <w:t>审查</w:t>
      </w:r>
      <w:r>
        <w:rPr>
          <w:color w:val="auto"/>
        </w:rPr>
        <w:t>条件（项目负责人最低要求）</w:t>
      </w:r>
      <w:r>
        <w:rPr>
          <w:rFonts w:hint="eastAsia" w:ascii="Calibri" w:hAnsi="Calibri"/>
          <w:color w:val="auto"/>
        </w:rPr>
        <w:t>或评标办法评分标准（如有）</w:t>
      </w:r>
      <w:r>
        <w:rPr>
          <w:color w:val="auto"/>
        </w:rPr>
        <w:t>，则</w:t>
      </w:r>
      <w:r>
        <w:rPr>
          <w:rFonts w:hint="eastAsia"/>
          <w:color w:val="auto"/>
        </w:rPr>
        <w:t>该</w:t>
      </w:r>
      <w:r>
        <w:rPr>
          <w:color w:val="auto"/>
        </w:rPr>
        <w:t>业绩不予认定</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3.5.</w:t>
      </w:r>
      <w:r>
        <w:rPr>
          <w:rFonts w:hint="eastAsia" w:ascii="宋体" w:hAnsi="宋体"/>
          <w:color w:val="auto"/>
          <w:lang w:val="en-US"/>
        </w:rPr>
        <w:t>5</w:t>
      </w:r>
      <w:r>
        <w:rPr>
          <w:rFonts w:hint="eastAsia" w:ascii="宋体" w:hAnsi="宋体"/>
          <w:color w:val="auto"/>
        </w:rPr>
        <w:t xml:space="preserve"> “拟委任的其他主要人员汇总表”应填报投标人须知前附表附录</w:t>
      </w:r>
      <w:r>
        <w:rPr>
          <w:rFonts w:hint="eastAsia" w:ascii="宋体" w:hAnsi="宋体"/>
          <w:color w:val="auto"/>
          <w:lang w:val="en-US"/>
        </w:rPr>
        <w:t>5规定</w:t>
      </w:r>
      <w:r>
        <w:rPr>
          <w:rFonts w:hint="eastAsia" w:ascii="宋体" w:hAnsi="宋体"/>
          <w:color w:val="auto"/>
        </w:rPr>
        <w:t>的其他主要人员的相关信息。“拟委任的其他主要人员资历表”中相关人员应附身份证、职称资格证书以及资格审查条件所要求的其他相关证书的复印件，相关业绩证明材料复印件，以及投标人所属社保机构出具的社保缴费证明或其他能够证明其参加社保的有效证明材料复印件（社保时段为</w:t>
      </w:r>
      <w:r>
        <w:rPr>
          <w:rFonts w:hint="eastAsia" w:ascii="宋体" w:hAnsi="宋体"/>
          <w:color w:val="auto"/>
          <w:lang w:val="en-US"/>
        </w:rPr>
        <w:t>投标</w:t>
      </w:r>
      <w:r>
        <w:rPr>
          <w:rFonts w:hint="eastAsia" w:ascii="宋体" w:hAnsi="宋体"/>
          <w:color w:val="auto"/>
        </w:rPr>
        <w:t>文件递交截止日前半年时间内连续不少于三个月）。</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3.5.</w:t>
      </w:r>
      <w:r>
        <w:rPr>
          <w:rFonts w:hint="eastAsia" w:ascii="宋体" w:hAnsi="宋体"/>
          <w:color w:val="auto"/>
          <w:lang w:val="en-US"/>
        </w:rPr>
        <w:t>6</w:t>
      </w:r>
      <w:r>
        <w:rPr>
          <w:rFonts w:hint="eastAsia" w:ascii="宋体" w:hAnsi="宋体"/>
          <w:color w:val="auto"/>
        </w:rPr>
        <w:t xml:space="preserve"> 投标人须知前附表规定接受联合体投标的，本章第3.5.1项至第3.5.</w:t>
      </w:r>
      <w:r>
        <w:rPr>
          <w:rFonts w:hint="eastAsia" w:ascii="宋体" w:hAnsi="宋体"/>
          <w:color w:val="auto"/>
          <w:lang w:val="en-US"/>
        </w:rPr>
        <w:t>5</w:t>
      </w:r>
      <w:r>
        <w:rPr>
          <w:rFonts w:hint="eastAsia" w:ascii="宋体" w:hAnsi="宋体"/>
          <w:color w:val="auto"/>
        </w:rPr>
        <w:t>项规定的表格和资料应包括联合体各方相关情况。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3.5.</w:t>
      </w:r>
      <w:r>
        <w:rPr>
          <w:rFonts w:hint="eastAsia" w:ascii="宋体" w:hAnsi="宋体"/>
          <w:color w:val="auto"/>
          <w:lang w:val="en-US"/>
        </w:rPr>
        <w:t>7</w:t>
      </w:r>
      <w:r>
        <w:rPr>
          <w:rFonts w:hint="eastAsia" w:ascii="宋体" w:hAnsi="宋体"/>
          <w:color w:val="auto"/>
        </w:rPr>
        <w:t xml:space="preserve"> 除合同条款约定的特殊情形外，投标人在投标文件中填报的项目负责人不允许更换。</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3.5.</w:t>
      </w:r>
      <w:r>
        <w:rPr>
          <w:rFonts w:hint="eastAsia" w:ascii="宋体" w:hAnsi="宋体"/>
          <w:color w:val="auto"/>
          <w:lang w:val="en-US"/>
        </w:rPr>
        <w:t>8</w:t>
      </w:r>
      <w:r>
        <w:rPr>
          <w:rFonts w:hint="eastAsia" w:ascii="宋体" w:hAnsi="宋体"/>
          <w:color w:val="auto"/>
        </w:rPr>
        <w:t xml:space="preserve"> 投标人应对在投标文件中填报的资质、业绩、主要人员资历和目前在岗情况、信用等级等信息的真实性、完整性和准确性负责。</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3.5.</w:t>
      </w:r>
      <w:r>
        <w:rPr>
          <w:rFonts w:hint="eastAsia" w:ascii="宋体" w:hAnsi="宋体"/>
          <w:color w:val="auto"/>
          <w:lang w:val="en-US"/>
        </w:rPr>
        <w:t>9</w:t>
      </w:r>
      <w:r>
        <w:rPr>
          <w:rFonts w:hint="eastAsia" w:ascii="宋体" w:hAnsi="宋体"/>
          <w:color w:val="auto"/>
        </w:rPr>
        <w:t xml:space="preserve">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w:t>
      </w:r>
      <w:r>
        <w:rPr>
          <w:rFonts w:hint="eastAsia" w:ascii="宋体" w:hAnsi="宋体"/>
          <w:color w:val="auto"/>
          <w:lang w:val="en-US"/>
        </w:rPr>
        <w:t>合同价款或履约保证金</w:t>
      </w:r>
      <w:r>
        <w:rPr>
          <w:rFonts w:hint="eastAsia" w:ascii="宋体" w:hAnsi="宋体"/>
          <w:color w:val="auto"/>
        </w:rPr>
        <w:t>中扣除</w:t>
      </w:r>
      <w:r>
        <w:rPr>
          <w:rFonts w:hint="eastAsia" w:ascii="宋体" w:hAnsi="宋体"/>
          <w:color w:val="auto"/>
          <w:lang w:val="en-US"/>
        </w:rPr>
        <w:t>不超过5</w:t>
      </w:r>
      <w:r>
        <w:rPr>
          <w:rFonts w:hint="eastAsia" w:ascii="宋体" w:hAnsi="宋体"/>
          <w:color w:val="auto"/>
        </w:rPr>
        <w:t>％签约合同价的金额作为违约金。同时招标人将投标人上述弄虚作假行为上报省级交通运输主管部门，作为不良记录纳入水运建设市场信用信息管理系统。</w:t>
      </w:r>
    </w:p>
    <w:p>
      <w:pPr>
        <w:adjustRightInd w:val="0"/>
        <w:snapToGrid w:val="0"/>
        <w:spacing w:line="360" w:lineRule="auto"/>
        <w:rPr>
          <w:rFonts w:hint="eastAsia" w:ascii="宋体" w:hAnsi="宋体"/>
          <w:b/>
          <w:color w:val="auto"/>
        </w:rPr>
      </w:pPr>
      <w:r>
        <w:rPr>
          <w:rFonts w:hint="eastAsia" w:ascii="宋体" w:hAnsi="宋体"/>
          <w:b/>
          <w:color w:val="auto"/>
        </w:rPr>
        <w:t>3.6 备选投标方案</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3.6.1 除投标人须知前附表规定允许外，投标人不得递交备选投标方案，否则其投标将被否决。</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3.6.3 投标人提供两个或两个以上投标报价，或在投标文件中提供一个报价，但同时提供两个或两个以上</w:t>
      </w:r>
      <w:r>
        <w:rPr>
          <w:rFonts w:hint="eastAsia" w:ascii="宋体" w:hAnsi="宋体"/>
          <w:color w:val="auto"/>
          <w:lang w:val="en-US"/>
        </w:rPr>
        <w:t>技术建议书</w:t>
      </w:r>
      <w:r>
        <w:rPr>
          <w:rFonts w:hint="eastAsia" w:ascii="宋体" w:hAnsi="宋体"/>
          <w:color w:val="auto"/>
        </w:rPr>
        <w:t>的，视为提供备选方案。</w:t>
      </w:r>
    </w:p>
    <w:p>
      <w:pPr>
        <w:adjustRightInd w:val="0"/>
        <w:snapToGrid w:val="0"/>
        <w:spacing w:line="360" w:lineRule="auto"/>
        <w:rPr>
          <w:rFonts w:hint="eastAsia" w:ascii="宋体" w:hAnsi="宋体"/>
          <w:b/>
          <w:color w:val="auto"/>
        </w:rPr>
      </w:pPr>
      <w:r>
        <w:rPr>
          <w:rFonts w:hint="eastAsia" w:ascii="宋体" w:hAnsi="宋体"/>
          <w:b/>
          <w:color w:val="auto"/>
        </w:rPr>
        <w:t>3.7 投标文件的编制</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3.7.1 投标文件应按第</w:t>
      </w:r>
      <w:r>
        <w:rPr>
          <w:rFonts w:hint="eastAsia" w:ascii="宋体" w:hAnsi="宋体"/>
          <w:color w:val="auto"/>
          <w:lang w:val="en-US"/>
        </w:rPr>
        <w:t>六</w:t>
      </w:r>
      <w:r>
        <w:rPr>
          <w:rFonts w:hint="eastAsia" w:ascii="宋体" w:hAnsi="宋体"/>
          <w:color w:val="auto"/>
        </w:rPr>
        <w:t>章“投标文件格式”进行编写，如有必要，可以增加附页，作为投标文件的组成部分。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3.7.2 投标文件应当对招标文件有关</w:t>
      </w:r>
      <w:r>
        <w:rPr>
          <w:rFonts w:hint="eastAsia" w:ascii="宋体" w:hAnsi="宋体"/>
          <w:color w:val="auto"/>
          <w:lang w:val="en-US"/>
        </w:rPr>
        <w:t>勘察设计服务期限</w:t>
      </w:r>
      <w:r>
        <w:rPr>
          <w:rFonts w:hint="eastAsia" w:ascii="宋体" w:hAnsi="宋体"/>
          <w:color w:val="auto"/>
        </w:rPr>
        <w:t>、投标有效期、质量要求、安全目标、</w:t>
      </w:r>
      <w:r>
        <w:rPr>
          <w:rFonts w:hint="eastAsia" w:ascii="宋体" w:hAnsi="宋体"/>
          <w:color w:val="auto"/>
          <w:lang w:val="en-US"/>
        </w:rPr>
        <w:t>发包人</w:t>
      </w:r>
      <w:r>
        <w:rPr>
          <w:rFonts w:hint="eastAsia" w:ascii="宋体" w:hAnsi="宋体"/>
          <w:color w:val="auto"/>
        </w:rPr>
        <w:t>要求、招标范围等实质性内容作出响应。</w:t>
      </w:r>
    </w:p>
    <w:p>
      <w:pPr>
        <w:adjustRightInd w:val="0"/>
        <w:snapToGrid w:val="0"/>
        <w:spacing w:line="360" w:lineRule="auto"/>
        <w:ind w:firstLine="480" w:firstLineChars="200"/>
        <w:rPr>
          <w:rFonts w:hint="eastAsia"/>
          <w:color w:val="auto"/>
        </w:rPr>
      </w:pPr>
      <w:r>
        <w:rPr>
          <w:rFonts w:hint="eastAsia" w:ascii="宋体" w:hAnsi="宋体"/>
          <w:color w:val="auto"/>
        </w:rPr>
        <w:t xml:space="preserve">3.7.3 </w:t>
      </w:r>
      <w:r>
        <w:rPr>
          <w:color w:val="auto"/>
        </w:rPr>
        <w:t>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pPr>
        <w:adjustRightInd w:val="0"/>
        <w:snapToGrid w:val="0"/>
        <w:spacing w:line="360" w:lineRule="auto"/>
        <w:ind w:firstLine="480" w:firstLineChars="200"/>
        <w:rPr>
          <w:rFonts w:hint="eastAsia"/>
          <w:color w:val="auto"/>
        </w:rPr>
      </w:pPr>
      <w:r>
        <w:rPr>
          <w:color w:val="auto"/>
        </w:rPr>
        <w:t>如果投标文件由委托代理人签署，则投标人须提交授权委托书，授权委托书应按第</w:t>
      </w:r>
      <w:r>
        <w:rPr>
          <w:rFonts w:hint="eastAsia"/>
          <w:color w:val="auto"/>
          <w:lang w:val="en-US"/>
        </w:rPr>
        <w:t>六</w:t>
      </w:r>
      <w:r>
        <w:rPr>
          <w:color w:val="auto"/>
        </w:rPr>
        <w:t>章“投标文件格式”的要求出具，并由法定代表人和委托代理人亲笔签名，不得使用印章、签名章或其他电子制版签名代替。</w:t>
      </w:r>
    </w:p>
    <w:p>
      <w:pPr>
        <w:adjustRightInd w:val="0"/>
        <w:snapToGrid w:val="0"/>
        <w:spacing w:line="360" w:lineRule="auto"/>
        <w:ind w:firstLine="480" w:firstLineChars="200"/>
        <w:rPr>
          <w:color w:val="auto"/>
        </w:rPr>
      </w:pPr>
      <w:r>
        <w:rPr>
          <w:color w:val="auto"/>
        </w:rPr>
        <w:t>如果由投标人的法定代表人亲自签署投标文件，则投标人须提交法定代表人身份证明，身份证明应符合第</w:t>
      </w:r>
      <w:r>
        <w:rPr>
          <w:rFonts w:hint="eastAsia"/>
          <w:color w:val="auto"/>
          <w:lang w:val="en-US"/>
        </w:rPr>
        <w:t>六</w:t>
      </w:r>
      <w:r>
        <w:rPr>
          <w:color w:val="auto"/>
        </w:rPr>
        <w:t>章“投标文件格式”的要求。</w:t>
      </w:r>
    </w:p>
    <w:p>
      <w:pPr>
        <w:adjustRightInd w:val="0"/>
        <w:snapToGrid w:val="0"/>
        <w:spacing w:line="360" w:lineRule="auto"/>
        <w:ind w:firstLine="480" w:firstLineChars="200"/>
        <w:rPr>
          <w:color w:val="auto"/>
        </w:rPr>
      </w:pPr>
      <w:r>
        <w:rPr>
          <w:color w:val="auto"/>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adjustRightInd w:val="0"/>
        <w:snapToGrid w:val="0"/>
        <w:spacing w:line="360" w:lineRule="auto"/>
        <w:ind w:firstLine="480" w:firstLineChars="200"/>
        <w:rPr>
          <w:rFonts w:hint="eastAsia" w:ascii="宋体" w:hAnsi="宋体"/>
          <w:color w:val="auto"/>
        </w:rPr>
      </w:pPr>
      <w:r>
        <w:rPr>
          <w:color w:val="auto"/>
        </w:rPr>
        <w:t>投标文件应尽量避免涂改、行间插字或删除。如果出现上述情况，改动之处应由投标人的法定代表人或其授权的代理人签字或盖单位章</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3.7.4 </w:t>
      </w:r>
      <w:r>
        <w:rPr>
          <w:color w:val="auto"/>
        </w:rPr>
        <w:t>投标文件正本一份</w:t>
      </w:r>
      <w:r>
        <w:rPr>
          <w:rFonts w:hint="eastAsia"/>
          <w:color w:val="auto"/>
        </w:rPr>
        <w:t>，</w:t>
      </w:r>
      <w:r>
        <w:rPr>
          <w:color w:val="auto"/>
        </w:rPr>
        <w:t>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r>
        <w:rPr>
          <w:rFonts w:hint="eastAsia" w:ascii="宋体" w:hAnsi="宋体"/>
          <w:color w:val="auto"/>
        </w:rPr>
        <w:t>。</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 xml:space="preserve">3.7.5 </w:t>
      </w:r>
      <w:r>
        <w:rPr>
          <w:color w:val="auto"/>
        </w:rPr>
        <w:t>投标文件的正本与副本应分别装订成册（A4纸幅</w:t>
      </w:r>
      <w:r>
        <w:rPr>
          <w:rFonts w:hint="eastAsia"/>
          <w:color w:val="auto"/>
        </w:rPr>
        <w:t>，其中技术建议书如有必要，可采用标准图框A3幅面，可单独装订成册</w:t>
      </w:r>
      <w:r>
        <w:rPr>
          <w:color w:val="auto"/>
        </w:rPr>
        <w:t>），编制目录并逐页标注连续页码。投标文件不得采用活页夹装订，否则，招标人对由于投标文件装订松散而造成的丢失或其他后果不承担任何责任。装订的其他要求见投标人须知前附表</w:t>
      </w:r>
      <w:r>
        <w:rPr>
          <w:rFonts w:hint="eastAsia" w:ascii="宋体" w:hAnsi="宋体"/>
          <w:color w:val="auto"/>
        </w:rPr>
        <w:t>。</w:t>
      </w:r>
    </w:p>
    <w:p>
      <w:pPr>
        <w:pStyle w:val="84"/>
        <w:snapToGrid w:val="0"/>
        <w:spacing w:line="360" w:lineRule="auto"/>
        <w:jc w:val="left"/>
        <w:outlineLvl w:val="1"/>
        <w:rPr>
          <w:rFonts w:hint="eastAsia"/>
          <w:bCs/>
          <w:sz w:val="24"/>
          <w:szCs w:val="13"/>
        </w:rPr>
      </w:pPr>
      <w:r>
        <w:rPr>
          <w:rFonts w:hint="eastAsia"/>
          <w:bCs/>
          <w:sz w:val="24"/>
          <w:szCs w:val="13"/>
        </w:rPr>
        <w:t>4. 投标</w:t>
      </w:r>
    </w:p>
    <w:p>
      <w:pPr>
        <w:adjustRightInd w:val="0"/>
        <w:snapToGrid w:val="0"/>
        <w:spacing w:line="360" w:lineRule="auto"/>
        <w:rPr>
          <w:rFonts w:hint="eastAsia" w:ascii="宋体" w:hAnsi="宋体"/>
          <w:b/>
          <w:color w:val="auto"/>
        </w:rPr>
      </w:pPr>
      <w:r>
        <w:rPr>
          <w:rFonts w:hint="eastAsia" w:ascii="宋体" w:hAnsi="宋体"/>
          <w:b/>
          <w:color w:val="auto"/>
        </w:rPr>
        <w:t>4.1 投标文件的密封和标识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4.1.1 投标文件应采用双信封形式密封。投标文件第一个信封（商务及技术文件）以及第二个信封（报价文件）应单独密封包装。商务及技术文件的正本与副本应统一密封在一个封套中。报价文件的正本与副本、投标文件电子版文件（如需要）应统一密封在另一个封套中。封套应加贴封条，并在封套的封口处加盖投标人单位章或由投标人的法定代表人或其委托代理人签字。</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采用银行保函形式提交投标保证金的，银行保函原件应密封在单独的封套中。</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4.1.2 投标文件第一个信封（商务及技术文件）、第二个信封（报价文件）以及银行保函封套上应写明的内容见投标人须知前附表。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4.1.3 未按本章第4.1.1项要求密封和4.1.2项要求标识的投标文件，招标人将予以拒收。</w:t>
      </w:r>
    </w:p>
    <w:p>
      <w:pPr>
        <w:adjustRightInd w:val="0"/>
        <w:snapToGrid w:val="0"/>
        <w:spacing w:line="360" w:lineRule="auto"/>
        <w:rPr>
          <w:rFonts w:hint="eastAsia" w:ascii="宋体" w:hAnsi="宋体"/>
          <w:b/>
          <w:color w:val="auto"/>
        </w:rPr>
      </w:pPr>
      <w:r>
        <w:rPr>
          <w:rFonts w:hint="eastAsia" w:ascii="宋体" w:hAnsi="宋体"/>
          <w:b/>
          <w:color w:val="auto"/>
        </w:rPr>
        <w:t>4.2 投标文件的递交</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4.2.1 投标人应在第一章“招标公告”或“投标邀请书”规定的投标截止时间前递交投标文件。</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4.2.2 投标人递交投标文件的地点：见第一章“招标公告”或“投标邀请书”。</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4.2.3 除投标人须知前附表另有规定外，投标人所递交的投标文件不予退还。投标人少于3个的，投标文件当场退还给投标人。</w:t>
      </w:r>
    </w:p>
    <w:p>
      <w:pPr>
        <w:adjustRightInd w:val="0"/>
        <w:snapToGrid w:val="0"/>
        <w:spacing w:line="360" w:lineRule="auto"/>
        <w:ind w:firstLine="480" w:firstLineChars="200"/>
        <w:rPr>
          <w:rFonts w:ascii="宋体" w:hAnsi="宋体"/>
          <w:color w:val="auto"/>
        </w:rPr>
      </w:pPr>
      <w:r>
        <w:rPr>
          <w:rFonts w:ascii="宋体" w:hAnsi="宋体"/>
          <w:color w:val="auto"/>
        </w:rPr>
        <w:t>4.2.4</w:t>
      </w:r>
      <w:r>
        <w:rPr>
          <w:rFonts w:hint="eastAsia" w:ascii="宋体" w:hAnsi="宋体"/>
          <w:color w:val="auto"/>
        </w:rPr>
        <w:t>投标人在递交投标文件时，应在递交文件登记表上签字，同时招标人负责接收投标文件的工作人员也应在递交文件登记表上签字确认收到该投标人的投标文件。</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4.2.5 逾期送达的或未送达指定地点的投标文件，招标人将予以拒收。</w:t>
      </w:r>
    </w:p>
    <w:p>
      <w:pPr>
        <w:adjustRightInd w:val="0"/>
        <w:snapToGrid w:val="0"/>
        <w:spacing w:line="360" w:lineRule="auto"/>
        <w:rPr>
          <w:rFonts w:hint="eastAsia" w:ascii="宋体" w:hAnsi="宋体"/>
          <w:b/>
          <w:color w:val="auto"/>
        </w:rPr>
      </w:pPr>
      <w:r>
        <w:rPr>
          <w:rFonts w:hint="eastAsia" w:ascii="宋体" w:hAnsi="宋体"/>
          <w:b/>
          <w:color w:val="auto"/>
        </w:rPr>
        <w:t>4.3 投标文件的修改与撤回</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4.3.1 在本章第4.2.1项规定的投标截止时间前，投标人可以修改或撤回已递交的投标文件，但应以书面形式通知招标人。</w:t>
      </w:r>
    </w:p>
    <w:p>
      <w:pPr>
        <w:adjustRightInd w:val="0"/>
        <w:snapToGrid w:val="0"/>
        <w:spacing w:line="360" w:lineRule="auto"/>
        <w:ind w:firstLine="480" w:firstLineChars="200"/>
        <w:rPr>
          <w:rFonts w:ascii="宋体" w:hAnsi="宋体"/>
          <w:color w:val="auto"/>
        </w:rPr>
      </w:pPr>
      <w:r>
        <w:rPr>
          <w:rFonts w:ascii="宋体" w:hAnsi="宋体"/>
          <w:color w:val="auto"/>
        </w:rPr>
        <w:t>4.3.2</w:t>
      </w:r>
      <w:r>
        <w:rPr>
          <w:rFonts w:hint="eastAsia" w:ascii="宋体" w:hAnsi="宋体"/>
          <w:color w:val="auto"/>
        </w:rPr>
        <w:t>投标人修改或撤回已递交投标文件的书面通知应按照本章第3.7.3项的要求签字或盖章。招标人收到书面通知后，向投标人出具签收凭证。</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4.3.3 投标人撤回投标文件的，招标人自收到投标人书面撤回通知之日起5日内退还已收取的投标保证金。</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4.3.4 修改的内容为投标文件的组成部分。修改的投标文件应按照本章第3条、第4条的规定进行编制、密封、标记和递交，并标明“修改”字样。</w:t>
      </w:r>
    </w:p>
    <w:p>
      <w:pPr>
        <w:pStyle w:val="84"/>
        <w:snapToGrid w:val="0"/>
        <w:spacing w:line="360" w:lineRule="auto"/>
        <w:jc w:val="left"/>
        <w:outlineLvl w:val="1"/>
        <w:rPr>
          <w:rFonts w:hint="eastAsia" w:ascii="宋体" w:hAnsi="宋体"/>
          <w:bCs/>
          <w:sz w:val="24"/>
          <w:szCs w:val="13"/>
        </w:rPr>
      </w:pPr>
      <w:r>
        <w:rPr>
          <w:rFonts w:hint="eastAsia" w:ascii="宋体" w:hAnsi="宋体"/>
          <w:bCs/>
          <w:sz w:val="24"/>
          <w:szCs w:val="13"/>
        </w:rPr>
        <w:t>5. 开标</w:t>
      </w:r>
    </w:p>
    <w:p>
      <w:pPr>
        <w:adjustRightInd w:val="0"/>
        <w:snapToGrid w:val="0"/>
        <w:spacing w:line="360" w:lineRule="auto"/>
        <w:rPr>
          <w:rFonts w:hint="eastAsia" w:ascii="宋体" w:hAnsi="宋体"/>
          <w:b/>
          <w:color w:val="auto"/>
        </w:rPr>
      </w:pPr>
      <w:r>
        <w:rPr>
          <w:rFonts w:hint="eastAsia" w:ascii="宋体" w:hAnsi="宋体"/>
          <w:b/>
          <w:color w:val="auto"/>
        </w:rPr>
        <w:t>5.1 开标时间和地点</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招标人在本章第4.2.1项规定的投标截止时间（开标时间）和投标人须知前附表规定的地点对收到的投标文件第一个信封（商务及技术文件）公开开标，并邀请所有投标人的法定代表人或其委托代理人准时参加。</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招标人在投标人须知前附表规定的时间和地点对投标文件第二个信封（报价文件）公开开标，并邀请所有投标人的法定代表人或其委托代理人准时参加。</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投标人若未派法定代表人或委托代理人出席开标活动，视为该投标人默认开标结果。</w:t>
      </w:r>
    </w:p>
    <w:p>
      <w:pPr>
        <w:adjustRightInd w:val="0"/>
        <w:snapToGrid w:val="0"/>
        <w:spacing w:line="360" w:lineRule="auto"/>
        <w:rPr>
          <w:rFonts w:hint="eastAsia" w:ascii="宋体" w:hAnsi="宋体"/>
          <w:b/>
          <w:color w:val="auto"/>
        </w:rPr>
      </w:pPr>
      <w:r>
        <w:rPr>
          <w:rFonts w:hint="eastAsia" w:ascii="宋体" w:hAnsi="宋体"/>
          <w:b/>
          <w:color w:val="auto"/>
        </w:rPr>
        <w:t>5.2 开标程序</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5.2.1 主持人按下列程序对投标文件第一个信封（商务及技术文件）进行开标：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（1）宣布开标纪律；</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（2）公布在投标截止时间前递交投标文件的投标人数量；</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（3）宣布开标人、唱标人、记录人等有关人员姓名；</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（4）按照投标人须知前附表规定由投标人推选的代表检查投标文件的密封情况；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（5）按照投标人须知前附表规定的开标顺序当众开标，公布标段名称、投标人名称、投标保证金的递交情况、</w:t>
      </w:r>
      <w:r>
        <w:rPr>
          <w:rFonts w:hint="eastAsia" w:ascii="宋体" w:hAnsi="宋体"/>
          <w:color w:val="auto"/>
          <w:lang w:val="en-US"/>
        </w:rPr>
        <w:t>勘察设计服务期限</w:t>
      </w:r>
      <w:r>
        <w:rPr>
          <w:rFonts w:hint="eastAsia" w:ascii="宋体" w:hAnsi="宋体"/>
          <w:color w:val="auto"/>
        </w:rPr>
        <w:t>及其他内容，并记录在案；</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（6）投标人代表、招标人代表、记录人等有关人员在开标记录上签字确认；</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（7）开标结束。</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5.2.2 在投标文件第一个信封（商务及技术文件）开标现场，投标文件第二个信封（报价文件）不予开封，由招标人密封保存。</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5.2.3 招标人将按照本章第5.1款规定的时间和地点对投标文件第二个信封（报价文件）进行开标。主持人按下列程序进行开标：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（1）宣布开标纪律；</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（2）当众拆开投标文件第一个信封（商务及技术文件）评审结果的密封袋，宣布通过投标文件第一个信封（商务及技术文件）评审的投标人名单；</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（3）宣布开标人、唱标人、记录人等有关人员姓名；</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（4）按照投标人须知前附表规定由投标人推选的代表检查投标文件的密封情况；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（5）按照投标人须知前附表规定的开标顺序当众开标，开标人只拆封通过投标文件第一个信封（商务及技术文件）评审的投标文件第二个信封（报价文件），</w:t>
      </w:r>
      <w:r>
        <w:rPr>
          <w:rFonts w:hint="eastAsia" w:ascii="宋体" w:hAnsi="宋体" w:cs="Times New Roman"/>
        </w:rPr>
        <w:t>未通过投标文件第一个信封（商务及技术文件）评审的投标文件第二个信封，招标人应当在评标结束后及时将第二信封原封退还投标人。</w:t>
      </w:r>
      <w:r>
        <w:rPr>
          <w:rFonts w:hint="eastAsia" w:ascii="宋体" w:hAnsi="宋体"/>
          <w:color w:val="auto"/>
        </w:rPr>
        <w:t>公布标段名称、投标人名称、投标报价</w:t>
      </w:r>
      <w:r>
        <w:rPr>
          <w:rStyle w:val="101"/>
          <w:rFonts w:hint="eastAsia" w:ascii="宋体" w:hAnsi="宋体"/>
          <w:color w:val="auto"/>
        </w:rPr>
        <w:footnoteReference w:id="55"/>
      </w:r>
      <w:r>
        <w:rPr>
          <w:rFonts w:hint="eastAsia" w:ascii="宋体" w:hAnsi="宋体"/>
          <w:color w:val="auto"/>
        </w:rPr>
        <w:t>及其他内容，并记录在案；</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w:t>
      </w:r>
      <w:r>
        <w:rPr>
          <w:rStyle w:val="101"/>
          <w:rFonts w:hint="eastAsia" w:ascii="宋体" w:hAnsi="宋体" w:cs="Times New Roman"/>
          <w:color w:val="auto"/>
          <w:sz w:val="30"/>
          <w:lang w:val="en-US"/>
        </w:rPr>
        <w:footnoteReference w:id="56"/>
      </w:r>
      <w:r>
        <w:rPr>
          <w:rFonts w:hint="eastAsia" w:ascii="宋体" w:hAnsi="宋体" w:cs="Times New Roman"/>
        </w:rPr>
        <w:t>摇取下浮率，下浮率在开标现场采取逐标段摇珠方式确定。摇珠操作办法详见评标办法。</w:t>
      </w:r>
      <w:r>
        <w:rPr>
          <w:rFonts w:hint="eastAsia" w:ascii="宋体" w:hAnsi="宋体"/>
          <w:color w:val="auto"/>
        </w:rPr>
        <w:t>计算并宣布评标基准价；</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（7）将未通过投标文件第一个信封（商务及技术文件）评审的投标文件第二个信封（报价文件）退还给投标人；</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（8）投标人代表、招标人代表、记录人等有关人员在开标记录上签字确认；</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（9）开标结束。</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5.2.4 在投标文件第二个信封（报价文件）开标现场，招标人将按第三章“评标办法”规定的原则计算并宣布评标基准价。若招标人发现投标文件出现以下任一情况，其投标报价将不再参加评标基准价的计算：</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（1）未在投标函上填写投标总价；</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（2）投标报价超出招标人公布的最高投标限价（如有）；</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（3）投标报价的大写金额无法确定具体数值；</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（4）投标函上填写的标段号与投标文件封套上标记的标段号不一致。</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pPr>
        <w:adjustRightInd w:val="0"/>
        <w:snapToGrid w:val="0"/>
        <w:spacing w:line="360" w:lineRule="auto"/>
        <w:rPr>
          <w:rFonts w:hint="eastAsia" w:ascii="宋体" w:hAnsi="宋体"/>
          <w:b/>
          <w:color w:val="auto"/>
        </w:rPr>
      </w:pPr>
      <w:r>
        <w:rPr>
          <w:rFonts w:hint="eastAsia" w:ascii="宋体" w:hAnsi="宋体"/>
          <w:b/>
          <w:color w:val="auto"/>
        </w:rPr>
        <w:t>5.3 开标异议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投标人对开标有异议的，应在开标现场提出，招标人当场作出答复，并制作记录，有异议的投标人代表、招标人代表、记录人等有关人员在记录上签字确认。</w:t>
      </w:r>
    </w:p>
    <w:p>
      <w:pPr>
        <w:pStyle w:val="84"/>
        <w:snapToGrid w:val="0"/>
        <w:spacing w:line="360" w:lineRule="auto"/>
        <w:jc w:val="left"/>
        <w:outlineLvl w:val="1"/>
        <w:rPr>
          <w:rFonts w:hint="eastAsia" w:ascii="宋体" w:hAnsi="宋体"/>
          <w:bCs/>
          <w:sz w:val="24"/>
          <w:szCs w:val="13"/>
        </w:rPr>
      </w:pPr>
      <w:r>
        <w:rPr>
          <w:rFonts w:hint="eastAsia" w:ascii="宋体" w:hAnsi="宋体"/>
          <w:bCs/>
          <w:sz w:val="24"/>
          <w:szCs w:val="13"/>
        </w:rPr>
        <w:t>6. 评标</w:t>
      </w:r>
    </w:p>
    <w:p>
      <w:pPr>
        <w:adjustRightInd w:val="0"/>
        <w:snapToGrid w:val="0"/>
        <w:spacing w:line="360" w:lineRule="auto"/>
        <w:rPr>
          <w:rFonts w:hint="eastAsia" w:ascii="宋体" w:hAnsi="宋体"/>
          <w:b/>
          <w:color w:val="auto"/>
        </w:rPr>
      </w:pPr>
      <w:r>
        <w:rPr>
          <w:rFonts w:hint="eastAsia" w:ascii="宋体" w:hAnsi="宋体"/>
          <w:b/>
          <w:color w:val="auto"/>
        </w:rPr>
        <w:t>6.1 评标委员会</w:t>
      </w:r>
    </w:p>
    <w:p>
      <w:pPr>
        <w:adjustRightInd w:val="0"/>
        <w:snapToGrid w:val="0"/>
        <w:spacing w:line="360" w:lineRule="auto"/>
        <w:ind w:firstLine="480" w:firstLineChars="200"/>
        <w:rPr>
          <w:rFonts w:ascii="宋体" w:hAnsi="宋体"/>
          <w:color w:val="auto"/>
        </w:rPr>
      </w:pPr>
      <w:r>
        <w:rPr>
          <w:rFonts w:ascii="宋体" w:hAnsi="宋体"/>
          <w:color w:val="auto"/>
        </w:rPr>
        <w:t>6.1.1</w:t>
      </w:r>
      <w:r>
        <w:rPr>
          <w:rFonts w:hint="eastAsia" w:ascii="宋体" w:hAnsi="宋体"/>
          <w:color w:val="auto"/>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6.1.2 评标委员会成员有下列情形之一的，应主动提出回避：</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（1）为负责招标项目监督管理的交通运输主管部门的工作人员；</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（2）与投标人法定代表人或其委托代理人有近亲属关系；</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（3）为投标人的工作人员或退休人员；</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（4）与投标人有其他利害关系，可能影响评标活动公正性；</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（5）在与招标投标有关的活动中有过违法违规行为、曾受过行政处罚或刑事处罚。</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w:t>
      </w:r>
      <w:r>
        <w:rPr>
          <w:rFonts w:hint="eastAsia" w:ascii="宋体" w:hAnsi="宋体"/>
          <w:color w:val="auto"/>
          <w:lang w:val="en-US"/>
        </w:rPr>
        <w:t>6</w:t>
      </w:r>
      <w:r>
        <w:rPr>
          <w:rFonts w:hint="eastAsia" w:ascii="宋体" w:hAnsi="宋体"/>
          <w:color w:val="auto"/>
        </w:rPr>
        <w:t>）招标人及其子公司、</w:t>
      </w:r>
      <w:r>
        <w:rPr>
          <w:rFonts w:hint="eastAsia" w:ascii="宋体" w:hAnsi="宋体"/>
          <w:color w:val="auto"/>
          <w:lang w:val="en-US"/>
        </w:rPr>
        <w:t>招标人下属单位、</w:t>
      </w:r>
      <w:r>
        <w:rPr>
          <w:rFonts w:hint="eastAsia" w:ascii="宋体" w:hAnsi="宋体"/>
          <w:color w:val="auto"/>
        </w:rPr>
        <w:t>招标人的上级主管部门或者控股公司、招标代理机构的工作人员或者退休人员不得以专家身份参与本单位招标或者招标代理项目的评标。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6.1.3 评标过程中，评标委员会成员有回避事由、擅离职守或因健康等原因不能继续评标的，招标人有权更换。被更换的评标委员会成员作出的评审结论无效，由更换后的评标委员会成员重新进行评审。</w:t>
      </w:r>
    </w:p>
    <w:p>
      <w:pPr>
        <w:adjustRightInd w:val="0"/>
        <w:snapToGrid w:val="0"/>
        <w:spacing w:line="360" w:lineRule="auto"/>
        <w:rPr>
          <w:rFonts w:hint="eastAsia" w:ascii="宋体" w:hAnsi="宋体"/>
          <w:b/>
          <w:color w:val="auto"/>
        </w:rPr>
      </w:pPr>
      <w:r>
        <w:rPr>
          <w:rFonts w:hint="eastAsia" w:ascii="宋体" w:hAnsi="宋体"/>
          <w:b/>
          <w:color w:val="auto"/>
        </w:rPr>
        <w:t>6.2 评标原则</w:t>
      </w:r>
    </w:p>
    <w:p>
      <w:pPr>
        <w:adjustRightInd w:val="0"/>
        <w:snapToGrid w:val="0"/>
        <w:spacing w:line="360" w:lineRule="auto"/>
        <w:ind w:firstLine="480" w:firstLineChars="200"/>
        <w:rPr>
          <w:rFonts w:ascii="宋体" w:hAnsi="宋体"/>
          <w:b/>
          <w:color w:val="auto"/>
          <w:lang w:val="en-US"/>
        </w:rPr>
      </w:pPr>
      <w:r>
        <w:rPr>
          <w:rFonts w:hint="eastAsia" w:ascii="宋体" w:hAnsi="宋体"/>
          <w:color w:val="auto"/>
          <w:lang w:val="en-US"/>
        </w:rPr>
        <w:t>评标活动遵循公平、公正、科学和择优的原则。</w:t>
      </w:r>
    </w:p>
    <w:p>
      <w:pPr>
        <w:adjustRightInd w:val="0"/>
        <w:snapToGrid w:val="0"/>
        <w:spacing w:line="360" w:lineRule="auto"/>
        <w:rPr>
          <w:rFonts w:hint="eastAsia" w:ascii="宋体" w:hAnsi="宋体"/>
          <w:b/>
          <w:color w:val="auto"/>
        </w:rPr>
      </w:pPr>
      <w:r>
        <w:rPr>
          <w:rFonts w:hint="eastAsia" w:ascii="宋体" w:hAnsi="宋体"/>
          <w:b/>
          <w:color w:val="auto"/>
        </w:rPr>
        <w:t>6.3 评标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6.3.1 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6.3.2 评标完成后，评标委员会应向招标人提交书面评标报告和中标候选人名单。评标委员会推荐中标候选人的人数见投标人须知前附表。</w:t>
      </w:r>
    </w:p>
    <w:p>
      <w:pPr>
        <w:pStyle w:val="84"/>
        <w:snapToGrid w:val="0"/>
        <w:spacing w:line="360" w:lineRule="auto"/>
        <w:jc w:val="left"/>
        <w:outlineLvl w:val="1"/>
        <w:rPr>
          <w:rFonts w:hint="eastAsia" w:ascii="宋体" w:hAnsi="宋体"/>
          <w:bCs/>
          <w:sz w:val="24"/>
          <w:szCs w:val="13"/>
        </w:rPr>
      </w:pPr>
      <w:r>
        <w:rPr>
          <w:rFonts w:hint="eastAsia" w:ascii="宋体" w:hAnsi="宋体"/>
          <w:bCs/>
          <w:sz w:val="24"/>
          <w:szCs w:val="13"/>
        </w:rPr>
        <w:t>7. 合同授予</w:t>
      </w:r>
    </w:p>
    <w:p>
      <w:pPr>
        <w:adjustRightInd w:val="0"/>
        <w:snapToGrid w:val="0"/>
        <w:spacing w:line="360" w:lineRule="auto"/>
        <w:rPr>
          <w:rFonts w:hint="eastAsia" w:ascii="宋体" w:hAnsi="宋体"/>
          <w:b/>
          <w:color w:val="auto"/>
        </w:rPr>
      </w:pPr>
      <w:r>
        <w:rPr>
          <w:rFonts w:hint="eastAsia" w:ascii="宋体" w:hAnsi="宋体"/>
          <w:b/>
          <w:color w:val="auto"/>
        </w:rPr>
        <w:t>7.1 中标候选人公示</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招标人在收到评标报告之日起3日内，按照投标人须知前附表规定的公示媒介和期限公示中标候选人，公示期不得少于3日，公示内容包括：</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（1）中标候选人排序、名称、投标报价，对</w:t>
      </w:r>
      <w:r>
        <w:rPr>
          <w:rFonts w:hint="eastAsia" w:ascii="宋体" w:hAnsi="宋体"/>
          <w:color w:val="auto"/>
          <w:lang w:val="en-US"/>
        </w:rPr>
        <w:t>勘察设计</w:t>
      </w:r>
      <w:r>
        <w:rPr>
          <w:rFonts w:hint="eastAsia" w:ascii="宋体" w:hAnsi="宋体"/>
          <w:color w:val="auto"/>
        </w:rPr>
        <w:t>质量要求、安全目标和</w:t>
      </w:r>
      <w:r>
        <w:rPr>
          <w:rFonts w:hint="eastAsia" w:ascii="宋体" w:hAnsi="宋体"/>
          <w:color w:val="auto"/>
          <w:lang w:val="en-US"/>
        </w:rPr>
        <w:t>勘察设计服务期限</w:t>
      </w:r>
      <w:r>
        <w:rPr>
          <w:rFonts w:hint="eastAsia" w:ascii="宋体" w:hAnsi="宋体"/>
          <w:color w:val="auto"/>
        </w:rPr>
        <w:t>的响应情况；</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（2）中标候选人在投标文件中承诺的项目负责人姓名、个人业绩、相关证书名称和编号；</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（3）中标候选人在投标文件中填报的项目业绩；</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（4）被否决投标的投标人名称、否决依据和原因；</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（5）提出异议的渠道和方式；</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（6）投标人须知前附表规定公示的其他内容。</w:t>
      </w:r>
    </w:p>
    <w:p>
      <w:pPr>
        <w:adjustRightInd w:val="0"/>
        <w:snapToGrid w:val="0"/>
        <w:spacing w:line="360" w:lineRule="auto"/>
        <w:rPr>
          <w:rFonts w:hint="eastAsia" w:ascii="宋体" w:hAnsi="宋体"/>
          <w:b/>
          <w:color w:val="auto"/>
        </w:rPr>
      </w:pPr>
      <w:r>
        <w:rPr>
          <w:rFonts w:hint="eastAsia" w:ascii="宋体" w:hAnsi="宋体"/>
          <w:b/>
          <w:color w:val="auto"/>
        </w:rPr>
        <w:t>7.2 评标结果异议</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投标人或其他利害关系人对依法必须进行招标的项目的评标结果有异议的，应在中标候选人公示期间提出。招标人将在收到异议之日起3日内作出答复；作出答复前，将暂停招标投标活动。</w:t>
      </w:r>
    </w:p>
    <w:p>
      <w:pPr>
        <w:adjustRightInd w:val="0"/>
        <w:snapToGrid w:val="0"/>
        <w:spacing w:line="360" w:lineRule="auto"/>
        <w:rPr>
          <w:rFonts w:hint="eastAsia" w:ascii="宋体" w:hAnsi="宋体"/>
          <w:b/>
          <w:color w:val="auto"/>
        </w:rPr>
      </w:pPr>
      <w:r>
        <w:rPr>
          <w:rFonts w:hint="eastAsia" w:ascii="宋体" w:hAnsi="宋体"/>
          <w:b/>
          <w:color w:val="auto"/>
        </w:rPr>
        <w:t>7.3 中标候选人履约能力审查</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中标候选人的经营、财务状况发生较大变化或存在违法行为，招标人认为可能影响其履约能力的，将在发出中标通知书前提请原评标委员会按照招标文件规定的标准和方法进行审查确认。</w:t>
      </w:r>
    </w:p>
    <w:p>
      <w:pPr>
        <w:adjustRightInd w:val="0"/>
        <w:snapToGrid w:val="0"/>
        <w:spacing w:line="360" w:lineRule="auto"/>
        <w:rPr>
          <w:rFonts w:hint="eastAsia" w:ascii="宋体" w:hAnsi="宋体"/>
          <w:b/>
          <w:color w:val="auto"/>
        </w:rPr>
      </w:pPr>
      <w:r>
        <w:rPr>
          <w:rFonts w:hint="eastAsia" w:ascii="宋体" w:hAnsi="宋体"/>
          <w:b/>
          <w:color w:val="auto"/>
        </w:rPr>
        <w:t>7.4 定标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按照投标人须知前附表的规定，招标人或招标人授权的评标委员会依法确定中标人。</w:t>
      </w:r>
    </w:p>
    <w:p>
      <w:pPr>
        <w:adjustRightInd w:val="0"/>
        <w:snapToGrid w:val="0"/>
        <w:spacing w:line="360" w:lineRule="auto"/>
        <w:rPr>
          <w:rFonts w:hint="eastAsia" w:ascii="宋体" w:hAnsi="宋体"/>
          <w:b/>
          <w:color w:val="auto"/>
        </w:rPr>
      </w:pPr>
      <w:r>
        <w:rPr>
          <w:rFonts w:hint="eastAsia" w:ascii="宋体" w:hAnsi="宋体"/>
          <w:b/>
          <w:color w:val="auto"/>
        </w:rPr>
        <w:t>7.5 中标通知</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在本章第3.3款规定的投标有效期内，招标人以投标人须知前附表规定的形式向中标人发出中标通知书，同时将中标结果通知未中标的投标人。</w:t>
      </w:r>
    </w:p>
    <w:p>
      <w:pPr>
        <w:adjustRightInd w:val="0"/>
        <w:snapToGrid w:val="0"/>
        <w:spacing w:line="360" w:lineRule="auto"/>
        <w:rPr>
          <w:rFonts w:hint="eastAsia" w:ascii="宋体" w:hAnsi="宋体"/>
          <w:b/>
          <w:color w:val="auto"/>
        </w:rPr>
      </w:pPr>
      <w:r>
        <w:rPr>
          <w:rFonts w:hint="eastAsia" w:ascii="宋体" w:hAnsi="宋体"/>
          <w:b/>
          <w:color w:val="auto"/>
        </w:rPr>
        <w:t>7.6 中标结果公告</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招标人在确定中标人之日起3日内，按照投标人须知前附表规定的公告媒介和期限公告中标结果，公告期不得少于3日。公告内容包括中标人名称、中标价。</w:t>
      </w:r>
    </w:p>
    <w:p>
      <w:pPr>
        <w:adjustRightInd w:val="0"/>
        <w:snapToGrid w:val="0"/>
        <w:spacing w:line="360" w:lineRule="auto"/>
        <w:rPr>
          <w:rFonts w:ascii="宋体" w:hAnsi="宋体"/>
          <w:b/>
          <w:color w:val="auto"/>
          <w:lang w:val="en-US"/>
        </w:rPr>
      </w:pPr>
      <w:r>
        <w:rPr>
          <w:rFonts w:hint="eastAsia" w:ascii="宋体" w:hAnsi="宋体"/>
          <w:b/>
          <w:color w:val="auto"/>
        </w:rPr>
        <w:t>7.</w:t>
      </w:r>
      <w:r>
        <w:rPr>
          <w:rFonts w:hint="eastAsia" w:ascii="宋体" w:hAnsi="宋体"/>
          <w:b/>
          <w:color w:val="auto"/>
          <w:lang w:val="en-US"/>
        </w:rPr>
        <w:t>7</w:t>
      </w:r>
      <w:r>
        <w:rPr>
          <w:rFonts w:hint="eastAsia" w:ascii="宋体" w:hAnsi="宋体"/>
          <w:b/>
          <w:color w:val="auto"/>
        </w:rPr>
        <w:t xml:space="preserve"> </w:t>
      </w:r>
      <w:r>
        <w:rPr>
          <w:rFonts w:hint="eastAsia" w:ascii="宋体" w:hAnsi="宋体"/>
          <w:b/>
          <w:color w:val="auto"/>
          <w:lang w:val="en-US"/>
        </w:rPr>
        <w:t>技术成果经济补偿</w:t>
      </w:r>
    </w:p>
    <w:p>
      <w:pPr>
        <w:adjustRightInd w:val="0"/>
        <w:snapToGrid w:val="0"/>
        <w:spacing w:line="360" w:lineRule="auto"/>
        <w:ind w:firstLine="480" w:firstLineChars="200"/>
        <w:rPr>
          <w:rFonts w:hint="eastAsia" w:ascii="宋体" w:hAnsi="宋体"/>
          <w:b/>
          <w:color w:val="auto"/>
        </w:rPr>
      </w:pPr>
      <w:r>
        <w:rPr>
          <w:rFonts w:hint="eastAsia" w:ascii="宋体" w:hAnsi="宋体"/>
          <w:color w:val="auto"/>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pPr>
        <w:adjustRightInd w:val="0"/>
        <w:snapToGrid w:val="0"/>
        <w:spacing w:line="360" w:lineRule="auto"/>
        <w:rPr>
          <w:rFonts w:hint="eastAsia" w:ascii="宋体" w:hAnsi="宋体"/>
          <w:b/>
          <w:color w:val="auto"/>
        </w:rPr>
      </w:pPr>
      <w:r>
        <w:rPr>
          <w:rFonts w:hint="eastAsia" w:ascii="宋体" w:hAnsi="宋体"/>
          <w:b/>
          <w:color w:val="auto"/>
        </w:rPr>
        <w:t>7.</w:t>
      </w:r>
      <w:r>
        <w:rPr>
          <w:rFonts w:hint="eastAsia" w:ascii="宋体" w:hAnsi="宋体"/>
          <w:b/>
          <w:color w:val="auto"/>
          <w:lang w:val="en-US"/>
        </w:rPr>
        <w:t>8</w:t>
      </w:r>
      <w:r>
        <w:rPr>
          <w:rFonts w:hint="eastAsia" w:ascii="宋体" w:hAnsi="宋体"/>
          <w:b/>
          <w:color w:val="auto"/>
        </w:rPr>
        <w:t xml:space="preserve"> 履约保证金</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w:t>
      </w:r>
      <w:r>
        <w:rPr>
          <w:rFonts w:hint="eastAsia" w:ascii="宋体" w:hAnsi="宋体"/>
          <w:color w:val="auto"/>
          <w:lang w:val="en-US"/>
        </w:rPr>
        <w:t>8</w:t>
      </w:r>
      <w:r>
        <w:rPr>
          <w:rFonts w:hint="eastAsia" w:ascii="宋体" w:hAnsi="宋体"/>
          <w:color w:val="auto"/>
        </w:rPr>
        <w:t>.1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采用银行保函时，应由符合投标人须知前附表规定级别的银行开具，所需的费用由中标人承担，中标人应保证银行保函有效。</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w:t>
      </w:r>
      <w:r>
        <w:rPr>
          <w:rFonts w:hint="eastAsia" w:ascii="宋体" w:hAnsi="宋体"/>
          <w:color w:val="auto"/>
          <w:lang w:val="en-US"/>
        </w:rPr>
        <w:t>8</w:t>
      </w:r>
      <w:r>
        <w:rPr>
          <w:rFonts w:hint="eastAsia" w:ascii="宋体" w:hAnsi="宋体"/>
          <w:color w:val="auto"/>
        </w:rPr>
        <w:t>.2 中标人不能按本章第7.</w:t>
      </w:r>
      <w:r>
        <w:rPr>
          <w:rFonts w:hint="eastAsia" w:ascii="宋体" w:hAnsi="宋体"/>
          <w:color w:val="auto"/>
          <w:lang w:val="en-US"/>
        </w:rPr>
        <w:t>8</w:t>
      </w:r>
      <w:r>
        <w:rPr>
          <w:rFonts w:hint="eastAsia" w:ascii="宋体" w:hAnsi="宋体"/>
          <w:color w:val="auto"/>
        </w:rPr>
        <w:t>.1项要求提交履约保证金的，视为放弃中标，其投标保证金不予退还，给招标人造成的损失超过投标保证金数额的，中标人还应对超过部分予以赔偿。</w:t>
      </w:r>
    </w:p>
    <w:p>
      <w:pPr>
        <w:adjustRightInd w:val="0"/>
        <w:snapToGrid w:val="0"/>
        <w:spacing w:line="360" w:lineRule="auto"/>
        <w:rPr>
          <w:rFonts w:hint="eastAsia" w:ascii="宋体" w:hAnsi="宋体"/>
          <w:b/>
          <w:color w:val="auto"/>
        </w:rPr>
      </w:pPr>
      <w:r>
        <w:rPr>
          <w:rFonts w:hint="eastAsia" w:ascii="宋体" w:hAnsi="宋体"/>
          <w:b/>
          <w:color w:val="auto"/>
        </w:rPr>
        <w:t>7.</w:t>
      </w:r>
      <w:r>
        <w:rPr>
          <w:rFonts w:hint="eastAsia" w:ascii="宋体" w:hAnsi="宋体"/>
          <w:b/>
          <w:color w:val="auto"/>
          <w:lang w:val="en-US"/>
        </w:rPr>
        <w:t>9</w:t>
      </w:r>
      <w:r>
        <w:rPr>
          <w:rFonts w:hint="eastAsia" w:ascii="宋体" w:hAnsi="宋体"/>
          <w:b/>
          <w:color w:val="auto"/>
        </w:rPr>
        <w:t xml:space="preserve"> 签订合同</w:t>
      </w:r>
    </w:p>
    <w:p>
      <w:pPr>
        <w:adjustRightInd w:val="0"/>
        <w:snapToGrid w:val="0"/>
        <w:spacing w:line="360" w:lineRule="auto"/>
        <w:ind w:firstLine="482" w:firstLineChars="200"/>
        <w:rPr>
          <w:rFonts w:hint="eastAsia" w:ascii="宋体" w:hAnsi="宋体"/>
          <w:color w:val="auto"/>
        </w:rPr>
      </w:pPr>
      <w:r>
        <w:rPr>
          <w:rFonts w:hint="eastAsia" w:ascii="宋体" w:hAnsi="宋体"/>
          <w:b/>
          <w:color w:val="auto"/>
        </w:rPr>
        <w:t>7</w:t>
      </w:r>
      <w:r>
        <w:rPr>
          <w:rFonts w:hint="eastAsia" w:ascii="宋体" w:hAnsi="宋体"/>
          <w:color w:val="auto"/>
        </w:rPr>
        <w:t>.</w:t>
      </w:r>
      <w:r>
        <w:rPr>
          <w:rFonts w:hint="eastAsia" w:ascii="宋体" w:hAnsi="宋体"/>
          <w:color w:val="auto"/>
          <w:lang w:val="en-US"/>
        </w:rPr>
        <w:t>9</w:t>
      </w:r>
      <w:r>
        <w:rPr>
          <w:rFonts w:hint="eastAsia" w:ascii="宋体" w:hAnsi="宋体"/>
          <w:color w:val="auto"/>
        </w:rPr>
        <w:t>.1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w:t>
      </w:r>
      <w:r>
        <w:rPr>
          <w:rFonts w:hint="eastAsia" w:ascii="宋体" w:hAnsi="宋体"/>
          <w:color w:val="auto"/>
          <w:lang w:val="en-US"/>
        </w:rPr>
        <w:t>9</w:t>
      </w:r>
      <w:r>
        <w:rPr>
          <w:rFonts w:hint="eastAsia" w:ascii="宋体" w:hAnsi="宋体"/>
          <w:color w:val="auto"/>
        </w:rPr>
        <w:t>.2 发出中标通知书后，招标人无正当理由拒签合同，或在签订合同时向中标人提出附加条件的，招标人向中标人退还投标保证金；给中标人造成损失的，还应赔偿损失。</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w:t>
      </w:r>
      <w:r>
        <w:rPr>
          <w:rFonts w:hint="eastAsia" w:ascii="宋体" w:hAnsi="宋体"/>
          <w:color w:val="auto"/>
          <w:lang w:val="en-US"/>
        </w:rPr>
        <w:t>9</w:t>
      </w:r>
      <w:r>
        <w:rPr>
          <w:rFonts w:hint="eastAsia" w:ascii="宋体" w:hAnsi="宋体"/>
          <w:color w:val="auto"/>
        </w:rPr>
        <w:t>.3 签约合同价的确定原则如下：</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（1）按照评标办法规定对投标报价进行修正后，若修正后的最终投标报价小于开标时的投标函大写金额报价，则签订合同时以修正后的最终投标报价为准；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（2）按照评标办法规定对投标报价进行修正后，若修正后的最终投标报价大于开标时的投标函大写金额报价，则签订合同时以开标时的投标函大写金额报价为准，同时按比例修正相应子目的单价或合价。</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w:t>
      </w:r>
      <w:r>
        <w:rPr>
          <w:rFonts w:hint="eastAsia" w:ascii="宋体" w:hAnsi="宋体"/>
          <w:color w:val="auto"/>
          <w:lang w:val="en-US"/>
        </w:rPr>
        <w:t>9</w:t>
      </w:r>
      <w:r>
        <w:rPr>
          <w:rFonts w:hint="eastAsia" w:ascii="宋体" w:hAnsi="宋体"/>
          <w:color w:val="auto"/>
        </w:rPr>
        <w:t>.4 联合体中标的，联合体各方应共同与招标人签订合同，就中标项目向招标人承担连带责任。</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7.</w:t>
      </w:r>
      <w:r>
        <w:rPr>
          <w:rFonts w:hint="eastAsia" w:ascii="宋体" w:hAnsi="宋体"/>
          <w:color w:val="auto"/>
          <w:lang w:val="en-US"/>
        </w:rPr>
        <w:t>9</w:t>
      </w:r>
      <w:r>
        <w:rPr>
          <w:rFonts w:hint="eastAsia" w:ascii="宋体" w:hAnsi="宋体"/>
          <w:color w:val="auto"/>
        </w:rPr>
        <w:t>.5 招标人和中标人在签订合同协议书的同时，须按照本招标文件规定的格式和要求签订廉政合同，明确双方在廉政建设方面的权利和义务以及应承担的违约责任。</w:t>
      </w:r>
    </w:p>
    <w:p>
      <w:pPr>
        <w:pStyle w:val="84"/>
        <w:snapToGrid w:val="0"/>
        <w:spacing w:line="360" w:lineRule="auto"/>
        <w:jc w:val="left"/>
        <w:outlineLvl w:val="1"/>
        <w:rPr>
          <w:rFonts w:hint="eastAsia" w:ascii="宋体" w:hAnsi="宋体"/>
          <w:bCs/>
          <w:sz w:val="24"/>
          <w:szCs w:val="13"/>
        </w:rPr>
      </w:pPr>
      <w:r>
        <w:rPr>
          <w:rFonts w:hint="eastAsia" w:ascii="宋体" w:hAnsi="宋体"/>
          <w:bCs/>
          <w:sz w:val="24"/>
          <w:szCs w:val="13"/>
        </w:rPr>
        <w:t>8. 纪律和监督</w:t>
      </w:r>
    </w:p>
    <w:p>
      <w:pPr>
        <w:adjustRightInd w:val="0"/>
        <w:snapToGrid w:val="0"/>
        <w:spacing w:line="360" w:lineRule="auto"/>
        <w:rPr>
          <w:rFonts w:hint="eastAsia" w:ascii="宋体" w:hAnsi="宋体"/>
          <w:b/>
          <w:color w:val="auto"/>
        </w:rPr>
      </w:pPr>
      <w:r>
        <w:rPr>
          <w:rFonts w:hint="eastAsia" w:ascii="宋体" w:hAnsi="宋体"/>
          <w:b/>
          <w:color w:val="auto"/>
        </w:rPr>
        <w:t>8.1 对招标人的纪律要求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招标人不得泄露招标投标活动中应保密的情况和资料，不得与投标人串通损害国家利益、社会公共利益或他人合法权益。</w:t>
      </w:r>
    </w:p>
    <w:p>
      <w:pPr>
        <w:adjustRightInd w:val="0"/>
        <w:snapToGrid w:val="0"/>
        <w:spacing w:line="360" w:lineRule="auto"/>
        <w:rPr>
          <w:rFonts w:hint="eastAsia" w:ascii="宋体" w:hAnsi="宋体"/>
          <w:b/>
          <w:color w:val="auto"/>
        </w:rPr>
      </w:pPr>
      <w:r>
        <w:rPr>
          <w:rFonts w:hint="eastAsia" w:ascii="宋体" w:hAnsi="宋体"/>
          <w:b/>
          <w:color w:val="auto"/>
        </w:rPr>
        <w:t>8.2 对投标人的纪律要求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投标人不得相互串通投标或与招标人串通投标，不得向招标人或评标委员会成员行贿谋取中标，不得以他人名义投标或以其他方式弄虚作假骗取中标；投标人不得以任何方式干扰、影响评标工作。</w:t>
      </w:r>
    </w:p>
    <w:p>
      <w:pPr>
        <w:adjustRightInd w:val="0"/>
        <w:snapToGrid w:val="0"/>
        <w:spacing w:line="360" w:lineRule="auto"/>
        <w:rPr>
          <w:rFonts w:hint="eastAsia" w:ascii="宋体" w:hAnsi="宋体"/>
          <w:b/>
          <w:color w:val="auto"/>
        </w:rPr>
      </w:pPr>
      <w:r>
        <w:rPr>
          <w:rFonts w:hint="eastAsia" w:ascii="宋体" w:hAnsi="宋体"/>
          <w:b/>
          <w:color w:val="auto"/>
        </w:rPr>
        <w:t>8.3 对评标委员会成员的纪律要求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pPr>
        <w:adjustRightInd w:val="0"/>
        <w:snapToGrid w:val="0"/>
        <w:spacing w:line="360" w:lineRule="auto"/>
        <w:rPr>
          <w:rFonts w:hint="eastAsia" w:ascii="宋体" w:hAnsi="宋体"/>
          <w:b/>
          <w:color w:val="auto"/>
        </w:rPr>
      </w:pPr>
      <w:r>
        <w:rPr>
          <w:rFonts w:hint="eastAsia" w:ascii="宋体" w:hAnsi="宋体"/>
          <w:b/>
          <w:color w:val="auto"/>
        </w:rPr>
        <w:t>8.4 对与评标活动有关的工作人员的纪律要求</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auto"/>
        <w:rPr>
          <w:rFonts w:hint="eastAsia" w:ascii="宋体" w:hAnsi="宋体"/>
          <w:b/>
          <w:color w:val="auto"/>
        </w:rPr>
      </w:pPr>
      <w:r>
        <w:rPr>
          <w:rFonts w:hint="eastAsia" w:ascii="宋体" w:hAnsi="宋体"/>
          <w:b/>
          <w:color w:val="auto"/>
        </w:rPr>
        <w:t>8.5 投诉</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8.5.1 投标人或其他利害关系人认为招标投标活动不符合法律、行政法规规定的，可以自知道或应当知道之日起10日内向有关行政监督部门投诉。对于按法规规定需要先提出异议的投诉，交通运输主管部门在受理投诉时要求投诉人递交提出异议的证明文件，已向有关行政监督部门投诉的，应当一并说明。未按规定提出异议或者未提交已提出异议的证明文件的投诉，交通运输主管部门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行政监督部门接到对招标投标活动有效投诉的，应当制止或者要求整改，整改期间可以暂停其招标投标活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监督部门的联系方式见投标人须知前附表。</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8.5.2 投标人或其他利害关系人对招标文件、开标和评标结果提出投诉的，应按照本章第2.4款、第5.3款和第7.2款的规定先向招标人提出异议。异议答复期间不计算在第8.5.1项规定的期限内。</w:t>
      </w:r>
    </w:p>
    <w:p>
      <w:pPr>
        <w:pStyle w:val="84"/>
        <w:snapToGrid w:val="0"/>
        <w:spacing w:line="360" w:lineRule="auto"/>
        <w:jc w:val="left"/>
        <w:outlineLvl w:val="1"/>
        <w:rPr>
          <w:rFonts w:hint="eastAsia" w:ascii="宋体" w:hAnsi="宋体"/>
          <w:bCs/>
          <w:sz w:val="24"/>
          <w:szCs w:val="13"/>
        </w:rPr>
      </w:pPr>
      <w:r>
        <w:rPr>
          <w:rFonts w:hint="eastAsia" w:ascii="宋体" w:hAnsi="宋体"/>
          <w:bCs/>
          <w:sz w:val="24"/>
          <w:szCs w:val="13"/>
        </w:rPr>
        <w:t>9. 是否采用电子招标投标</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本招标项目是否采用电子招标投标方式，见投标人须知前附表。</w:t>
      </w:r>
    </w:p>
    <w:p>
      <w:pPr>
        <w:pStyle w:val="84"/>
        <w:snapToGrid w:val="0"/>
        <w:spacing w:line="360" w:lineRule="auto"/>
        <w:jc w:val="left"/>
        <w:outlineLvl w:val="1"/>
        <w:rPr>
          <w:rFonts w:hint="eastAsia" w:ascii="宋体" w:hAnsi="宋体"/>
          <w:bCs/>
          <w:sz w:val="24"/>
          <w:szCs w:val="13"/>
        </w:rPr>
      </w:pPr>
      <w:r>
        <w:rPr>
          <w:rFonts w:hint="eastAsia" w:ascii="宋体" w:hAnsi="宋体"/>
          <w:bCs/>
          <w:sz w:val="24"/>
          <w:szCs w:val="13"/>
        </w:rPr>
        <w:t>10. 需要补充的其他内容</w:t>
      </w:r>
    </w:p>
    <w:p>
      <w:pPr>
        <w:adjustRightInd w:val="0"/>
        <w:snapToGrid w:val="0"/>
        <w:spacing w:line="360" w:lineRule="auto"/>
        <w:ind w:firstLine="480" w:firstLineChars="200"/>
        <w:rPr>
          <w:rFonts w:hint="eastAsia"/>
          <w:color w:val="auto"/>
        </w:rPr>
      </w:pPr>
      <w:r>
        <w:rPr>
          <w:rFonts w:hint="eastAsia" w:ascii="宋体" w:hAnsi="宋体"/>
          <w:color w:val="auto"/>
        </w:rPr>
        <w:t>10.1 自购买招标文件之日起，投标人应保证其提供的联系方式（电话、传真、电子邮件）一直有效，以便及时收到招标人发出的函件(招标文件的澄清、修改等)，并应</w:t>
      </w:r>
      <w:r>
        <w:rPr>
          <w:rFonts w:hint="eastAsia"/>
          <w:color w:val="auto"/>
        </w:rPr>
        <w:t>及时向招标人反馈信息，否则招标人不承担由此引起的一切后果。</w:t>
      </w:r>
    </w:p>
    <w:p>
      <w:pPr>
        <w:adjustRightInd w:val="0"/>
        <w:snapToGrid w:val="0"/>
        <w:spacing w:line="360" w:lineRule="auto"/>
        <w:ind w:firstLine="480" w:firstLineChars="200"/>
        <w:rPr>
          <w:rFonts w:hint="eastAsia"/>
          <w:color w:val="auto"/>
        </w:rPr>
        <w:sectPr>
          <w:footnotePr>
            <w:numRestart w:val="eachPage"/>
          </w:footnotePr>
          <w:pgSz w:w="11900" w:h="16838"/>
          <w:pgMar w:top="1803" w:right="1440" w:bottom="1803" w:left="1440" w:header="680" w:footer="680" w:gutter="0"/>
          <w:cols w:space="720" w:num="1"/>
          <w:docGrid w:linePitch="360" w:charSpace="0"/>
        </w:sectPr>
      </w:pPr>
      <w:r>
        <w:rPr>
          <w:rFonts w:hint="eastAsia"/>
          <w:color w:val="auto"/>
        </w:rPr>
        <w:t>需要补充的其他内容：见投标人须知前附表。</w:t>
      </w:r>
    </w:p>
    <w:p>
      <w:pPr>
        <w:pStyle w:val="3"/>
        <w:spacing w:before="0" w:after="0" w:line="240" w:lineRule="atLeast"/>
        <w:rPr>
          <w:rFonts w:hint="eastAsia" w:ascii="宋体" w:hAnsi="宋体" w:cs="宋体"/>
          <w:b w:val="0"/>
          <w:sz w:val="24"/>
          <w:szCs w:val="24"/>
        </w:rPr>
      </w:pPr>
      <w:bookmarkStart w:id="57" w:name="_Toc503235799"/>
      <w:bookmarkStart w:id="58" w:name="_Toc508984326"/>
      <w:bookmarkStart w:id="59" w:name="_Toc508984127"/>
      <w:bookmarkStart w:id="60" w:name="_Toc234832925"/>
      <w:r>
        <w:rPr>
          <w:rFonts w:hint="eastAsia" w:ascii="宋体" w:hAnsi="宋体" w:cs="宋体"/>
          <w:b w:val="0"/>
          <w:sz w:val="24"/>
          <w:szCs w:val="24"/>
        </w:rPr>
        <w:t xml:space="preserve">附件一：开标记录表 </w:t>
      </w:r>
      <w:r>
        <w:rPr>
          <w:rFonts w:hint="eastAsia" w:ascii="宋体" w:hAnsi="宋体" w:cs="宋体"/>
          <w:b w:val="0"/>
          <w:sz w:val="24"/>
          <w:szCs w:val="24"/>
          <w:vertAlign w:val="superscript"/>
        </w:rPr>
        <w:footnoteReference w:id="57"/>
      </w:r>
      <w:bookmarkEnd w:id="57"/>
      <w:bookmarkEnd w:id="58"/>
      <w:bookmarkEnd w:id="59"/>
    </w:p>
    <w:p>
      <w:pPr>
        <w:spacing w:before="120" w:beforeLines="50" w:line="440" w:lineRule="exact"/>
        <w:jc w:val="center"/>
        <w:rPr>
          <w:rFonts w:hint="eastAsia" w:ascii="宋体" w:hAnsi="宋体" w:cs="宋体"/>
          <w:color w:val="auto"/>
          <w:sz w:val="28"/>
          <w:szCs w:val="28"/>
        </w:rPr>
      </w:pPr>
      <w:r>
        <w:rPr>
          <w:rFonts w:hint="eastAsia" w:ascii="宋体" w:hAnsi="宋体" w:cs="宋体"/>
          <w:color w:val="auto"/>
          <w:sz w:val="28"/>
          <w:szCs w:val="28"/>
          <w:u w:val="single"/>
        </w:rPr>
        <w:t xml:space="preserve">       （项目名称）    标类（或标段）勘察设计</w:t>
      </w:r>
      <w:r>
        <w:rPr>
          <w:rFonts w:hint="eastAsia" w:ascii="宋体" w:hAnsi="宋体" w:cs="宋体"/>
          <w:color w:val="auto"/>
          <w:sz w:val="28"/>
          <w:szCs w:val="28"/>
        </w:rPr>
        <w:t>第一个信封（商务及技术文件）</w:t>
      </w:r>
    </w:p>
    <w:p>
      <w:pPr>
        <w:spacing w:before="120" w:beforeLines="50" w:line="440" w:lineRule="exact"/>
        <w:jc w:val="center"/>
        <w:rPr>
          <w:rFonts w:hint="eastAsia" w:ascii="宋体" w:hAnsi="宋体" w:cs="宋体"/>
          <w:color w:val="auto"/>
          <w:sz w:val="28"/>
          <w:szCs w:val="28"/>
        </w:rPr>
      </w:pPr>
      <w:r>
        <w:rPr>
          <w:rFonts w:hint="eastAsia" w:ascii="宋体" w:hAnsi="宋体" w:cs="宋体"/>
          <w:color w:val="auto"/>
          <w:sz w:val="28"/>
          <w:szCs w:val="28"/>
        </w:rPr>
        <w:t>开标记录表</w:t>
      </w:r>
    </w:p>
    <w:p>
      <w:pPr>
        <w:spacing w:line="440" w:lineRule="exact"/>
        <w:jc w:val="right"/>
        <w:rPr>
          <w:color w:val="auto"/>
        </w:rPr>
      </w:pPr>
      <w:r>
        <w:rPr>
          <w:color w:val="auto"/>
        </w:rPr>
        <w:t>开标时间：</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r>
        <w:rPr>
          <w:color w:val="auto"/>
          <w:u w:val="single"/>
        </w:rPr>
        <w:t xml:space="preserve">   </w:t>
      </w:r>
      <w:r>
        <w:rPr>
          <w:color w:val="auto"/>
        </w:rPr>
        <w:t>时</w:t>
      </w:r>
      <w:r>
        <w:rPr>
          <w:color w:val="auto"/>
          <w:u w:val="single"/>
        </w:rPr>
        <w:t xml:space="preserve">   </w:t>
      </w:r>
      <w:r>
        <w:rPr>
          <w:color w:val="auto"/>
        </w:rPr>
        <w:t>分</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071"/>
        <w:gridCol w:w="1071"/>
        <w:gridCol w:w="1071"/>
        <w:gridCol w:w="1589"/>
        <w:gridCol w:w="104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96"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序号</w:t>
            </w:r>
          </w:p>
        </w:tc>
        <w:tc>
          <w:tcPr>
            <w:tcW w:w="1255"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投标人</w:t>
            </w:r>
          </w:p>
        </w:tc>
        <w:tc>
          <w:tcPr>
            <w:tcW w:w="1071"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密封情况</w:t>
            </w:r>
          </w:p>
        </w:tc>
        <w:tc>
          <w:tcPr>
            <w:tcW w:w="1071"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正副本</w:t>
            </w:r>
          </w:p>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份数</w:t>
            </w:r>
          </w:p>
        </w:tc>
        <w:tc>
          <w:tcPr>
            <w:tcW w:w="1071"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投标</w:t>
            </w:r>
            <w:r>
              <w:rPr>
                <w:rFonts w:hint="default" w:ascii="Times New Roman" w:hAnsi="Times New Roman"/>
                <w:color w:val="auto"/>
                <w:sz w:val="21"/>
                <w:szCs w:val="21"/>
              </w:rPr>
              <w:t>保证金</w:t>
            </w:r>
            <w:r>
              <w:rPr>
                <w:rFonts w:hint="eastAsia" w:ascii="Times New Roman" w:hAnsi="Times New Roman"/>
                <w:color w:val="auto"/>
                <w:sz w:val="21"/>
                <w:szCs w:val="21"/>
              </w:rPr>
              <w:t>递交</w:t>
            </w:r>
            <w:r>
              <w:rPr>
                <w:rFonts w:hint="default" w:ascii="Times New Roman" w:hAnsi="Times New Roman"/>
                <w:color w:val="auto"/>
                <w:sz w:val="21"/>
                <w:szCs w:val="21"/>
              </w:rPr>
              <w:t>情况</w:t>
            </w:r>
          </w:p>
        </w:tc>
        <w:tc>
          <w:tcPr>
            <w:tcW w:w="1589"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勘察设计</w:t>
            </w:r>
          </w:p>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服务期限</w:t>
            </w:r>
          </w:p>
        </w:tc>
        <w:tc>
          <w:tcPr>
            <w:tcW w:w="1043"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备注</w:t>
            </w:r>
          </w:p>
        </w:tc>
        <w:tc>
          <w:tcPr>
            <w:tcW w:w="1213"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投标人代表</w:t>
            </w:r>
            <w:r>
              <w:rPr>
                <w:rFonts w:hint="default" w:ascii="Times New Roman" w:hAnsi="Times New Roman"/>
                <w:color w:val="auto"/>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255"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7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89"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4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1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bl>
    <w:p>
      <w:pPr>
        <w:spacing w:line="620" w:lineRule="exact"/>
        <w:rPr>
          <w:rFonts w:hint="eastAsia" w:ascii="宋体" w:hAnsi="宋体" w:cs="宋体"/>
          <w:color w:val="auto"/>
          <w:szCs w:val="21"/>
          <w:u w:val="single"/>
        </w:rPr>
      </w:pPr>
      <w:r>
        <w:rPr>
          <w:rFonts w:hint="eastAsia" w:ascii="宋体" w:hAnsi="宋体" w:cs="宋体"/>
          <w:color w:val="auto"/>
          <w:szCs w:val="21"/>
        </w:rPr>
        <w:t>招标人代表：</w:t>
      </w:r>
      <w:r>
        <w:rPr>
          <w:rFonts w:hint="eastAsia" w:ascii="宋体" w:hAnsi="宋体" w:cs="宋体"/>
          <w:color w:val="auto"/>
          <w:szCs w:val="21"/>
          <w:u w:val="single"/>
        </w:rPr>
        <w:t xml:space="preserve">             </w:t>
      </w:r>
      <w:r>
        <w:rPr>
          <w:rFonts w:hint="eastAsia" w:ascii="宋体" w:hAnsi="宋体" w:cs="宋体"/>
          <w:color w:val="auto"/>
          <w:szCs w:val="21"/>
        </w:rPr>
        <w:t xml:space="preserve">                  记录人：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620" w:lineRule="exact"/>
        <w:jc w:val="right"/>
        <w:rPr>
          <w:rFonts w:hint="eastAsia" w:ascii="宋体" w:hAnsi="宋体" w:cs="宋体"/>
          <w:color w:val="auto"/>
          <w:szCs w:val="21"/>
        </w:rPr>
        <w:sectPr>
          <w:footnotePr>
            <w:numRestart w:val="eachPage"/>
          </w:footnotePr>
          <w:pgSz w:w="11905" w:h="16838"/>
          <w:pgMar w:top="1803" w:right="1440" w:bottom="1803" w:left="1440" w:header="851" w:footer="850" w:gutter="0"/>
          <w:cols w:space="720" w:num="1"/>
          <w:docGrid w:linePitch="312" w:charSpace="0"/>
        </w:sectPr>
      </w:pPr>
      <w:r>
        <w:rPr>
          <w:rFonts w:hint="eastAsia" w:ascii="宋体" w:hAnsi="宋体" w:cs="宋体"/>
          <w:color w:val="auto"/>
          <w:szCs w:val="21"/>
          <w:u w:val="single"/>
        </w:rPr>
        <w:t xml:space="preserve">          </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日</w:t>
      </w:r>
    </w:p>
    <w:bookmarkEnd w:id="60"/>
    <w:p>
      <w:pPr>
        <w:spacing w:line="440" w:lineRule="exact"/>
        <w:jc w:val="center"/>
        <w:rPr>
          <w:rFonts w:hint="eastAsia" w:ascii="宋体" w:hAnsi="宋体" w:cs="宋体"/>
          <w:color w:val="auto"/>
          <w:sz w:val="28"/>
          <w:szCs w:val="28"/>
        </w:rPr>
      </w:pPr>
      <w:r>
        <w:rPr>
          <w:rFonts w:hint="eastAsia" w:ascii="宋体" w:hAnsi="宋体" w:cs="宋体"/>
          <w:color w:val="auto"/>
          <w:sz w:val="28"/>
          <w:szCs w:val="28"/>
          <w:u w:val="single"/>
        </w:rPr>
        <w:t xml:space="preserve">       （项目名称）    标类（或标段）勘察设计</w:t>
      </w:r>
      <w:r>
        <w:rPr>
          <w:rFonts w:hint="eastAsia" w:ascii="宋体" w:hAnsi="宋体" w:cs="宋体"/>
          <w:color w:val="auto"/>
          <w:sz w:val="28"/>
          <w:szCs w:val="28"/>
        </w:rPr>
        <w:t>第二个信封（报价文件）</w:t>
      </w:r>
    </w:p>
    <w:p>
      <w:pPr>
        <w:spacing w:line="440" w:lineRule="exact"/>
        <w:jc w:val="center"/>
        <w:rPr>
          <w:rFonts w:hint="eastAsia" w:ascii="宋体" w:hAnsi="宋体" w:cs="宋体"/>
          <w:color w:val="auto"/>
          <w:sz w:val="28"/>
          <w:szCs w:val="28"/>
        </w:rPr>
      </w:pPr>
      <w:r>
        <w:rPr>
          <w:rFonts w:hint="eastAsia" w:ascii="宋体" w:hAnsi="宋体" w:cs="宋体"/>
          <w:color w:val="auto"/>
          <w:sz w:val="28"/>
          <w:szCs w:val="28"/>
        </w:rPr>
        <w:t>开标记录表</w:t>
      </w:r>
    </w:p>
    <w:p>
      <w:pPr>
        <w:spacing w:line="440" w:lineRule="exact"/>
        <w:jc w:val="right"/>
        <w:rPr>
          <w:color w:val="auto"/>
        </w:rPr>
      </w:pPr>
      <w:r>
        <w:rPr>
          <w:color w:val="auto"/>
        </w:rPr>
        <w:t>开标时间：</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r>
        <w:rPr>
          <w:color w:val="auto"/>
          <w:u w:val="single"/>
        </w:rPr>
        <w:t xml:space="preserve">   </w:t>
      </w:r>
      <w:r>
        <w:rPr>
          <w:color w:val="auto"/>
        </w:rPr>
        <w:t>时</w:t>
      </w:r>
      <w:r>
        <w:rPr>
          <w:color w:val="auto"/>
          <w:u w:val="single"/>
        </w:rPr>
        <w:t xml:space="preserve">   </w:t>
      </w:r>
      <w:r>
        <w:rPr>
          <w:color w:val="auto"/>
        </w:rPr>
        <w:t>分</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0"/>
        <w:gridCol w:w="1134"/>
        <w:gridCol w:w="993"/>
        <w:gridCol w:w="1560"/>
        <w:gridCol w:w="1181"/>
        <w:gridCol w:w="1205"/>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9"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序号</w:t>
            </w:r>
          </w:p>
        </w:tc>
        <w:tc>
          <w:tcPr>
            <w:tcW w:w="1100"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投标人</w:t>
            </w:r>
          </w:p>
        </w:tc>
        <w:tc>
          <w:tcPr>
            <w:tcW w:w="1134"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密封情况</w:t>
            </w:r>
          </w:p>
        </w:tc>
        <w:tc>
          <w:tcPr>
            <w:tcW w:w="993"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正副本</w:t>
            </w:r>
          </w:p>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eastAsia" w:ascii="Times New Roman" w:hAnsi="Times New Roman"/>
                <w:color w:val="auto"/>
                <w:sz w:val="21"/>
                <w:szCs w:val="21"/>
              </w:rPr>
              <w:t>份数</w:t>
            </w:r>
          </w:p>
        </w:tc>
        <w:tc>
          <w:tcPr>
            <w:tcW w:w="1560" w:type="dxa"/>
            <w:noWrap w:val="0"/>
            <w:vAlign w:val="center"/>
          </w:tcPr>
          <w:p>
            <w:pPr>
              <w:keepNext w:val="0"/>
              <w:keepLines w:val="0"/>
              <w:suppressLineNumbers w:val="0"/>
              <w:spacing w:before="0" w:beforeAutospacing="0" w:after="0" w:afterAutospacing="0" w:line="500" w:lineRule="exact"/>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投标报价（元）</w:t>
            </w:r>
          </w:p>
        </w:tc>
        <w:tc>
          <w:tcPr>
            <w:tcW w:w="1181"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是否超过最高投标限价</w:t>
            </w:r>
          </w:p>
        </w:tc>
        <w:tc>
          <w:tcPr>
            <w:tcW w:w="1205"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备注</w:t>
            </w:r>
          </w:p>
        </w:tc>
        <w:tc>
          <w:tcPr>
            <w:tcW w:w="1068" w:type="dxa"/>
            <w:noWrap w:val="0"/>
            <w:vAlign w:val="center"/>
          </w:tcPr>
          <w:p>
            <w:pPr>
              <w:keepNext w:val="0"/>
              <w:keepLines w:val="0"/>
              <w:suppressLineNumbers w:val="0"/>
              <w:spacing w:before="0" w:beforeAutospacing="0" w:after="0" w:afterAutospacing="0"/>
              <w:ind w:left="-120" w:leftChars="-50" w:right="-120" w:rightChars="-50"/>
              <w:jc w:val="center"/>
              <w:rPr>
                <w:rFonts w:hint="default" w:ascii="Times New Roman" w:hAnsi="Times New Roman"/>
                <w:color w:val="auto"/>
                <w:sz w:val="21"/>
                <w:szCs w:val="21"/>
              </w:rPr>
            </w:pPr>
            <w:r>
              <w:rPr>
                <w:rFonts w:hint="default" w:ascii="Times New Roman" w:hAnsi="Times New Roman"/>
                <w:color w:val="auto"/>
                <w:sz w:val="21"/>
                <w:szCs w:val="21"/>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00" w:type="dxa"/>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1134"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993"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560"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181"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205"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c>
          <w:tcPr>
            <w:tcW w:w="1068" w:type="dxa"/>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3"/>
            <w:noWrap w:val="0"/>
            <w:vAlign w:val="top"/>
          </w:tcPr>
          <w:p>
            <w:pPr>
              <w:keepNext w:val="0"/>
              <w:keepLines w:val="0"/>
              <w:suppressLineNumbers w:val="0"/>
              <w:spacing w:before="120" w:beforeLines="50" w:beforeAutospacing="0" w:after="0" w:afterAutospacing="0" w:line="440" w:lineRule="exact"/>
              <w:ind w:left="0" w:right="420"/>
              <w:rPr>
                <w:rFonts w:hint="default" w:ascii="Times New Roman" w:hAnsi="Times New Roman"/>
                <w:color w:val="auto"/>
              </w:rPr>
            </w:pPr>
            <w:r>
              <w:rPr>
                <w:rFonts w:hint="default" w:ascii="Times New Roman" w:hAnsi="Times New Roman"/>
                <w:color w:val="auto"/>
                <w:sz w:val="21"/>
                <w:szCs w:val="21"/>
              </w:rPr>
              <w:t>招标人编制的最高投标限价（如有）</w:t>
            </w:r>
          </w:p>
        </w:tc>
        <w:tc>
          <w:tcPr>
            <w:tcW w:w="3734" w:type="dxa"/>
            <w:gridSpan w:val="3"/>
            <w:noWrap w:val="0"/>
            <w:vAlign w:val="top"/>
          </w:tcPr>
          <w:p>
            <w:pPr>
              <w:keepNext w:val="0"/>
              <w:keepLines w:val="0"/>
              <w:suppressLineNumbers w:val="0"/>
              <w:spacing w:before="120" w:beforeLines="50" w:beforeAutospacing="0" w:after="0" w:afterAutospacing="0" w:line="440" w:lineRule="exact"/>
              <w:ind w:left="0" w:right="0"/>
              <w:jc w:val="right"/>
              <w:rPr>
                <w:rFonts w:hint="default" w:ascii="Times New Roman" w:hAnsi="Times New Roman"/>
                <w:color w:val="auto"/>
              </w:rPr>
            </w:pPr>
          </w:p>
        </w:tc>
        <w:tc>
          <w:tcPr>
            <w:tcW w:w="2273" w:type="dxa"/>
            <w:gridSpan w:val="2"/>
            <w:noWrap w:val="0"/>
            <w:vAlign w:val="top"/>
          </w:tcPr>
          <w:p>
            <w:pPr>
              <w:keepNext w:val="0"/>
              <w:keepLines w:val="0"/>
              <w:suppressLineNumbers w:val="0"/>
              <w:spacing w:before="0" w:beforeLines="50" w:beforeAutospacing="0" w:after="0" w:afterAutospacing="0" w:line="440" w:lineRule="exact"/>
              <w:ind w:left="0" w:right="0"/>
              <w:jc w:val="right"/>
              <w:rPr>
                <w:rFonts w:hint="default" w:ascii="Times New Roman" w:hAnsi="Times New Roman"/>
                <w:color w:val="auto"/>
              </w:rPr>
            </w:pPr>
          </w:p>
        </w:tc>
      </w:tr>
    </w:tbl>
    <w:p>
      <w:pPr>
        <w:spacing w:line="440" w:lineRule="exact"/>
        <w:jc w:val="right"/>
        <w:rPr>
          <w:color w:val="auto"/>
        </w:rPr>
      </w:pPr>
    </w:p>
    <w:p>
      <w:pPr>
        <w:spacing w:line="620" w:lineRule="exact"/>
        <w:rPr>
          <w:color w:val="auto"/>
          <w:szCs w:val="21"/>
          <w:u w:val="single"/>
        </w:rPr>
      </w:pPr>
      <w:r>
        <w:rPr>
          <w:color w:val="auto"/>
          <w:szCs w:val="21"/>
        </w:rPr>
        <w:t>招标人代表：</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color w:val="auto"/>
          <w:szCs w:val="21"/>
        </w:rPr>
        <w:t xml:space="preserve">    记录人：</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color w:val="auto"/>
          <w:szCs w:val="21"/>
        </w:rPr>
        <w:t xml:space="preserve">   </w:t>
      </w:r>
    </w:p>
    <w:p>
      <w:pPr>
        <w:spacing w:line="620" w:lineRule="exact"/>
        <w:jc w:val="right"/>
        <w:rPr>
          <w:color w:val="auto"/>
          <w:szCs w:val="21"/>
        </w:rPr>
      </w:pP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widowControl/>
        <w:rPr>
          <w:rFonts w:ascii="黑体" w:eastAsia="黑体"/>
          <w:bCs/>
          <w:color w:val="auto"/>
          <w:kern w:val="44"/>
        </w:rPr>
      </w:pPr>
      <w:r>
        <w:rPr>
          <w:rFonts w:ascii="黑体" w:eastAsia="黑体"/>
          <w:b/>
          <w:color w:val="auto"/>
        </w:rPr>
        <w:br w:type="page"/>
      </w:r>
    </w:p>
    <w:p>
      <w:pPr>
        <w:pStyle w:val="3"/>
        <w:spacing w:before="0" w:after="0" w:line="240" w:lineRule="atLeast"/>
        <w:rPr>
          <w:rFonts w:hint="eastAsia" w:ascii="宋体" w:hAnsi="宋体" w:cs="宋体"/>
          <w:b w:val="0"/>
          <w:sz w:val="24"/>
          <w:szCs w:val="24"/>
        </w:rPr>
      </w:pPr>
      <w:bookmarkStart w:id="61" w:name="_Toc501257120"/>
      <w:bookmarkStart w:id="62" w:name="_Toc503235800"/>
      <w:bookmarkStart w:id="63" w:name="_Toc508984128"/>
      <w:bookmarkStart w:id="64" w:name="_Toc508984327"/>
      <w:r>
        <w:rPr>
          <w:rFonts w:hint="eastAsia" w:ascii="宋体" w:hAnsi="宋体" w:cs="宋体"/>
          <w:b w:val="0"/>
          <w:sz w:val="24"/>
          <w:szCs w:val="24"/>
        </w:rPr>
        <w:t>附件二：问题澄清通知</w:t>
      </w:r>
      <w:bookmarkEnd w:id="61"/>
      <w:bookmarkEnd w:id="62"/>
      <w:bookmarkEnd w:id="63"/>
      <w:bookmarkEnd w:id="64"/>
    </w:p>
    <w:p>
      <w:pPr>
        <w:spacing w:line="440" w:lineRule="exact"/>
        <w:jc w:val="center"/>
        <w:rPr>
          <w:rFonts w:hint="eastAsia" w:ascii="宋体" w:hAnsi="宋体" w:cs="宋体"/>
          <w:color w:val="auto"/>
          <w:sz w:val="28"/>
          <w:szCs w:val="28"/>
        </w:rPr>
      </w:pPr>
    </w:p>
    <w:p>
      <w:pPr>
        <w:spacing w:line="440" w:lineRule="exact"/>
        <w:jc w:val="center"/>
        <w:rPr>
          <w:rFonts w:hint="eastAsia" w:ascii="宋体" w:hAnsi="宋体" w:cs="宋体"/>
          <w:color w:val="auto"/>
          <w:sz w:val="28"/>
          <w:szCs w:val="28"/>
        </w:rPr>
      </w:pPr>
      <w:r>
        <w:rPr>
          <w:rFonts w:hint="eastAsia" w:ascii="宋体" w:hAnsi="宋体" w:cs="宋体"/>
          <w:color w:val="auto"/>
          <w:sz w:val="28"/>
          <w:szCs w:val="28"/>
        </w:rPr>
        <w:t>问题澄清通知</w:t>
      </w:r>
    </w:p>
    <w:p>
      <w:pPr>
        <w:spacing w:line="440" w:lineRule="exact"/>
        <w:jc w:val="center"/>
        <w:rPr>
          <w:rFonts w:hint="eastAsia" w:ascii="宋体" w:hAnsi="宋体" w:cs="宋体"/>
          <w:color w:val="auto"/>
        </w:rPr>
      </w:pPr>
      <w:r>
        <w:rPr>
          <w:rFonts w:hint="eastAsia" w:ascii="宋体" w:hAnsi="宋体" w:cs="宋体"/>
          <w:color w:val="auto"/>
        </w:rPr>
        <w:t>（编号：</w:t>
      </w:r>
      <w:r>
        <w:rPr>
          <w:rFonts w:hint="eastAsia" w:ascii="宋体" w:hAnsi="宋体" w:cs="宋体"/>
          <w:color w:val="auto"/>
          <w:sz w:val="28"/>
          <w:u w:val="single"/>
        </w:rPr>
        <w:t xml:space="preserve">               </w:t>
      </w:r>
      <w:r>
        <w:rPr>
          <w:rFonts w:hint="eastAsia" w:ascii="宋体" w:hAnsi="宋体" w:cs="宋体"/>
          <w:color w:val="auto"/>
        </w:rPr>
        <w:t>）</w:t>
      </w:r>
    </w:p>
    <w:p>
      <w:pPr>
        <w:spacing w:line="440" w:lineRule="exact"/>
        <w:rPr>
          <w:color w:val="auto"/>
        </w:rPr>
      </w:pPr>
    </w:p>
    <w:p>
      <w:pPr>
        <w:spacing w:line="440" w:lineRule="exact"/>
        <w:rPr>
          <w:color w:val="auto"/>
        </w:rPr>
      </w:pPr>
      <w:r>
        <w:rPr>
          <w:color w:val="auto"/>
          <w:u w:val="single"/>
        </w:rPr>
        <w:t xml:space="preserve">  </w:t>
      </w:r>
      <w:r>
        <w:rPr>
          <w:rFonts w:hint="eastAsia"/>
          <w:color w:val="auto"/>
          <w:u w:val="single"/>
        </w:rPr>
        <w:t xml:space="preserve">   </w:t>
      </w:r>
      <w:r>
        <w:rPr>
          <w:color w:val="auto"/>
          <w:u w:val="single"/>
        </w:rPr>
        <w:t xml:space="preserve">          </w:t>
      </w:r>
      <w:r>
        <w:rPr>
          <w:color w:val="auto"/>
        </w:rPr>
        <w:t>（投标人名称）：</w:t>
      </w:r>
    </w:p>
    <w:p>
      <w:pPr>
        <w:spacing w:line="440" w:lineRule="exact"/>
        <w:rPr>
          <w:color w:val="auto"/>
        </w:rPr>
      </w:pPr>
    </w:p>
    <w:p>
      <w:pPr>
        <w:spacing w:line="440" w:lineRule="exact"/>
        <w:rPr>
          <w:color w:val="auto"/>
        </w:rPr>
      </w:pPr>
      <w:r>
        <w:rPr>
          <w:color w:val="auto"/>
        </w:rPr>
        <w:t xml:space="preserve">　　  </w:t>
      </w:r>
      <w:r>
        <w:rPr>
          <w:color w:val="auto"/>
          <w:u w:val="single"/>
        </w:rPr>
        <w:t xml:space="preserve">　             （项目名称）        </w:t>
      </w:r>
      <w:r>
        <w:rPr>
          <w:rFonts w:hint="eastAsia"/>
          <w:color w:val="auto"/>
          <w:u w:val="single"/>
        </w:rPr>
        <w:t>标类（或标段）</w:t>
      </w:r>
      <w:r>
        <w:rPr>
          <w:color w:val="auto"/>
          <w:u w:val="single"/>
        </w:rPr>
        <w:t>勘察设计</w:t>
      </w:r>
      <w:r>
        <w:rPr>
          <w:color w:val="auto"/>
        </w:rPr>
        <w:t>招标的评标委员会，对你方的投标文件进行了仔细的审查，现需你方对下列问题以书面形式予以澄清</w:t>
      </w:r>
      <w:r>
        <w:rPr>
          <w:rFonts w:hint="eastAsia"/>
          <w:color w:val="auto"/>
        </w:rPr>
        <w:t>或</w:t>
      </w:r>
      <w:r>
        <w:rPr>
          <w:color w:val="auto"/>
        </w:rPr>
        <w:t>说明：</w:t>
      </w:r>
    </w:p>
    <w:p>
      <w:pPr>
        <w:spacing w:line="440" w:lineRule="exact"/>
        <w:rPr>
          <w:color w:val="auto"/>
        </w:rPr>
      </w:pPr>
      <w:r>
        <w:rPr>
          <w:color w:val="auto"/>
        </w:rPr>
        <w:t>　　</w:t>
      </w:r>
    </w:p>
    <w:p>
      <w:pPr>
        <w:spacing w:line="440" w:lineRule="exact"/>
        <w:rPr>
          <w:color w:val="auto"/>
        </w:rPr>
      </w:pPr>
      <w:r>
        <w:rPr>
          <w:color w:val="auto"/>
        </w:rPr>
        <w:t xml:space="preserve">    1.</w:t>
      </w:r>
    </w:p>
    <w:p>
      <w:pPr>
        <w:spacing w:line="440" w:lineRule="exact"/>
        <w:rPr>
          <w:color w:val="auto"/>
        </w:rPr>
      </w:pPr>
      <w:r>
        <w:rPr>
          <w:color w:val="auto"/>
        </w:rPr>
        <w:t xml:space="preserve">    2.</w:t>
      </w:r>
    </w:p>
    <w:p>
      <w:pPr>
        <w:spacing w:line="440" w:lineRule="exact"/>
        <w:rPr>
          <w:color w:val="auto"/>
        </w:rPr>
      </w:pPr>
      <w:r>
        <w:rPr>
          <w:color w:val="auto"/>
        </w:rPr>
        <w:t xml:space="preserve">     ......   </w:t>
      </w:r>
    </w:p>
    <w:p>
      <w:pPr>
        <w:spacing w:line="440" w:lineRule="exact"/>
        <w:rPr>
          <w:color w:val="auto"/>
        </w:rPr>
      </w:pPr>
      <w:r>
        <w:rPr>
          <w:color w:val="auto"/>
        </w:rPr>
        <w:t>　　　</w:t>
      </w:r>
    </w:p>
    <w:p>
      <w:pPr>
        <w:spacing w:line="440" w:lineRule="exact"/>
        <w:rPr>
          <w:color w:val="auto"/>
        </w:rPr>
      </w:pPr>
      <w:r>
        <w:rPr>
          <w:color w:val="auto"/>
        </w:rPr>
        <w:t>　　请将上述问题的澄清或说明于</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r>
        <w:rPr>
          <w:color w:val="auto"/>
          <w:u w:val="single"/>
        </w:rPr>
        <w:t xml:space="preserve">   </w:t>
      </w:r>
      <w:r>
        <w:rPr>
          <w:color w:val="auto"/>
        </w:rPr>
        <w:t>时</w:t>
      </w:r>
      <w:r>
        <w:rPr>
          <w:color w:val="auto"/>
          <w:u w:val="single"/>
        </w:rPr>
        <w:t xml:space="preserve">   </w:t>
      </w:r>
      <w:r>
        <w:rPr>
          <w:rFonts w:hint="eastAsia"/>
          <w:color w:val="auto"/>
        </w:rPr>
        <w:t>分</w:t>
      </w:r>
      <w:r>
        <w:rPr>
          <w:color w:val="auto"/>
        </w:rPr>
        <w:t>前递交至</w:t>
      </w:r>
      <w:r>
        <w:rPr>
          <w:color w:val="auto"/>
          <w:u w:val="single"/>
        </w:rPr>
        <w:t xml:space="preserve"> </w:t>
      </w:r>
      <w:r>
        <w:rPr>
          <w:rFonts w:hint="eastAsia"/>
          <w:color w:val="auto"/>
          <w:u w:val="single"/>
        </w:rPr>
        <w:t xml:space="preserve">     </w:t>
      </w:r>
      <w:r>
        <w:rPr>
          <w:color w:val="auto"/>
        </w:rPr>
        <w:t>（详细地址）或传真至</w:t>
      </w:r>
      <w:r>
        <w:rPr>
          <w:color w:val="auto"/>
          <w:u w:val="single"/>
        </w:rPr>
        <w:t xml:space="preserve">       </w:t>
      </w:r>
      <w:r>
        <w:rPr>
          <w:color w:val="auto"/>
        </w:rPr>
        <w:t>（传真号码）或通过下载招标文件的电子招标交易平台上传。采用传真方式的，应在</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r>
        <w:rPr>
          <w:color w:val="auto"/>
          <w:u w:val="single"/>
        </w:rPr>
        <w:t xml:space="preserve">   </w:t>
      </w:r>
      <w:r>
        <w:rPr>
          <w:color w:val="auto"/>
        </w:rPr>
        <w:t>时</w:t>
      </w:r>
      <w:r>
        <w:rPr>
          <w:color w:val="auto"/>
          <w:u w:val="single"/>
        </w:rPr>
        <w:t xml:space="preserve">   </w:t>
      </w:r>
      <w:r>
        <w:rPr>
          <w:rFonts w:hint="eastAsia"/>
          <w:color w:val="auto"/>
        </w:rPr>
        <w:t>分</w:t>
      </w:r>
      <w:r>
        <w:rPr>
          <w:color w:val="auto"/>
        </w:rPr>
        <w:t>前将原件递交至</w:t>
      </w:r>
      <w:r>
        <w:rPr>
          <w:color w:val="auto"/>
          <w:u w:val="single"/>
        </w:rPr>
        <w:t xml:space="preserve">        </w:t>
      </w:r>
      <w:r>
        <w:rPr>
          <w:color w:val="auto"/>
        </w:rPr>
        <w:t>（详细地址）。</w:t>
      </w:r>
    </w:p>
    <w:p>
      <w:pPr>
        <w:spacing w:line="440" w:lineRule="exact"/>
        <w:rPr>
          <w:color w:val="auto"/>
        </w:rPr>
      </w:pPr>
    </w:p>
    <w:p>
      <w:pPr>
        <w:spacing w:line="440" w:lineRule="exact"/>
        <w:rPr>
          <w:color w:val="auto"/>
        </w:rPr>
      </w:pPr>
    </w:p>
    <w:p>
      <w:pPr>
        <w:wordWrap w:val="0"/>
        <w:spacing w:line="440" w:lineRule="exact"/>
        <w:jc w:val="right"/>
        <w:rPr>
          <w:color w:val="auto"/>
          <w:u w:val="single"/>
        </w:rPr>
      </w:pPr>
      <w:r>
        <w:rPr>
          <w:color w:val="auto"/>
        </w:rPr>
        <w:t>评标委员会授权的招标人或招标代理机构：</w:t>
      </w:r>
      <w:r>
        <w:rPr>
          <w:rFonts w:eastAsia="黑体"/>
          <w:color w:val="auto"/>
          <w:u w:val="single"/>
        </w:rPr>
        <w:t xml:space="preserve">    </w:t>
      </w:r>
      <w:r>
        <w:rPr>
          <w:rFonts w:hint="eastAsia" w:eastAsia="黑体"/>
          <w:color w:val="auto"/>
          <w:u w:val="single"/>
        </w:rPr>
        <w:t xml:space="preserve">  </w:t>
      </w:r>
      <w:r>
        <w:rPr>
          <w:rFonts w:eastAsia="黑体"/>
          <w:color w:val="auto"/>
          <w:u w:val="single"/>
        </w:rPr>
        <w:t xml:space="preserve">  </w:t>
      </w:r>
      <w:r>
        <w:rPr>
          <w:color w:val="auto"/>
        </w:rPr>
        <w:t>（签字或盖单位章）</w:t>
      </w:r>
    </w:p>
    <w:p>
      <w:pPr>
        <w:spacing w:line="440" w:lineRule="exact"/>
        <w:rPr>
          <w:color w:val="auto"/>
        </w:rPr>
      </w:pPr>
      <w:r>
        <w:rPr>
          <w:color w:val="auto"/>
        </w:rPr>
        <w:t xml:space="preserve">                                                </w:t>
      </w:r>
    </w:p>
    <w:p>
      <w:pPr>
        <w:spacing w:line="440" w:lineRule="exact"/>
        <w:ind w:right="480"/>
        <w:jc w:val="center"/>
        <w:rPr>
          <w:color w:val="auto"/>
        </w:rPr>
      </w:pPr>
      <w:r>
        <w:rPr>
          <w:color w:val="auto"/>
        </w:rPr>
        <w:t xml:space="preserve">                                    </w:t>
      </w:r>
      <w:r>
        <w:rPr>
          <w:rFonts w:hint="eastAsia"/>
          <w:color w:val="auto"/>
          <w:lang w:val="en-US"/>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pStyle w:val="3"/>
        <w:spacing w:before="0" w:after="0" w:line="240" w:lineRule="atLeast"/>
        <w:rPr>
          <w:rFonts w:hint="eastAsia" w:ascii="宋体" w:hAnsi="宋体" w:cs="宋体"/>
          <w:b w:val="0"/>
          <w:sz w:val="24"/>
          <w:szCs w:val="24"/>
        </w:rPr>
      </w:pPr>
      <w:r>
        <w:rPr>
          <w:sz w:val="24"/>
        </w:rPr>
        <w:br w:type="page"/>
      </w:r>
      <w:bookmarkStart w:id="65" w:name="_Toc503235801"/>
      <w:bookmarkStart w:id="66" w:name="_Toc508984328"/>
      <w:bookmarkStart w:id="67" w:name="_Toc501257121"/>
      <w:bookmarkStart w:id="68" w:name="_Toc508984129"/>
      <w:r>
        <w:rPr>
          <w:rFonts w:hint="eastAsia" w:ascii="宋体" w:hAnsi="宋体" w:cs="宋体"/>
          <w:b w:val="0"/>
          <w:sz w:val="24"/>
          <w:szCs w:val="24"/>
        </w:rPr>
        <w:t>附件三：问题的澄清</w:t>
      </w:r>
      <w:bookmarkEnd w:id="65"/>
      <w:bookmarkEnd w:id="66"/>
      <w:bookmarkEnd w:id="67"/>
      <w:bookmarkEnd w:id="68"/>
    </w:p>
    <w:p>
      <w:pPr>
        <w:spacing w:line="440" w:lineRule="exact"/>
        <w:jc w:val="center"/>
        <w:rPr>
          <w:rFonts w:hint="eastAsia" w:ascii="宋体" w:hAnsi="宋体" w:cs="宋体"/>
          <w:color w:val="auto"/>
          <w:sz w:val="28"/>
          <w:szCs w:val="28"/>
        </w:rPr>
      </w:pPr>
      <w:r>
        <w:rPr>
          <w:rFonts w:hint="eastAsia" w:ascii="宋体" w:hAnsi="宋体" w:cs="宋体"/>
          <w:color w:val="auto"/>
          <w:sz w:val="28"/>
          <w:szCs w:val="28"/>
        </w:rPr>
        <w:t>问题的澄清</w:t>
      </w:r>
    </w:p>
    <w:p>
      <w:pPr>
        <w:spacing w:line="440" w:lineRule="exact"/>
        <w:jc w:val="center"/>
        <w:rPr>
          <w:rFonts w:hint="eastAsia" w:ascii="宋体" w:hAnsi="宋体" w:cs="宋体"/>
          <w:color w:val="auto"/>
        </w:rPr>
      </w:pPr>
      <w:r>
        <w:rPr>
          <w:rFonts w:hint="eastAsia" w:ascii="宋体" w:hAnsi="宋体" w:cs="宋体"/>
          <w:color w:val="auto"/>
        </w:rPr>
        <w:t>（编号：</w:t>
      </w:r>
      <w:r>
        <w:rPr>
          <w:rFonts w:hint="eastAsia" w:ascii="宋体" w:hAnsi="宋体" w:cs="宋体"/>
          <w:color w:val="auto"/>
          <w:sz w:val="28"/>
          <w:u w:val="single"/>
        </w:rPr>
        <w:t xml:space="preserve">           </w:t>
      </w:r>
      <w:r>
        <w:rPr>
          <w:rFonts w:hint="eastAsia" w:ascii="宋体" w:hAnsi="宋体" w:cs="宋体"/>
          <w:color w:val="auto"/>
        </w:rPr>
        <w:t>）</w:t>
      </w:r>
    </w:p>
    <w:p>
      <w:pPr>
        <w:spacing w:line="440" w:lineRule="exact"/>
        <w:rPr>
          <w:color w:val="auto"/>
        </w:rPr>
      </w:pPr>
    </w:p>
    <w:p>
      <w:pPr>
        <w:spacing w:line="440" w:lineRule="exact"/>
        <w:rPr>
          <w:color w:val="auto"/>
        </w:rPr>
      </w:pPr>
      <w:r>
        <w:rPr>
          <w:color w:val="auto"/>
          <w:u w:val="single"/>
        </w:rPr>
        <w:t xml:space="preserve">           （项目名称）      </w:t>
      </w:r>
      <w:r>
        <w:rPr>
          <w:rFonts w:hint="eastAsia"/>
          <w:color w:val="auto"/>
          <w:u w:val="single"/>
        </w:rPr>
        <w:t>标类（或标段）</w:t>
      </w:r>
      <w:r>
        <w:rPr>
          <w:color w:val="auto"/>
          <w:u w:val="single"/>
        </w:rPr>
        <w:t>勘察设计</w:t>
      </w:r>
      <w:r>
        <w:rPr>
          <w:color w:val="auto"/>
        </w:rPr>
        <w:t>招标评标委员会：</w:t>
      </w:r>
    </w:p>
    <w:p>
      <w:pPr>
        <w:spacing w:line="440" w:lineRule="exact"/>
        <w:rPr>
          <w:color w:val="auto"/>
        </w:rPr>
      </w:pPr>
    </w:p>
    <w:p>
      <w:pPr>
        <w:spacing w:line="440" w:lineRule="exact"/>
        <w:rPr>
          <w:color w:val="auto"/>
        </w:rPr>
      </w:pPr>
    </w:p>
    <w:p>
      <w:pPr>
        <w:spacing w:line="440" w:lineRule="exact"/>
        <w:ind w:firstLine="480" w:firstLineChars="200"/>
        <w:rPr>
          <w:color w:val="auto"/>
        </w:rPr>
      </w:pPr>
      <w:r>
        <w:rPr>
          <w:color w:val="auto"/>
        </w:rPr>
        <w:t>问题澄清通知（编号：</w:t>
      </w:r>
      <w:r>
        <w:rPr>
          <w:color w:val="auto"/>
          <w:u w:val="single"/>
        </w:rPr>
        <w:t xml:space="preserve">        </w:t>
      </w:r>
      <w:r>
        <w:rPr>
          <w:color w:val="auto"/>
        </w:rPr>
        <w:t>）已收悉，现澄清</w:t>
      </w:r>
      <w:r>
        <w:rPr>
          <w:rFonts w:hint="eastAsia"/>
          <w:color w:val="auto"/>
        </w:rPr>
        <w:t>、</w:t>
      </w:r>
      <w:r>
        <w:rPr>
          <w:color w:val="auto"/>
        </w:rPr>
        <w:t>说明如下：</w:t>
      </w:r>
    </w:p>
    <w:p>
      <w:pPr>
        <w:spacing w:line="440" w:lineRule="exact"/>
        <w:rPr>
          <w:color w:val="auto"/>
        </w:rPr>
      </w:pPr>
      <w:r>
        <w:rPr>
          <w:color w:val="auto"/>
        </w:rPr>
        <w:t>　     1.</w:t>
      </w:r>
    </w:p>
    <w:p>
      <w:pPr>
        <w:spacing w:line="440" w:lineRule="exact"/>
        <w:rPr>
          <w:color w:val="auto"/>
        </w:rPr>
      </w:pPr>
      <w:r>
        <w:rPr>
          <w:color w:val="auto"/>
        </w:rPr>
        <w:t>　     2.</w:t>
      </w:r>
    </w:p>
    <w:p>
      <w:pPr>
        <w:spacing w:line="440" w:lineRule="exact"/>
        <w:rPr>
          <w:color w:val="auto"/>
        </w:rPr>
      </w:pPr>
      <w:r>
        <w:rPr>
          <w:color w:val="auto"/>
        </w:rPr>
        <w:t xml:space="preserve">　   </w:t>
      </w:r>
    </w:p>
    <w:p>
      <w:pPr>
        <w:spacing w:line="440" w:lineRule="exact"/>
        <w:rPr>
          <w:color w:val="auto"/>
        </w:rPr>
      </w:pPr>
      <w:r>
        <w:rPr>
          <w:color w:val="auto"/>
        </w:rPr>
        <w:t>　    .....</w:t>
      </w:r>
    </w:p>
    <w:p>
      <w:pPr>
        <w:spacing w:line="440" w:lineRule="exact"/>
        <w:rPr>
          <w:color w:val="auto"/>
        </w:rPr>
      </w:pPr>
      <w:r>
        <w:rPr>
          <w:color w:val="auto"/>
        </w:rPr>
        <w:t xml:space="preserve">                       </w:t>
      </w:r>
    </w:p>
    <w:p>
      <w:pPr>
        <w:spacing w:line="440" w:lineRule="exact"/>
        <w:rPr>
          <w:color w:val="auto"/>
        </w:rPr>
      </w:pPr>
      <w:r>
        <w:rPr>
          <w:color w:val="auto"/>
        </w:rPr>
        <w:t xml:space="preserve">　 </w:t>
      </w:r>
    </w:p>
    <w:p>
      <w:pPr>
        <w:spacing w:line="440" w:lineRule="exact"/>
        <w:rPr>
          <w:color w:val="auto"/>
        </w:rPr>
      </w:pPr>
    </w:p>
    <w:p>
      <w:pPr>
        <w:spacing w:line="440" w:lineRule="exact"/>
        <w:ind w:firstLine="480" w:firstLineChars="200"/>
        <w:rPr>
          <w:color w:val="auto"/>
        </w:rPr>
      </w:pPr>
      <w:r>
        <w:rPr>
          <w:color w:val="auto"/>
        </w:rPr>
        <w:t>上述问题澄清</w:t>
      </w:r>
      <w:r>
        <w:rPr>
          <w:rFonts w:hint="eastAsia"/>
          <w:color w:val="auto"/>
        </w:rPr>
        <w:t>或</w:t>
      </w:r>
      <w:r>
        <w:rPr>
          <w:color w:val="auto"/>
        </w:rPr>
        <w:t>说明，不改变我方投标文件的实质性内容，构成我方投标文件的组成部分。</w:t>
      </w:r>
    </w:p>
    <w:p>
      <w:pPr>
        <w:spacing w:line="440" w:lineRule="exact"/>
        <w:rPr>
          <w:color w:val="auto"/>
        </w:rPr>
      </w:pPr>
    </w:p>
    <w:p>
      <w:pPr>
        <w:spacing w:line="440" w:lineRule="exact"/>
        <w:rPr>
          <w:color w:val="auto"/>
        </w:rPr>
      </w:pPr>
    </w:p>
    <w:p>
      <w:pPr>
        <w:spacing w:line="440" w:lineRule="exact"/>
        <w:rPr>
          <w:color w:val="auto"/>
        </w:rPr>
      </w:pPr>
      <w:r>
        <w:rPr>
          <w:color w:val="auto"/>
        </w:rPr>
        <w:t>　　　　　　　　　　　　　　　投标人：</w:t>
      </w:r>
      <w:r>
        <w:rPr>
          <w:color w:val="auto"/>
          <w:u w:val="single"/>
        </w:rPr>
        <w:t xml:space="preserve">              </w:t>
      </w:r>
      <w:r>
        <w:rPr>
          <w:rFonts w:hint="eastAsia"/>
          <w:color w:val="auto"/>
          <w:u w:val="single"/>
        </w:rPr>
        <w:t xml:space="preserve">  </w:t>
      </w:r>
      <w:r>
        <w:rPr>
          <w:color w:val="auto"/>
          <w:u w:val="single"/>
        </w:rPr>
        <w:t xml:space="preserve">      </w:t>
      </w:r>
      <w:r>
        <w:rPr>
          <w:color w:val="auto"/>
        </w:rPr>
        <w:t>（盖单位章）</w:t>
      </w:r>
      <w:r>
        <w:rPr>
          <w:color w:val="auto"/>
          <w:vertAlign w:val="superscript"/>
        </w:rPr>
        <w:footnoteReference w:id="58"/>
      </w:r>
    </w:p>
    <w:p>
      <w:pPr>
        <w:spacing w:line="440" w:lineRule="exact"/>
        <w:rPr>
          <w:color w:val="auto"/>
        </w:rPr>
      </w:pPr>
      <w:r>
        <w:rPr>
          <w:color w:val="auto"/>
        </w:rPr>
        <w:t>　　　　　　　　　　　　　　　法定代表人或其委托代理人：</w:t>
      </w:r>
      <w:r>
        <w:rPr>
          <w:color w:val="auto"/>
          <w:u w:val="single"/>
        </w:rPr>
        <w:t xml:space="preserve">          </w:t>
      </w:r>
      <w:r>
        <w:rPr>
          <w:color w:val="auto"/>
        </w:rPr>
        <w:t>（签字）</w:t>
      </w:r>
    </w:p>
    <w:p>
      <w:pPr>
        <w:spacing w:line="440" w:lineRule="exact"/>
        <w:rPr>
          <w:color w:val="auto"/>
        </w:rPr>
      </w:pPr>
      <w:r>
        <w:rPr>
          <w:color w:val="auto"/>
        </w:rPr>
        <w:t>　　　　　　　　　　　　　　　</w:t>
      </w:r>
    </w:p>
    <w:p>
      <w:pPr>
        <w:spacing w:line="440" w:lineRule="exact"/>
        <w:rPr>
          <w:color w:val="auto"/>
        </w:rPr>
      </w:pPr>
      <w:r>
        <w:rPr>
          <w:color w:val="auto"/>
        </w:rPr>
        <w:t xml:space="preserve">　　　　　　　　　　　　　　　       </w:t>
      </w:r>
      <w:r>
        <w:rPr>
          <w:rFonts w:hint="eastAsia"/>
          <w:color w:val="auto"/>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pStyle w:val="3"/>
        <w:spacing w:before="0" w:after="0" w:line="240" w:lineRule="atLeast"/>
        <w:rPr>
          <w:rFonts w:hint="eastAsia" w:ascii="宋体" w:hAnsi="宋体" w:cs="宋体"/>
          <w:b w:val="0"/>
          <w:sz w:val="24"/>
          <w:szCs w:val="24"/>
        </w:rPr>
      </w:pPr>
      <w:r>
        <w:rPr>
          <w:sz w:val="20"/>
          <w:szCs w:val="20"/>
        </w:rPr>
        <w:br w:type="page"/>
      </w:r>
      <w:bookmarkStart w:id="69" w:name="_Toc508984329"/>
      <w:bookmarkStart w:id="70" w:name="_Toc508984130"/>
      <w:bookmarkStart w:id="71" w:name="_Toc503235802"/>
      <w:bookmarkStart w:id="72" w:name="_Toc501257122"/>
      <w:r>
        <w:rPr>
          <w:rFonts w:hint="eastAsia" w:ascii="宋体" w:hAnsi="宋体" w:cs="宋体"/>
          <w:b w:val="0"/>
          <w:sz w:val="24"/>
          <w:szCs w:val="24"/>
        </w:rPr>
        <w:t>附件四：中标通知书</w:t>
      </w:r>
      <w:bookmarkEnd w:id="69"/>
      <w:bookmarkEnd w:id="70"/>
      <w:bookmarkEnd w:id="71"/>
      <w:bookmarkEnd w:id="72"/>
    </w:p>
    <w:p>
      <w:pPr>
        <w:spacing w:line="440" w:lineRule="exact"/>
        <w:ind w:firstLine="3640" w:firstLineChars="1300"/>
        <w:rPr>
          <w:rFonts w:hint="eastAsia" w:ascii="宋体" w:hAnsi="宋体" w:cs="宋体"/>
          <w:color w:val="auto"/>
          <w:sz w:val="28"/>
          <w:szCs w:val="28"/>
        </w:rPr>
      </w:pPr>
    </w:p>
    <w:p>
      <w:pPr>
        <w:spacing w:line="440" w:lineRule="exact"/>
        <w:ind w:firstLine="3640" w:firstLineChars="1300"/>
        <w:rPr>
          <w:rFonts w:hint="eastAsia" w:ascii="宋体" w:hAnsi="宋体" w:cs="宋体"/>
          <w:color w:val="auto"/>
          <w:sz w:val="28"/>
          <w:szCs w:val="28"/>
        </w:rPr>
      </w:pPr>
      <w:r>
        <w:rPr>
          <w:rFonts w:hint="eastAsia" w:ascii="宋体" w:hAnsi="宋体" w:cs="宋体"/>
          <w:color w:val="auto"/>
          <w:sz w:val="28"/>
          <w:szCs w:val="28"/>
        </w:rPr>
        <w:t xml:space="preserve">中标通知书 </w:t>
      </w:r>
    </w:p>
    <w:p>
      <w:pPr>
        <w:spacing w:line="440" w:lineRule="exact"/>
        <w:rPr>
          <w:rFonts w:eastAsia="黑体"/>
          <w:color w:val="auto"/>
          <w:sz w:val="20"/>
          <w:szCs w:val="20"/>
        </w:rPr>
      </w:pPr>
      <w:r>
        <w:rPr>
          <w:rFonts w:eastAsia="黑体"/>
          <w:color w:val="auto"/>
          <w:sz w:val="20"/>
          <w:szCs w:val="20"/>
        </w:rPr>
        <w:t xml:space="preserve">                              </w:t>
      </w:r>
    </w:p>
    <w:p>
      <w:pPr>
        <w:spacing w:line="440" w:lineRule="exact"/>
        <w:jc w:val="center"/>
        <w:rPr>
          <w:color w:val="auto"/>
        </w:rPr>
      </w:pPr>
      <w:r>
        <w:rPr>
          <w:rFonts w:hint="eastAsia" w:ascii="宋体" w:hAnsi="宋体"/>
          <w:color w:val="auto"/>
        </w:rPr>
        <w:t>采用</w:t>
      </w:r>
      <w:r>
        <w:rPr>
          <w:rFonts w:ascii="宋体" w:hAnsi="宋体"/>
          <w:color w:val="auto"/>
          <w:u w:val="single"/>
        </w:rPr>
        <w:t xml:space="preserve">     </w:t>
      </w:r>
      <w:r>
        <w:rPr>
          <w:rFonts w:hint="eastAsia" w:ascii="宋体" w:hAnsi="宋体"/>
          <w:color w:val="auto"/>
        </w:rPr>
        <w:t>公共资源交易中心或其它符合规定的格式</w:t>
      </w:r>
    </w:p>
    <w:p>
      <w:pPr>
        <w:spacing w:line="440" w:lineRule="exact"/>
        <w:rPr>
          <w:rFonts w:eastAsia="黑体"/>
          <w:color w:val="auto"/>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widowControl/>
        <w:rPr>
          <w:color w:val="auto"/>
          <w:sz w:val="20"/>
          <w:szCs w:val="20"/>
        </w:rPr>
      </w:pPr>
      <w:r>
        <w:rPr>
          <w:color w:val="auto"/>
          <w:sz w:val="20"/>
          <w:szCs w:val="20"/>
        </w:rPr>
        <w:br w:type="page"/>
      </w:r>
    </w:p>
    <w:p>
      <w:pPr>
        <w:pStyle w:val="3"/>
        <w:spacing w:before="0" w:after="0" w:line="240" w:lineRule="atLeast"/>
        <w:rPr>
          <w:rFonts w:hint="eastAsia" w:ascii="宋体" w:hAnsi="宋体" w:cs="宋体"/>
          <w:b w:val="0"/>
          <w:sz w:val="24"/>
          <w:szCs w:val="24"/>
        </w:rPr>
      </w:pPr>
      <w:bookmarkStart w:id="73" w:name="_Toc503235803"/>
      <w:bookmarkStart w:id="74" w:name="_Toc501257123"/>
      <w:bookmarkStart w:id="75" w:name="_Toc508984131"/>
      <w:bookmarkStart w:id="76" w:name="_Toc508984330"/>
      <w:r>
        <w:rPr>
          <w:rFonts w:hint="eastAsia" w:ascii="宋体" w:hAnsi="宋体" w:cs="宋体"/>
          <w:b w:val="0"/>
          <w:sz w:val="24"/>
          <w:szCs w:val="24"/>
        </w:rPr>
        <w:t>附件五：中标结果通知书</w:t>
      </w:r>
      <w:bookmarkEnd w:id="73"/>
      <w:bookmarkEnd w:id="74"/>
      <w:bookmarkEnd w:id="75"/>
      <w:bookmarkEnd w:id="76"/>
    </w:p>
    <w:p>
      <w:pPr>
        <w:spacing w:line="440" w:lineRule="exact"/>
        <w:jc w:val="center"/>
        <w:rPr>
          <w:rFonts w:hint="eastAsia" w:ascii="宋体" w:hAnsi="宋体" w:cs="宋体"/>
          <w:color w:val="auto"/>
          <w:sz w:val="28"/>
          <w:szCs w:val="28"/>
        </w:rPr>
      </w:pPr>
      <w:r>
        <w:rPr>
          <w:rFonts w:hint="eastAsia" w:ascii="宋体" w:hAnsi="宋体" w:cs="宋体"/>
          <w:color w:val="auto"/>
          <w:sz w:val="28"/>
          <w:szCs w:val="28"/>
        </w:rPr>
        <w:t>中标结果通知书</w:t>
      </w:r>
    </w:p>
    <w:p>
      <w:pPr>
        <w:spacing w:line="440" w:lineRule="exact"/>
        <w:rPr>
          <w:color w:val="auto"/>
          <w:sz w:val="20"/>
          <w:szCs w:val="20"/>
        </w:rPr>
      </w:pPr>
    </w:p>
    <w:p>
      <w:pPr>
        <w:spacing w:line="440" w:lineRule="exact"/>
        <w:rPr>
          <w:color w:val="auto"/>
        </w:rPr>
      </w:pPr>
      <w:r>
        <w:rPr>
          <w:color w:val="auto"/>
        </w:rPr>
        <w:t xml:space="preserve"> </w:t>
      </w:r>
      <w:r>
        <w:rPr>
          <w:color w:val="auto"/>
          <w:u w:val="single"/>
        </w:rPr>
        <w:t xml:space="preserve">                  </w:t>
      </w:r>
      <w:r>
        <w:rPr>
          <w:color w:val="auto"/>
        </w:rPr>
        <w:t>（未中标人名称）：</w:t>
      </w:r>
    </w:p>
    <w:p>
      <w:pPr>
        <w:spacing w:line="440" w:lineRule="exact"/>
        <w:rPr>
          <w:color w:val="auto"/>
        </w:rPr>
      </w:pPr>
      <w:r>
        <w:rPr>
          <w:color w:val="auto"/>
        </w:rPr>
        <w:t xml:space="preserve">    </w:t>
      </w:r>
    </w:p>
    <w:p>
      <w:pPr>
        <w:spacing w:line="440" w:lineRule="exact"/>
        <w:rPr>
          <w:color w:val="auto"/>
        </w:rPr>
      </w:pPr>
      <w:r>
        <w:rPr>
          <w:color w:val="auto"/>
        </w:rPr>
        <w:t>　　我方已接受</w:t>
      </w:r>
      <w:r>
        <w:rPr>
          <w:color w:val="auto"/>
          <w:u w:val="single"/>
        </w:rPr>
        <w:t xml:space="preserve">                  </w:t>
      </w:r>
      <w:r>
        <w:rPr>
          <w:color w:val="auto"/>
        </w:rPr>
        <w:t xml:space="preserve"> （中标人名称）于</w:t>
      </w:r>
      <w:r>
        <w:rPr>
          <w:color w:val="auto"/>
          <w:u w:val="single"/>
        </w:rPr>
        <w:t xml:space="preserve">   </w:t>
      </w:r>
      <w:r>
        <w:rPr>
          <w:rFonts w:hint="eastAsia"/>
          <w:color w:val="auto"/>
          <w:u w:val="single"/>
        </w:rPr>
        <w:t xml:space="preserve">  </w:t>
      </w:r>
      <w:r>
        <w:rPr>
          <w:color w:val="auto"/>
          <w:u w:val="single"/>
        </w:rPr>
        <w:t xml:space="preserve">     </w:t>
      </w:r>
      <w:r>
        <w:rPr>
          <w:color w:val="auto"/>
        </w:rPr>
        <w:t>（投标日期）所递交的</w:t>
      </w:r>
      <w:r>
        <w:rPr>
          <w:color w:val="auto"/>
          <w:u w:val="single"/>
        </w:rPr>
        <w:t xml:space="preserve">     </w:t>
      </w:r>
      <w:r>
        <w:rPr>
          <w:rFonts w:hint="eastAsia"/>
          <w:color w:val="auto"/>
          <w:u w:val="single"/>
        </w:rPr>
        <w:t xml:space="preserve">    </w:t>
      </w:r>
      <w:r>
        <w:rPr>
          <w:color w:val="auto"/>
          <w:u w:val="single"/>
        </w:rPr>
        <w:t xml:space="preserve">   （项目名称）  </w:t>
      </w:r>
      <w:r>
        <w:rPr>
          <w:rFonts w:hint="eastAsia"/>
          <w:color w:val="auto"/>
          <w:u w:val="single"/>
        </w:rPr>
        <w:t xml:space="preserve"> 标类（或标段）</w:t>
      </w:r>
      <w:r>
        <w:rPr>
          <w:color w:val="auto"/>
          <w:u w:val="single"/>
        </w:rPr>
        <w:t>勘察设计</w:t>
      </w:r>
      <w:r>
        <w:rPr>
          <w:color w:val="auto"/>
        </w:rPr>
        <w:t>投标文件，确定</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（中标人名称）为中标人。</w:t>
      </w:r>
    </w:p>
    <w:p>
      <w:pPr>
        <w:spacing w:line="440" w:lineRule="exact"/>
        <w:rPr>
          <w:color w:val="auto"/>
        </w:rPr>
      </w:pPr>
      <w:r>
        <w:rPr>
          <w:color w:val="auto"/>
        </w:rPr>
        <w:t>　　</w:t>
      </w:r>
    </w:p>
    <w:p>
      <w:pPr>
        <w:spacing w:line="440" w:lineRule="exact"/>
        <w:rPr>
          <w:color w:val="auto"/>
        </w:rPr>
      </w:pPr>
      <w:r>
        <w:rPr>
          <w:color w:val="auto"/>
        </w:rPr>
        <w:t>　　感谢你单位对</w:t>
      </w:r>
      <w:r>
        <w:rPr>
          <w:rFonts w:hint="eastAsia"/>
          <w:color w:val="auto"/>
        </w:rPr>
        <w:t>招标</w:t>
      </w:r>
      <w:r>
        <w:rPr>
          <w:color w:val="auto"/>
        </w:rPr>
        <w:t>项目的参与！</w:t>
      </w:r>
    </w:p>
    <w:p>
      <w:pPr>
        <w:spacing w:line="440" w:lineRule="exact"/>
        <w:rPr>
          <w:color w:val="auto"/>
        </w:rPr>
      </w:pPr>
    </w:p>
    <w:p>
      <w:pPr>
        <w:spacing w:line="440" w:lineRule="exact"/>
        <w:rPr>
          <w:color w:val="auto"/>
        </w:rPr>
      </w:pPr>
    </w:p>
    <w:p>
      <w:pPr>
        <w:spacing w:line="440" w:lineRule="exact"/>
        <w:rPr>
          <w:color w:val="auto"/>
        </w:rPr>
      </w:pPr>
    </w:p>
    <w:p>
      <w:pPr>
        <w:spacing w:line="600" w:lineRule="atLeast"/>
        <w:ind w:firstLine="3700" w:firstLineChars="1542"/>
        <w:rPr>
          <w:color w:val="auto"/>
        </w:rPr>
      </w:pPr>
      <w:r>
        <w:rPr>
          <w:color w:val="auto"/>
        </w:rPr>
        <w:t>招标人：</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（盖单位章）            </w:t>
      </w:r>
    </w:p>
    <w:p>
      <w:pPr>
        <w:spacing w:line="600" w:lineRule="atLeast"/>
        <w:ind w:firstLine="3700" w:firstLineChars="1542"/>
        <w:rPr>
          <w:color w:val="auto"/>
        </w:rPr>
      </w:pPr>
      <w:r>
        <w:rPr>
          <w:color w:val="auto"/>
        </w:rPr>
        <w:t>招标代理机构：</w:t>
      </w:r>
      <w:r>
        <w:rPr>
          <w:color w:val="auto"/>
          <w:u w:val="single"/>
        </w:rPr>
        <w:t xml:space="preserve">                </w:t>
      </w:r>
      <w:r>
        <w:rPr>
          <w:color w:val="auto"/>
        </w:rPr>
        <w:t>（盖单位章）</w:t>
      </w:r>
    </w:p>
    <w:p>
      <w:pPr>
        <w:spacing w:line="600" w:lineRule="atLeast"/>
        <w:ind w:firstLine="5040" w:firstLineChars="2100"/>
        <w:rPr>
          <w:color w:val="auto"/>
        </w:rPr>
      </w:pP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spacing w:line="600" w:lineRule="atLeast"/>
        <w:rPr>
          <w:color w:val="auto"/>
        </w:rPr>
      </w:pPr>
    </w:p>
    <w:p>
      <w:pPr>
        <w:spacing w:line="440" w:lineRule="exact"/>
        <w:rPr>
          <w:color w:val="auto"/>
        </w:rPr>
      </w:pPr>
    </w:p>
    <w:p>
      <w:pPr>
        <w:spacing w:line="440" w:lineRule="exact"/>
        <w:rPr>
          <w:color w:val="auto"/>
        </w:rPr>
      </w:pPr>
    </w:p>
    <w:p>
      <w:pPr>
        <w:spacing w:line="440" w:lineRule="exact"/>
        <w:rPr>
          <w:color w:val="auto"/>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spacing w:line="440" w:lineRule="exact"/>
        <w:rPr>
          <w:color w:val="auto"/>
          <w:sz w:val="20"/>
          <w:szCs w:val="20"/>
        </w:rPr>
      </w:pPr>
    </w:p>
    <w:p>
      <w:pPr>
        <w:pStyle w:val="3"/>
        <w:spacing w:before="0" w:after="0" w:line="240" w:lineRule="atLeast"/>
        <w:rPr>
          <w:rFonts w:hint="eastAsia" w:ascii="宋体" w:hAnsi="宋体" w:cs="宋体"/>
          <w:b w:val="0"/>
          <w:sz w:val="24"/>
          <w:szCs w:val="24"/>
        </w:rPr>
      </w:pPr>
      <w:r>
        <w:rPr>
          <w:rFonts w:eastAsia="黑体"/>
          <w:sz w:val="20"/>
          <w:szCs w:val="20"/>
        </w:rPr>
        <w:br w:type="page"/>
      </w:r>
      <w:bookmarkStart w:id="77" w:name="_Toc508984331"/>
      <w:bookmarkStart w:id="78" w:name="_Toc503235804"/>
      <w:bookmarkStart w:id="79" w:name="_Toc501257124"/>
      <w:bookmarkStart w:id="80" w:name="_Toc508984132"/>
      <w:r>
        <w:rPr>
          <w:rFonts w:hint="eastAsia" w:ascii="宋体" w:hAnsi="宋体" w:cs="宋体"/>
          <w:b w:val="0"/>
          <w:sz w:val="24"/>
          <w:szCs w:val="24"/>
        </w:rPr>
        <w:t>附件六：确认通知</w:t>
      </w:r>
      <w:bookmarkEnd w:id="77"/>
      <w:bookmarkEnd w:id="78"/>
      <w:bookmarkEnd w:id="79"/>
      <w:bookmarkEnd w:id="80"/>
    </w:p>
    <w:p>
      <w:pPr>
        <w:spacing w:line="440" w:lineRule="exact"/>
        <w:jc w:val="center"/>
        <w:rPr>
          <w:rFonts w:hint="eastAsia" w:ascii="宋体" w:hAnsi="宋体" w:cs="宋体"/>
          <w:color w:val="auto"/>
          <w:sz w:val="28"/>
          <w:szCs w:val="28"/>
        </w:rPr>
      </w:pPr>
      <w:r>
        <w:rPr>
          <w:rFonts w:hint="eastAsia" w:ascii="宋体" w:hAnsi="宋体" w:cs="宋体"/>
          <w:color w:val="auto"/>
          <w:sz w:val="28"/>
          <w:szCs w:val="28"/>
        </w:rPr>
        <w:t>确 认 通 知</w:t>
      </w:r>
    </w:p>
    <w:p>
      <w:pPr>
        <w:spacing w:line="440" w:lineRule="exact"/>
        <w:rPr>
          <w:color w:val="auto"/>
          <w:sz w:val="20"/>
          <w:szCs w:val="20"/>
        </w:rPr>
      </w:pPr>
    </w:p>
    <w:p>
      <w:pPr>
        <w:spacing w:line="440" w:lineRule="exact"/>
        <w:rPr>
          <w:color w:val="auto"/>
        </w:rPr>
      </w:pPr>
      <w:r>
        <w:rPr>
          <w:color w:val="auto"/>
          <w:u w:val="single"/>
        </w:rPr>
        <w:t xml:space="preserve">            </w:t>
      </w:r>
      <w:r>
        <w:rPr>
          <w:color w:val="auto"/>
        </w:rPr>
        <w:t>（招标人名称）：</w:t>
      </w:r>
    </w:p>
    <w:p>
      <w:pPr>
        <w:spacing w:line="540" w:lineRule="exact"/>
        <w:rPr>
          <w:color w:val="auto"/>
        </w:rPr>
      </w:pPr>
      <w:r>
        <w:rPr>
          <w:color w:val="auto"/>
        </w:rPr>
        <w:t>　　</w:t>
      </w:r>
    </w:p>
    <w:p>
      <w:pPr>
        <w:spacing w:line="540" w:lineRule="exact"/>
        <w:rPr>
          <w:color w:val="auto"/>
        </w:rPr>
      </w:pPr>
      <w:r>
        <w:rPr>
          <w:color w:val="auto"/>
        </w:rPr>
        <w:t>　　你方于</w:t>
      </w:r>
      <w:r>
        <w:rPr>
          <w:color w:val="auto"/>
          <w:u w:val="single"/>
        </w:rPr>
        <w:t xml:space="preserve">  </w:t>
      </w:r>
      <w:r>
        <w:rPr>
          <w:rFonts w:hint="eastAsia"/>
          <w:color w:val="auto"/>
          <w:u w:val="single"/>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日发出的</w:t>
      </w:r>
      <w:r>
        <w:rPr>
          <w:color w:val="auto"/>
          <w:u w:val="single"/>
        </w:rPr>
        <w:t xml:space="preserve">     </w:t>
      </w:r>
      <w:r>
        <w:rPr>
          <w:rFonts w:hint="eastAsia"/>
          <w:color w:val="auto"/>
          <w:u w:val="single"/>
        </w:rPr>
        <w:t xml:space="preserve"> </w:t>
      </w:r>
      <w:r>
        <w:rPr>
          <w:color w:val="auto"/>
          <w:u w:val="single"/>
        </w:rPr>
        <w:t xml:space="preserve">   （项目名称）   </w:t>
      </w:r>
      <w:r>
        <w:rPr>
          <w:rFonts w:hint="eastAsia"/>
          <w:color w:val="auto"/>
          <w:u w:val="single"/>
        </w:rPr>
        <w:t xml:space="preserve"> </w:t>
      </w:r>
      <w:r>
        <w:rPr>
          <w:color w:val="auto"/>
          <w:u w:val="single"/>
        </w:rPr>
        <w:t xml:space="preserve"> </w:t>
      </w:r>
      <w:r>
        <w:rPr>
          <w:rFonts w:hint="eastAsia"/>
          <w:color w:val="auto"/>
          <w:u w:val="single"/>
        </w:rPr>
        <w:t>标类（或标段）</w:t>
      </w:r>
      <w:r>
        <w:rPr>
          <w:color w:val="auto"/>
          <w:u w:val="single"/>
        </w:rPr>
        <w:t>勘察设计</w:t>
      </w:r>
      <w:r>
        <w:rPr>
          <w:color w:val="auto"/>
        </w:rPr>
        <w:t>招标关于</w:t>
      </w:r>
      <w:r>
        <w:rPr>
          <w:rFonts w:hint="eastAsia"/>
          <w:color w:val="auto"/>
        </w:rPr>
        <w:t>招标文件澄清</w:t>
      </w:r>
      <w:r>
        <w:rPr>
          <w:color w:val="auto"/>
        </w:rPr>
        <w:t>/</w:t>
      </w:r>
      <w:r>
        <w:rPr>
          <w:rFonts w:hint="eastAsia"/>
          <w:color w:val="auto"/>
        </w:rPr>
        <w:t>修改</w:t>
      </w:r>
      <w:r>
        <w:rPr>
          <w:color w:val="auto"/>
        </w:rPr>
        <w:t>的通知</w:t>
      </w:r>
      <w:r>
        <w:rPr>
          <w:rFonts w:hint="eastAsia"/>
          <w:color w:val="auto"/>
        </w:rPr>
        <w:t>（第</w:t>
      </w:r>
      <w:r>
        <w:rPr>
          <w:color w:val="auto"/>
          <w:u w:val="single"/>
        </w:rPr>
        <w:t xml:space="preserve">    </w:t>
      </w:r>
      <w:r>
        <w:rPr>
          <w:rFonts w:hint="eastAsia"/>
          <w:color w:val="auto"/>
        </w:rPr>
        <w:t>号补遗书，正文共</w:t>
      </w:r>
      <w:r>
        <w:rPr>
          <w:color w:val="auto"/>
          <w:u w:val="single"/>
        </w:rPr>
        <w:t xml:space="preserve">    </w:t>
      </w:r>
      <w:r>
        <w:rPr>
          <w:color w:val="auto"/>
        </w:rPr>
        <w:t>页</w:t>
      </w:r>
      <w:r>
        <w:rPr>
          <w:rFonts w:hint="eastAsia"/>
          <w:color w:val="auto"/>
        </w:rPr>
        <w:t>）</w:t>
      </w:r>
      <w:r>
        <w:rPr>
          <w:color w:val="auto"/>
        </w:rPr>
        <w:t>，我方已于</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日收到。</w:t>
      </w:r>
    </w:p>
    <w:p>
      <w:pPr>
        <w:spacing w:line="540" w:lineRule="exact"/>
        <w:rPr>
          <w:color w:val="auto"/>
        </w:rPr>
      </w:pPr>
      <w:r>
        <w:rPr>
          <w:color w:val="auto"/>
        </w:rPr>
        <w:t>　　特此确认。</w:t>
      </w:r>
    </w:p>
    <w:p>
      <w:pPr>
        <w:spacing w:line="440" w:lineRule="exact"/>
        <w:rPr>
          <w:color w:val="auto"/>
        </w:rPr>
      </w:pPr>
    </w:p>
    <w:p>
      <w:pPr>
        <w:spacing w:line="440" w:lineRule="exact"/>
        <w:rPr>
          <w:color w:val="auto"/>
        </w:rPr>
      </w:pPr>
    </w:p>
    <w:p>
      <w:pPr>
        <w:spacing w:line="440" w:lineRule="exact"/>
        <w:rPr>
          <w:color w:val="auto"/>
        </w:rPr>
      </w:pPr>
    </w:p>
    <w:p>
      <w:pPr>
        <w:spacing w:line="440" w:lineRule="exact"/>
        <w:rPr>
          <w:color w:val="auto"/>
        </w:rPr>
      </w:pPr>
      <w:r>
        <w:rPr>
          <w:color w:val="auto"/>
        </w:rPr>
        <w:t xml:space="preserve">                              投标人：</w:t>
      </w:r>
      <w:r>
        <w:rPr>
          <w:color w:val="auto"/>
          <w:u w:val="single"/>
        </w:rPr>
        <w:t xml:space="preserve">           </w:t>
      </w:r>
      <w:r>
        <w:rPr>
          <w:rFonts w:hint="eastAsia"/>
          <w:color w:val="auto"/>
          <w:u w:val="single"/>
        </w:rPr>
        <w:t xml:space="preserve">         </w:t>
      </w:r>
      <w:r>
        <w:rPr>
          <w:color w:val="auto"/>
          <w:u w:val="single"/>
        </w:rPr>
        <w:t xml:space="preserve">  </w:t>
      </w:r>
      <w:r>
        <w:rPr>
          <w:color w:val="auto"/>
        </w:rPr>
        <w:t>（盖单位章）</w:t>
      </w:r>
    </w:p>
    <w:p>
      <w:pPr>
        <w:spacing w:line="440" w:lineRule="exact"/>
        <w:rPr>
          <w:color w:val="auto"/>
        </w:rPr>
      </w:pPr>
    </w:p>
    <w:p>
      <w:pPr>
        <w:spacing w:line="440" w:lineRule="exact"/>
        <w:rPr>
          <w:color w:val="auto"/>
        </w:rPr>
      </w:pPr>
      <w:r>
        <w:rPr>
          <w:color w:val="auto"/>
        </w:rPr>
        <w:t xml:space="preserve">                               </w:t>
      </w:r>
      <w:r>
        <w:rPr>
          <w:rFonts w:hint="eastAsia"/>
          <w:color w:val="auto"/>
        </w:rPr>
        <w:t xml:space="preserve">   </w:t>
      </w:r>
      <w:r>
        <w:rPr>
          <w:color w:val="auto"/>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spacing w:line="440" w:lineRule="exact"/>
        <w:rPr>
          <w:color w:val="auto"/>
          <w:sz w:val="20"/>
          <w:szCs w:val="20"/>
        </w:rPr>
      </w:pPr>
    </w:p>
    <w:bookmarkEnd w:id="34"/>
    <w:bookmarkEnd w:id="35"/>
    <w:bookmarkEnd w:id="36"/>
    <w:bookmarkEnd w:id="37"/>
    <w:bookmarkEnd w:id="38"/>
    <w:bookmarkEnd w:id="39"/>
    <w:bookmarkEnd w:id="40"/>
    <w:bookmarkEnd w:id="41"/>
    <w:bookmarkEnd w:id="42"/>
    <w:bookmarkEnd w:id="43"/>
    <w:bookmarkEnd w:id="44"/>
    <w:p>
      <w:pPr>
        <w:pStyle w:val="312"/>
        <w:shd w:val="clear" w:color="auto" w:fill="auto"/>
        <w:spacing w:after="0" w:line="360" w:lineRule="auto"/>
        <w:rPr>
          <w:rStyle w:val="164"/>
          <w:rFonts w:hint="eastAsia" w:ascii="宋体" w:hAnsi="宋体" w:eastAsia="宋体"/>
        </w:rPr>
      </w:pPr>
      <w:r>
        <w:br w:type="page"/>
      </w:r>
    </w:p>
    <w:p>
      <w:pPr>
        <w:pStyle w:val="312"/>
        <w:shd w:val="clear" w:color="auto" w:fill="auto"/>
        <w:spacing w:after="0" w:line="360" w:lineRule="auto"/>
        <w:rPr>
          <w:rStyle w:val="164"/>
          <w:rFonts w:ascii="宋体" w:hAnsi="宋体" w:eastAsia="宋体"/>
        </w:rPr>
      </w:pPr>
    </w:p>
    <w:p>
      <w:pPr>
        <w:pStyle w:val="312"/>
        <w:shd w:val="clear" w:color="auto" w:fill="auto"/>
        <w:spacing w:after="0" w:line="360" w:lineRule="auto"/>
        <w:rPr>
          <w:rStyle w:val="164"/>
          <w:rFonts w:ascii="宋体" w:hAnsi="宋体" w:eastAsia="宋体"/>
        </w:rPr>
      </w:pPr>
    </w:p>
    <w:p>
      <w:pPr>
        <w:pStyle w:val="312"/>
        <w:shd w:val="clear" w:color="auto" w:fill="auto"/>
        <w:spacing w:after="0" w:line="360" w:lineRule="auto"/>
        <w:rPr>
          <w:rStyle w:val="164"/>
          <w:rFonts w:ascii="宋体" w:hAnsi="宋体" w:eastAsia="宋体"/>
        </w:rPr>
      </w:pPr>
    </w:p>
    <w:p>
      <w:pPr>
        <w:pStyle w:val="312"/>
        <w:shd w:val="clear" w:color="auto" w:fill="auto"/>
        <w:spacing w:after="0" w:line="360" w:lineRule="auto"/>
        <w:rPr>
          <w:rStyle w:val="164"/>
          <w:rFonts w:hint="eastAsia" w:ascii="宋体" w:hAnsi="宋体" w:eastAsia="宋体"/>
        </w:rPr>
      </w:pPr>
    </w:p>
    <w:p>
      <w:pPr>
        <w:pStyle w:val="312"/>
        <w:shd w:val="clear" w:color="auto" w:fill="auto"/>
        <w:spacing w:after="0" w:line="360" w:lineRule="auto"/>
        <w:rPr>
          <w:rStyle w:val="164"/>
          <w:rFonts w:hint="eastAsia" w:ascii="宋体" w:hAnsi="宋体" w:eastAsia="宋体"/>
        </w:rPr>
      </w:pPr>
    </w:p>
    <w:p>
      <w:pPr>
        <w:pStyle w:val="312"/>
        <w:shd w:val="clear" w:color="auto" w:fill="auto"/>
        <w:spacing w:after="0" w:line="360" w:lineRule="auto"/>
        <w:rPr>
          <w:rStyle w:val="164"/>
          <w:rFonts w:hint="eastAsia" w:ascii="宋体" w:hAnsi="宋体" w:eastAsia="宋体"/>
        </w:rPr>
      </w:pPr>
    </w:p>
    <w:p>
      <w:pPr>
        <w:pStyle w:val="312"/>
        <w:shd w:val="clear" w:color="auto" w:fill="auto"/>
        <w:spacing w:after="0" w:line="360" w:lineRule="auto"/>
        <w:rPr>
          <w:rStyle w:val="164"/>
          <w:rFonts w:hint="eastAsia" w:ascii="宋体" w:hAnsi="宋体" w:eastAsia="宋体"/>
        </w:rPr>
      </w:pPr>
    </w:p>
    <w:p>
      <w:pPr>
        <w:pStyle w:val="3"/>
        <w:spacing w:after="0" w:line="360" w:lineRule="auto"/>
        <w:jc w:val="center"/>
        <w:rPr>
          <w:rStyle w:val="442"/>
          <w:rFonts w:ascii="宋体" w:eastAsia="宋体"/>
          <w:sz w:val="48"/>
          <w:szCs w:val="48"/>
        </w:rPr>
      </w:pPr>
      <w:r>
        <w:rPr>
          <w:rStyle w:val="442"/>
          <w:rFonts w:hint="eastAsia" w:ascii="宋体" w:eastAsia="宋体"/>
          <w:sz w:val="48"/>
          <w:szCs w:val="48"/>
        </w:rPr>
        <w:t>第三章 评标办法</w:t>
      </w:r>
    </w:p>
    <w:p>
      <w:pPr>
        <w:pStyle w:val="3"/>
        <w:spacing w:after="0" w:line="360" w:lineRule="auto"/>
        <w:jc w:val="center"/>
        <w:rPr>
          <w:rStyle w:val="442"/>
          <w:rFonts w:ascii="宋体" w:eastAsia="宋体"/>
          <w:sz w:val="48"/>
          <w:szCs w:val="48"/>
        </w:rPr>
        <w:sectPr>
          <w:footnotePr>
            <w:numRestart w:val="eachPage"/>
          </w:footnotePr>
          <w:pgSz w:w="11900" w:h="16838"/>
          <w:pgMar w:top="1803" w:right="1440" w:bottom="1803" w:left="1440" w:header="680" w:footer="680" w:gutter="0"/>
          <w:cols w:space="720" w:num="1"/>
          <w:docGrid w:linePitch="360" w:charSpace="0"/>
        </w:sectPr>
      </w:pPr>
    </w:p>
    <w:p>
      <w:pPr>
        <w:pStyle w:val="613"/>
        <w:shd w:val="clear" w:color="auto" w:fill="auto"/>
        <w:spacing w:after="0" w:line="500" w:lineRule="exact"/>
        <w:rPr>
          <w:rStyle w:val="612"/>
          <w:rFonts w:ascii="黑体" w:hAnsi="宋体" w:eastAsia="黑体"/>
        </w:rPr>
      </w:pPr>
      <w:r>
        <w:rPr>
          <w:rStyle w:val="612"/>
          <w:rFonts w:hint="eastAsia" w:ascii="黑体" w:hAnsi="宋体" w:eastAsia="黑体"/>
          <w:sz w:val="36"/>
          <w:szCs w:val="36"/>
        </w:rPr>
        <w:t>第三章</w:t>
      </w:r>
      <w:r>
        <w:rPr>
          <w:rStyle w:val="612"/>
          <w:rFonts w:hint="eastAsia" w:ascii="黑体" w:hAnsi="宋体" w:eastAsia="黑体"/>
          <w:sz w:val="36"/>
          <w:szCs w:val="36"/>
          <w:lang w:val="en-US" w:eastAsia="zh-CN"/>
        </w:rPr>
        <w:t xml:space="preserve"> </w:t>
      </w:r>
      <w:r>
        <w:rPr>
          <w:rStyle w:val="612"/>
          <w:rFonts w:hint="eastAsia" w:ascii="黑体" w:hAnsi="宋体" w:eastAsia="黑体"/>
          <w:sz w:val="36"/>
          <w:szCs w:val="36"/>
        </w:rPr>
        <w:t>评标办法</w:t>
      </w:r>
    </w:p>
    <w:p>
      <w:pPr>
        <w:pStyle w:val="84"/>
        <w:snapToGrid w:val="0"/>
        <w:spacing w:line="360" w:lineRule="auto"/>
        <w:outlineLvl w:val="1"/>
        <w:rPr>
          <w:sz w:val="24"/>
          <w:szCs w:val="13"/>
        </w:rPr>
      </w:pPr>
      <w:r>
        <w:rPr>
          <w:rFonts w:hint="eastAsia"/>
          <w:bCs/>
          <w:sz w:val="24"/>
          <w:szCs w:val="13"/>
        </w:rPr>
        <w:t>（</w:t>
      </w:r>
      <w:r>
        <w:rPr>
          <w:rFonts w:hint="eastAsia"/>
          <w:sz w:val="24"/>
          <w:szCs w:val="13"/>
        </w:rPr>
        <w:t>双信封的</w:t>
      </w:r>
      <w:r>
        <w:rPr>
          <w:rFonts w:hint="eastAsia"/>
          <w:bCs/>
          <w:sz w:val="24"/>
          <w:szCs w:val="13"/>
          <w:lang w:val="en-US" w:eastAsia="zh-CN"/>
        </w:rPr>
        <w:t>综合评分法</w:t>
      </w:r>
      <w:r>
        <w:rPr>
          <w:rFonts w:hint="eastAsia" w:ascii="宋体" w:hAnsi="宋体" w:cs="宋体"/>
          <w:bCs/>
          <w:sz w:val="24"/>
          <w:szCs w:val="13"/>
          <w:lang w:val="en-US" w:eastAsia="zh-CN"/>
        </w:rPr>
        <w:t>Ⅰ</w:t>
      </w:r>
      <w:r>
        <w:rPr>
          <w:rFonts w:hint="eastAsia"/>
          <w:bCs/>
          <w:sz w:val="24"/>
          <w:szCs w:val="13"/>
          <w:lang w:val="en-US" w:eastAsia="zh-CN"/>
        </w:rPr>
        <w:t>，适用于勘察单独招标</w:t>
      </w:r>
      <w:r>
        <w:rPr>
          <w:rFonts w:hint="eastAsia"/>
          <w:bCs/>
          <w:sz w:val="24"/>
          <w:szCs w:val="13"/>
        </w:rPr>
        <w:t>）</w:t>
      </w:r>
    </w:p>
    <w:p>
      <w:pPr>
        <w:pStyle w:val="84"/>
        <w:snapToGrid w:val="0"/>
        <w:spacing w:line="360" w:lineRule="auto"/>
        <w:jc w:val="left"/>
        <w:outlineLvl w:val="1"/>
        <w:rPr>
          <w:b w:val="0"/>
          <w:sz w:val="24"/>
          <w:szCs w:val="13"/>
        </w:rPr>
      </w:pPr>
      <w:bookmarkStart w:id="81" w:name="bookmark104"/>
      <w:r>
        <w:rPr>
          <w:rFonts w:hint="eastAsia"/>
          <w:sz w:val="24"/>
          <w:szCs w:val="13"/>
        </w:rPr>
        <w:t>评标办法前附表</w:t>
      </w:r>
      <w:bookmarkEnd w:id="81"/>
      <w:r>
        <w:rPr>
          <w:rStyle w:val="101"/>
          <w:rFonts w:hint="eastAsia" w:ascii="宋体" w:hAnsi="宋体"/>
          <w:b w:val="0"/>
          <w:sz w:val="30"/>
          <w:szCs w:val="24"/>
          <w:lang w:val="en-US" w:eastAsia="zh-CN"/>
        </w:rPr>
        <w:footnoteReference w:id="59"/>
      </w:r>
    </w:p>
    <w:tbl>
      <w:tblPr>
        <w:tblStyle w:val="88"/>
        <w:tblW w:w="0" w:type="auto"/>
        <w:tblInd w:w="-15" w:type="dxa"/>
        <w:tblLayout w:type="fixed"/>
        <w:tblCellMar>
          <w:top w:w="0" w:type="dxa"/>
          <w:left w:w="0" w:type="dxa"/>
          <w:bottom w:w="0" w:type="dxa"/>
          <w:right w:w="0" w:type="dxa"/>
        </w:tblCellMar>
      </w:tblPr>
      <w:tblGrid>
        <w:gridCol w:w="10"/>
        <w:gridCol w:w="915"/>
        <w:gridCol w:w="1463"/>
        <w:gridCol w:w="6637"/>
      </w:tblGrid>
      <w:tr>
        <w:tblPrEx>
          <w:tblCellMar>
            <w:top w:w="0" w:type="dxa"/>
            <w:left w:w="0" w:type="dxa"/>
            <w:bottom w:w="0" w:type="dxa"/>
            <w:right w:w="0" w:type="dxa"/>
          </w:tblCellMar>
        </w:tblPrEx>
        <w:trPr>
          <w:gridBefore w:val="1"/>
          <w:wBefore w:w="10" w:type="dxa"/>
          <w:trHeight w:val="595" w:hRule="atLeast"/>
          <w:tblHeader/>
        </w:trPr>
        <w:tc>
          <w:tcPr>
            <w:tcW w:w="915" w:type="dxa"/>
            <w:tcBorders>
              <w:top w:val="single" w:color="auto" w:sz="4" w:space="0"/>
              <w:left w:val="single" w:color="auto" w:sz="4" w:space="0"/>
              <w:bottom w:val="nil"/>
              <w:right w:val="nil"/>
            </w:tcBorders>
            <w:shd w:val="clear" w:color="auto" w:fill="FFFFFF"/>
            <w:noWrap w:val="0"/>
            <w:vAlign w:val="bottom"/>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cs="MingLiU"/>
                <w:b/>
                <w:bCs/>
                <w:sz w:val="21"/>
                <w:szCs w:val="21"/>
                <w:lang w:val="en-US" w:eastAsia="zh-CN"/>
              </w:rPr>
            </w:pPr>
            <w:r>
              <w:rPr>
                <w:rStyle w:val="387"/>
                <w:rFonts w:hint="eastAsia" w:ascii="宋体" w:hAnsi="宋体" w:eastAsia="宋体"/>
                <w:b/>
                <w:bCs/>
                <w:sz w:val="21"/>
                <w:szCs w:val="21"/>
                <w:lang w:val="zh-CN" w:eastAsia="zh-CN"/>
              </w:rPr>
              <w:t>条款号</w:t>
            </w:r>
          </w:p>
        </w:tc>
        <w:tc>
          <w:tcPr>
            <w:tcW w:w="146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Style w:val="387"/>
                <w:rFonts w:hint="default" w:ascii="宋体" w:hAnsi="宋体" w:eastAsia="宋体"/>
                <w:b/>
                <w:bCs/>
                <w:sz w:val="21"/>
                <w:szCs w:val="21"/>
                <w:lang w:val="en-US" w:eastAsia="zh-CN"/>
              </w:rPr>
            </w:pPr>
            <w:r>
              <w:rPr>
                <w:rStyle w:val="387"/>
                <w:rFonts w:hint="eastAsia" w:ascii="宋体" w:hAnsi="宋体" w:eastAsia="宋体"/>
                <w:b/>
                <w:bCs/>
                <w:sz w:val="21"/>
                <w:szCs w:val="21"/>
                <w:lang w:val="en-US" w:eastAsia="zh-CN"/>
              </w:rPr>
              <w:t>条款内容</w:t>
            </w:r>
          </w:p>
        </w:tc>
        <w:tc>
          <w:tcPr>
            <w:tcW w:w="6637" w:type="dxa"/>
            <w:tcBorders>
              <w:top w:val="single" w:color="auto" w:sz="4" w:space="0"/>
              <w:left w:val="single" w:color="auto" w:sz="4" w:space="0"/>
              <w:bottom w:val="nil"/>
              <w:right w:val="single" w:color="auto" w:sz="4" w:space="0"/>
            </w:tcBorders>
            <w:shd w:val="clear" w:color="auto" w:fill="FFFFFF"/>
            <w:noWrap w:val="0"/>
            <w:vAlign w:val="bottom"/>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cs="MingLiU"/>
                <w:b/>
                <w:bCs/>
                <w:sz w:val="21"/>
                <w:szCs w:val="21"/>
                <w:lang w:val="en-US" w:eastAsia="zh-CN"/>
              </w:rPr>
            </w:pPr>
            <w:r>
              <w:rPr>
                <w:rStyle w:val="387"/>
                <w:rFonts w:hint="eastAsia" w:ascii="宋体" w:hAnsi="宋体" w:eastAsia="宋体"/>
                <w:b/>
                <w:bCs/>
                <w:sz w:val="21"/>
                <w:szCs w:val="21"/>
                <w:lang w:val="zh-CN" w:eastAsia="zh-CN"/>
              </w:rPr>
              <w:t>评审因素与评审标准</w:t>
            </w:r>
          </w:p>
        </w:tc>
      </w:tr>
      <w:tr>
        <w:tblPrEx>
          <w:tblCellMar>
            <w:top w:w="0" w:type="dxa"/>
            <w:left w:w="0" w:type="dxa"/>
            <w:bottom w:w="0" w:type="dxa"/>
            <w:right w:w="0" w:type="dxa"/>
          </w:tblCellMar>
        </w:tblPrEx>
        <w:trPr>
          <w:gridBefore w:val="1"/>
          <w:wBefore w:w="10" w:type="dxa"/>
        </w:trPr>
        <w:tc>
          <w:tcPr>
            <w:tcW w:w="915" w:type="dxa"/>
            <w:tcBorders>
              <w:top w:val="single" w:color="auto" w:sz="4" w:space="0"/>
              <w:left w:val="single" w:color="auto" w:sz="4" w:space="0"/>
              <w:bottom w:val="nil"/>
              <w:right w:val="nil"/>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cs="MingLiU"/>
                <w:sz w:val="21"/>
                <w:szCs w:val="21"/>
                <w:lang w:val="en-US" w:eastAsia="zh-CN"/>
              </w:rPr>
            </w:pPr>
            <w:r>
              <w:rPr>
                <w:rStyle w:val="387"/>
                <w:rFonts w:hint="default" w:ascii="宋体" w:hAnsi="宋体" w:eastAsia="宋体"/>
                <w:sz w:val="21"/>
                <w:szCs w:val="21"/>
                <w:lang w:val="zh-CN" w:eastAsia="zh-CN"/>
              </w:rPr>
              <w:t>1</w:t>
            </w:r>
          </w:p>
        </w:tc>
        <w:tc>
          <w:tcPr>
            <w:tcW w:w="146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cs="MingLiU"/>
                <w:sz w:val="21"/>
                <w:szCs w:val="21"/>
                <w:lang w:val="en-US" w:eastAsia="zh-CN"/>
              </w:rPr>
            </w:pPr>
            <w:r>
              <w:rPr>
                <w:rStyle w:val="387"/>
                <w:rFonts w:hint="eastAsia" w:ascii="宋体" w:hAnsi="宋体" w:eastAsia="宋体"/>
                <w:sz w:val="21"/>
                <w:szCs w:val="21"/>
                <w:lang w:val="zh-CN" w:eastAsia="zh-CN"/>
              </w:rPr>
              <w:t>评标方法</w:t>
            </w:r>
          </w:p>
        </w:tc>
        <w:tc>
          <w:tcPr>
            <w:tcW w:w="6637"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540"/>
              <w:jc w:val="both"/>
              <w:textAlignment w:val="auto"/>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综合评分相等时，评标委员会依次按照以下优先顺序推荐中标候选人或确定中标人：</w:t>
            </w:r>
          </w:p>
          <w:p>
            <w:pPr>
              <w:pStyle w:val="215"/>
              <w:keepNext w:val="0"/>
              <w:keepLines w:val="0"/>
              <w:pageBreakBefore w:val="0"/>
              <w:widowControl w:val="0"/>
              <w:suppressLineNumbers w:val="0"/>
              <w:shd w:val="clear" w:color="auto" w:fill="auto"/>
              <w:tabs>
                <w:tab w:val="left" w:pos="1050"/>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（1）评标价低的优先；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48" w:leftChars="20" w:right="48" w:rightChars="20"/>
              <w:jc w:val="both"/>
              <w:textAlignment w:val="auto"/>
              <w:rPr>
                <w:rStyle w:val="333"/>
                <w:rFonts w:hint="eastAsia" w:ascii="宋体" w:hAnsi="宋体" w:eastAsia="宋体"/>
                <w:color w:val="auto"/>
                <w:sz w:val="21"/>
                <w:szCs w:val="21"/>
              </w:rPr>
            </w:pPr>
            <w:r>
              <w:rPr>
                <w:rStyle w:val="333"/>
                <w:rFonts w:hint="eastAsia" w:ascii="宋体" w:hAnsi="宋体" w:eastAsia="宋体"/>
                <w:color w:val="auto"/>
                <w:sz w:val="21"/>
                <w:szCs w:val="21"/>
              </w:rPr>
              <w:t>（2）</w:t>
            </w:r>
            <w:r>
              <w:rPr>
                <w:rStyle w:val="333"/>
                <w:rFonts w:hint="eastAsia" w:ascii="宋体" w:hAnsi="宋体" w:eastAsia="宋体"/>
                <w:color w:val="auto"/>
                <w:sz w:val="21"/>
                <w:szCs w:val="21"/>
                <w:lang w:val="en-US"/>
              </w:rPr>
              <w:t>商务和技术得分较高的投标人</w:t>
            </w:r>
            <w:r>
              <w:rPr>
                <w:rStyle w:val="333"/>
                <w:rFonts w:hint="eastAsia" w:ascii="宋体" w:hAnsi="宋体" w:eastAsia="宋体"/>
                <w:color w:val="auto"/>
                <w:sz w:val="21"/>
                <w:szCs w:val="21"/>
              </w:rPr>
              <w:t>优先；</w:t>
            </w:r>
          </w:p>
          <w:p>
            <w:pPr>
              <w:pStyle w:val="215"/>
              <w:keepNext w:val="0"/>
              <w:keepLines w:val="0"/>
              <w:pageBreakBefore w:val="0"/>
              <w:widowControl w:val="0"/>
              <w:suppressLineNumbers w:val="0"/>
              <w:shd w:val="clear" w:color="auto" w:fill="auto"/>
              <w:tabs>
                <w:tab w:val="left" w:pos="1087"/>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w:t>
            </w:r>
            <w:r>
              <w:rPr>
                <w:rStyle w:val="333"/>
                <w:rFonts w:hint="eastAsia" w:ascii="宋体" w:hAnsi="宋体" w:eastAsia="宋体"/>
                <w:sz w:val="21"/>
                <w:szCs w:val="21"/>
                <w:lang w:val="en-US" w:eastAsia="zh-CN"/>
              </w:rPr>
              <w:t>3</w:t>
            </w:r>
            <w:r>
              <w:rPr>
                <w:rStyle w:val="333"/>
                <w:rFonts w:hint="eastAsia" w:ascii="宋体" w:hAnsi="宋体" w:eastAsia="宋体"/>
                <w:sz w:val="21"/>
                <w:szCs w:val="21"/>
                <w:lang w:val="zh-CN" w:eastAsia="zh-CN"/>
              </w:rPr>
              <w:t>）评标委员会视投标人情况综合比较，投票确定其名次。</w:t>
            </w:r>
          </w:p>
        </w:tc>
      </w:tr>
      <w:tr>
        <w:tblPrEx>
          <w:tblCellMar>
            <w:top w:w="0" w:type="dxa"/>
            <w:left w:w="0" w:type="dxa"/>
            <w:bottom w:w="0" w:type="dxa"/>
            <w:right w:w="0" w:type="dxa"/>
          </w:tblCellMar>
        </w:tblPrEx>
        <w:trPr>
          <w:gridBefore w:val="1"/>
          <w:wBefore w:w="10" w:type="dxa"/>
        </w:trPr>
        <w:tc>
          <w:tcPr>
            <w:tcW w:w="915"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eastAsia" w:ascii="宋体" w:hAnsi="宋体" w:eastAsia="宋体" w:cs="MingLiU"/>
                <w:sz w:val="21"/>
                <w:szCs w:val="21"/>
                <w:lang w:val="en-US" w:eastAsia="zh-CN"/>
              </w:rPr>
            </w:pPr>
            <w:r>
              <w:rPr>
                <w:rStyle w:val="291"/>
                <w:rFonts w:hint="eastAsia" w:ascii="宋体" w:hAnsi="宋体" w:eastAsia="宋体"/>
                <w:sz w:val="21"/>
                <w:szCs w:val="21"/>
                <w:lang w:val="en-US" w:eastAsia="zh-CN"/>
              </w:rPr>
              <w:t>2.1.1</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eastAsia" w:ascii="宋体" w:hAnsi="宋体" w:eastAsia="宋体" w:cs="MingLiU"/>
                <w:sz w:val="21"/>
                <w:szCs w:val="21"/>
                <w:lang w:val="en-US" w:eastAsia="zh-CN"/>
              </w:rPr>
            </w:pPr>
            <w:r>
              <w:rPr>
                <w:rStyle w:val="387"/>
                <w:rFonts w:hint="eastAsia" w:ascii="宋体" w:hAnsi="宋体" w:eastAsia="宋体"/>
                <w:sz w:val="21"/>
                <w:szCs w:val="21"/>
                <w:lang w:val="en-US" w:eastAsia="zh-CN"/>
              </w:rPr>
              <w:t>2.1.3</w:t>
            </w:r>
          </w:p>
        </w:tc>
        <w:tc>
          <w:tcPr>
            <w:tcW w:w="146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形式评审与响应性评审标准</w:t>
            </w:r>
          </w:p>
        </w:tc>
        <w:tc>
          <w:tcPr>
            <w:tcW w:w="6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b/>
                <w:sz w:val="21"/>
                <w:szCs w:val="21"/>
                <w:lang w:val="en-US" w:eastAsia="zh-CN"/>
              </w:rPr>
            </w:pPr>
            <w:r>
              <w:rPr>
                <w:rStyle w:val="147"/>
                <w:rFonts w:hint="eastAsia" w:ascii="宋体" w:hAnsi="宋体" w:eastAsia="宋体"/>
                <w:bCs w:val="0"/>
                <w:sz w:val="21"/>
                <w:szCs w:val="21"/>
                <w:lang w:val="zh-CN" w:eastAsia="zh-CN"/>
              </w:rPr>
              <w:t>第一个信封（商务及技术文件）评审标准：</w:t>
            </w:r>
          </w:p>
          <w:p>
            <w:pPr>
              <w:pStyle w:val="215"/>
              <w:keepNext w:val="0"/>
              <w:keepLines w:val="0"/>
              <w:pageBreakBefore w:val="0"/>
              <w:widowControl w:val="0"/>
              <w:suppressLineNumbers w:val="0"/>
              <w:shd w:val="clear" w:color="auto" w:fill="auto"/>
              <w:tabs>
                <w:tab w:val="left" w:pos="946"/>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（1）投标文件按照招标文件规定的格式、内容填写，字迹清晰可辨：</w:t>
            </w:r>
          </w:p>
          <w:p>
            <w:pPr>
              <w:pStyle w:val="215"/>
              <w:keepNext w:val="0"/>
              <w:keepLines w:val="0"/>
              <w:pageBreakBefore w:val="0"/>
              <w:widowControl w:val="0"/>
              <w:suppressLineNumbers w:val="0"/>
              <w:shd w:val="clear" w:color="auto" w:fill="auto"/>
              <w:tabs>
                <w:tab w:val="left" w:pos="566"/>
                <w:tab w:val="left" w:pos="805"/>
              </w:tabs>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a.投标函按招标文件规定填报了项目名称、标段号（如有）、</w:t>
            </w:r>
            <w:r>
              <w:rPr>
                <w:rStyle w:val="333"/>
                <w:rFonts w:hint="eastAsia" w:ascii="宋体" w:hAnsi="宋体" w:eastAsia="宋体"/>
                <w:sz w:val="21"/>
                <w:szCs w:val="21"/>
                <w:lang w:val="en-US" w:eastAsia="zh-CN"/>
              </w:rPr>
              <w:t>服务期限</w:t>
            </w:r>
            <w:r>
              <w:rPr>
                <w:rStyle w:val="333"/>
                <w:rFonts w:hint="eastAsia" w:ascii="宋体" w:hAnsi="宋体" w:eastAsia="宋体"/>
                <w:sz w:val="21"/>
                <w:szCs w:val="21"/>
                <w:lang w:val="zh-CN" w:eastAsia="zh-CN"/>
              </w:rPr>
              <w:t>、质量要求及安全目标；</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b.投标文件组成齐全完整，内容均按规定填写。</w:t>
            </w:r>
          </w:p>
          <w:p>
            <w:pPr>
              <w:pStyle w:val="215"/>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（2）投标文件上法定代表人或其委托代理人的签字、投标人的单位章盖章齐全，符合招标文件规定。</w:t>
            </w:r>
          </w:p>
          <w:p>
            <w:pPr>
              <w:pStyle w:val="215"/>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（3）投标人按照招标文件的规定提供了投标保证金：</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Style w:val="333"/>
                <w:rFonts w:hint="default" w:ascii="宋体" w:hAnsi="宋体" w:eastAsia="宋体"/>
                <w:sz w:val="21"/>
                <w:szCs w:val="21"/>
                <w:lang w:val="zh-CN" w:eastAsia="zh-CN"/>
              </w:rPr>
            </w:pPr>
            <w:r>
              <w:rPr>
                <w:rStyle w:val="518"/>
                <w:rFonts w:hint="default" w:ascii="宋体" w:hAnsi="宋体" w:eastAsia="宋体"/>
                <w:sz w:val="21"/>
                <w:szCs w:val="21"/>
                <w:lang w:eastAsia="zh-CN"/>
              </w:rPr>
              <w:t>a</w:t>
            </w:r>
            <w:r>
              <w:rPr>
                <w:rStyle w:val="333"/>
                <w:rFonts w:hint="default" w:ascii="宋体" w:hAnsi="宋体" w:eastAsia="宋体"/>
                <w:sz w:val="21"/>
                <w:szCs w:val="21"/>
                <w:lang w:val="zh-CN" w:eastAsia="zh-CN"/>
              </w:rPr>
              <w:t>.</w:t>
            </w:r>
            <w:r>
              <w:rPr>
                <w:rStyle w:val="333"/>
                <w:rFonts w:hint="eastAsia" w:ascii="宋体" w:hAnsi="宋体" w:eastAsia="宋体"/>
                <w:sz w:val="21"/>
                <w:szCs w:val="21"/>
                <w:lang w:val="zh-CN" w:eastAsia="zh-CN"/>
              </w:rPr>
              <w:t>投标保证金金额符合招标文件规定的金额，且投标保证金有效期不少于投标有效期；</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Fonts w:hint="default" w:ascii="宋体" w:hAnsi="宋体" w:eastAsia="宋体" w:cs="MingLiU"/>
                <w:sz w:val="21"/>
                <w:szCs w:val="21"/>
                <w:lang w:val="en-US" w:eastAsia="zh-CN"/>
              </w:rPr>
            </w:pPr>
            <w:r>
              <w:rPr>
                <w:rStyle w:val="518"/>
                <w:rFonts w:hint="default" w:ascii="宋体" w:hAnsi="宋体" w:eastAsia="宋体"/>
                <w:sz w:val="21"/>
                <w:szCs w:val="21"/>
                <w:lang w:eastAsia="zh-CN"/>
              </w:rPr>
              <w:t>b</w:t>
            </w:r>
            <w:r>
              <w:rPr>
                <w:rStyle w:val="333"/>
                <w:rFonts w:hint="default" w:ascii="宋体" w:hAnsi="宋体" w:eastAsia="宋体"/>
                <w:sz w:val="21"/>
                <w:szCs w:val="21"/>
                <w:lang w:val="zh-CN" w:eastAsia="zh-CN"/>
              </w:rPr>
              <w:t>.</w:t>
            </w:r>
            <w:r>
              <w:rPr>
                <w:rStyle w:val="333"/>
                <w:rFonts w:hint="eastAsia" w:ascii="宋体" w:hAnsi="宋体" w:eastAsia="宋体"/>
                <w:sz w:val="21"/>
                <w:szCs w:val="21"/>
                <w:lang w:val="zh-CN" w:eastAsia="zh-CN"/>
              </w:rPr>
              <w:t>若投标保证金采用现金或支票形式提交，投标人应在投标人须知3.4.1款规定的时间，将投标保证金由投标人的基本账户转入招标人指定账户；</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Style w:val="333"/>
                <w:rFonts w:hint="eastAsia" w:ascii="宋体" w:hAnsi="宋体" w:eastAsia="宋体"/>
                <w:sz w:val="21"/>
                <w:szCs w:val="21"/>
                <w:lang w:val="zh-CN" w:eastAsia="zh-CN"/>
              </w:rPr>
            </w:pPr>
            <w:r>
              <w:rPr>
                <w:rStyle w:val="584"/>
                <w:rFonts w:hint="eastAsia" w:ascii="宋体" w:hAnsi="宋体" w:eastAsia="宋体"/>
                <w:sz w:val="21"/>
                <w:szCs w:val="21"/>
                <w:lang w:eastAsia="zh-CN"/>
              </w:rPr>
              <w:t>c.</w:t>
            </w:r>
            <w:r>
              <w:rPr>
                <w:rStyle w:val="333"/>
                <w:rFonts w:hint="eastAsia" w:ascii="宋体" w:hAnsi="宋体" w:eastAsia="宋体"/>
                <w:sz w:val="21"/>
                <w:szCs w:val="21"/>
                <w:lang w:val="zh-CN" w:eastAsia="zh-CN"/>
              </w:rPr>
              <w:t>若投标保证金采用银行保函形式提交，银行保函的格式、开具保函的银行均满足招标文件要求，</w:t>
            </w:r>
            <w:r>
              <w:rPr>
                <w:rStyle w:val="333"/>
                <w:rFonts w:hint="default" w:ascii="宋体" w:hAnsi="宋体" w:eastAsia="宋体"/>
                <w:sz w:val="21"/>
                <w:szCs w:val="21"/>
                <w:lang w:val="zh-CN" w:eastAsia="zh-CN"/>
              </w:rPr>
              <w:t>银行保函原件在</w:t>
            </w:r>
            <w:r>
              <w:rPr>
                <w:rStyle w:val="333"/>
                <w:rFonts w:hint="eastAsia" w:ascii="宋体" w:hAnsi="宋体" w:eastAsia="宋体"/>
                <w:sz w:val="21"/>
                <w:szCs w:val="21"/>
                <w:lang w:val="zh-CN" w:eastAsia="zh-CN"/>
              </w:rPr>
              <w:t>递交</w:t>
            </w:r>
            <w:r>
              <w:rPr>
                <w:rStyle w:val="333"/>
                <w:rFonts w:hint="default" w:ascii="宋体" w:hAnsi="宋体" w:eastAsia="宋体"/>
                <w:sz w:val="21"/>
                <w:szCs w:val="21"/>
                <w:lang w:val="zh-CN" w:eastAsia="zh-CN"/>
              </w:rPr>
              <w:t>投标文件</w:t>
            </w:r>
            <w:r>
              <w:rPr>
                <w:rStyle w:val="333"/>
                <w:rFonts w:hint="eastAsia" w:ascii="宋体" w:hAnsi="宋体" w:eastAsia="宋体"/>
                <w:sz w:val="21"/>
                <w:szCs w:val="21"/>
                <w:lang w:val="zh-CN" w:eastAsia="zh-CN"/>
              </w:rPr>
              <w:t>时单独密封递交，其复印件装订在投标文件中；</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d.若投标保证金采用其他形式形式提交，应满足投标人须知前附表3.4.1项的规定。</w:t>
            </w:r>
          </w:p>
          <w:p>
            <w:pPr>
              <w:pStyle w:val="215"/>
              <w:keepNext w:val="0"/>
              <w:keepLines w:val="0"/>
              <w:pageBreakBefore w:val="0"/>
              <w:widowControl w:val="0"/>
              <w:suppressLineNumbers w:val="0"/>
              <w:shd w:val="clear" w:color="auto" w:fill="auto"/>
              <w:tabs>
                <w:tab w:val="left" w:pos="917"/>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（4）投标人法定代表人授权委托代理人签署投标文件的，需提交授权委托书，且授权人和被授权人均在授权委托书上签名，未使用印章、签名章或其他电子制版签名代替。</w:t>
            </w:r>
          </w:p>
          <w:p>
            <w:pPr>
              <w:pStyle w:val="215"/>
              <w:keepNext w:val="0"/>
              <w:keepLines w:val="0"/>
              <w:pageBreakBefore w:val="0"/>
              <w:widowControl w:val="0"/>
              <w:suppressLineNumbers w:val="0"/>
              <w:shd w:val="clear" w:color="auto" w:fill="auto"/>
              <w:tabs>
                <w:tab w:val="left" w:pos="917"/>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（5）投标人法定代表人亲自签署投标文件的，提供了法定代表人身份证明，且法定代表人在法定代表人身份证明上签名，未使用印章、签名章或其他电子制版签名代替。</w:t>
            </w:r>
          </w:p>
          <w:p>
            <w:pPr>
              <w:pStyle w:val="215"/>
              <w:keepNext w:val="0"/>
              <w:keepLines w:val="0"/>
              <w:pageBreakBefore w:val="0"/>
              <w:widowControl w:val="0"/>
              <w:suppressLineNumbers w:val="0"/>
              <w:shd w:val="clear" w:color="auto" w:fill="auto"/>
              <w:tabs>
                <w:tab w:val="left" w:pos="1035"/>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（6）投标人以联合体形式投标时，联合体满足招标文件的要求：投标人按照招标文件提供的格式签订了联合体协议书，明确各方承担连带责任，并明确了联合体牵头人。（适用于允许联合体投标的）</w:t>
            </w:r>
          </w:p>
          <w:p>
            <w:pPr>
              <w:pStyle w:val="215"/>
              <w:keepNext w:val="0"/>
              <w:keepLines w:val="0"/>
              <w:pageBreakBefore w:val="0"/>
              <w:widowControl w:val="0"/>
              <w:suppressLineNumbers w:val="0"/>
              <w:shd w:val="clear" w:color="auto" w:fill="auto"/>
              <w:tabs>
                <w:tab w:val="left" w:pos="1035"/>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33"/>
                <w:rFonts w:hint="eastAsia" w:ascii="宋体" w:hAnsi="宋体" w:eastAsia="宋体"/>
                <w:sz w:val="21"/>
                <w:szCs w:val="21"/>
                <w:lang w:val="en-US" w:eastAsia="zh-CN"/>
              </w:rPr>
            </w:pPr>
            <w:r>
              <w:rPr>
                <w:rStyle w:val="333"/>
                <w:rFonts w:hint="default" w:ascii="宋体" w:hAnsi="宋体" w:eastAsia="宋体"/>
                <w:sz w:val="21"/>
                <w:lang w:val="zh-CN" w:eastAsia="zh-CN"/>
              </w:rPr>
              <w:t>（6）投标人未以联合体形式投标。（适用于不允许联合体投标的）</w:t>
            </w:r>
          </w:p>
          <w:p>
            <w:pPr>
              <w:pStyle w:val="215"/>
              <w:keepNext w:val="0"/>
              <w:keepLines w:val="0"/>
              <w:pageBreakBefore w:val="0"/>
              <w:widowControl w:val="0"/>
              <w:suppressLineNumbers w:val="0"/>
              <w:shd w:val="clear" w:color="auto" w:fill="auto"/>
              <w:tabs>
                <w:tab w:val="left" w:pos="917"/>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（7）投标人如有分包计划，符合招标文件第二章“投标人须知”第</w:t>
            </w:r>
            <w:r>
              <w:rPr>
                <w:rStyle w:val="333"/>
                <w:rFonts w:hint="default" w:ascii="宋体" w:hAnsi="宋体" w:eastAsia="宋体"/>
                <w:sz w:val="21"/>
                <w:szCs w:val="21"/>
                <w:lang w:val="zh-CN" w:eastAsia="zh-CN"/>
              </w:rPr>
              <w:t>1.11</w:t>
            </w:r>
            <w:r>
              <w:rPr>
                <w:rStyle w:val="333"/>
                <w:rFonts w:hint="eastAsia" w:ascii="宋体" w:hAnsi="宋体" w:eastAsia="宋体"/>
                <w:sz w:val="21"/>
                <w:szCs w:val="21"/>
                <w:lang w:val="zh-CN" w:eastAsia="zh-CN"/>
              </w:rPr>
              <w:t>款规定，且按招标文件第</w:t>
            </w:r>
            <w:r>
              <w:rPr>
                <w:rStyle w:val="333"/>
                <w:rFonts w:hint="eastAsia" w:ascii="宋体" w:hAnsi="宋体" w:eastAsia="宋体"/>
                <w:sz w:val="21"/>
                <w:szCs w:val="21"/>
                <w:lang w:val="en-US" w:eastAsia="zh-CN"/>
              </w:rPr>
              <w:t>六</w:t>
            </w:r>
            <w:r>
              <w:rPr>
                <w:rStyle w:val="333"/>
                <w:rFonts w:hint="eastAsia" w:ascii="宋体" w:hAnsi="宋体" w:eastAsia="宋体"/>
                <w:sz w:val="21"/>
                <w:szCs w:val="21"/>
                <w:lang w:val="zh-CN" w:eastAsia="zh-CN"/>
              </w:rPr>
              <w:t>章“投标文件格式”的要求填写了“拟分包项目情况表”。</w:t>
            </w:r>
          </w:p>
          <w:p>
            <w:pPr>
              <w:pStyle w:val="215"/>
              <w:keepNext w:val="0"/>
              <w:keepLines w:val="0"/>
              <w:pageBreakBefore w:val="0"/>
              <w:widowControl w:val="0"/>
              <w:suppressLineNumbers w:val="0"/>
              <w:shd w:val="clear" w:color="auto" w:fill="auto"/>
              <w:tabs>
                <w:tab w:val="left" w:pos="924"/>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（8）同一投标人未提交两个以上不同的投标文件，但招标文件要求提交备选投标的除外。</w:t>
            </w:r>
          </w:p>
          <w:p>
            <w:pPr>
              <w:pStyle w:val="215"/>
              <w:keepNext w:val="0"/>
              <w:keepLines w:val="0"/>
              <w:pageBreakBefore w:val="0"/>
              <w:widowControl w:val="0"/>
              <w:suppressLineNumbers w:val="0"/>
              <w:shd w:val="clear" w:color="auto" w:fill="auto"/>
              <w:tabs>
                <w:tab w:val="left" w:pos="1141"/>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（9）投标文件中未出现有关投标报价的内容。</w:t>
            </w:r>
          </w:p>
          <w:p>
            <w:pPr>
              <w:pStyle w:val="215"/>
              <w:keepNext w:val="0"/>
              <w:keepLines w:val="0"/>
              <w:pageBreakBefore w:val="0"/>
              <w:widowControl w:val="0"/>
              <w:suppressLineNumbers w:val="0"/>
              <w:shd w:val="clear" w:color="auto" w:fill="auto"/>
              <w:tabs>
                <w:tab w:val="left" w:pos="926"/>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（10）投标文件载明的招标项目完成期限未超过招标文件规定的时限。</w:t>
            </w:r>
          </w:p>
          <w:p>
            <w:pPr>
              <w:pStyle w:val="215"/>
              <w:keepNext w:val="0"/>
              <w:keepLines w:val="0"/>
              <w:pageBreakBefore w:val="0"/>
              <w:widowControl w:val="0"/>
              <w:suppressLineNumbers w:val="0"/>
              <w:shd w:val="clear" w:color="auto" w:fill="auto"/>
              <w:tabs>
                <w:tab w:val="left" w:pos="1143"/>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（11）投标文件对招标文件的实质性要求和条件作出响应。</w:t>
            </w:r>
          </w:p>
          <w:p>
            <w:pPr>
              <w:pStyle w:val="215"/>
              <w:keepNext w:val="0"/>
              <w:keepLines w:val="0"/>
              <w:pageBreakBefore w:val="0"/>
              <w:widowControl w:val="0"/>
              <w:suppressLineNumbers w:val="0"/>
              <w:shd w:val="clear" w:color="auto" w:fill="auto"/>
              <w:tabs>
                <w:tab w:val="left" w:pos="1138"/>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（12）权利义务符合招标文件规定：</w:t>
            </w:r>
          </w:p>
          <w:p>
            <w:pPr>
              <w:pStyle w:val="215"/>
              <w:keepNext w:val="0"/>
              <w:keepLines w:val="0"/>
              <w:pageBreakBefore w:val="0"/>
              <w:widowControl w:val="0"/>
              <w:numPr>
                <w:ilvl w:val="0"/>
                <w:numId w:val="2"/>
              </w:numPr>
              <w:suppressLineNumbers w:val="0"/>
              <w:shd w:val="clear" w:color="auto" w:fill="auto"/>
              <w:tabs>
                <w:tab w:val="left" w:pos="530"/>
              </w:tabs>
              <w:kinsoku/>
              <w:wordWrap/>
              <w:overflowPunct/>
              <w:topLinePunct w:val="0"/>
              <w:autoSpaceDE/>
              <w:autoSpaceDN/>
              <w:bidi w:val="0"/>
              <w:spacing w:before="0" w:beforeAutospacing="0" w:after="0" w:afterAutospacing="0" w:line="360" w:lineRule="auto"/>
              <w:ind w:left="48" w:leftChars="20" w:right="48" w:rightChars="20" w:firstLine="50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投标人应接受招标文件规定的风险划分原则，未提出新的风险划</w:t>
            </w:r>
            <w:r>
              <w:rPr>
                <w:rStyle w:val="245"/>
                <w:rFonts w:hint="eastAsia" w:ascii="宋体" w:hAnsi="宋体" w:eastAsia="宋体"/>
                <w:sz w:val="21"/>
                <w:szCs w:val="21"/>
                <w:lang w:val="zh-CN" w:eastAsia="zh-CN"/>
              </w:rPr>
              <w:t>分办法；</w:t>
            </w:r>
          </w:p>
          <w:p>
            <w:pPr>
              <w:pStyle w:val="215"/>
              <w:keepNext w:val="0"/>
              <w:keepLines w:val="0"/>
              <w:pageBreakBefore w:val="0"/>
              <w:widowControl w:val="0"/>
              <w:numPr>
                <w:ilvl w:val="0"/>
                <w:numId w:val="2"/>
              </w:numPr>
              <w:suppressLineNumbers w:val="0"/>
              <w:shd w:val="clear" w:color="auto" w:fill="auto"/>
              <w:tabs>
                <w:tab w:val="left" w:pos="666"/>
              </w:tabs>
              <w:kinsoku/>
              <w:wordWrap/>
              <w:overflowPunct/>
              <w:topLinePunct w:val="0"/>
              <w:autoSpaceDE/>
              <w:autoSpaceDN/>
              <w:bidi w:val="0"/>
              <w:spacing w:before="0" w:beforeAutospacing="0" w:after="0" w:afterAutospacing="0" w:line="360" w:lineRule="auto"/>
              <w:ind w:left="48" w:leftChars="20" w:right="48" w:rightChars="20" w:firstLine="50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投标人未增加发包人的责任范围，或减少投标人义务；</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firstLine="500"/>
              <w:jc w:val="both"/>
              <w:textAlignment w:val="auto"/>
              <w:rPr>
                <w:rFonts w:hint="default" w:ascii="宋体" w:hAnsi="宋体" w:eastAsia="宋体" w:cs="MingLiU"/>
                <w:sz w:val="21"/>
                <w:szCs w:val="21"/>
                <w:lang w:val="en-US" w:eastAsia="zh-CN"/>
              </w:rPr>
            </w:pPr>
            <w:r>
              <w:rPr>
                <w:rStyle w:val="584"/>
                <w:rFonts w:hint="eastAsia" w:ascii="宋体" w:hAnsi="宋体" w:eastAsia="宋体"/>
                <w:sz w:val="21"/>
                <w:szCs w:val="21"/>
                <w:lang w:eastAsia="zh-CN"/>
              </w:rPr>
              <w:t>c</w:t>
            </w:r>
            <w:r>
              <w:rPr>
                <w:rStyle w:val="461"/>
                <w:rFonts w:hint="default" w:ascii="宋体" w:hAnsi="宋体" w:eastAsia="宋体"/>
                <w:sz w:val="21"/>
                <w:szCs w:val="21"/>
                <w:lang w:val="en-US" w:eastAsia="zh-CN"/>
              </w:rPr>
              <w:t>.</w:t>
            </w:r>
            <w:r>
              <w:rPr>
                <w:rStyle w:val="333"/>
                <w:rFonts w:hint="eastAsia" w:ascii="宋体" w:hAnsi="宋体" w:eastAsia="宋体"/>
                <w:sz w:val="21"/>
                <w:szCs w:val="21"/>
                <w:lang w:val="zh-CN" w:eastAsia="zh-CN"/>
              </w:rPr>
              <w:t>投标人未提出不同的支付办法；</w:t>
            </w:r>
          </w:p>
          <w:p>
            <w:pPr>
              <w:pStyle w:val="215"/>
              <w:keepNext w:val="0"/>
              <w:keepLines w:val="0"/>
              <w:pageBreakBefore w:val="0"/>
              <w:widowControl w:val="0"/>
              <w:numPr>
                <w:ilvl w:val="0"/>
                <w:numId w:val="3"/>
              </w:numPr>
              <w:suppressLineNumbers w:val="0"/>
              <w:shd w:val="clear" w:color="auto" w:fill="auto"/>
              <w:tabs>
                <w:tab w:val="left" w:pos="661"/>
              </w:tabs>
              <w:kinsoku/>
              <w:wordWrap/>
              <w:overflowPunct/>
              <w:topLinePunct w:val="0"/>
              <w:autoSpaceDE/>
              <w:autoSpaceDN/>
              <w:bidi w:val="0"/>
              <w:spacing w:before="0" w:beforeAutospacing="0" w:after="0" w:afterAutospacing="0" w:line="360" w:lineRule="auto"/>
              <w:ind w:left="48" w:leftChars="20" w:right="48" w:rightChars="20" w:firstLine="500"/>
              <w:jc w:val="both"/>
              <w:textAlignment w:val="auto"/>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投标人对合同纠纷、事故处理办法未提出异议；</w:t>
            </w:r>
          </w:p>
          <w:p>
            <w:pPr>
              <w:pStyle w:val="215"/>
              <w:keepNext w:val="0"/>
              <w:keepLines w:val="0"/>
              <w:pageBreakBefore w:val="0"/>
              <w:widowControl w:val="0"/>
              <w:numPr>
                <w:ilvl w:val="0"/>
                <w:numId w:val="3"/>
              </w:numPr>
              <w:suppressLineNumbers w:val="0"/>
              <w:shd w:val="clear" w:color="auto" w:fill="auto"/>
              <w:tabs>
                <w:tab w:val="left" w:pos="651"/>
              </w:tabs>
              <w:kinsoku/>
              <w:wordWrap/>
              <w:overflowPunct/>
              <w:topLinePunct w:val="0"/>
              <w:autoSpaceDE/>
              <w:autoSpaceDN/>
              <w:bidi w:val="0"/>
              <w:spacing w:before="0" w:beforeAutospacing="0" w:after="0" w:afterAutospacing="0" w:line="360" w:lineRule="auto"/>
              <w:ind w:left="48" w:leftChars="20" w:right="48" w:rightChars="20" w:firstLine="500"/>
              <w:jc w:val="both"/>
              <w:textAlignment w:val="auto"/>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投标人在投标活动中无欺诈行为；</w:t>
            </w:r>
          </w:p>
          <w:p>
            <w:pPr>
              <w:pStyle w:val="215"/>
              <w:keepNext w:val="0"/>
              <w:keepLines w:val="0"/>
              <w:pageBreakBefore w:val="0"/>
              <w:widowControl w:val="0"/>
              <w:numPr>
                <w:ilvl w:val="0"/>
                <w:numId w:val="3"/>
              </w:numPr>
              <w:suppressLineNumbers w:val="0"/>
              <w:shd w:val="clear" w:color="auto" w:fill="auto"/>
              <w:tabs>
                <w:tab w:val="left" w:pos="651"/>
              </w:tabs>
              <w:kinsoku/>
              <w:wordWrap/>
              <w:overflowPunct/>
              <w:topLinePunct w:val="0"/>
              <w:autoSpaceDE/>
              <w:autoSpaceDN/>
              <w:bidi w:val="0"/>
              <w:spacing w:before="0" w:beforeAutospacing="0" w:after="0" w:afterAutospacing="0" w:line="360" w:lineRule="auto"/>
              <w:ind w:left="48" w:leftChars="20" w:right="48" w:rightChars="20" w:firstLine="500"/>
              <w:jc w:val="both"/>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投标人未对合同条款有重要保留。</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Fonts w:hint="default" w:ascii="宋体" w:hAnsi="宋体" w:eastAsia="宋体" w:cs="MingLiU"/>
                <w:sz w:val="21"/>
                <w:szCs w:val="21"/>
                <w:lang w:val="en-US" w:eastAsia="zh-CN"/>
              </w:rPr>
            </w:pPr>
            <w:r>
              <w:rPr>
                <w:rStyle w:val="218"/>
                <w:rFonts w:hint="default" w:ascii="宋体" w:hAnsi="宋体" w:eastAsia="宋体"/>
                <w:sz w:val="21"/>
                <w:szCs w:val="21"/>
                <w:lang w:val="en-US" w:eastAsia="zh-CN"/>
              </w:rPr>
              <w:t>(1</w:t>
            </w:r>
            <w:r>
              <w:rPr>
                <w:rStyle w:val="218"/>
                <w:rFonts w:hint="eastAsia" w:ascii="宋体" w:hAnsi="宋体" w:eastAsia="宋体"/>
                <w:sz w:val="21"/>
                <w:szCs w:val="21"/>
                <w:lang w:val="en-US" w:eastAsia="zh-CN"/>
              </w:rPr>
              <w:t>3</w:t>
            </w:r>
            <w:r>
              <w:rPr>
                <w:rStyle w:val="218"/>
                <w:rFonts w:hint="default" w:ascii="宋体" w:hAnsi="宋体" w:eastAsia="宋体"/>
                <w:sz w:val="21"/>
                <w:szCs w:val="21"/>
                <w:lang w:val="en-US" w:eastAsia="zh-CN"/>
              </w:rPr>
              <w:t>)</w:t>
            </w:r>
            <w:r>
              <w:rPr>
                <w:rStyle w:val="218"/>
                <w:rFonts w:hint="eastAsia" w:ascii="宋体" w:hAnsi="宋体" w:eastAsia="宋体"/>
                <w:sz w:val="21"/>
                <w:szCs w:val="21"/>
                <w:lang w:val="zh-CN" w:eastAsia="zh-CN"/>
              </w:rPr>
              <w:t>投标文件正、副本份数符合招标文件第二章“投标人须知第</w:t>
            </w:r>
            <w:r>
              <w:rPr>
                <w:rStyle w:val="218"/>
                <w:rFonts w:hint="default" w:ascii="宋体" w:hAnsi="宋体" w:eastAsia="宋体"/>
                <w:sz w:val="21"/>
                <w:szCs w:val="21"/>
                <w:lang w:val="en-US" w:eastAsia="zh-CN"/>
              </w:rPr>
              <w:t>3.7.4</w:t>
            </w:r>
            <w:r>
              <w:rPr>
                <w:rStyle w:val="218"/>
                <w:rFonts w:hint="eastAsia" w:ascii="宋体" w:hAnsi="宋体" w:eastAsia="宋体"/>
                <w:sz w:val="21"/>
                <w:szCs w:val="21"/>
                <w:lang w:val="zh-CN" w:eastAsia="zh-CN"/>
              </w:rPr>
              <w:t>项规定。</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（14）</w:t>
            </w:r>
            <w:r>
              <w:rPr>
                <w:rFonts w:hint="default" w:ascii="宋体" w:hAnsi="宋体" w:eastAsia="宋体"/>
                <w:kern w:val="2"/>
                <w:sz w:val="21"/>
                <w:szCs w:val="21"/>
                <w:lang w:val="en-US" w:eastAsia="zh-CN"/>
              </w:rPr>
              <w:t>投标文件</w:t>
            </w:r>
            <w:r>
              <w:rPr>
                <w:rFonts w:hint="eastAsia" w:ascii="宋体" w:hAnsi="宋体" w:eastAsia="宋体"/>
                <w:kern w:val="2"/>
                <w:sz w:val="21"/>
                <w:szCs w:val="21"/>
                <w:lang w:val="en-US" w:eastAsia="zh-CN"/>
              </w:rPr>
              <w:t>未</w:t>
            </w:r>
            <w:r>
              <w:rPr>
                <w:rFonts w:hint="default" w:ascii="宋体" w:hAnsi="宋体" w:eastAsia="宋体"/>
                <w:kern w:val="2"/>
                <w:sz w:val="21"/>
                <w:szCs w:val="21"/>
                <w:lang w:val="en-US" w:eastAsia="zh-CN"/>
              </w:rPr>
              <w:t>附有招标人不能接受的条件。</w:t>
            </w:r>
          </w:p>
          <w:p>
            <w:pPr>
              <w:pStyle w:val="58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left"/>
              <w:textAlignment w:val="auto"/>
              <w:rPr>
                <w:rStyle w:val="653"/>
                <w:rFonts w:hint="default" w:ascii="宋体" w:hAnsi="宋体" w:eastAsia="宋体"/>
                <w:sz w:val="21"/>
                <w:szCs w:val="21"/>
                <w:lang w:val="en-US" w:eastAsia="zh-CN"/>
              </w:rPr>
            </w:pPr>
            <w:r>
              <w:rPr>
                <w:rStyle w:val="653"/>
                <w:rFonts w:hint="eastAsia" w:ascii="宋体" w:hAnsi="宋体" w:eastAsia="宋体"/>
                <w:sz w:val="21"/>
                <w:szCs w:val="21"/>
                <w:lang w:val="en-US" w:eastAsia="zh-CN"/>
              </w:rPr>
              <w:t>……</w:t>
            </w:r>
          </w:p>
          <w:p>
            <w:pPr>
              <w:pStyle w:val="58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left"/>
              <w:textAlignment w:val="auto"/>
              <w:rPr>
                <w:rFonts w:hint="default" w:ascii="宋体" w:hAnsi="宋体" w:eastAsia="宋体" w:cs="MingLiU"/>
                <w:b/>
                <w:bCs/>
                <w:sz w:val="21"/>
                <w:szCs w:val="21"/>
                <w:lang w:val="en-US" w:eastAsia="zh-CN"/>
              </w:rPr>
            </w:pPr>
            <w:r>
              <w:rPr>
                <w:rStyle w:val="653"/>
                <w:rFonts w:hint="eastAsia" w:ascii="宋体" w:hAnsi="宋体" w:eastAsia="宋体"/>
                <w:b/>
                <w:bCs/>
                <w:sz w:val="21"/>
                <w:szCs w:val="21"/>
                <w:lang w:val="zh-CN" w:eastAsia="zh-CN"/>
              </w:rPr>
              <w:t>第二个信封（报价文件）评审标准：</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Fonts w:hint="default" w:ascii="宋体" w:hAnsi="宋体" w:eastAsia="宋体" w:cs="MingLiU"/>
                <w:sz w:val="21"/>
                <w:szCs w:val="21"/>
                <w:lang w:val="en-US" w:eastAsia="zh-CN"/>
              </w:rPr>
            </w:pPr>
            <w:r>
              <w:rPr>
                <w:rStyle w:val="218"/>
                <w:rFonts w:hint="default" w:ascii="宋体" w:hAnsi="宋体" w:eastAsia="宋体"/>
                <w:sz w:val="21"/>
                <w:szCs w:val="21"/>
                <w:lang w:val="en-US" w:eastAsia="zh-CN"/>
              </w:rPr>
              <w:t>(1)</w:t>
            </w:r>
            <w:r>
              <w:rPr>
                <w:rStyle w:val="218"/>
                <w:rFonts w:hint="eastAsia" w:ascii="宋体" w:hAnsi="宋体" w:eastAsia="宋体"/>
                <w:sz w:val="21"/>
                <w:szCs w:val="21"/>
                <w:lang w:val="zh-CN" w:eastAsia="zh-CN"/>
              </w:rPr>
              <w:t>投标文件按照招标文件规定的格式、内容填写，字迹清晰可</w:t>
            </w:r>
            <w:r>
              <w:rPr>
                <w:rStyle w:val="333"/>
                <w:rFonts w:hint="eastAsia" w:ascii="宋体" w:hAnsi="宋体" w:eastAsia="宋体"/>
                <w:sz w:val="21"/>
                <w:szCs w:val="21"/>
                <w:lang w:val="zh-CN" w:eastAsia="zh-CN"/>
              </w:rPr>
              <w:t>辨：</w:t>
            </w:r>
          </w:p>
          <w:p>
            <w:pPr>
              <w:pStyle w:val="219"/>
              <w:keepNext w:val="0"/>
              <w:keepLines w:val="0"/>
              <w:pageBreakBefore w:val="0"/>
              <w:widowControl w:val="0"/>
              <w:suppressLineNumbers w:val="0"/>
              <w:shd w:val="clear" w:color="auto" w:fill="auto"/>
              <w:tabs>
                <w:tab w:val="left" w:pos="566"/>
              </w:tabs>
              <w:kinsoku/>
              <w:wordWrap/>
              <w:overflowPunct/>
              <w:topLinePunct w:val="0"/>
              <w:autoSpaceDE/>
              <w:autoSpaceDN/>
              <w:bidi w:val="0"/>
              <w:spacing w:before="0" w:beforeAutospacing="0" w:after="0" w:afterAutospacing="0" w:line="360" w:lineRule="auto"/>
              <w:ind w:left="48" w:leftChars="20" w:right="48" w:rightChars="20" w:firstLine="315" w:firstLineChars="150"/>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a.投标函按招标文件规定填报了项目名称、标段号（如有）、投标总报价（包括大写金额和小写金额</w:t>
            </w:r>
            <w:r>
              <w:rPr>
                <w:rStyle w:val="218"/>
                <w:rFonts w:hint="default" w:ascii="宋体" w:hAnsi="宋体" w:eastAsia="宋体"/>
                <w:sz w:val="21"/>
                <w:szCs w:val="21"/>
                <w:lang w:val="en-US" w:eastAsia="zh-CN"/>
              </w:rPr>
              <w:t>)</w:t>
            </w:r>
            <w:r>
              <w:rPr>
                <w:rStyle w:val="218"/>
                <w:rFonts w:hint="eastAsia" w:ascii="宋体" w:hAnsi="宋体" w:eastAsia="宋体"/>
                <w:sz w:val="21"/>
                <w:szCs w:val="21"/>
                <w:lang w:val="en-US" w:eastAsia="zh-CN"/>
              </w:rPr>
              <w:t>；</w:t>
            </w:r>
          </w:p>
          <w:p>
            <w:pPr>
              <w:pStyle w:val="219"/>
              <w:keepNext w:val="0"/>
              <w:keepLines w:val="0"/>
              <w:pageBreakBefore w:val="0"/>
              <w:widowControl w:val="0"/>
              <w:suppressLineNumbers w:val="0"/>
              <w:shd w:val="clear" w:color="auto" w:fill="auto"/>
              <w:tabs>
                <w:tab w:val="left" w:pos="602"/>
              </w:tabs>
              <w:kinsoku/>
              <w:wordWrap/>
              <w:overflowPunct/>
              <w:topLinePunct w:val="0"/>
              <w:autoSpaceDE/>
              <w:autoSpaceDN/>
              <w:bidi w:val="0"/>
              <w:spacing w:before="0" w:beforeAutospacing="0" w:after="0" w:afterAutospacing="0" w:line="360" w:lineRule="auto"/>
              <w:ind w:left="48" w:leftChars="20" w:right="48" w:rightChars="20" w:firstLine="315" w:firstLineChars="150"/>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b.已标价清单说明文字与招标文件规定一致，未进行实质性修改和删减；</w:t>
            </w:r>
          </w:p>
          <w:p>
            <w:pPr>
              <w:pStyle w:val="219"/>
              <w:keepNext w:val="0"/>
              <w:keepLines w:val="0"/>
              <w:pageBreakBefore w:val="0"/>
              <w:widowControl w:val="0"/>
              <w:suppressLineNumbers w:val="0"/>
              <w:shd w:val="clear" w:color="auto" w:fill="auto"/>
              <w:tabs>
                <w:tab w:val="left" w:pos="589"/>
              </w:tabs>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c.投标文件组成齐全完整，内容均按规定填写。</w:t>
            </w:r>
          </w:p>
          <w:p>
            <w:pPr>
              <w:pStyle w:val="219"/>
              <w:keepNext w:val="0"/>
              <w:keepLines w:val="0"/>
              <w:pageBreakBefore w:val="0"/>
              <w:widowControl w:val="0"/>
              <w:suppressLineNumbers w:val="0"/>
              <w:shd w:val="clear" w:color="auto" w:fill="auto"/>
              <w:tabs>
                <w:tab w:val="left" w:pos="950"/>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（2）投标文件上法定代表人或其委托代理人的签字、投标人的单位章盖章齐全，符合招标文件规定。</w:t>
            </w:r>
          </w:p>
          <w:p>
            <w:pPr>
              <w:pStyle w:val="219"/>
              <w:keepNext w:val="0"/>
              <w:keepLines w:val="0"/>
              <w:pageBreakBefore w:val="0"/>
              <w:widowControl w:val="0"/>
              <w:suppressLineNumbers w:val="0"/>
              <w:shd w:val="clear" w:color="auto" w:fill="auto"/>
              <w:tabs>
                <w:tab w:val="left" w:pos="934"/>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（3）</w:t>
            </w:r>
            <w:r>
              <w:rPr>
                <w:rStyle w:val="218"/>
                <w:rFonts w:hint="eastAsia" w:ascii="宋体" w:hAnsi="宋体" w:eastAsia="宋体"/>
                <w:sz w:val="21"/>
                <w:szCs w:val="21"/>
                <w:lang w:val="zh-CN" w:eastAsia="zh-CN"/>
              </w:rPr>
              <w:t>投标报价未超过招标文件设定的最高投标限价（如有</w:t>
            </w:r>
            <w:r>
              <w:rPr>
                <w:rStyle w:val="218"/>
                <w:rFonts w:hint="default" w:ascii="宋体" w:hAnsi="宋体" w:eastAsia="宋体"/>
                <w:sz w:val="21"/>
                <w:szCs w:val="21"/>
                <w:lang w:val="zh-CN" w:eastAsia="zh-CN"/>
              </w:rPr>
              <w:t>)</w:t>
            </w:r>
            <w:r>
              <w:rPr>
                <w:rStyle w:val="218"/>
                <w:rFonts w:hint="eastAsia" w:ascii="宋体" w:hAnsi="宋体" w:eastAsia="宋体"/>
                <w:sz w:val="21"/>
                <w:szCs w:val="21"/>
                <w:lang w:val="zh-CN" w:eastAsia="zh-CN"/>
              </w:rPr>
              <w:t>。</w:t>
            </w:r>
          </w:p>
          <w:p>
            <w:pPr>
              <w:pStyle w:val="219"/>
              <w:keepNext w:val="0"/>
              <w:keepLines w:val="0"/>
              <w:pageBreakBefore w:val="0"/>
              <w:widowControl w:val="0"/>
              <w:suppressLineNumbers w:val="0"/>
              <w:shd w:val="clear" w:color="auto" w:fill="auto"/>
              <w:tabs>
                <w:tab w:val="left" w:pos="978"/>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（4）</w:t>
            </w:r>
            <w:r>
              <w:rPr>
                <w:rStyle w:val="218"/>
                <w:rFonts w:hint="eastAsia" w:ascii="宋体" w:hAnsi="宋体" w:eastAsia="宋体"/>
                <w:sz w:val="21"/>
                <w:szCs w:val="21"/>
                <w:lang w:val="zh-CN" w:eastAsia="zh-CN"/>
              </w:rPr>
              <w:t>投标报价的大写金额能够确定具体数值。</w:t>
            </w:r>
          </w:p>
          <w:p>
            <w:pPr>
              <w:pStyle w:val="219"/>
              <w:keepNext w:val="0"/>
              <w:keepLines w:val="0"/>
              <w:pageBreakBefore w:val="0"/>
              <w:widowControl w:val="0"/>
              <w:suppressLineNumbers w:val="0"/>
              <w:shd w:val="clear" w:color="auto" w:fill="auto"/>
              <w:tabs>
                <w:tab w:val="left" w:pos="965"/>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（5）</w:t>
            </w:r>
            <w:r>
              <w:rPr>
                <w:rStyle w:val="218"/>
                <w:rFonts w:hint="eastAsia" w:ascii="宋体" w:hAnsi="宋体" w:eastAsia="宋体"/>
                <w:sz w:val="21"/>
                <w:szCs w:val="21"/>
                <w:lang w:val="zh-CN" w:eastAsia="zh-CN"/>
              </w:rPr>
              <w:t>同一投标人未提交两个以上不同的投标报价，但招标文件要求提交备选投标的除外。</w:t>
            </w:r>
          </w:p>
          <w:p>
            <w:pPr>
              <w:pStyle w:val="215"/>
              <w:keepNext w:val="0"/>
              <w:keepLines w:val="0"/>
              <w:pageBreakBefore w:val="0"/>
              <w:widowControl w:val="0"/>
              <w:suppressLineNumbers w:val="0"/>
              <w:shd w:val="clear" w:color="auto" w:fill="auto"/>
              <w:tabs>
                <w:tab w:val="left" w:pos="917"/>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274"/>
                <w:rFonts w:hint="eastAsia" w:ascii="宋体" w:hAnsi="宋体" w:eastAsia="宋体"/>
                <w:spacing w:val="0"/>
                <w:sz w:val="21"/>
                <w:szCs w:val="21"/>
                <w:lang w:eastAsia="zh-CN"/>
              </w:rPr>
            </w:pPr>
            <w:r>
              <w:rPr>
                <w:rStyle w:val="218"/>
                <w:rFonts w:hint="eastAsia" w:ascii="宋体" w:hAnsi="宋体" w:eastAsia="宋体"/>
                <w:spacing w:val="0"/>
                <w:sz w:val="21"/>
                <w:szCs w:val="21"/>
                <w:lang w:val="en-US" w:eastAsia="zh-CN"/>
              </w:rPr>
              <w:t>（6）</w:t>
            </w:r>
            <w:r>
              <w:rPr>
                <w:rStyle w:val="218"/>
                <w:rFonts w:hint="eastAsia" w:ascii="宋体" w:hAnsi="宋体" w:eastAsia="宋体"/>
                <w:spacing w:val="0"/>
                <w:sz w:val="21"/>
                <w:szCs w:val="21"/>
                <w:lang w:val="zh-CN" w:eastAsia="zh-CN"/>
              </w:rPr>
              <w:t>投标文件正、副本份数符合招标文件第二章“投标人须知”第</w:t>
            </w:r>
            <w:r>
              <w:rPr>
                <w:rStyle w:val="218"/>
                <w:rFonts w:hint="eastAsia" w:ascii="宋体" w:hAnsi="宋体" w:eastAsia="宋体"/>
                <w:spacing w:val="0"/>
                <w:lang w:val="zh-CN" w:eastAsia="zh-CN"/>
              </w:rPr>
              <w:t>3.7.4</w:t>
            </w:r>
            <w:r>
              <w:rPr>
                <w:rStyle w:val="218"/>
                <w:rFonts w:hint="default" w:ascii="宋体" w:hAnsi="宋体" w:eastAsia="宋体"/>
                <w:spacing w:val="0"/>
                <w:lang w:val="zh-CN" w:eastAsia="zh-CN"/>
              </w:rPr>
              <w:t>项规定。</w:t>
            </w:r>
          </w:p>
          <w:p>
            <w:pPr>
              <w:pStyle w:val="215"/>
              <w:keepNext w:val="0"/>
              <w:keepLines w:val="0"/>
              <w:pageBreakBefore w:val="0"/>
              <w:widowControl w:val="0"/>
              <w:suppressLineNumbers w:val="0"/>
              <w:shd w:val="clear" w:color="auto" w:fill="auto"/>
              <w:tabs>
                <w:tab w:val="left" w:pos="917"/>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33"/>
                <w:rFonts w:hint="default" w:ascii="宋体" w:hAnsi="宋体" w:eastAsia="宋体"/>
                <w:spacing w:val="20"/>
                <w:sz w:val="21"/>
                <w:szCs w:val="21"/>
                <w:lang w:val="en-US" w:eastAsia="zh-CN"/>
              </w:rPr>
            </w:pPr>
            <w:r>
              <w:rPr>
                <w:rStyle w:val="274"/>
                <w:rFonts w:hint="eastAsia" w:ascii="宋体" w:hAnsi="宋体" w:eastAsia="宋体"/>
                <w:sz w:val="21"/>
                <w:szCs w:val="21"/>
                <w:lang w:eastAsia="zh-CN"/>
              </w:rPr>
              <w:t>……</w:t>
            </w:r>
          </w:p>
        </w:tc>
      </w:tr>
      <w:tr>
        <w:tblPrEx>
          <w:tblCellMar>
            <w:top w:w="0" w:type="dxa"/>
            <w:left w:w="0" w:type="dxa"/>
            <w:bottom w:w="0" w:type="dxa"/>
            <w:right w:w="0" w:type="dxa"/>
          </w:tblCellMar>
        </w:tblPrEx>
        <w:trPr>
          <w:gridBefore w:val="1"/>
          <w:wBefore w:w="10" w:type="dxa"/>
          <w:trHeight w:val="7001" w:hRule="atLeast"/>
        </w:trPr>
        <w:tc>
          <w:tcPr>
            <w:tcW w:w="915"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Style w:val="291"/>
                <w:rFonts w:hint="eastAsia" w:ascii="宋体" w:hAnsi="宋体" w:eastAsia="宋体"/>
                <w:sz w:val="21"/>
                <w:szCs w:val="21"/>
                <w:lang w:val="en-US" w:eastAsia="zh-CN"/>
              </w:rPr>
            </w:pPr>
            <w:r>
              <w:rPr>
                <w:rStyle w:val="333"/>
                <w:rFonts w:hint="eastAsia" w:ascii="宋体" w:hAnsi="Times New Roman" w:eastAsia="宋体"/>
                <w:sz w:val="21"/>
                <w:szCs w:val="21"/>
                <w:lang w:val="zh-CN" w:eastAsia="zh-CN"/>
              </w:rPr>
              <w:t>2.1.2</w:t>
            </w:r>
          </w:p>
        </w:tc>
        <w:tc>
          <w:tcPr>
            <w:tcW w:w="146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资格评审标准</w:t>
            </w:r>
          </w:p>
        </w:tc>
        <w:tc>
          <w:tcPr>
            <w:tcW w:w="663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Style w:val="218"/>
                <w:rFonts w:hint="eastAsia" w:ascii="宋体" w:hAnsi="Times New Roman" w:eastAsia="宋体"/>
                <w:sz w:val="21"/>
                <w:szCs w:val="21"/>
                <w:lang w:val="zh-CN" w:eastAsia="zh-CN"/>
              </w:rPr>
            </w:pPr>
            <w:r>
              <w:rPr>
                <w:rStyle w:val="218"/>
                <w:rFonts w:hint="eastAsia" w:ascii="宋体" w:hAnsi="宋体" w:eastAsia="宋体"/>
                <w:sz w:val="21"/>
                <w:szCs w:val="21"/>
                <w:lang w:val="en-US" w:eastAsia="zh-CN"/>
              </w:rPr>
              <w:t>（1）</w:t>
            </w:r>
            <w:r>
              <w:rPr>
                <w:rStyle w:val="218"/>
                <w:rFonts w:hint="eastAsia" w:ascii="宋体" w:hAnsi="宋体" w:eastAsia="宋体"/>
                <w:sz w:val="21"/>
                <w:szCs w:val="21"/>
                <w:lang w:val="zh-CN" w:eastAsia="zh-CN"/>
              </w:rPr>
              <w:t>投标人具备有效的营业执照、</w:t>
            </w:r>
            <w:r>
              <w:rPr>
                <w:rStyle w:val="218"/>
                <w:rFonts w:hint="eastAsia" w:ascii="宋体" w:hAnsi="宋体" w:eastAsia="宋体"/>
                <w:sz w:val="21"/>
                <w:szCs w:val="21"/>
                <w:lang w:val="en-US" w:eastAsia="zh-CN"/>
              </w:rPr>
              <w:t>资质证书</w:t>
            </w:r>
            <w:r>
              <w:rPr>
                <w:rStyle w:val="218"/>
                <w:rFonts w:hint="eastAsia" w:ascii="宋体" w:hAnsi="宋体" w:eastAsia="宋体"/>
                <w:sz w:val="21"/>
                <w:szCs w:val="21"/>
                <w:lang w:val="zh-CN" w:eastAsia="zh-CN"/>
              </w:rPr>
              <w:t>和基本账户开户许可证（如企业所在地已取消企业银行账户许可而无法提供开户许可证的，则需附上开户银行出具的“基本存款账户信息”或“人民银行账户管理系统查询的基本账户信息截图”）；</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（2）投标人的资质等级符合招标文件规定；</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（3）投标人的类似项目业绩符合招标文件规定；</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（4）投标人的</w:t>
            </w:r>
            <w:r>
              <w:rPr>
                <w:rStyle w:val="218"/>
                <w:rFonts w:hint="eastAsia" w:ascii="宋体" w:hAnsi="宋体" w:eastAsia="宋体"/>
                <w:sz w:val="21"/>
                <w:szCs w:val="21"/>
                <w:lang w:val="en-US" w:eastAsia="zh-CN"/>
              </w:rPr>
              <w:t>信誉</w:t>
            </w:r>
            <w:r>
              <w:rPr>
                <w:rStyle w:val="218"/>
                <w:rFonts w:hint="eastAsia" w:ascii="宋体" w:hAnsi="宋体" w:eastAsia="宋体"/>
                <w:sz w:val="21"/>
                <w:szCs w:val="21"/>
                <w:lang w:val="zh-CN" w:eastAsia="zh-CN"/>
              </w:rPr>
              <w:t>符合招标文件规定；</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Style w:val="218"/>
                <w:rFonts w:hint="eastAsia" w:ascii="宋体" w:hAnsi="宋体" w:eastAsia="宋体"/>
                <w:sz w:val="21"/>
                <w:szCs w:val="21"/>
                <w:lang w:val="zh-CN" w:eastAsia="zh-CN"/>
              </w:rPr>
            </w:pPr>
            <w:r>
              <w:rPr>
                <w:rStyle w:val="218"/>
                <w:rFonts w:hint="eastAsia" w:ascii="宋体" w:hAnsi="宋体" w:eastAsia="宋体"/>
                <w:sz w:val="21"/>
                <w:szCs w:val="21"/>
                <w:lang w:val="zh-CN" w:eastAsia="zh-CN"/>
              </w:rPr>
              <w:t>（5）投标人的</w:t>
            </w:r>
            <w:r>
              <w:rPr>
                <w:rStyle w:val="218"/>
                <w:rFonts w:hint="eastAsia" w:ascii="宋体" w:hAnsi="宋体" w:eastAsia="宋体"/>
                <w:sz w:val="21"/>
                <w:szCs w:val="21"/>
                <w:lang w:val="en-US" w:eastAsia="zh-CN"/>
              </w:rPr>
              <w:t>项目负责人</w:t>
            </w:r>
            <w:r>
              <w:rPr>
                <w:rStyle w:val="218"/>
                <w:rFonts w:hint="eastAsia" w:ascii="宋体" w:hAnsi="宋体" w:eastAsia="宋体"/>
                <w:sz w:val="21"/>
                <w:szCs w:val="21"/>
                <w:lang w:val="zh-CN" w:eastAsia="zh-CN"/>
              </w:rPr>
              <w:t>符合招标文件规定；</w:t>
            </w:r>
          </w:p>
          <w:p>
            <w:pPr>
              <w:pStyle w:val="219"/>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textAlignment w:val="auto"/>
              <w:rPr>
                <w:rStyle w:val="218"/>
                <w:rFonts w:hint="eastAsia" w:ascii="宋体" w:hAnsi="Times New Roman" w:eastAsia="宋体"/>
                <w:sz w:val="21"/>
                <w:szCs w:val="21"/>
                <w:lang w:val="zh-CN" w:eastAsia="zh-CN"/>
              </w:rPr>
            </w:pPr>
            <w:r>
              <w:rPr>
                <w:rStyle w:val="218"/>
                <w:rFonts w:hint="eastAsia" w:ascii="宋体" w:hAnsi="宋体" w:eastAsia="宋体"/>
                <w:sz w:val="21"/>
                <w:szCs w:val="21"/>
                <w:lang w:val="zh-CN" w:eastAsia="zh-CN"/>
              </w:rPr>
              <w:t>（</w:t>
            </w:r>
            <w:r>
              <w:rPr>
                <w:rStyle w:val="218"/>
                <w:rFonts w:hint="eastAsia" w:ascii="宋体" w:hAnsi="宋体" w:eastAsia="宋体"/>
                <w:sz w:val="21"/>
                <w:szCs w:val="21"/>
                <w:lang w:val="en-US" w:eastAsia="zh-CN"/>
              </w:rPr>
              <w:t>6</w:t>
            </w:r>
            <w:r>
              <w:rPr>
                <w:rStyle w:val="218"/>
                <w:rFonts w:hint="eastAsia" w:ascii="宋体" w:hAnsi="宋体" w:eastAsia="宋体"/>
                <w:sz w:val="21"/>
                <w:szCs w:val="21"/>
                <w:lang w:val="zh-CN" w:eastAsia="zh-CN"/>
              </w:rPr>
              <w:t>）投标人的</w:t>
            </w:r>
            <w:r>
              <w:rPr>
                <w:rStyle w:val="218"/>
                <w:rFonts w:hint="eastAsia" w:ascii="宋体" w:hAnsi="宋体" w:eastAsia="宋体"/>
                <w:sz w:val="21"/>
                <w:szCs w:val="21"/>
                <w:lang w:val="en-US" w:eastAsia="zh-CN"/>
              </w:rPr>
              <w:t>其他要求</w:t>
            </w:r>
            <w:r>
              <w:rPr>
                <w:rStyle w:val="218"/>
                <w:rFonts w:hint="eastAsia" w:ascii="宋体" w:hAnsi="宋体" w:eastAsia="宋体"/>
                <w:sz w:val="21"/>
                <w:szCs w:val="21"/>
                <w:lang w:val="zh-CN" w:eastAsia="zh-CN"/>
              </w:rPr>
              <w:t>符合招标文件规定；</w:t>
            </w:r>
            <w:r>
              <w:rPr>
                <w:rFonts w:hint="eastAsia" w:ascii="宋体" w:hAnsi="宋体" w:eastAsia="宋体" w:cs="宋体"/>
                <w:szCs w:val="21"/>
                <w:vertAlign w:val="superscript"/>
              </w:rPr>
              <w:footnoteReference w:id="60"/>
            </w:r>
          </w:p>
          <w:p>
            <w:pPr>
              <w:pStyle w:val="215"/>
              <w:keepNext w:val="0"/>
              <w:keepLines w:val="0"/>
              <w:pageBreakBefore w:val="0"/>
              <w:widowControl w:val="0"/>
              <w:suppressLineNumbers w:val="0"/>
              <w:shd w:val="clear" w:color="auto" w:fill="auto"/>
              <w:tabs>
                <w:tab w:val="left" w:pos="943"/>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r>
              <w:rPr>
                <w:rStyle w:val="387"/>
                <w:rFonts w:hint="eastAsia" w:ascii="宋体" w:hAnsi="宋体" w:eastAsia="宋体"/>
                <w:sz w:val="21"/>
                <w:szCs w:val="21"/>
                <w:lang w:val="en-US" w:eastAsia="zh-CN"/>
              </w:rPr>
              <w:t>（7）</w:t>
            </w:r>
            <w:r>
              <w:rPr>
                <w:rStyle w:val="387"/>
                <w:rFonts w:hint="eastAsia" w:ascii="宋体" w:hAnsi="宋体" w:eastAsia="宋体"/>
                <w:sz w:val="21"/>
                <w:szCs w:val="21"/>
                <w:lang w:val="zh-CN" w:eastAsia="zh-CN"/>
              </w:rPr>
              <w:t>投标人不存在第二章“投标人须知”第</w:t>
            </w:r>
            <w:r>
              <w:rPr>
                <w:rStyle w:val="387"/>
                <w:rFonts w:hint="default" w:ascii="宋体" w:hAnsi="宋体" w:eastAsia="宋体"/>
                <w:sz w:val="21"/>
                <w:szCs w:val="21"/>
                <w:lang w:val="en-US" w:eastAsia="zh-CN"/>
              </w:rPr>
              <w:t>1.4.3</w:t>
            </w:r>
            <w:r>
              <w:rPr>
                <w:rStyle w:val="387"/>
                <w:rFonts w:hint="eastAsia" w:ascii="宋体" w:hAnsi="宋体" w:eastAsia="宋体"/>
                <w:sz w:val="21"/>
                <w:szCs w:val="21"/>
                <w:lang w:val="zh-CN" w:eastAsia="zh-CN"/>
              </w:rPr>
              <w:t>项或第</w:t>
            </w:r>
            <w:r>
              <w:rPr>
                <w:rStyle w:val="387"/>
                <w:rFonts w:hint="default" w:ascii="宋体" w:hAnsi="宋体" w:eastAsia="宋体"/>
                <w:sz w:val="21"/>
                <w:szCs w:val="21"/>
                <w:lang w:val="en-US" w:eastAsia="zh-CN"/>
              </w:rPr>
              <w:t>1.4.4</w:t>
            </w:r>
            <w:r>
              <w:rPr>
                <w:rStyle w:val="387"/>
                <w:rFonts w:hint="eastAsia" w:ascii="宋体" w:hAnsi="宋体" w:eastAsia="宋体"/>
                <w:sz w:val="21"/>
                <w:szCs w:val="21"/>
                <w:lang w:val="zh-CN" w:eastAsia="zh-CN"/>
              </w:rPr>
              <w:t>项规定的任何一种情形；</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87"/>
                <w:rFonts w:hint="eastAsia" w:ascii="宋体" w:hAnsi="宋体" w:eastAsia="宋体"/>
                <w:sz w:val="21"/>
                <w:szCs w:val="21"/>
                <w:lang w:val="zh-CN" w:eastAsia="zh-CN"/>
              </w:rPr>
            </w:pPr>
            <w:r>
              <w:rPr>
                <w:rStyle w:val="387"/>
                <w:rFonts w:hint="eastAsia" w:ascii="宋体" w:hAnsi="宋体" w:eastAsia="宋体"/>
                <w:sz w:val="21"/>
                <w:szCs w:val="21"/>
                <w:lang w:val="zh-CN" w:eastAsia="zh-CN"/>
              </w:rPr>
              <w:t>（</w:t>
            </w:r>
            <w:r>
              <w:rPr>
                <w:rStyle w:val="387"/>
                <w:rFonts w:hint="eastAsia" w:ascii="宋体" w:hAnsi="宋体" w:eastAsia="宋体"/>
                <w:sz w:val="21"/>
                <w:szCs w:val="21"/>
                <w:lang w:val="en-US" w:eastAsia="zh-CN"/>
              </w:rPr>
              <w:t>8</w:t>
            </w:r>
            <w:r>
              <w:rPr>
                <w:rStyle w:val="387"/>
                <w:rFonts w:hint="eastAsia" w:ascii="宋体" w:hAnsi="宋体" w:eastAsia="宋体"/>
                <w:sz w:val="21"/>
                <w:szCs w:val="21"/>
                <w:lang w:val="zh-CN" w:eastAsia="zh-CN"/>
              </w:rPr>
              <w:t>）以联合体形式参与投标的，联合体各方均未再以自己名义单独或参加其他联合体在同一标段中投标；独立参与投标的，投标人未同时参加联合体在同一标段中投标</w:t>
            </w:r>
            <w:r>
              <w:rPr>
                <w:rStyle w:val="101"/>
                <w:rFonts w:hint="eastAsia" w:ascii="宋体" w:hAnsi="宋体" w:eastAsia="宋体"/>
                <w:spacing w:val="0"/>
                <w:sz w:val="30"/>
                <w:szCs w:val="24"/>
                <w:lang w:val="en-US" w:eastAsia="zh-CN"/>
              </w:rPr>
              <w:footnoteReference w:id="61"/>
            </w:r>
            <w:r>
              <w:rPr>
                <w:rStyle w:val="387"/>
                <w:rFonts w:hint="eastAsia" w:ascii="宋体" w:hAnsi="宋体" w:eastAsia="宋体"/>
                <w:sz w:val="21"/>
                <w:szCs w:val="21"/>
                <w:lang w:val="zh-CN" w:eastAsia="zh-CN"/>
              </w:rPr>
              <w:t>。</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147"/>
                <w:rFonts w:hint="eastAsia" w:ascii="宋体" w:hAnsi="宋体" w:eastAsia="宋体"/>
                <w:b w:val="0"/>
                <w:sz w:val="21"/>
                <w:szCs w:val="21"/>
                <w:lang w:val="en-US" w:eastAsia="zh-CN"/>
              </w:rPr>
            </w:pPr>
            <w:r>
              <w:rPr>
                <w:rStyle w:val="387"/>
                <w:rFonts w:hint="eastAsia" w:ascii="宋体" w:hAnsi="宋体"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925" w:type="dxa"/>
            <w:gridSpan w:val="2"/>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cs="MingLiU"/>
                <w:sz w:val="21"/>
                <w:szCs w:val="21"/>
                <w:lang w:val="en-US" w:eastAsia="zh-CN"/>
              </w:rPr>
            </w:pPr>
            <w:r>
              <w:rPr>
                <w:rStyle w:val="532"/>
                <w:rFonts w:hint="default" w:ascii="宋体" w:hAnsi="宋体" w:eastAsia="宋体"/>
                <w:b w:val="0"/>
                <w:sz w:val="21"/>
                <w:szCs w:val="21"/>
                <w:lang w:val="zh-CN" w:eastAsia="zh-CN"/>
              </w:rPr>
              <w:t>2.2.1</w:t>
            </w:r>
          </w:p>
        </w:tc>
        <w:tc>
          <w:tcPr>
            <w:tcW w:w="1463" w:type="dxa"/>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387"/>
                <w:rFonts w:hint="eastAsia" w:ascii="宋体" w:hAnsi="宋体" w:eastAsia="宋体"/>
                <w:sz w:val="21"/>
                <w:szCs w:val="21"/>
                <w:lang w:val="zh-CN" w:eastAsia="zh-CN"/>
              </w:rPr>
            </w:pPr>
            <w:r>
              <w:rPr>
                <w:rStyle w:val="387"/>
                <w:rFonts w:hint="eastAsia" w:ascii="宋体" w:hAnsi="宋体" w:eastAsia="宋体"/>
                <w:sz w:val="21"/>
                <w:szCs w:val="21"/>
                <w:lang w:val="zh-CN" w:eastAsia="zh-CN"/>
              </w:rPr>
              <w:t>分值构成</w:t>
            </w:r>
            <w:r>
              <w:rPr>
                <w:rStyle w:val="387"/>
                <w:rFonts w:hint="default" w:ascii="宋体" w:hAnsi="宋体" w:eastAsia="宋体"/>
                <w:sz w:val="21"/>
                <w:szCs w:val="21"/>
                <w:lang w:val="zh-CN" w:eastAsia="zh-CN"/>
              </w:rPr>
              <w:t>(</w:t>
            </w:r>
            <w:r>
              <w:rPr>
                <w:rStyle w:val="387"/>
                <w:rFonts w:hint="eastAsia" w:ascii="宋体" w:hAnsi="宋体" w:eastAsia="宋体"/>
                <w:sz w:val="21"/>
                <w:szCs w:val="21"/>
                <w:lang w:val="zh-CN" w:eastAsia="zh-CN"/>
              </w:rPr>
              <w:t>总分</w:t>
            </w:r>
            <w:r>
              <w:rPr>
                <w:rStyle w:val="532"/>
                <w:rFonts w:hint="default" w:ascii="宋体" w:hAnsi="宋体" w:eastAsia="宋体"/>
                <w:b w:val="0"/>
                <w:sz w:val="21"/>
                <w:szCs w:val="21"/>
                <w:lang w:val="zh-CN" w:eastAsia="zh-CN"/>
              </w:rPr>
              <w:t>100</w:t>
            </w:r>
            <w:r>
              <w:rPr>
                <w:rStyle w:val="387"/>
                <w:rFonts w:hint="eastAsia" w:ascii="宋体" w:hAnsi="宋体" w:eastAsia="宋体"/>
                <w:sz w:val="21"/>
                <w:szCs w:val="21"/>
                <w:lang w:val="zh-CN" w:eastAsia="zh-CN"/>
              </w:rPr>
              <w:t>分）</w:t>
            </w:r>
            <w:r>
              <w:rPr>
                <w:rStyle w:val="101"/>
                <w:rFonts w:hint="default" w:ascii="宋体" w:hAnsi="宋体" w:eastAsia="宋体" w:cs="宋体"/>
                <w:szCs w:val="21"/>
                <w:lang w:val="zh-CN" w:eastAsia="zh-CN"/>
              </w:rPr>
              <w:footnoteReference w:id="62"/>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cs="MingLiU"/>
                <w:sz w:val="21"/>
                <w:szCs w:val="21"/>
                <w:lang w:val="en-US" w:eastAsia="zh-CN"/>
              </w:rPr>
            </w:pPr>
          </w:p>
        </w:tc>
        <w:tc>
          <w:tcPr>
            <w:tcW w:w="6637" w:type="dxa"/>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Style w:val="532"/>
                <w:rFonts w:hint="eastAsia" w:ascii="宋体" w:hAnsi="Times New Roman" w:eastAsia="宋体"/>
                <w:bCs w:val="0"/>
                <w:sz w:val="21"/>
                <w:szCs w:val="21"/>
                <w:lang w:val="zh-CN" w:eastAsia="zh-CN"/>
              </w:rPr>
            </w:pPr>
            <w:r>
              <w:rPr>
                <w:rStyle w:val="532"/>
                <w:rFonts w:hint="eastAsia" w:ascii="宋体" w:hAnsi="Times New Roman" w:eastAsia="宋体"/>
                <w:bCs w:val="0"/>
                <w:sz w:val="21"/>
                <w:szCs w:val="21"/>
                <w:lang w:val="zh-CN" w:eastAsia="zh-CN"/>
              </w:rPr>
              <w:t>第一个信封（商务及技术文件）评分分值构成：</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技术建议书</w:t>
            </w:r>
            <w:r>
              <w:rPr>
                <w:rFonts w:hint="default" w:ascii="宋体" w:hAnsi="宋体"/>
                <w:spacing w:val="0"/>
                <w:kern w:val="2"/>
                <w:sz w:val="21"/>
                <w:szCs w:val="21"/>
                <w:lang w:val="en-US" w:eastAsia="zh-CN"/>
              </w:rPr>
              <w:t>：</w:t>
            </w:r>
            <w:r>
              <w:rPr>
                <w:rFonts w:hint="eastAsia" w:ascii="宋体" w:hAnsi="宋体" w:eastAsia="宋体"/>
                <w:spacing w:val="0"/>
                <w:kern w:val="2"/>
                <w:sz w:val="21"/>
                <w:szCs w:val="21"/>
                <w:u w:val="single"/>
                <w:lang w:val="en-US" w:eastAsia="zh-CN"/>
              </w:rPr>
              <w:t>50</w:t>
            </w:r>
            <w:r>
              <w:rPr>
                <w:rFonts w:hint="eastAsia" w:ascii="宋体" w:hAnsi="宋体" w:eastAsia="宋体"/>
                <w:spacing w:val="0"/>
                <w:kern w:val="2"/>
                <w:sz w:val="21"/>
                <w:szCs w:val="21"/>
                <w:lang w:val="en-US" w:eastAsia="zh-CN"/>
              </w:rPr>
              <w:t>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主要人员</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u w:val="single"/>
                <w:lang w:val="en-US"/>
              </w:rPr>
              <w:t>5-15</w:t>
            </w:r>
            <w:r>
              <w:rPr>
                <w:rFonts w:hint="eastAsia" w:ascii="宋体" w:hAnsi="宋体" w:cs="Times New Roman"/>
                <w:color w:val="auto"/>
                <w:kern w:val="2"/>
                <w:sz w:val="21"/>
                <w:szCs w:val="21"/>
                <w:lang w:val="en-US"/>
              </w:rPr>
              <w:t>分</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其他因素：</w:t>
            </w:r>
            <w:r>
              <w:rPr>
                <w:rFonts w:hint="eastAsia" w:ascii="宋体" w:hAnsi="宋体"/>
                <w:spacing w:val="0"/>
                <w:kern w:val="2"/>
                <w:sz w:val="21"/>
                <w:szCs w:val="21"/>
                <w:u w:val="single"/>
                <w:lang w:val="en-US" w:eastAsia="zh-CN"/>
              </w:rPr>
              <w:t>15-30</w:t>
            </w:r>
            <w:r>
              <w:rPr>
                <w:rFonts w:hint="eastAsia" w:ascii="宋体" w:hAnsi="宋体" w:eastAsia="宋体"/>
                <w:spacing w:val="0"/>
                <w:kern w:val="2"/>
                <w:sz w:val="21"/>
                <w:szCs w:val="21"/>
                <w:lang w:val="en-US" w:eastAsia="zh-CN"/>
              </w:rPr>
              <w:t xml:space="preserve"> 分，其中：</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企业综合能力：</w:t>
            </w:r>
            <w:r>
              <w:rPr>
                <w:rFonts w:hint="eastAsia" w:ascii="宋体" w:hAnsi="宋体"/>
                <w:spacing w:val="0"/>
                <w:kern w:val="2"/>
                <w:sz w:val="21"/>
                <w:szCs w:val="21"/>
                <w:u w:val="single"/>
                <w:lang w:val="en-US" w:eastAsia="zh-CN"/>
              </w:rPr>
              <w:t>0</w:t>
            </w:r>
            <w:r>
              <w:rPr>
                <w:rFonts w:hint="eastAsia" w:ascii="宋体" w:hAnsi="宋体" w:eastAsia="宋体"/>
                <w:spacing w:val="0"/>
                <w:kern w:val="2"/>
                <w:sz w:val="21"/>
                <w:szCs w:val="21"/>
                <w:u w:val="single"/>
                <w:lang w:val="en-US" w:eastAsia="zh-CN"/>
              </w:rPr>
              <w:t>-5</w:t>
            </w:r>
            <w:r>
              <w:rPr>
                <w:rFonts w:hint="eastAsia" w:ascii="宋体" w:hAnsi="宋体" w:eastAsia="宋体"/>
                <w:spacing w:val="0"/>
                <w:kern w:val="2"/>
                <w:sz w:val="21"/>
                <w:szCs w:val="21"/>
                <w:lang w:val="en-US" w:eastAsia="zh-CN"/>
              </w:rPr>
              <w:t>分</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业绩</w:t>
            </w:r>
            <w:r>
              <w:rPr>
                <w:rFonts w:hint="default"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5-15</w:t>
            </w:r>
            <w:r>
              <w:rPr>
                <w:rFonts w:hint="eastAsia" w:ascii="宋体" w:hAnsi="宋体" w:eastAsia="宋体"/>
                <w:spacing w:val="0"/>
                <w:kern w:val="2"/>
                <w:sz w:val="21"/>
                <w:szCs w:val="21"/>
                <w:lang w:val="en-US" w:eastAsia="zh-CN"/>
              </w:rPr>
              <w:t>分</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履约信誉</w:t>
            </w:r>
            <w:r>
              <w:rPr>
                <w:rFonts w:hint="default"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w:t>
            </w:r>
            <w:r>
              <w:rPr>
                <w:rFonts w:hint="eastAsia" w:ascii="宋体" w:hAnsi="宋体" w:eastAsia="宋体"/>
                <w:spacing w:val="0"/>
                <w:kern w:val="2"/>
                <w:sz w:val="21"/>
                <w:szCs w:val="21"/>
                <w:lang w:val="en-US" w:eastAsia="zh-CN"/>
              </w:rPr>
              <w:t>分</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eastAsia="宋体"/>
                <w:spacing w:val="0"/>
                <w:kern w:val="2"/>
                <w:sz w:val="21"/>
                <w:szCs w:val="21"/>
                <w:lang w:val="en-US" w:eastAsia="zh-CN"/>
              </w:rPr>
            </w:pPr>
            <w:r>
              <w:rPr>
                <w:rFonts w:hint="eastAsia" w:ascii="宋体" w:hAnsi="宋体" w:eastAsia="宋体"/>
                <w:b/>
                <w:bCs/>
                <w:spacing w:val="0"/>
                <w:kern w:val="2"/>
                <w:sz w:val="21"/>
                <w:szCs w:val="21"/>
                <w:lang w:val="en-US" w:eastAsia="zh-CN"/>
              </w:rPr>
              <w:t>第二个信封（报价文件）评分分值构成：</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cs="MingLiU"/>
                <w:sz w:val="21"/>
                <w:szCs w:val="21"/>
                <w:lang w:val="en-US" w:eastAsia="zh-CN"/>
              </w:rPr>
            </w:pPr>
            <w:r>
              <w:rPr>
                <w:rFonts w:hint="eastAsia" w:ascii="宋体" w:hAnsi="宋体" w:eastAsia="宋体" w:cs="宋体"/>
                <w:kern w:val="2"/>
                <w:sz w:val="21"/>
                <w:szCs w:val="21"/>
                <w:lang w:val="en-US" w:eastAsia="zh-CN"/>
              </w:rPr>
              <w:t>评标价：</w:t>
            </w:r>
            <w:r>
              <w:rPr>
                <w:rFonts w:hint="eastAsia" w:ascii="宋体" w:hAnsi="宋体" w:eastAsia="宋体" w:cs="宋体"/>
                <w:kern w:val="2"/>
                <w:sz w:val="21"/>
                <w:szCs w:val="21"/>
                <w:u w:val="single"/>
                <w:lang w:val="en-US" w:eastAsia="zh-CN"/>
              </w:rPr>
              <w:t>10-</w:t>
            </w:r>
            <w:r>
              <w:rPr>
                <w:rFonts w:hint="eastAsia" w:ascii="宋体" w:hAnsi="宋体" w:eastAsia="宋体" w:cs="宋体"/>
                <w:spacing w:val="0"/>
                <w:kern w:val="2"/>
                <w:sz w:val="21"/>
                <w:szCs w:val="21"/>
                <w:u w:val="single"/>
                <w:lang w:val="en-US" w:eastAsia="zh-CN"/>
              </w:rPr>
              <w:t>25</w:t>
            </w:r>
            <w:r>
              <w:rPr>
                <w:rFonts w:hint="eastAsia" w:ascii="宋体" w:hAnsi="宋体" w:eastAsia="宋体" w:cs="宋体"/>
                <w:kern w:val="2"/>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gridSpan w:val="2"/>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Style w:val="532"/>
                <w:rFonts w:hint="default" w:ascii="宋体" w:hAnsi="宋体" w:eastAsia="宋体"/>
                <w:b w:val="0"/>
                <w:sz w:val="21"/>
                <w:szCs w:val="21"/>
                <w:lang w:val="zh-CN" w:eastAsia="zh-CN"/>
              </w:rPr>
            </w:pPr>
            <w:r>
              <w:rPr>
                <w:rFonts w:hint="default" w:ascii="宋体" w:hAnsi="宋体"/>
                <w:sz w:val="21"/>
                <w:szCs w:val="21"/>
                <w:lang w:val="zh-CN" w:eastAsia="zh-CN"/>
              </w:rPr>
              <w:t>2.2.2</w:t>
            </w:r>
          </w:p>
        </w:tc>
        <w:tc>
          <w:tcPr>
            <w:tcW w:w="1463" w:type="dxa"/>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Style w:val="387"/>
                <w:rFonts w:hint="eastAsia" w:ascii="宋体" w:hAnsi="宋体" w:eastAsia="宋体"/>
                <w:sz w:val="21"/>
                <w:szCs w:val="21"/>
                <w:lang w:val="zh-CN" w:eastAsia="zh-CN"/>
              </w:rPr>
            </w:pPr>
            <w:r>
              <w:rPr>
                <w:rFonts w:hint="default" w:ascii="宋体" w:hAnsi="宋体" w:eastAsia="宋体"/>
                <w:sz w:val="21"/>
                <w:szCs w:val="21"/>
                <w:lang w:val="zh-CN" w:eastAsia="zh-CN"/>
              </w:rPr>
              <w:t>评标基准价计算方法</w:t>
            </w:r>
          </w:p>
        </w:tc>
        <w:tc>
          <w:tcPr>
            <w:tcW w:w="663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cs="Times New Roman"/>
                <w:color w:val="auto"/>
                <w:kern w:val="2"/>
                <w:sz w:val="21"/>
                <w:szCs w:val="21"/>
                <w:lang w:val="en-US"/>
              </w:rPr>
            </w:pPr>
            <w:r>
              <w:rPr>
                <w:rFonts w:hint="default" w:ascii="宋体" w:hAnsi="宋体" w:cs="Times New Roman"/>
                <w:b/>
                <w:bCs/>
                <w:color w:val="auto"/>
                <w:kern w:val="2"/>
                <w:sz w:val="21"/>
                <w:szCs w:val="21"/>
                <w:lang w:val="en-US"/>
              </w:rPr>
              <w:t>评标基准价的计算：</w:t>
            </w:r>
            <w:r>
              <w:rPr>
                <w:rFonts w:hint="eastAsia" w:ascii="宋体" w:hAnsi="宋体" w:cs="Times New Roman"/>
                <w:b/>
                <w:bCs/>
                <w:color w:val="auto"/>
                <w:kern w:val="2"/>
                <w:sz w:val="21"/>
                <w:szCs w:val="21"/>
                <w:lang w:val="en-US"/>
              </w:rPr>
              <w:t>（方案一）</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left"/>
              <w:textAlignment w:val="auto"/>
              <w:rPr>
                <w:rFonts w:hint="default" w:ascii="宋体" w:hAnsi="宋体" w:eastAsia="宋体"/>
                <w:sz w:val="21"/>
                <w:szCs w:val="21"/>
                <w:lang w:val="zh-CN" w:eastAsia="zh-CN"/>
              </w:rPr>
            </w:pPr>
            <w:r>
              <w:rPr>
                <w:rStyle w:val="387"/>
                <w:rFonts w:hint="eastAsia" w:ascii="宋体" w:hAnsi="宋体" w:eastAsia="宋体"/>
                <w:sz w:val="21"/>
                <w:szCs w:val="21"/>
                <w:lang w:val="zh-CN" w:eastAsia="zh-CN"/>
              </w:rPr>
              <w:t>在开标现场，招标人将当场计算并宣布评标基准价。</w:t>
            </w:r>
          </w:p>
          <w:p>
            <w:pPr>
              <w:pStyle w:val="215"/>
              <w:keepNext w:val="0"/>
              <w:keepLines w:val="0"/>
              <w:pageBreakBefore w:val="0"/>
              <w:widowControl w:val="0"/>
              <w:suppressLineNumbers w:val="0"/>
              <w:shd w:val="clear" w:color="auto" w:fill="auto"/>
              <w:tabs>
                <w:tab w:val="left" w:pos="413"/>
              </w:tabs>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eastAsia="宋体"/>
                <w:sz w:val="21"/>
                <w:szCs w:val="21"/>
                <w:lang w:val="zh-CN" w:eastAsia="zh-CN"/>
              </w:rPr>
            </w:pPr>
            <w:r>
              <w:rPr>
                <w:rStyle w:val="387"/>
                <w:rFonts w:hint="eastAsia" w:ascii="宋体" w:hAnsi="宋体" w:eastAsia="宋体"/>
                <w:sz w:val="21"/>
                <w:szCs w:val="21"/>
                <w:lang w:val="en-US" w:eastAsia="zh-CN"/>
              </w:rPr>
              <w:t>(1)</w:t>
            </w:r>
            <w:r>
              <w:rPr>
                <w:rStyle w:val="387"/>
                <w:rFonts w:hint="eastAsia" w:ascii="宋体" w:hAnsi="宋体" w:eastAsia="宋体"/>
                <w:sz w:val="21"/>
                <w:szCs w:val="21"/>
                <w:lang w:val="zh-CN" w:eastAsia="zh-CN"/>
              </w:rPr>
              <w:t>评标价的确定：</w:t>
            </w:r>
          </w:p>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left"/>
              <w:textAlignment w:val="auto"/>
              <w:rPr>
                <w:rStyle w:val="387"/>
                <w:rFonts w:hint="default" w:ascii="宋体" w:hAnsi="Times New Roman" w:eastAsia="宋体"/>
                <w:sz w:val="21"/>
                <w:szCs w:val="21"/>
                <w:lang w:val="zh-CN" w:eastAsia="zh-CN"/>
              </w:rPr>
            </w:pPr>
            <w:r>
              <w:rPr>
                <w:rStyle w:val="387"/>
                <w:rFonts w:hint="eastAsia" w:ascii="宋体" w:hAnsi="宋体" w:eastAsia="宋体"/>
                <w:sz w:val="21"/>
                <w:szCs w:val="21"/>
                <w:lang w:val="zh-CN" w:eastAsia="zh-CN"/>
              </w:rPr>
              <w:t>评标价</w:t>
            </w:r>
            <w:r>
              <w:rPr>
                <w:rStyle w:val="387"/>
                <w:rFonts w:hint="default" w:ascii="宋体" w:hAnsi="宋体" w:eastAsia="宋体"/>
                <w:sz w:val="21"/>
                <w:szCs w:val="21"/>
                <w:lang w:val="zh-CN" w:eastAsia="zh-CN"/>
              </w:rPr>
              <w:t>=</w:t>
            </w:r>
            <w:r>
              <w:rPr>
                <w:rStyle w:val="387"/>
                <w:rFonts w:hint="eastAsia" w:ascii="宋体" w:hAnsi="宋体" w:eastAsia="宋体"/>
                <w:sz w:val="21"/>
                <w:szCs w:val="21"/>
                <w:lang w:val="zh-CN" w:eastAsia="zh-CN"/>
              </w:rPr>
              <w:t>投标函文字报价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cs="Times New Roman"/>
                <w:color w:val="auto"/>
                <w:kern w:val="2"/>
                <w:sz w:val="21"/>
                <w:szCs w:val="21"/>
                <w:lang w:val="en-US"/>
              </w:rPr>
            </w:pP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2</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确定参与评标基准价计算的评标价平均值计算：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①参与评标基准价计算的评标价范围：</w:t>
            </w:r>
            <w:r>
              <w:rPr>
                <w:rFonts w:hint="eastAsia" w:ascii="宋体" w:hAnsi="宋体" w:cs="Times New Roman"/>
                <w:color w:val="auto"/>
                <w:kern w:val="2"/>
                <w:sz w:val="21"/>
                <w:szCs w:val="21"/>
                <w:lang w:val="en-US"/>
              </w:rPr>
              <w:t>最高投标限价的85%≤</w:t>
            </w:r>
            <w:r>
              <w:rPr>
                <w:rFonts w:hint="eastAsia" w:ascii="宋体" w:hAnsi="宋体" w:cs="Times New Roman"/>
                <w:snapToGrid w:val="0"/>
                <w:color w:val="auto"/>
                <w:kern w:val="2"/>
                <w:sz w:val="21"/>
                <w:szCs w:val="21"/>
                <w:lang w:val="en-US"/>
              </w:rPr>
              <w:t>参与评标基准价计算的评标价</w:t>
            </w:r>
            <w:r>
              <w:rPr>
                <w:rFonts w:hint="eastAsia" w:ascii="宋体" w:hAnsi="宋体" w:cs="Times New Roman"/>
                <w:color w:val="auto"/>
                <w:kern w:val="2"/>
                <w:sz w:val="21"/>
                <w:szCs w:val="21"/>
                <w:lang w:val="en-US"/>
              </w:rPr>
              <w:t>≤最高投标限价的100%，小于最高投标限价85%</w:t>
            </w:r>
            <w:r>
              <w:rPr>
                <w:rFonts w:hint="eastAsia" w:ascii="宋体" w:hAnsi="宋体" w:cs="Times New Roman"/>
                <w:snapToGrid w:val="0"/>
                <w:color w:val="auto"/>
                <w:kern w:val="2"/>
                <w:sz w:val="21"/>
                <w:szCs w:val="21"/>
                <w:lang w:val="en-US"/>
              </w:rPr>
              <w:t>的评标价不参与评标基准价的计算，但仍参与评标价的得分计算</w:t>
            </w:r>
            <w:r>
              <w:rPr>
                <w:rFonts w:hint="eastAsia" w:ascii="宋体" w:hAnsi="宋体" w:cs="Times New Roman"/>
                <w:color w:val="auto"/>
                <w:kern w:val="2"/>
                <w:sz w:val="21"/>
                <w:szCs w:val="21"/>
                <w:lang w:val="en-US"/>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②参与评标基准价计算的有效评标价的算术平均值：</w:t>
            </w:r>
            <w:r>
              <w:rPr>
                <w:rStyle w:val="387"/>
                <w:rFonts w:hint="eastAsia" w:ascii="宋体" w:hAnsi="宋体" w:eastAsia="宋体"/>
                <w:color w:val="auto"/>
                <w:sz w:val="21"/>
                <w:szCs w:val="21"/>
              </w:rPr>
              <w:t>除按第二章“投标人须知”第</w:t>
            </w:r>
            <w:r>
              <w:rPr>
                <w:rStyle w:val="387"/>
                <w:rFonts w:hint="default" w:ascii="宋体" w:hAnsi="宋体" w:eastAsia="宋体"/>
                <w:color w:val="auto"/>
                <w:sz w:val="21"/>
                <w:szCs w:val="21"/>
              </w:rPr>
              <w:t>5.2.4</w:t>
            </w:r>
            <w:r>
              <w:rPr>
                <w:rStyle w:val="387"/>
                <w:rFonts w:hint="eastAsia" w:ascii="宋体" w:hAnsi="宋体" w:eastAsia="宋体"/>
                <w:color w:val="auto"/>
                <w:sz w:val="21"/>
                <w:szCs w:val="21"/>
              </w:rPr>
              <w:t>项规定开标现场被宣布为不进入评标基准价计算的投标报价之外</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在上述确定的</w:t>
            </w:r>
            <w:r>
              <w:rPr>
                <w:rFonts w:hint="eastAsia" w:ascii="宋体" w:hAnsi="宋体" w:cs="Times New Roman"/>
                <w:snapToGrid w:val="0"/>
                <w:color w:val="auto"/>
                <w:kern w:val="2"/>
                <w:sz w:val="21"/>
                <w:szCs w:val="21"/>
                <w:lang w:val="en-US"/>
              </w:rPr>
              <w:t>参与评标基准价计算的评标价中</w:t>
            </w:r>
            <w:r>
              <w:rPr>
                <w:rFonts w:hint="default" w:ascii="宋体" w:hAnsi="宋体" w:cs="Times New Roman"/>
                <w:color w:val="auto"/>
                <w:kern w:val="2"/>
                <w:sz w:val="21"/>
                <w:szCs w:val="21"/>
                <w:lang w:val="en-US"/>
              </w:rPr>
              <w:t>去掉一个最高值和一个最低值后的算术平均值即为</w:t>
            </w:r>
            <w:r>
              <w:rPr>
                <w:rFonts w:hint="eastAsia" w:ascii="宋体" w:hAnsi="宋体" w:cs="Times New Roman"/>
                <w:snapToGrid w:val="0"/>
                <w:color w:val="auto"/>
                <w:kern w:val="2"/>
                <w:sz w:val="21"/>
                <w:szCs w:val="21"/>
                <w:lang w:val="en-US"/>
              </w:rPr>
              <w:t>参与评标基准价计算的有效评标价的算术平均值</w:t>
            </w:r>
            <w:r>
              <w:rPr>
                <w:rFonts w:hint="default" w:ascii="宋体" w:hAnsi="宋体" w:cs="Times New Roman"/>
                <w:color w:val="auto"/>
                <w:kern w:val="2"/>
                <w:sz w:val="21"/>
                <w:szCs w:val="21"/>
                <w:lang w:val="en-US"/>
              </w:rPr>
              <w:t>(如果参与评标价平均值计算的有效投标人少于</w:t>
            </w:r>
            <w:r>
              <w:rPr>
                <w:rFonts w:hint="eastAsia" w:ascii="宋体" w:hAnsi="宋体" w:cs="Times New Roman"/>
                <w:color w:val="auto"/>
                <w:kern w:val="2"/>
                <w:sz w:val="21"/>
                <w:szCs w:val="21"/>
                <w:lang w:val="en-US"/>
              </w:rPr>
              <w:t>5</w:t>
            </w:r>
            <w:r>
              <w:rPr>
                <w:rFonts w:hint="default" w:ascii="宋体" w:hAnsi="宋体" w:cs="Times New Roman"/>
                <w:color w:val="auto"/>
                <w:kern w:val="2"/>
                <w:sz w:val="21"/>
                <w:szCs w:val="21"/>
                <w:lang w:val="en-US"/>
              </w:rPr>
              <w:t>家时，则计算</w:t>
            </w:r>
            <w:r>
              <w:rPr>
                <w:rFonts w:hint="eastAsia" w:ascii="宋体" w:hAnsi="宋体" w:cs="Times New Roman"/>
                <w:color w:val="auto"/>
                <w:kern w:val="2"/>
                <w:sz w:val="21"/>
                <w:szCs w:val="21"/>
                <w:lang w:val="en-US"/>
              </w:rPr>
              <w:t>上述</w:t>
            </w:r>
            <w:r>
              <w:rPr>
                <w:rFonts w:hint="default" w:ascii="宋体" w:hAnsi="宋体" w:cs="Times New Roman"/>
                <w:color w:val="auto"/>
                <w:kern w:val="2"/>
                <w:sz w:val="21"/>
                <w:szCs w:val="21"/>
                <w:lang w:val="en-US"/>
              </w:rPr>
              <w:t>平均值时不去掉最高值和最低值)；</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420" w:firstLineChars="200"/>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若投标人的评标价均小于最高投标限价的85%时，则以最高投标限价的85%为评标基准价 ，同时可对评标价小于最高投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w:t>
            </w:r>
            <w:r>
              <w:rPr>
                <w:rFonts w:hint="default" w:ascii="宋体" w:hAnsi="宋体" w:cs="Times New Roman"/>
                <w:color w:val="auto"/>
                <w:kern w:val="2"/>
                <w:sz w:val="21"/>
                <w:szCs w:val="21"/>
                <w:lang w:val="en-US"/>
              </w:rPr>
              <w:t>可以否决全部投标</w:t>
            </w:r>
            <w:r>
              <w:rPr>
                <w:rFonts w:hint="eastAsia" w:ascii="宋体" w:hAnsi="宋体" w:cs="Times New Roman"/>
                <w:color w:val="auto"/>
                <w:kern w:val="2"/>
                <w:sz w:val="21"/>
                <w:szCs w:val="21"/>
                <w:lang w:val="en-US"/>
              </w:rPr>
              <w:t>。</w:t>
            </w:r>
            <w:r>
              <w:rPr>
                <w:rFonts w:hint="default" w:ascii="宋体" w:hAnsi="宋体" w:cs="Times New Roman"/>
                <w:color w:val="auto"/>
                <w:kern w:val="2"/>
                <w:sz w:val="21"/>
                <w:szCs w:val="21"/>
                <w:lang w:val="en-US"/>
              </w:rPr>
              <w:t>未否决全部投标的，评标委员会应当在评标报告中阐明理由</w:t>
            </w:r>
            <w:r>
              <w:rPr>
                <w:rFonts w:hint="eastAsia" w:ascii="宋体" w:hAnsi="宋体" w:cs="Times New Roman"/>
                <w:color w:val="auto"/>
                <w:kern w:val="2"/>
                <w:sz w:val="21"/>
                <w:szCs w:val="21"/>
                <w:lang w:val="en-US"/>
              </w:rPr>
              <w:t>并推荐中标候选人。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420" w:firstLineChars="200"/>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即使某投标文件第二个信封未通过形式评审与响应性评审,如其报价处于参与评标基准价计算的评标价的有效范围内，其评标价仍应参与有效评标价平均值的计算。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eastAsia" w:ascii="宋体" w:hAnsi="宋体" w:cs="Times New Roman"/>
                <w:color w:val="auto"/>
                <w:kern w:val="2"/>
                <w:sz w:val="21"/>
                <w:szCs w:val="21"/>
                <w:lang w:val="en-US"/>
              </w:rPr>
            </w:pP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3</w:t>
            </w:r>
            <w:r>
              <w:rPr>
                <w:rFonts w:hint="default" w:ascii="宋体" w:hAnsi="宋体" w:cs="Times New Roman"/>
                <w:color w:val="auto"/>
                <w:kern w:val="2"/>
                <w:sz w:val="21"/>
                <w:szCs w:val="21"/>
                <w:lang w:val="en-US"/>
              </w:rPr>
              <w:t>)评标基准价的确定</w:t>
            </w:r>
            <w:r>
              <w:rPr>
                <w:rFonts w:hint="eastAsia" w:ascii="宋体" w:hAnsi="宋体" w:cs="Times New Roman"/>
                <w:color w:val="auto"/>
                <w:kern w:val="2"/>
                <w:sz w:val="21"/>
                <w:szCs w:val="21"/>
                <w:lang w:val="en-US"/>
              </w:rPr>
              <w:t>：（选择以下方法之一）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方法一：将参与评标基准价计算的有效评标价的平均值直接作为评标基准价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default" w:ascii="宋体" w:hAnsi="宋体" w:cs="Times New Roman"/>
                <w:snapToGrid w:val="0"/>
                <w:color w:val="auto"/>
                <w:kern w:val="2"/>
                <w:sz w:val="21"/>
                <w:szCs w:val="21"/>
                <w:lang w:val="en-US"/>
              </w:rPr>
              <w:t>方法</w:t>
            </w:r>
            <w:r>
              <w:rPr>
                <w:rFonts w:hint="eastAsia" w:ascii="宋体" w:hAnsi="宋体" w:cs="Times New Roman"/>
                <w:snapToGrid w:val="0"/>
                <w:color w:val="auto"/>
                <w:kern w:val="2"/>
                <w:sz w:val="21"/>
                <w:szCs w:val="21"/>
                <w:lang w:val="en-US"/>
              </w:rPr>
              <w:t>二</w:t>
            </w:r>
            <w:r>
              <w:rPr>
                <w:rFonts w:hint="default"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(M×</w:t>
            </w:r>
            <w:r>
              <w:rPr>
                <w:rFonts w:hint="eastAsia" w:ascii="宋体" w:hAnsi="宋体" w:cs="Times New Roman"/>
                <w:color w:val="auto"/>
                <w:kern w:val="2"/>
                <w:sz w:val="21"/>
                <w:szCs w:val="21"/>
                <w:lang w:val="en-US"/>
              </w:rPr>
              <w:t>最高投标限价</w:t>
            </w:r>
            <w:r>
              <w:rPr>
                <w:rFonts w:hint="eastAsia" w:ascii="宋体" w:hAnsi="宋体" w:cs="Times New Roman"/>
                <w:snapToGrid w:val="0"/>
                <w:color w:val="auto"/>
                <w:kern w:val="2"/>
                <w:sz w:val="21"/>
                <w:szCs w:val="21"/>
                <w:lang w:val="en-US"/>
              </w:rPr>
              <w:t>+N×参与评标基准价计算的有效评标价的平均值）</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Fonts w:hint="default" w:ascii="宋体" w:hAnsi="宋体" w:cs="Times New Roman"/>
                <w:snapToGrid w:val="0"/>
                <w:color w:val="auto"/>
                <w:kern w:val="2"/>
                <w:sz w:val="21"/>
                <w:szCs w:val="21"/>
                <w:u w:val="single"/>
                <w:lang w:val="en-US"/>
              </w:rPr>
            </w:pPr>
            <w:r>
              <w:rPr>
                <w:rFonts w:hint="eastAsia" w:ascii="宋体" w:hAnsi="宋体" w:cs="Times New Roman"/>
                <w:snapToGrid w:val="0"/>
                <w:color w:val="auto"/>
                <w:kern w:val="2"/>
                <w:sz w:val="21"/>
                <w:szCs w:val="21"/>
                <w:lang w:val="en-US"/>
              </w:rPr>
              <w:t>（M可选择</w:t>
            </w:r>
            <w:r>
              <w:rPr>
                <w:rFonts w:hint="eastAsia" w:ascii="宋体" w:hAnsi="宋体" w:cs="Times New Roman"/>
                <w:snapToGrid w:val="0"/>
                <w:color w:val="auto"/>
                <w:kern w:val="2"/>
                <w:sz w:val="21"/>
                <w:szCs w:val="21"/>
                <w:u w:val="single"/>
                <w:lang w:val="en-US"/>
              </w:rPr>
              <w:t>0.7、0.8、0.9、1，N</w:t>
            </w:r>
            <w:r>
              <w:rPr>
                <w:rFonts w:hint="eastAsia" w:ascii="宋体" w:hAnsi="宋体" w:cs="Times New Roman"/>
                <w:snapToGrid w:val="0"/>
                <w:color w:val="auto"/>
                <w:kern w:val="2"/>
                <w:sz w:val="21"/>
                <w:szCs w:val="21"/>
                <w:lang w:val="en-US"/>
              </w:rPr>
              <w:t>可对应选择</w:t>
            </w:r>
            <w:r>
              <w:rPr>
                <w:rFonts w:hint="eastAsia" w:ascii="宋体" w:hAnsi="宋体" w:cs="Times New Roman"/>
                <w:snapToGrid w:val="0"/>
                <w:color w:val="auto"/>
                <w:kern w:val="2"/>
                <w:sz w:val="21"/>
                <w:szCs w:val="21"/>
                <w:u w:val="single"/>
                <w:lang w:val="en-US"/>
              </w:rPr>
              <w:t>0.3、0.2、0.1、0,且M+N=1</w:t>
            </w:r>
            <w:r>
              <w:rPr>
                <w:rFonts w:hint="default" w:ascii="宋体" w:hAnsi="宋体" w:cs="Times New Roman"/>
                <w:snapToGrid w:val="0"/>
                <w:color w:val="auto"/>
                <w:kern w:val="2"/>
                <w:sz w:val="21"/>
                <w:szCs w:val="21"/>
                <w:u w:val="single"/>
                <w:lang w:val="en-US"/>
              </w:rPr>
              <w:t>）</w:t>
            </w:r>
          </w:p>
          <w:p>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48" w:leftChars="20" w:right="48" w:rightChars="20" w:firstLine="420" w:firstLineChars="200"/>
              <w:textAlignment w:val="auto"/>
              <w:rPr>
                <w:rFonts w:hint="eastAsia" w:ascii="Times New Roman" w:hAnsi="Times New Roman"/>
                <w:lang w:val="en-US" w:eastAsia="zh-CN"/>
              </w:rPr>
            </w:pPr>
            <w:r>
              <w:rPr>
                <w:rFonts w:hint="eastAsia" w:ascii="Times New Roman" w:hAnsi="Times New Roman"/>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48" w:leftChars="20" w:right="48" w:rightChars="20"/>
              <w:textAlignment w:val="auto"/>
              <w:rPr>
                <w:rFonts w:hint="eastAsia" w:ascii="Times New Roman" w:hAnsi="Times New Roman"/>
                <w:lang w:val="en-US" w:eastAsia="zh-CN"/>
              </w:rPr>
            </w:pPr>
            <w:r>
              <w:rPr>
                <w:rFonts w:hint="eastAsia" w:ascii="Times New Roman" w:hAnsi="Times New Roman"/>
                <w:lang w:val="en-US" w:eastAsia="zh-CN"/>
              </w:rPr>
              <w:t>备注：评标基准价四舍五入至个位整数。</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default" w:ascii="宋体" w:hAnsi="宋体" w:cs="Times New Roman"/>
                <w:snapToGrid w:val="0"/>
                <w:color w:val="auto"/>
                <w:kern w:val="2"/>
                <w:sz w:val="21"/>
                <w:szCs w:val="21"/>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6" w:firstLineChars="150"/>
              <w:jc w:val="both"/>
              <w:textAlignment w:val="auto"/>
              <w:rPr>
                <w:rFonts w:hint="eastAsia" w:ascii="宋体" w:hAnsi="宋体" w:cs="Times New Roman"/>
                <w:snapToGrid w:val="0"/>
                <w:color w:val="auto"/>
                <w:kern w:val="2"/>
                <w:sz w:val="21"/>
                <w:szCs w:val="21"/>
                <w:lang w:val="en-US"/>
              </w:rPr>
            </w:pPr>
            <w:r>
              <w:rPr>
                <w:rFonts w:hint="default" w:ascii="宋体" w:hAnsi="宋体" w:cs="Times New Roman"/>
                <w:b/>
                <w:bCs/>
                <w:snapToGrid w:val="0"/>
                <w:color w:val="auto"/>
                <w:kern w:val="2"/>
                <w:sz w:val="21"/>
                <w:szCs w:val="21"/>
                <w:lang w:val="en-US"/>
              </w:rPr>
              <w:t>评标基准价的计算：</w:t>
            </w:r>
            <w:r>
              <w:rPr>
                <w:rFonts w:hint="eastAsia" w:ascii="宋体" w:hAnsi="宋体" w:cs="Times New Roman"/>
                <w:b/>
                <w:bCs/>
                <w:snapToGrid w:val="0"/>
                <w:color w:val="auto"/>
                <w:kern w:val="2"/>
                <w:sz w:val="21"/>
                <w:szCs w:val="21"/>
                <w:lang w:val="en-US"/>
              </w:rPr>
              <w:t>（方案二）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在开标现场，招标人将当场计算并宣布评标基准价。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(1)评标价的确定：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评标价</w:t>
            </w:r>
            <w:r>
              <w:rPr>
                <w:rFonts w:hint="default"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投标函文字报价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(2)评标基准价=最高投标限价×（1-下浮率）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420" w:firstLineChars="20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下浮率在开标前在开标现场采取逐标段摇珠方式确定。摇珠操作办法如下：在下浮率摇珠范围内，以0.1%为一档次增序确定摇珠号码，不少于31个球，每个标段各一次性摇出3个球（</w:t>
            </w:r>
            <w:r>
              <w:rPr>
                <w:rFonts w:hint="eastAsia" w:ascii="宋体" w:hAnsi="宋体" w:cs="Times New Roman"/>
                <w:snapToGrid w:val="0"/>
                <w:color w:val="auto"/>
                <w:kern w:val="2"/>
                <w:sz w:val="21"/>
                <w:szCs w:val="21"/>
                <w:lang w:val="en-US" w:eastAsia="zh-CN"/>
              </w:rPr>
              <w:t>摇出的球</w:t>
            </w:r>
            <w:r>
              <w:rPr>
                <w:rFonts w:hint="eastAsia" w:ascii="宋体" w:hAnsi="宋体" w:cs="Times New Roman"/>
                <w:snapToGrid w:val="0"/>
                <w:color w:val="auto"/>
                <w:kern w:val="2"/>
                <w:sz w:val="21"/>
                <w:szCs w:val="21"/>
                <w:lang w:val="en-US"/>
              </w:rPr>
              <w:t>不放回），摇出3个球对应的下浮率的平均值即为本标段招标的下浮率。（注：下浮率摇珠区间差值以3至5个百分点为宜，三个下浮率的平均值四舍五入取整到0.001％）</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最高投标限价、下浮率有效范围可在投标文件递交截止日15天前以书面补遗书的形式通知各投标人。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48" w:leftChars="20" w:right="48" w:rightChars="20" w:firstLine="315" w:firstLineChars="150"/>
              <w:textAlignment w:val="auto"/>
              <w:rPr>
                <w:rStyle w:val="532"/>
                <w:rFonts w:hint="eastAsia" w:ascii="宋体" w:hAnsi="Times New Roman" w:eastAsia="等线"/>
                <w:b w:val="0"/>
                <w:sz w:val="21"/>
                <w:szCs w:val="21"/>
              </w:rPr>
            </w:pPr>
            <w:r>
              <w:rPr>
                <w:rFonts w:hint="eastAsia" w:ascii="宋体" w:hAnsi="宋体" w:cs="Times New Roman"/>
                <w:snapToGrid w:val="0"/>
                <w:color w:val="auto"/>
                <w:kern w:val="2"/>
                <w:sz w:val="21"/>
                <w:szCs w:val="21"/>
                <w:lang w:val="en-US"/>
              </w:rPr>
              <w:t>备注：评标基准价四舍五入至个位整数。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gridSpan w:val="2"/>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sz w:val="21"/>
                <w:szCs w:val="21"/>
                <w:lang w:val="zh-CN" w:eastAsia="zh-CN"/>
              </w:rPr>
            </w:pPr>
            <w:r>
              <w:rPr>
                <w:rFonts w:hint="default" w:ascii="宋体" w:hAnsi="宋体"/>
                <w:sz w:val="21"/>
                <w:szCs w:val="21"/>
                <w:lang w:val="zh-CN" w:eastAsia="zh-CN"/>
              </w:rPr>
              <w:t>2.2.3</w:t>
            </w:r>
          </w:p>
        </w:tc>
        <w:tc>
          <w:tcPr>
            <w:tcW w:w="1463" w:type="dxa"/>
            <w:noWrap w:val="0"/>
            <w:vAlign w:val="center"/>
          </w:tcPr>
          <w:p>
            <w:pPr>
              <w:pStyle w:val="215"/>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auto"/>
              <w:ind w:left="48" w:leftChars="20" w:right="48" w:rightChars="20"/>
              <w:jc w:val="center"/>
              <w:textAlignment w:val="auto"/>
              <w:rPr>
                <w:rFonts w:hint="default" w:ascii="宋体" w:hAnsi="宋体" w:eastAsia="宋体"/>
                <w:sz w:val="21"/>
                <w:szCs w:val="21"/>
                <w:lang w:val="zh-CN" w:eastAsia="zh-CN"/>
              </w:rPr>
            </w:pPr>
            <w:r>
              <w:rPr>
                <w:rFonts w:hint="default" w:ascii="宋体" w:hAnsi="宋体" w:eastAsia="宋体"/>
                <w:sz w:val="21"/>
                <w:szCs w:val="21"/>
                <w:lang w:val="zh-CN" w:eastAsia="zh-CN"/>
              </w:rPr>
              <w:t>评标价的偏差率计算公式</w:t>
            </w:r>
          </w:p>
        </w:tc>
        <w:tc>
          <w:tcPr>
            <w:tcW w:w="663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8" w:leftChars="20" w:right="48" w:rightChars="20"/>
              <w:jc w:val="both"/>
              <w:textAlignment w:val="auto"/>
              <w:rPr>
                <w:rFonts w:hint="default" w:ascii="宋体" w:hAnsi="宋体" w:cs="Times New Roman"/>
                <w:color w:val="auto"/>
                <w:kern w:val="2"/>
                <w:sz w:val="21"/>
                <w:szCs w:val="21"/>
                <w:lang w:val="en-US"/>
              </w:rPr>
            </w:pPr>
            <w:r>
              <w:rPr>
                <w:rFonts w:hint="default" w:ascii="宋体" w:hAnsi="宋体"/>
                <w:color w:val="auto"/>
                <w:sz w:val="21"/>
                <w:szCs w:val="21"/>
              </w:rPr>
              <w:t>偏差率=100%×(投标人评标价－评标基准价)/评标基准价</w:t>
            </w:r>
          </w:p>
        </w:tc>
      </w:tr>
    </w:tbl>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jc w:val="right"/>
        <w:rPr>
          <w:rStyle w:val="649"/>
          <w:rFonts w:hint="eastAsia" w:ascii="宋体" w:hAnsi="宋体" w:eastAsia="宋体"/>
          <w:b/>
          <w:bCs/>
          <w:color w:val="auto"/>
          <w:sz w:val="24"/>
          <w:szCs w:val="24"/>
        </w:rPr>
      </w:pPr>
      <w:r>
        <w:rPr>
          <w:rStyle w:val="649"/>
          <w:rFonts w:hint="eastAsia" w:ascii="宋体" w:hAnsi="宋体" w:eastAsia="宋体"/>
          <w:b/>
          <w:bCs/>
          <w:color w:val="auto"/>
          <w:sz w:val="24"/>
          <w:szCs w:val="24"/>
        </w:rPr>
        <w:br w:type="page"/>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772"/>
        <w:gridCol w:w="741"/>
        <w:gridCol w:w="850"/>
        <w:gridCol w:w="2525"/>
        <w:gridCol w:w="1417"/>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3" w:type="dxa"/>
            <w:gridSpan w:val="6"/>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b/>
                <w:bCs/>
                <w:color w:val="auto"/>
                <w:sz w:val="21"/>
                <w:szCs w:val="21"/>
              </w:rPr>
            </w:pPr>
            <w:r>
              <w:rPr>
                <w:rFonts w:hint="default" w:ascii="宋体" w:hAnsi="宋体"/>
                <w:b/>
                <w:bCs/>
                <w:color w:val="auto"/>
                <w:sz w:val="21"/>
                <w:szCs w:val="21"/>
              </w:rPr>
              <w:t>评分因素与权重分值</w:t>
            </w:r>
          </w:p>
        </w:tc>
        <w:tc>
          <w:tcPr>
            <w:tcW w:w="17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lang w:val="en-US"/>
              </w:rPr>
            </w:pPr>
            <w:r>
              <w:rPr>
                <w:rFonts w:hint="eastAsia" w:ascii="宋体" w:hAnsi="宋体"/>
                <w:b/>
                <w:bCs/>
                <w:color w:val="auto"/>
                <w:sz w:val="21"/>
                <w:szCs w:val="21"/>
                <w:lang w:val="en-US"/>
              </w:rPr>
              <w:t>评分标准</w:t>
            </w:r>
            <w:r>
              <w:rPr>
                <w:rStyle w:val="101"/>
                <w:rFonts w:hint="default" w:ascii="宋体" w:hAnsi="宋体"/>
                <w:sz w:val="32"/>
                <w:szCs w:val="32"/>
              </w:rPr>
              <w:footnoteReference w:id="6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条款号</w:t>
            </w:r>
          </w:p>
        </w:tc>
        <w:tc>
          <w:tcPr>
            <w:tcW w:w="1513"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评分因素</w:t>
            </w:r>
          </w:p>
        </w:tc>
        <w:tc>
          <w:tcPr>
            <w:tcW w:w="850"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评分因素权重分值</w:t>
            </w:r>
          </w:p>
        </w:tc>
        <w:tc>
          <w:tcPr>
            <w:tcW w:w="2525"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各评分因素细分项</w:t>
            </w:r>
          </w:p>
        </w:tc>
        <w:tc>
          <w:tcPr>
            <w:tcW w:w="1417"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分值</w:t>
            </w:r>
          </w:p>
        </w:tc>
        <w:tc>
          <w:tcPr>
            <w:tcW w:w="1758" w:type="dxa"/>
            <w:vMerge w:val="continue"/>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r>
              <w:rPr>
                <w:rFonts w:hint="eastAsia" w:ascii="宋体" w:hAnsi="宋体"/>
                <w:color w:val="auto"/>
                <w:sz w:val="21"/>
                <w:szCs w:val="21"/>
              </w:rPr>
              <w:t>1</w:t>
            </w:r>
            <w:r>
              <w:rPr>
                <w:rFonts w:hint="default" w:ascii="宋体" w:hAnsi="宋体"/>
                <w:color w:val="auto"/>
                <w:sz w:val="21"/>
                <w:szCs w:val="21"/>
              </w:rPr>
              <w:t>)</w:t>
            </w:r>
          </w:p>
        </w:tc>
        <w:tc>
          <w:tcPr>
            <w:tcW w:w="1513"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技术建议书</w:t>
            </w:r>
          </w:p>
        </w:tc>
        <w:tc>
          <w:tcPr>
            <w:tcW w:w="850"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hint="default" w:ascii="宋体" w:hAnsi="宋体"/>
                <w:color w:val="auto"/>
                <w:sz w:val="21"/>
                <w:szCs w:val="21"/>
              </w:rPr>
              <w:t>分</w:t>
            </w:r>
            <w:r>
              <w:rPr>
                <w:rStyle w:val="101"/>
                <w:rFonts w:hint="eastAsia" w:ascii="宋体" w:hAnsi="宋体" w:cs="Times New Roman"/>
                <w:color w:val="auto"/>
                <w:sz w:val="30"/>
                <w:lang w:val="en-US"/>
              </w:rPr>
              <w:footnoteReference w:id="64"/>
            </w: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lang w:val="en-US"/>
              </w:rPr>
            </w:pPr>
            <w:r>
              <w:rPr>
                <w:rFonts w:hint="default" w:ascii="宋体" w:hAnsi="宋体"/>
                <w:color w:val="auto"/>
                <w:sz w:val="21"/>
                <w:szCs w:val="21"/>
                <w:lang w:val="en-US"/>
              </w:rPr>
              <w:t>对勘察的目的、技术要求和工作量的理解</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rPr>
            </w:pPr>
            <w:r>
              <w:rPr>
                <w:rStyle w:val="461"/>
                <w:rFonts w:hint="eastAsia" w:ascii="宋体" w:hAnsi="宋体" w:eastAsia="宋体"/>
                <w:color w:val="auto"/>
                <w:sz w:val="21"/>
                <w:szCs w:val="21"/>
              </w:rPr>
              <w:t>总体勘察思路和组织管理</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rPr>
            </w:pPr>
            <w:r>
              <w:rPr>
                <w:rStyle w:val="461"/>
                <w:rFonts w:hint="eastAsia" w:ascii="宋体" w:hAnsi="宋体" w:eastAsia="宋体"/>
                <w:color w:val="auto"/>
                <w:sz w:val="21"/>
                <w:szCs w:val="21"/>
              </w:rPr>
              <w:t>拟投入现场和室内的仪器设备</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关键技术问题和难点及其解决方法</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质量管理措施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安全、环保与健康管理措施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工期与进度计划</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后续服务计划及保证措施</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260" w:lineRule="exact"/>
              <w:ind w:left="10" w:right="139" w:rightChars="58" w:hanging="10" w:hangingChars="5"/>
              <w:jc w:val="both"/>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p>
        </w:tc>
        <w:tc>
          <w:tcPr>
            <w:tcW w:w="1758" w:type="dxa"/>
            <w:noWrap w:val="0"/>
            <w:vAlign w:val="center"/>
          </w:tcPr>
          <w:p>
            <w:pPr>
              <w:keepNext w:val="0"/>
              <w:keepLines w:val="0"/>
              <w:suppressLineNumbers w:val="0"/>
              <w:spacing w:before="0" w:beforeAutospacing="0" w:after="0" w:afterAutospacing="0" w:line="260" w:lineRule="exact"/>
              <w:ind w:left="10" w:right="139" w:rightChars="58" w:hanging="10" w:hangingChars="5"/>
              <w:jc w:val="both"/>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default" w:ascii="宋体" w:hAnsi="宋体"/>
                <w:color w:val="auto"/>
                <w:sz w:val="21"/>
                <w:szCs w:val="21"/>
              </w:rPr>
              <w:t>2.2.4(2)</w:t>
            </w:r>
          </w:p>
        </w:tc>
        <w:tc>
          <w:tcPr>
            <w:tcW w:w="1513"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Style w:val="333"/>
                <w:rFonts w:hint="eastAsia" w:ascii="宋体" w:hAnsi="宋体" w:eastAsia="宋体"/>
                <w:color w:val="auto"/>
                <w:sz w:val="21"/>
                <w:szCs w:val="21"/>
                <w:lang w:val="en-US"/>
              </w:rPr>
              <w:t>主要人员</w:t>
            </w:r>
          </w:p>
        </w:tc>
        <w:tc>
          <w:tcPr>
            <w:tcW w:w="850" w:type="dxa"/>
            <w:vMerge w:val="restart"/>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hint="default" w:ascii="宋体" w:hAnsi="宋体"/>
                <w:color w:val="auto"/>
                <w:sz w:val="21"/>
                <w:szCs w:val="21"/>
              </w:rPr>
              <w:t>分</w:t>
            </w: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rPr>
              <w:t>项目负责人</w:t>
            </w:r>
            <w:r>
              <w:rPr>
                <w:rFonts w:hint="default" w:ascii="宋体" w:hAnsi="宋体"/>
                <w:color w:val="auto"/>
                <w:sz w:val="21"/>
                <w:szCs w:val="21"/>
              </w:rPr>
              <w:t>任职资格与业绩</w:t>
            </w:r>
          </w:p>
        </w:tc>
        <w:tc>
          <w:tcPr>
            <w:tcW w:w="1417"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u w:val="single"/>
                <w:lang w:val="en-US"/>
              </w:rPr>
              <w:t>各分项</w:t>
            </w:r>
            <w:r>
              <w:rPr>
                <w:rFonts w:hint="eastAsia" w:ascii="宋体" w:hAnsi="宋体"/>
                <w:color w:val="auto"/>
                <w:sz w:val="21"/>
                <w:szCs w:val="21"/>
                <w:u w:val="single"/>
              </w:rPr>
              <w:t>负责人</w:t>
            </w:r>
            <w:r>
              <w:rPr>
                <w:rFonts w:hint="default" w:ascii="宋体" w:hAnsi="宋体"/>
                <w:color w:val="auto"/>
                <w:sz w:val="21"/>
                <w:szCs w:val="21"/>
                <w:u w:val="single"/>
              </w:rPr>
              <w:t>任职资格与业绩</w:t>
            </w:r>
          </w:p>
        </w:tc>
        <w:tc>
          <w:tcPr>
            <w:tcW w:w="1417"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1513"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850"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c>
          <w:tcPr>
            <w:tcW w:w="1417"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8"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2.2.4(3)</w:t>
            </w:r>
          </w:p>
        </w:tc>
        <w:tc>
          <w:tcPr>
            <w:tcW w:w="1513"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Style w:val="333"/>
                <w:rFonts w:hint="default" w:ascii="宋体" w:hAnsi="Times New Roman" w:eastAsia="宋体"/>
                <w:color w:val="auto"/>
                <w:sz w:val="21"/>
                <w:szCs w:val="21"/>
              </w:rPr>
              <w:t>评标价</w:t>
            </w:r>
          </w:p>
        </w:tc>
        <w:tc>
          <w:tcPr>
            <w:tcW w:w="8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eastAsia" w:ascii="宋体" w:hAnsi="宋体"/>
                <w:color w:val="auto"/>
                <w:szCs w:val="21"/>
                <w:u w:val="single"/>
              </w:rPr>
              <w:t xml:space="preserve">   </w:t>
            </w:r>
            <w:r>
              <w:rPr>
                <w:rFonts w:hint="default" w:ascii="宋体" w:hAnsi="宋体"/>
                <w:color w:val="auto"/>
                <w:szCs w:val="21"/>
              </w:rPr>
              <w:t>分</w:t>
            </w:r>
          </w:p>
        </w:tc>
        <w:tc>
          <w:tcPr>
            <w:tcW w:w="5700" w:type="dxa"/>
            <w:gridSpan w:val="3"/>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default" w:ascii="宋体" w:hAnsi="宋体"/>
                <w:color w:val="auto"/>
                <w:sz w:val="21"/>
                <w:szCs w:val="21"/>
              </w:rPr>
              <w:t>评标价得分计算公式示例：</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default" w:ascii="宋体" w:hAnsi="宋体"/>
                <w:color w:val="auto"/>
                <w:sz w:val="21"/>
                <w:szCs w:val="21"/>
              </w:rPr>
              <w:t>(1)如果投标人的评标价&gt;评标基准价，则评标价得分＝F－偏差率×100×</w:t>
            </w:r>
            <w:r>
              <w:rPr>
                <w:rFonts w:hint="eastAsia" w:ascii="宋体" w:hAnsi="宋体"/>
                <w:color w:val="auto"/>
                <w:sz w:val="21"/>
                <w:szCs w:val="21"/>
              </w:rPr>
              <w:t>D1</w:t>
            </w:r>
            <w:r>
              <w:rPr>
                <w:rFonts w:hint="default" w:ascii="宋体" w:hAnsi="宋体"/>
                <w:color w:val="auto"/>
                <w:sz w:val="21"/>
                <w:szCs w:val="21"/>
              </w:rPr>
              <w:t>；</w:t>
            </w:r>
            <w:r>
              <w:rPr>
                <w:rFonts w:hint="eastAsia" w:ascii="宋体" w:hAnsi="宋体"/>
                <w:color w:val="auto"/>
                <w:sz w:val="21"/>
                <w:szCs w:val="21"/>
                <w:lang w:val="en-US"/>
              </w:rPr>
              <w:t>方案一时</w:t>
            </w:r>
            <w:r>
              <w:rPr>
                <w:rFonts w:hint="eastAsia" w:ascii="宋体" w:hAnsi="宋体"/>
                <w:color w:val="auto"/>
                <w:sz w:val="21"/>
                <w:szCs w:val="21"/>
              </w:rPr>
              <w:t>D1</w:t>
            </w:r>
            <w:r>
              <w:rPr>
                <w:rFonts w:hint="eastAsia" w:ascii="宋体" w:hAnsi="宋体"/>
                <w:color w:val="auto"/>
                <w:sz w:val="21"/>
                <w:szCs w:val="21"/>
                <w:lang w:val="en-US"/>
              </w:rPr>
              <w:t>宜</w:t>
            </w:r>
            <w:r>
              <w:rPr>
                <w:rFonts w:hint="eastAsia" w:ascii="宋体" w:hAnsi="宋体"/>
                <w:color w:val="auto"/>
                <w:sz w:val="21"/>
                <w:szCs w:val="21"/>
              </w:rPr>
              <w:t>取</w:t>
            </w:r>
            <w:r>
              <w:rPr>
                <w:rFonts w:hint="eastAsia" w:ascii="宋体" w:hAnsi="宋体"/>
                <w:color w:val="auto"/>
                <w:sz w:val="21"/>
                <w:szCs w:val="21"/>
                <w:lang w:val="en-US"/>
              </w:rPr>
              <w:t>0.2</w:t>
            </w:r>
            <w:r>
              <w:rPr>
                <w:rFonts w:hint="eastAsia" w:ascii="宋体" w:hAnsi="宋体"/>
                <w:color w:val="auto"/>
                <w:sz w:val="21"/>
                <w:szCs w:val="21"/>
              </w:rPr>
              <w:t>～</w:t>
            </w:r>
            <w:r>
              <w:rPr>
                <w:rFonts w:hint="eastAsia" w:ascii="宋体" w:hAnsi="宋体"/>
                <w:color w:val="auto"/>
                <w:sz w:val="21"/>
                <w:szCs w:val="21"/>
                <w:lang w:val="en-US"/>
              </w:rPr>
              <w:t>1.5，方案二时D1宜取1</w:t>
            </w:r>
            <w:r>
              <w:rPr>
                <w:rFonts w:hint="eastAsia" w:ascii="宋体" w:hAnsi="宋体"/>
                <w:color w:val="auto"/>
                <w:sz w:val="21"/>
                <w:szCs w:val="21"/>
              </w:rPr>
              <w:t>～</w:t>
            </w:r>
            <w:r>
              <w:rPr>
                <w:rFonts w:hint="eastAsia" w:ascii="宋体" w:hAnsi="宋体"/>
                <w:color w:val="auto"/>
                <w:sz w:val="21"/>
                <w:szCs w:val="21"/>
                <w:lang w:val="en-US"/>
              </w:rPr>
              <w:t>3</w:t>
            </w:r>
            <w:r>
              <w:rPr>
                <w:rFonts w:hint="eastAsia" w:ascii="宋体" w:hAnsi="宋体"/>
                <w:color w:val="auto"/>
                <w:sz w:val="21"/>
                <w:szCs w:val="21"/>
              </w:rPr>
              <w:t>；</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default" w:ascii="宋体" w:hAnsi="宋体"/>
                <w:color w:val="auto"/>
                <w:sz w:val="21"/>
                <w:szCs w:val="21"/>
              </w:rPr>
              <w:t>(2)如果投标人的评标价≤评标基准价，则评标价得分＝F＋偏差率×100×</w:t>
            </w:r>
            <w:r>
              <w:rPr>
                <w:rFonts w:hint="eastAsia" w:ascii="宋体" w:hAnsi="宋体"/>
                <w:color w:val="auto"/>
                <w:sz w:val="21"/>
                <w:szCs w:val="21"/>
              </w:rPr>
              <w:t>D2；</w:t>
            </w:r>
            <w:r>
              <w:rPr>
                <w:rFonts w:hint="eastAsia" w:ascii="宋体" w:hAnsi="宋体"/>
                <w:color w:val="auto"/>
                <w:sz w:val="21"/>
                <w:szCs w:val="21"/>
                <w:lang w:val="en-US"/>
              </w:rPr>
              <w:t>方案一时</w:t>
            </w:r>
            <w:r>
              <w:rPr>
                <w:rFonts w:hint="eastAsia" w:ascii="宋体" w:hAnsi="宋体"/>
                <w:color w:val="auto"/>
                <w:sz w:val="21"/>
                <w:szCs w:val="21"/>
              </w:rPr>
              <w:t>D2</w:t>
            </w:r>
            <w:r>
              <w:rPr>
                <w:rFonts w:hint="eastAsia" w:ascii="宋体" w:hAnsi="宋体"/>
                <w:color w:val="auto"/>
                <w:sz w:val="21"/>
                <w:szCs w:val="21"/>
                <w:lang w:val="en-US"/>
              </w:rPr>
              <w:t>宜取0.1</w:t>
            </w:r>
            <w:r>
              <w:rPr>
                <w:rFonts w:hint="eastAsia" w:ascii="宋体" w:hAnsi="宋体"/>
                <w:color w:val="auto"/>
                <w:sz w:val="21"/>
                <w:szCs w:val="21"/>
              </w:rPr>
              <w:t>～</w:t>
            </w:r>
            <w:r>
              <w:rPr>
                <w:rFonts w:hint="eastAsia" w:ascii="宋体" w:hAnsi="宋体"/>
                <w:color w:val="auto"/>
                <w:sz w:val="21"/>
                <w:szCs w:val="21"/>
                <w:lang w:val="en-US"/>
              </w:rPr>
              <w:t>0.5，方案二时D2宜取0.5</w:t>
            </w:r>
            <w:r>
              <w:rPr>
                <w:rFonts w:hint="eastAsia" w:ascii="宋体" w:hAnsi="宋体"/>
                <w:color w:val="auto"/>
                <w:sz w:val="21"/>
                <w:szCs w:val="21"/>
              </w:rPr>
              <w:t>～</w:t>
            </w:r>
            <w:r>
              <w:rPr>
                <w:rFonts w:hint="eastAsia" w:ascii="宋体" w:hAnsi="宋体"/>
                <w:color w:val="auto"/>
                <w:sz w:val="21"/>
                <w:szCs w:val="21"/>
                <w:lang w:val="en-US"/>
              </w:rPr>
              <w:t>1</w:t>
            </w:r>
            <w:r>
              <w:rPr>
                <w:rFonts w:hint="default" w:ascii="宋体" w:hAnsi="宋体"/>
                <w:color w:val="auto"/>
                <w:sz w:val="21"/>
                <w:szCs w:val="21"/>
              </w:rPr>
              <w:t>。</w:t>
            </w:r>
          </w:p>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rPr>
              <w:t xml:space="preserve">其中：F 是评标价所占的权重分值， </w:t>
            </w:r>
            <w:r>
              <w:rPr>
                <w:rFonts w:hint="eastAsia" w:ascii="宋体" w:hAnsi="宋体"/>
                <w:color w:val="auto"/>
                <w:sz w:val="21"/>
                <w:szCs w:val="21"/>
                <w:lang w:val="en-US"/>
              </w:rPr>
              <w:t>D</w:t>
            </w:r>
            <w:r>
              <w:rPr>
                <w:rFonts w:hint="eastAsia" w:ascii="宋体" w:hAnsi="宋体"/>
                <w:color w:val="auto"/>
                <w:sz w:val="21"/>
                <w:szCs w:val="21"/>
              </w:rPr>
              <w:t>1是评标价每高于</w:t>
            </w:r>
          </w:p>
          <w:p>
            <w:pPr>
              <w:keepNext w:val="0"/>
              <w:keepLines w:val="0"/>
              <w:suppressLineNumbers w:val="0"/>
              <w:spacing w:before="0" w:beforeAutospacing="0" w:after="0" w:afterAutospacing="0" w:line="360" w:lineRule="auto"/>
              <w:ind w:left="0" w:right="0"/>
              <w:jc w:val="both"/>
              <w:rPr>
                <w:rFonts w:hint="default" w:ascii="宋体" w:hAnsi="宋体"/>
                <w:color w:val="auto"/>
                <w:sz w:val="21"/>
                <w:szCs w:val="21"/>
              </w:rPr>
            </w:pPr>
            <w:r>
              <w:rPr>
                <w:rFonts w:hint="eastAsia" w:ascii="宋体" w:hAnsi="宋体"/>
                <w:color w:val="auto"/>
                <w:sz w:val="21"/>
                <w:szCs w:val="21"/>
              </w:rPr>
              <w:t xml:space="preserve">评标基准价一个百分点的扣分值， </w:t>
            </w:r>
            <w:r>
              <w:rPr>
                <w:rFonts w:hint="eastAsia" w:ascii="宋体" w:hAnsi="宋体"/>
                <w:color w:val="auto"/>
                <w:sz w:val="21"/>
                <w:szCs w:val="21"/>
                <w:lang w:val="en-US"/>
              </w:rPr>
              <w:t>D</w:t>
            </w:r>
            <w:r>
              <w:rPr>
                <w:rFonts w:hint="eastAsia" w:ascii="宋体" w:hAnsi="宋体"/>
                <w:color w:val="auto"/>
                <w:sz w:val="21"/>
                <w:szCs w:val="21"/>
              </w:rPr>
              <w:t>2 是评标价每低于评标基准价一个百分点的扣分值</w:t>
            </w:r>
            <w:r>
              <w:rPr>
                <w:rFonts w:hint="eastAsia" w:ascii="宋体" w:hAnsi="宋体"/>
                <w:color w:val="auto"/>
                <w:sz w:val="21"/>
                <w:szCs w:val="21"/>
                <w:lang w:val="en-US"/>
              </w:rPr>
              <w:t>,</w:t>
            </w:r>
            <w:r>
              <w:rPr>
                <w:rFonts w:hint="eastAsia" w:ascii="宋体" w:hAnsi="宋体"/>
                <w:color w:val="auto"/>
                <w:sz w:val="21"/>
                <w:szCs w:val="21"/>
              </w:rPr>
              <w:t>一般原则上D1是D2的2</w:t>
            </w:r>
            <w:r>
              <w:rPr>
                <w:rFonts w:hint="eastAsia" w:ascii="宋体" w:hAnsi="宋体"/>
                <w:color w:val="auto"/>
                <w:sz w:val="21"/>
                <w:szCs w:val="21"/>
                <w:lang w:val="en-US"/>
              </w:rPr>
              <w:t>或</w:t>
            </w:r>
            <w:r>
              <w:rPr>
                <w:rFonts w:hint="eastAsia" w:ascii="宋体" w:hAnsi="宋体"/>
                <w:color w:val="auto"/>
                <w:sz w:val="21"/>
                <w:szCs w:val="21"/>
              </w:rPr>
              <w:t>3倍。</w:t>
            </w:r>
          </w:p>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rPr>
              <w:t>注：评标价得分</w:t>
            </w:r>
            <w:r>
              <w:rPr>
                <w:rFonts w:hint="eastAsia" w:ascii="宋体" w:hAnsi="宋体"/>
                <w:color w:val="auto"/>
                <w:kern w:val="2"/>
                <w:sz w:val="21"/>
                <w:szCs w:val="21"/>
                <w:lang w:val="en-US"/>
              </w:rPr>
              <w:t>计算保留小数点后四位，小数点后第五位“</w:t>
            </w:r>
            <w:r>
              <w:rPr>
                <w:rFonts w:hint="default" w:ascii="宋体" w:hAnsi="宋体"/>
                <w:color w:val="auto"/>
                <w:kern w:val="2"/>
                <w:sz w:val="21"/>
                <w:szCs w:val="21"/>
                <w:lang w:val="en-US"/>
              </w:rPr>
              <w:t>四舍五入</w:t>
            </w:r>
            <w:r>
              <w:rPr>
                <w:rFonts w:hint="eastAsia" w:ascii="宋体" w:hAnsi="宋体"/>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2.2.4(4)</w:t>
            </w:r>
          </w:p>
        </w:tc>
        <w:tc>
          <w:tcPr>
            <w:tcW w:w="772"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其他因素</w:t>
            </w:r>
            <w:r>
              <w:rPr>
                <w:rStyle w:val="101"/>
                <w:rFonts w:hint="eastAsia" w:ascii="宋体" w:hAnsi="宋体" w:cs="Times New Roman"/>
                <w:color w:val="auto"/>
                <w:sz w:val="30"/>
                <w:lang w:val="en-US"/>
              </w:rPr>
              <w:footnoteReference w:id="65"/>
            </w:r>
          </w:p>
        </w:tc>
        <w:tc>
          <w:tcPr>
            <w:tcW w:w="741"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u w:val="single"/>
                <w:lang w:val="en-US"/>
              </w:rPr>
              <w:t>企业综合能力</w:t>
            </w:r>
          </w:p>
        </w:tc>
        <w:tc>
          <w:tcPr>
            <w:tcW w:w="8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pStyle w:val="45"/>
              <w:keepNext w:val="0"/>
              <w:keepLines w:val="0"/>
              <w:suppressLineNumbers w:val="0"/>
              <w:spacing w:before="0" w:beforeAutospacing="0" w:after="0" w:afterAutospacing="0" w:line="300" w:lineRule="exact"/>
              <w:ind w:left="0" w:right="0" w:firstLine="428" w:firstLineChars="204"/>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7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741"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业绩</w:t>
            </w:r>
          </w:p>
        </w:tc>
        <w:tc>
          <w:tcPr>
            <w:tcW w:w="8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pStyle w:val="45"/>
              <w:keepNext w:val="0"/>
              <w:keepLines w:val="0"/>
              <w:suppressLineNumbers w:val="0"/>
              <w:spacing w:before="0" w:beforeAutospacing="0" w:after="0" w:afterAutospacing="0" w:line="300" w:lineRule="exact"/>
              <w:ind w:left="0" w:right="0" w:firstLine="428" w:firstLineChars="204"/>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41"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履约信誉</w:t>
            </w:r>
            <w:r>
              <w:rPr>
                <w:rStyle w:val="101"/>
                <w:rFonts w:hint="eastAsia" w:ascii="宋体" w:hAnsi="宋体" w:cs="Times New Roman"/>
                <w:color w:val="auto"/>
                <w:sz w:val="30"/>
                <w:lang w:val="en-US"/>
              </w:rPr>
              <w:footnoteReference w:id="66"/>
            </w:r>
          </w:p>
        </w:tc>
        <w:tc>
          <w:tcPr>
            <w:tcW w:w="8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u w:val="single"/>
                <w:lang w:val="en-US"/>
              </w:rPr>
              <w:t>10</w:t>
            </w:r>
            <w:r>
              <w:rPr>
                <w:rFonts w:hint="eastAsia" w:ascii="宋体" w:hAnsi="宋体"/>
                <w:color w:val="auto"/>
                <w:sz w:val="21"/>
                <w:szCs w:val="21"/>
                <w:lang w:val="en-US"/>
              </w:rPr>
              <w:t>分</w:t>
            </w:r>
          </w:p>
        </w:tc>
        <w:tc>
          <w:tcPr>
            <w:tcW w:w="5700" w:type="dxa"/>
            <w:gridSpan w:val="3"/>
            <w:noWrap w:val="0"/>
            <w:vAlign w:val="top"/>
          </w:tcPr>
          <w:p>
            <w:pPr>
              <w:pStyle w:val="45"/>
              <w:keepNext w:val="0"/>
              <w:keepLines w:val="0"/>
              <w:suppressLineNumbers w:val="0"/>
              <w:spacing w:before="0" w:beforeAutospacing="0" w:after="0" w:afterAutospacing="0" w:line="360" w:lineRule="auto"/>
              <w:ind w:left="0" w:right="0" w:firstLine="420" w:firstLineChars="200"/>
              <w:rPr>
                <w:rFonts w:hint="eastAsia" w:hAnsi="宋体"/>
                <w:szCs w:val="21"/>
                <w:lang w:val="en-US" w:eastAsia="zh-CN"/>
              </w:rPr>
            </w:pPr>
            <w:r>
              <w:rPr>
                <w:rFonts w:hint="eastAsia" w:hAnsi="宋体"/>
                <w:szCs w:val="21"/>
                <w:lang w:val="en-US" w:eastAsia="zh-CN"/>
              </w:rPr>
              <w:t>若没出现下述情形得满分；</w:t>
            </w:r>
          </w:p>
          <w:p>
            <w:pPr>
              <w:pStyle w:val="45"/>
              <w:keepNext w:val="0"/>
              <w:keepLines w:val="0"/>
              <w:suppressLineNumbers w:val="0"/>
              <w:spacing w:before="0" w:beforeAutospacing="0" w:after="0" w:afterAutospacing="0" w:line="360" w:lineRule="auto"/>
              <w:ind w:left="0" w:right="0" w:firstLine="420" w:firstLineChars="200"/>
              <w:rPr>
                <w:rFonts w:hint="eastAsia" w:hAnsi="宋体"/>
                <w:szCs w:val="21"/>
                <w:lang w:val="en-US" w:eastAsia="zh-CN"/>
              </w:rPr>
            </w:pPr>
            <w:r>
              <w:rPr>
                <w:rFonts w:hint="eastAsia" w:hAnsi="宋体"/>
                <w:szCs w:val="21"/>
                <w:lang w:val="en-US" w:eastAsia="zh-CN"/>
              </w:rPr>
              <w:t>投标文件递交截止日前1年内，因水运工程</w:t>
            </w:r>
            <w:r>
              <w:rPr>
                <w:rFonts w:hint="eastAsia" w:hAnsi="宋体"/>
                <w:szCs w:val="21"/>
                <w:lang w:val="zh-CN" w:eastAsia="zh-CN"/>
              </w:rPr>
              <w:t>（含附属设施）</w:t>
            </w:r>
            <w:r>
              <w:rPr>
                <w:rFonts w:hint="eastAsia" w:hAnsi="宋体"/>
                <w:szCs w:val="21"/>
                <w:lang w:val="en-US" w:eastAsia="zh-CN"/>
              </w:rPr>
              <w:t>质量、安全、履约或招标投标问题等原因被：</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（1）交通运输部行政处罚的，扣5分/次；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（2）广东省交通运输厅行政处罚的，扣3分/次；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u w:val="single"/>
                <w:lang w:val="en-US" w:eastAsia="zh-CN"/>
              </w:rPr>
            </w:pPr>
            <w:r>
              <w:rPr>
                <w:rFonts w:hint="eastAsia" w:hAnsi="宋体"/>
                <w:szCs w:val="21"/>
                <w:u w:val="single"/>
                <w:lang w:val="en-US" w:eastAsia="zh-CN"/>
              </w:rPr>
              <w:t>（3</w:t>
            </w:r>
            <w:r>
              <w:rPr>
                <w:rFonts w:hint="default" w:hAnsi="宋体"/>
                <w:szCs w:val="21"/>
                <w:u w:val="single"/>
                <w:lang w:val="en-US" w:eastAsia="zh-CN"/>
              </w:rPr>
              <w:t>）</w:t>
            </w:r>
            <w:r>
              <w:rPr>
                <w:rFonts w:hint="default" w:hAnsi="宋体"/>
                <w:u w:val="single"/>
                <w:lang w:val="zh-CN" w:eastAsia="zh-CN"/>
              </w:rPr>
              <w:t>项目所在地</w:t>
            </w:r>
            <w:r>
              <w:rPr>
                <w:rFonts w:hint="eastAsia" w:hAnsi="宋体"/>
                <w:u w:val="single"/>
                <w:lang w:val="zh-CN" w:eastAsia="zh-CN"/>
              </w:rPr>
              <w:t>地级以上市</w:t>
            </w:r>
            <w:r>
              <w:rPr>
                <w:rFonts w:hint="default" w:hAnsi="宋体"/>
                <w:u w:val="single"/>
                <w:lang w:val="zh-CN" w:eastAsia="zh-CN"/>
              </w:rPr>
              <w:t>交通</w:t>
            </w:r>
            <w:r>
              <w:rPr>
                <w:rFonts w:hint="eastAsia" w:hAnsi="宋体"/>
                <w:u w:val="single"/>
                <w:lang w:val="zh-CN" w:eastAsia="zh-CN"/>
              </w:rPr>
              <w:t>运输</w:t>
            </w:r>
            <w:r>
              <w:rPr>
                <w:rFonts w:hint="default" w:hAnsi="宋体"/>
                <w:u w:val="single"/>
                <w:lang w:val="zh-CN" w:eastAsia="zh-CN"/>
              </w:rPr>
              <w:t>局行政处罚的</w:t>
            </w:r>
            <w:r>
              <w:rPr>
                <w:rFonts w:hint="eastAsia" w:hAnsi="宋体"/>
                <w:szCs w:val="21"/>
                <w:u w:val="single"/>
                <w:lang w:val="en-US" w:eastAsia="zh-CN"/>
              </w:rPr>
              <w:t>，扣1.5分/次。</w:t>
            </w:r>
            <w:r>
              <w:rPr>
                <w:rStyle w:val="101"/>
                <w:rFonts w:hint="eastAsia" w:hAnsi="宋体"/>
                <w:kern w:val="0"/>
                <w:sz w:val="30"/>
                <w:szCs w:val="24"/>
                <w:lang w:val="en-US" w:eastAsia="zh-CN"/>
              </w:rPr>
              <w:footnoteReference w:id="67"/>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（4）广东省交通运输厅正式约谈的，扣 0.1分/次。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u w:val="single"/>
                <w:lang w:val="zh-CN" w:eastAsia="zh-CN"/>
              </w:rPr>
            </w:pPr>
          </w:p>
          <w:p>
            <w:pPr>
              <w:pStyle w:val="45"/>
              <w:keepNext w:val="0"/>
              <w:keepLines w:val="0"/>
              <w:suppressLineNumbers w:val="0"/>
              <w:spacing w:before="0" w:beforeAutospacing="0" w:after="0" w:afterAutospacing="0" w:line="360" w:lineRule="auto"/>
              <w:ind w:left="0" w:right="0" w:firstLine="428" w:firstLineChars="204"/>
              <w:rPr>
                <w:rFonts w:hint="eastAsia" w:hAnsi="宋体"/>
                <w:szCs w:val="21"/>
                <w:lang w:val="en-US" w:eastAsia="zh-CN"/>
              </w:rPr>
            </w:pPr>
            <w:r>
              <w:rPr>
                <w:rFonts w:hint="eastAsia" w:hAnsi="宋体"/>
                <w:szCs w:val="21"/>
                <w:lang w:val="en-US" w:eastAsia="zh-CN"/>
              </w:rPr>
              <w:t>同一事项同时被多个部门行政处罚或正式约谈只按最高的扣分计算1次</w:t>
            </w:r>
            <w:r>
              <w:rPr>
                <w:rStyle w:val="101"/>
                <w:rFonts w:hint="eastAsia" w:hAnsi="宋体"/>
                <w:kern w:val="0"/>
                <w:sz w:val="30"/>
                <w:szCs w:val="24"/>
                <w:lang w:val="en-US" w:eastAsia="zh-CN"/>
              </w:rPr>
              <w:footnoteReference w:id="68"/>
            </w:r>
            <w:r>
              <w:rPr>
                <w:rFonts w:hint="eastAsia" w:hAnsi="宋体"/>
                <w:szCs w:val="21"/>
                <w:lang w:val="en-US" w:eastAsia="zh-CN"/>
              </w:rPr>
              <w:t>。如果扣完本项分值，可以从投标人总得分中扣除。</w:t>
            </w:r>
            <w:r>
              <w:rPr>
                <w:rFonts w:hint="eastAsia" w:hAnsi="宋体"/>
                <w:szCs w:val="21"/>
                <w:lang w:val="zh-CN" w:eastAsia="zh-CN"/>
              </w:rPr>
              <w:t>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4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lang w:val="en-US"/>
              </w:rPr>
              <w:t>……</w:t>
            </w:r>
          </w:p>
        </w:tc>
        <w:tc>
          <w:tcPr>
            <w:tcW w:w="8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keepNext w:val="0"/>
              <w:keepLines w:val="0"/>
              <w:suppressLineNumbers w:val="0"/>
              <w:spacing w:before="0" w:beforeAutospacing="0" w:after="0" w:afterAutospacing="0" w:line="300" w:lineRule="exact"/>
              <w:ind w:left="0" w:right="0" w:firstLine="105" w:firstLineChars="50"/>
              <w:rPr>
                <w:rFonts w:hint="eastAsia" w:ascii="宋体" w:hAnsi="宋体"/>
                <w:color w:val="auto"/>
                <w:sz w:val="21"/>
                <w:szCs w:val="21"/>
              </w:rPr>
            </w:pPr>
            <w:r>
              <w:rPr>
                <w:rFonts w:hint="eastAsia" w:ascii="宋体" w:hAnsi="宋体"/>
                <w:color w:val="auto"/>
                <w:sz w:val="21"/>
                <w:szCs w:val="21"/>
                <w:lang w:val="en-US"/>
              </w:rPr>
              <w:t>……</w:t>
            </w:r>
          </w:p>
        </w:tc>
      </w:tr>
    </w:tbl>
    <w:p>
      <w:pPr>
        <w:spacing w:line="360" w:lineRule="auto"/>
        <w:rPr>
          <w:rFonts w:ascii="宋体" w:hAnsi="宋体"/>
          <w:color w:val="auto"/>
        </w:rPr>
      </w:pPr>
    </w:p>
    <w:p>
      <w:pPr>
        <w:pStyle w:val="34"/>
        <w:rPr>
          <w:rFonts w:ascii="宋体" w:hAnsi="宋体"/>
        </w:rPr>
      </w:pPr>
    </w:p>
    <w:p>
      <w:pPr>
        <w:rPr>
          <w:color w:val="auto"/>
        </w:rPr>
        <w:sectPr>
          <w:footnotePr>
            <w:numRestart w:val="eachPage"/>
          </w:footnotePr>
          <w:pgSz w:w="11900" w:h="16838"/>
          <w:pgMar w:top="1803" w:right="1440" w:bottom="1803" w:left="1440" w:header="680" w:footer="680" w:gutter="0"/>
          <w:cols w:space="720" w:num="1"/>
          <w:docGrid w:linePitch="360" w:charSpace="0"/>
        </w:sect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2"/>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条款号</w:t>
            </w:r>
          </w:p>
        </w:tc>
        <w:tc>
          <w:tcPr>
            <w:tcW w:w="73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sz w:val="21"/>
                <w:szCs w:val="21"/>
              </w:rPr>
              <w:t>3.2.2</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将评标办法原文第3.2.2项修改如下：</w:t>
            </w:r>
          </w:p>
          <w:p>
            <w:pPr>
              <w:keepNext w:val="0"/>
              <w:keepLines w:val="0"/>
              <w:suppressLineNumbers w:val="0"/>
              <w:spacing w:before="0" w:beforeAutospacing="0" w:after="0" w:afterAutospacing="0" w:line="360" w:lineRule="auto"/>
              <w:ind w:left="0" w:right="0"/>
              <w:jc w:val="both"/>
              <w:rPr>
                <w:rFonts w:hint="eastAsia" w:ascii="宋体" w:hAnsi="宋体" w:cs="宋体"/>
                <w:color w:val="auto"/>
                <w:kern w:val="2"/>
                <w:sz w:val="21"/>
                <w:szCs w:val="21"/>
                <w:lang w:val="en-US"/>
              </w:rPr>
            </w:pPr>
            <w:r>
              <w:rPr>
                <w:rFonts w:hint="eastAsia" w:ascii="宋体" w:hAnsi="宋体" w:cs="宋体"/>
                <w:color w:val="auto"/>
                <w:sz w:val="21"/>
                <w:szCs w:val="21"/>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3.2.3</w:t>
            </w:r>
          </w:p>
        </w:tc>
        <w:tc>
          <w:tcPr>
            <w:tcW w:w="7380" w:type="dxa"/>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sz w:val="21"/>
                <w:szCs w:val="21"/>
                <w:lang w:val="en-US"/>
              </w:rPr>
            </w:pPr>
            <w:r>
              <w:rPr>
                <w:rFonts w:hint="eastAsia" w:ascii="宋体" w:hAnsi="宋体"/>
                <w:sz w:val="21"/>
                <w:szCs w:val="21"/>
                <w:lang w:val="en-US"/>
              </w:rPr>
              <w:t>将评标办法范本原文第3.2.3</w:t>
            </w:r>
            <w:r>
              <w:rPr>
                <w:rFonts w:hint="eastAsia" w:ascii="宋体" w:hAnsi="宋体"/>
                <w:sz w:val="21"/>
                <w:szCs w:val="21"/>
              </w:rPr>
              <w:t>项</w:t>
            </w:r>
            <w:r>
              <w:rPr>
                <w:rFonts w:hint="eastAsia" w:ascii="宋体" w:hAnsi="宋体"/>
                <w:sz w:val="21"/>
                <w:szCs w:val="21"/>
                <w:lang w:val="en-US"/>
              </w:rPr>
              <w:t>细化如下：</w:t>
            </w:r>
          </w:p>
          <w:p>
            <w:pPr>
              <w:keepNext w:val="0"/>
              <w:keepLines w:val="0"/>
              <w:suppressLineNumbers w:val="0"/>
              <w:spacing w:before="0" w:beforeAutospacing="0" w:after="0" w:afterAutospacing="0" w:line="360" w:lineRule="auto"/>
              <w:ind w:left="0" w:right="0" w:firstLine="420" w:firstLineChars="200"/>
              <w:jc w:val="both"/>
              <w:rPr>
                <w:rFonts w:hint="eastAsia" w:ascii="宋体" w:hAnsi="宋体"/>
                <w:sz w:val="21"/>
                <w:szCs w:val="21"/>
                <w:lang w:val="en-US"/>
              </w:rPr>
            </w:pPr>
            <w:r>
              <w:rPr>
                <w:rFonts w:hint="eastAsia" w:ascii="宋体" w:hAnsi="宋体"/>
                <w:sz w:val="21"/>
                <w:szCs w:val="21"/>
                <w:lang w:val="en-US"/>
              </w:rPr>
              <w:t>投标人的商务和技术得分=A+B+D。</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投标文件评分因素</w:t>
            </w:r>
            <w:r>
              <w:rPr>
                <w:rFonts w:hint="default" w:ascii="宋体" w:hAnsi="宋体"/>
                <w:sz w:val="21"/>
                <w:szCs w:val="21"/>
                <w:u w:val="single"/>
                <w:lang w:val="en-US"/>
              </w:rPr>
              <w:t>（技术建议书）</w:t>
            </w:r>
            <w:r>
              <w:rPr>
                <w:rFonts w:hint="eastAsia" w:ascii="宋体" w:hAnsi="宋体"/>
                <w:sz w:val="21"/>
                <w:szCs w:val="21"/>
                <w:lang w:val="en-US"/>
              </w:rPr>
              <w:t>细分项得分均不应低于其权重分的60%，评分低于权重分值60%的，评标委员会成员应当在评标报告中作出说明。</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sz w:val="21"/>
                <w:szCs w:val="21"/>
              </w:rPr>
              <w:t>保留小数点后三位，小数点后第四位“四舍五入”</w:t>
            </w:r>
            <w:r>
              <w:rPr>
                <w:rFonts w:hint="eastAsia" w:ascii="宋体" w:hAnsi="宋体"/>
                <w:sz w:val="21"/>
                <w:szCs w:val="21"/>
                <w:lang w:val="en-US"/>
              </w:rPr>
              <w:t>。</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取消其中1名评委评分的办法二：按随机抽取的方式选定取消1名评委评分。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注：如同一评委对5名投标人技术评分总分分别为：50分（最高分）、50分、49分、48分、48分（次低分）、47分、47分（最低分），则其最大差值为3分，次分差为：50分-48分=2分。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评标委员会人数为7人时，计算投标人技术得分时:各评分因素细分项中取消一个最高、一个最低分后计算算术平均值的和为投标人的最终技术得分，平均值计算</w:t>
            </w:r>
            <w:r>
              <w:rPr>
                <w:rFonts w:hint="eastAsia" w:ascii="宋体" w:hAnsi="宋体"/>
                <w:sz w:val="21"/>
                <w:szCs w:val="21"/>
              </w:rPr>
              <w:t>保留小数点后三位，小数点后第四位“四舍五入”</w:t>
            </w:r>
            <w:r>
              <w:rPr>
                <w:rFonts w:hint="eastAsia" w:ascii="宋体" w:hAnsi="宋体"/>
                <w:sz w:val="21"/>
                <w:szCs w:val="21"/>
                <w:lang w:val="en-US"/>
              </w:rPr>
              <w:t>。</w:t>
            </w:r>
          </w:p>
          <w:p>
            <w:pPr>
              <w:pStyle w:val="34"/>
              <w:keepNext w:val="0"/>
              <w:keepLines w:val="0"/>
              <w:suppressLineNumbers w:val="0"/>
              <w:spacing w:before="0" w:beforeAutospacing="0" w:afterAutospacing="0"/>
              <w:ind w:left="0" w:right="0" w:firstLine="420" w:firstLineChars="200"/>
              <w:rPr>
                <w:rFonts w:hint="eastAsia" w:ascii="宋体" w:hAnsi="宋体"/>
                <w:szCs w:val="21"/>
                <w:lang w:val="en-US" w:eastAsia="zh-CN"/>
              </w:rPr>
            </w:pPr>
            <w:r>
              <w:rPr>
                <w:rFonts w:hint="eastAsia" w:ascii="宋体" w:hAnsi="宋体" w:cs="MingLiU_HKSCS"/>
                <w:color w:val="000000"/>
                <w:kern w:val="0"/>
                <w:szCs w:val="21"/>
                <w:lang w:val="en-US" w:eastAsia="zh-CN"/>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w:t>
            </w:r>
          </w:p>
        </w:tc>
        <w:tc>
          <w:tcPr>
            <w:tcW w:w="7380" w:type="dxa"/>
            <w:noWrap w:val="0"/>
            <w:vAlign w:val="center"/>
          </w:tcPr>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bCs/>
                <w:color w:val="auto"/>
                <w:kern w:val="2"/>
                <w:sz w:val="21"/>
                <w:szCs w:val="21"/>
                <w:lang w:val="en-US"/>
              </w:rPr>
            </w:pPr>
            <w:r>
              <w:rPr>
                <w:rFonts w:hint="eastAsia" w:ascii="宋体" w:hAnsi="宋体" w:cs="宋体"/>
                <w:bCs/>
                <w:color w:val="auto"/>
                <w:kern w:val="2"/>
                <w:sz w:val="21"/>
                <w:szCs w:val="21"/>
                <w:lang w:val="en-US"/>
              </w:rPr>
              <w:t>增加3.9.3-3.9.7</w:t>
            </w:r>
            <w:r>
              <w:rPr>
                <w:rFonts w:hint="eastAsia" w:ascii="宋体" w:hAnsi="宋体" w:cs="宋体"/>
                <w:color w:val="auto"/>
                <w:sz w:val="21"/>
                <w:szCs w:val="21"/>
              </w:rPr>
              <w:t>项</w:t>
            </w:r>
            <w:r>
              <w:rPr>
                <w:rFonts w:hint="eastAsia" w:ascii="宋体" w:hAnsi="宋体" w:cs="宋体"/>
                <w:bCs/>
                <w:color w:val="auto"/>
                <w:kern w:val="2"/>
                <w:sz w:val="21"/>
                <w:szCs w:val="21"/>
                <w:lang w:val="en-US"/>
              </w:rPr>
              <w:t>：</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3.9.3</w:t>
            </w:r>
            <w:r>
              <w:rPr>
                <w:rFonts w:hint="eastAsia" w:ascii="宋体" w:hAnsi="宋体" w:cs="宋体"/>
                <w:color w:val="auto"/>
                <w:kern w:val="2"/>
                <w:sz w:val="21"/>
                <w:szCs w:val="21"/>
                <w:u w:val="single"/>
                <w:lang w:val="en-US"/>
              </w:rPr>
              <w:t>如允许多个标段同时投标，推荐中标候选人方式：（1）已被推荐为某一合同段的第一中标候选人，自动失去其在本次招标中其他合同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Style w:val="101"/>
                <w:rFonts w:hint="default" w:ascii="宋体" w:hAnsi="宋体" w:cs="宋体"/>
                <w:szCs w:val="21"/>
              </w:rPr>
              <w:footnoteReference w:id="69"/>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3.9.4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lang w:val="en-US"/>
              </w:rPr>
            </w:pPr>
            <w:r>
              <w:rPr>
                <w:rFonts w:hint="eastAsia" w:ascii="宋体" w:hAnsi="宋体" w:cs="宋体"/>
                <w:color w:val="auto"/>
                <w:kern w:val="2"/>
                <w:sz w:val="21"/>
                <w:szCs w:val="21"/>
                <w:lang w:val="en-US"/>
              </w:rPr>
              <w:t>3.9.6</w:t>
            </w:r>
            <w:r>
              <w:rPr>
                <w:rFonts w:hint="eastAsia" w:ascii="宋体" w:hAnsi="宋体" w:cs="宋体"/>
                <w:color w:val="auto"/>
                <w:sz w:val="21"/>
                <w:szCs w:val="21"/>
                <w:lang w:val="en-US"/>
              </w:rPr>
              <w:t>如果发生无法确定推荐中标候选人的其它意外情况，评标委员会可建议招标人重新招标。</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rPr>
              <w:t>9</w:t>
            </w:r>
            <w:r>
              <w:rPr>
                <w:rFonts w:hint="eastAsia" w:ascii="宋体" w:hAnsi="宋体" w:cs="宋体"/>
                <w:color w:val="auto"/>
                <w:sz w:val="21"/>
                <w:szCs w:val="21"/>
              </w:rPr>
              <w:t>.</w:t>
            </w:r>
            <w:r>
              <w:rPr>
                <w:rFonts w:hint="eastAsia" w:ascii="宋体" w:hAnsi="宋体" w:cs="宋体"/>
                <w:color w:val="auto"/>
                <w:sz w:val="21"/>
                <w:szCs w:val="21"/>
                <w:lang w:val="en-US"/>
              </w:rPr>
              <w:t>7</w:t>
            </w:r>
            <w:r>
              <w:rPr>
                <w:rFonts w:hint="eastAsia" w:ascii="宋体" w:hAnsi="宋体" w:cs="宋体"/>
                <w:color w:val="auto"/>
                <w:sz w:val="21"/>
                <w:szCs w:val="21"/>
              </w:rPr>
              <w:t>本招标文件规定的否决投标条款包含在以下条款：</w:t>
            </w:r>
            <w:r>
              <w:rPr>
                <w:rStyle w:val="101"/>
                <w:rFonts w:hint="eastAsia" w:ascii="宋体" w:hAnsi="宋体" w:cs="Times New Roman"/>
                <w:color w:val="auto"/>
                <w:sz w:val="30"/>
                <w:lang w:val="en-US"/>
              </w:rPr>
              <w:footnoteReference w:id="70"/>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（1）招标公告第3点投标人资格要求；</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rPr>
              <w:t>投标人须知1.4.3项、1.4.4项、1.12</w:t>
            </w:r>
            <w:r>
              <w:rPr>
                <w:rFonts w:hint="eastAsia" w:ascii="宋体" w:hAnsi="宋体" w:cs="宋体"/>
                <w:color w:val="auto"/>
                <w:sz w:val="21"/>
                <w:szCs w:val="21"/>
                <w:u w:val="single"/>
                <w:lang w:val="en-US"/>
              </w:rPr>
              <w:t>.2</w:t>
            </w:r>
            <w:r>
              <w:rPr>
                <w:rFonts w:hint="eastAsia" w:ascii="宋体" w:hAnsi="宋体" w:cs="宋体"/>
                <w:color w:val="auto"/>
                <w:sz w:val="21"/>
                <w:szCs w:val="21"/>
                <w:u w:val="single"/>
              </w:rPr>
              <w:t>项、3.4</w:t>
            </w:r>
            <w:r>
              <w:rPr>
                <w:rFonts w:hint="eastAsia" w:ascii="宋体" w:hAnsi="宋体" w:cs="宋体"/>
                <w:color w:val="auto"/>
                <w:sz w:val="21"/>
                <w:szCs w:val="21"/>
                <w:u w:val="single"/>
                <w:lang w:val="en-US"/>
              </w:rPr>
              <w:t>.2</w:t>
            </w:r>
            <w:r>
              <w:rPr>
                <w:rFonts w:hint="eastAsia" w:ascii="宋体" w:hAnsi="宋体" w:cs="宋体"/>
                <w:color w:val="auto"/>
                <w:sz w:val="21"/>
                <w:szCs w:val="21"/>
                <w:u w:val="single"/>
              </w:rPr>
              <w:t>项、3.5</w:t>
            </w:r>
            <w:r>
              <w:rPr>
                <w:rFonts w:hint="eastAsia" w:ascii="宋体" w:hAnsi="宋体" w:cs="宋体"/>
                <w:color w:val="auto"/>
                <w:sz w:val="21"/>
                <w:szCs w:val="21"/>
                <w:u w:val="single"/>
                <w:lang w:val="en-US"/>
              </w:rPr>
              <w:t>.9</w:t>
            </w:r>
            <w:r>
              <w:rPr>
                <w:rFonts w:hint="eastAsia" w:ascii="宋体" w:hAnsi="宋体" w:cs="宋体"/>
                <w:color w:val="auto"/>
                <w:sz w:val="21"/>
                <w:szCs w:val="21"/>
                <w:u w:val="single"/>
              </w:rPr>
              <w:t>项、3.6</w:t>
            </w:r>
            <w:r>
              <w:rPr>
                <w:rFonts w:hint="eastAsia" w:ascii="宋体" w:hAnsi="宋体" w:cs="宋体"/>
                <w:color w:val="auto"/>
                <w:sz w:val="21"/>
                <w:szCs w:val="21"/>
                <w:u w:val="single"/>
                <w:lang w:val="en-US"/>
              </w:rPr>
              <w:t>.1</w:t>
            </w:r>
            <w:r>
              <w:rPr>
                <w:rFonts w:hint="eastAsia" w:ascii="宋体" w:hAnsi="宋体" w:cs="宋体"/>
                <w:color w:val="auto"/>
                <w:sz w:val="21"/>
                <w:szCs w:val="21"/>
                <w:u w:val="single"/>
              </w:rPr>
              <w:t>项；</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lang w:val="en-US"/>
              </w:rPr>
            </w:pPr>
            <w:r>
              <w:rPr>
                <w:rFonts w:hint="eastAsia" w:ascii="宋体" w:hAnsi="宋体" w:cs="宋体"/>
                <w:color w:val="auto"/>
                <w:sz w:val="21"/>
                <w:szCs w:val="21"/>
              </w:rPr>
              <w:t>（3）本评标办法的否决条款。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9"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w:t>
            </w: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Cs/>
                <w:color w:val="auto"/>
                <w:kern w:val="2"/>
                <w:sz w:val="21"/>
                <w:szCs w:val="21"/>
                <w:lang w:val="en-US"/>
              </w:rPr>
            </w:pPr>
            <w:r>
              <w:rPr>
                <w:rFonts w:hint="eastAsia" w:ascii="宋体" w:hAnsi="宋体" w:cs="宋体"/>
                <w:color w:val="auto"/>
                <w:kern w:val="2"/>
                <w:sz w:val="21"/>
                <w:szCs w:val="21"/>
                <w:lang w:val="en-US"/>
              </w:rPr>
              <w:t>…</w:t>
            </w:r>
          </w:p>
        </w:tc>
      </w:tr>
    </w:tbl>
    <w:p>
      <w:pPr>
        <w:pStyle w:val="215"/>
        <w:shd w:val="clear" w:color="auto" w:fill="auto"/>
        <w:spacing w:before="0" w:line="360" w:lineRule="auto"/>
        <w:jc w:val="both"/>
        <w:rPr>
          <w:rFonts w:hint="eastAsia" w:ascii="宋体" w:hAnsi="宋体" w:eastAsia="宋体"/>
          <w:szCs w:val="21"/>
        </w:rPr>
      </w:pPr>
    </w:p>
    <w:p>
      <w:pPr>
        <w:pStyle w:val="215"/>
        <w:shd w:val="clear" w:color="auto" w:fill="auto"/>
        <w:spacing w:before="0" w:line="360" w:lineRule="auto"/>
        <w:jc w:val="both"/>
        <w:rPr>
          <w:rFonts w:hint="eastAsia" w:ascii="宋体" w:hAnsi="宋体" w:eastAsia="宋体"/>
          <w:szCs w:val="21"/>
        </w:rPr>
      </w:pPr>
    </w:p>
    <w:p>
      <w:pPr>
        <w:pStyle w:val="215"/>
        <w:shd w:val="clear" w:color="auto" w:fill="auto"/>
        <w:spacing w:before="0" w:line="360" w:lineRule="auto"/>
        <w:jc w:val="both"/>
        <w:rPr>
          <w:rFonts w:ascii="宋体" w:hAnsi="宋体" w:eastAsia="宋体"/>
          <w:sz w:val="24"/>
          <w:szCs w:val="21"/>
        </w:rPr>
      </w:pPr>
    </w:p>
    <w:p>
      <w:pPr>
        <w:pStyle w:val="215"/>
        <w:shd w:val="clear" w:color="auto" w:fill="auto"/>
        <w:spacing w:before="0" w:line="360" w:lineRule="auto"/>
        <w:jc w:val="both"/>
        <w:rPr>
          <w:rFonts w:ascii="宋体" w:hAnsi="宋体" w:eastAsia="宋体"/>
          <w:sz w:val="24"/>
          <w:szCs w:val="21"/>
        </w:rPr>
      </w:pPr>
    </w:p>
    <w:p>
      <w:pPr>
        <w:pStyle w:val="215"/>
        <w:shd w:val="clear" w:color="auto" w:fill="auto"/>
        <w:spacing w:before="0" w:line="360" w:lineRule="auto"/>
        <w:jc w:val="both"/>
        <w:rPr>
          <w:rFonts w:ascii="宋体" w:hAnsi="宋体" w:eastAsia="宋体"/>
          <w:sz w:val="24"/>
          <w:szCs w:val="21"/>
        </w:rPr>
      </w:pPr>
    </w:p>
    <w:p>
      <w:pPr>
        <w:pStyle w:val="215"/>
        <w:shd w:val="clear" w:color="auto" w:fill="auto"/>
        <w:spacing w:before="0" w:line="360" w:lineRule="auto"/>
        <w:jc w:val="both"/>
        <w:rPr>
          <w:rFonts w:ascii="宋体" w:hAnsi="宋体" w:eastAsia="宋体"/>
          <w:sz w:val="24"/>
          <w:szCs w:val="21"/>
        </w:rPr>
      </w:pPr>
    </w:p>
    <w:p>
      <w:pPr>
        <w:pStyle w:val="84"/>
        <w:snapToGrid w:val="0"/>
        <w:spacing w:line="360" w:lineRule="auto"/>
        <w:jc w:val="left"/>
        <w:outlineLvl w:val="1"/>
        <w:rPr>
          <w:rFonts w:hint="eastAsia"/>
          <w:b w:val="0"/>
          <w:sz w:val="24"/>
          <w:szCs w:val="13"/>
        </w:rPr>
      </w:pPr>
      <w:r>
        <w:rPr>
          <w:rFonts w:ascii="宋体" w:hAnsi="宋体"/>
          <w:szCs w:val="21"/>
        </w:rPr>
        <w:br w:type="page"/>
      </w:r>
      <w:r>
        <w:rPr>
          <w:rFonts w:hint="eastAsia"/>
          <w:b w:val="0"/>
          <w:sz w:val="24"/>
          <w:szCs w:val="13"/>
        </w:rPr>
        <w:t>1．评标方法</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1.1评标方法</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1.2评标组织</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1.2.1协助工作组</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招标人可以协助评标委员会开展下列工作并提供相关信息：</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（1）根据招标文件，编制评标使用的相应表格；</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（2）对投标报价进行算术性校核；</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（3）以评标标准和方法为依据，列出投标文件相对于招标文件的所有偏差，并进行归类汇总；</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（4）对投标人的资质、业绩、主要人员资历和目前在岗情况、信用等级进行核实。</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招标人不得对投标文件作出任何评价，不得故意遗漏或者片面摘录，不得在评标委员会对所有偏差定性之前透露存有偏差的投标人名称。</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1.2.2评标委员会</w:t>
      </w:r>
    </w:p>
    <w:p>
      <w:pPr>
        <w:spacing w:line="360" w:lineRule="auto"/>
        <w:ind w:firstLine="566" w:firstLineChars="236"/>
        <w:rPr>
          <w:rFonts w:hint="eastAsia" w:ascii="宋体" w:hAnsi="宋体"/>
        </w:rPr>
      </w:pPr>
      <w:r>
        <w:rPr>
          <w:rFonts w:hint="eastAsia" w:ascii="宋体" w:hAnsi="宋体"/>
        </w:rPr>
        <w:t>评标委员会由招标人按国家、广东省等的有关规定依法组建。评标委员人数参见本招标文件“投标人须知前附表第</w:t>
      </w:r>
      <w:r>
        <w:rPr>
          <w:rFonts w:ascii="宋体" w:hAnsi="宋体"/>
        </w:rPr>
        <w:t>6.1.1款。</w:t>
      </w:r>
      <w:r>
        <w:rPr>
          <w:rFonts w:hint="eastAsia" w:ascii="宋体" w:hAnsi="宋体"/>
        </w:rPr>
        <w:t>评标委员会的主要工作内容包括：</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（1）评标委员会开始评标工作之前，首先听取招标人、协助工作组关于工程情况和辅助工作的说明，并认真研读招标文件，获取评标所需的重要信息和数据；</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（2）对协助工作组提供的评标工作用表和评标内容进行核查。</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（3）按照以下1.3款程序进行各项评审工作。</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1.3评审工作程序</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（一）第一个信封（商务及技术文件）：</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l、初步评审：包括形式评审与响应性评审、资格评审；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2、详细评审（评审打分）：评标委员会首先对通过初步评审的投标文件第一个信封（商务及技术文件）进行详细评审，对投标人的技术建议书、主要人员、其他因素等分别评审打分。</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（二）第二个信封（报价文件）：</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1、初步评审：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（1）只有投标文件第一个信封通过详细评审的投标人才能继续参加第二个信封（报价文件）的形式评审与响应性评审；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（2）报价算术性修正；</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2、详细评审：计算评标基准价、评标价得分及综合得分；</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（三）投标文件相关信息的核查。</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（四）投标文件的澄清和说明(如有)。</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（五）按评标办法规定推荐中标候选人，编写评标报告。</w:t>
      </w:r>
    </w:p>
    <w:p>
      <w:pPr>
        <w:pStyle w:val="84"/>
        <w:snapToGrid w:val="0"/>
        <w:spacing w:line="360" w:lineRule="auto"/>
        <w:jc w:val="left"/>
        <w:outlineLvl w:val="1"/>
        <w:rPr>
          <w:rFonts w:hint="eastAsia"/>
          <w:b w:val="0"/>
          <w:sz w:val="24"/>
          <w:szCs w:val="13"/>
        </w:rPr>
      </w:pPr>
      <w:r>
        <w:rPr>
          <w:rFonts w:hint="eastAsia"/>
          <w:b w:val="0"/>
          <w:sz w:val="24"/>
          <w:szCs w:val="13"/>
        </w:rPr>
        <w:t>2．评审标准</w:t>
      </w:r>
    </w:p>
    <w:p>
      <w:pPr>
        <w:spacing w:line="360" w:lineRule="auto"/>
        <w:ind w:firstLine="480" w:firstLineChars="200"/>
        <w:rPr>
          <w:rFonts w:hint="eastAsia" w:ascii="宋体" w:hAnsi="宋体"/>
          <w:color w:val="auto"/>
          <w:szCs w:val="21"/>
        </w:rPr>
      </w:pPr>
      <w:r>
        <w:rPr>
          <w:rFonts w:hint="eastAsia" w:ascii="宋体" w:hAnsi="宋体"/>
          <w:color w:val="auto"/>
          <w:szCs w:val="21"/>
        </w:rPr>
        <w:t>2.1初步评审标准</w:t>
      </w:r>
    </w:p>
    <w:p>
      <w:pPr>
        <w:spacing w:line="360" w:lineRule="auto"/>
        <w:ind w:firstLine="480" w:firstLineChars="200"/>
        <w:rPr>
          <w:rFonts w:hint="eastAsia" w:ascii="宋体" w:hAnsi="宋体"/>
          <w:color w:val="auto"/>
          <w:szCs w:val="21"/>
        </w:rPr>
      </w:pPr>
      <w:r>
        <w:rPr>
          <w:rFonts w:hint="eastAsia" w:ascii="宋体" w:hAnsi="宋体"/>
          <w:color w:val="auto"/>
          <w:szCs w:val="21"/>
        </w:rPr>
        <w:t>2.1.1形式评审标准：见评标办法前附表。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2.1.2资格评审标准：见评标办法前附表。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2.1.3响应性评审标准：见评标办法前附表。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2.2分值构成与评分标准</w:t>
      </w:r>
    </w:p>
    <w:p>
      <w:pPr>
        <w:spacing w:line="360" w:lineRule="auto"/>
        <w:ind w:firstLine="480" w:firstLineChars="200"/>
        <w:rPr>
          <w:rFonts w:hint="eastAsia" w:ascii="宋体" w:hAnsi="宋体"/>
          <w:color w:val="auto"/>
          <w:szCs w:val="21"/>
        </w:rPr>
      </w:pPr>
      <w:r>
        <w:rPr>
          <w:rFonts w:hint="eastAsia" w:ascii="宋体" w:hAnsi="宋体"/>
          <w:color w:val="auto"/>
          <w:szCs w:val="21"/>
        </w:rPr>
        <w:t>2.2.1分值构成</w:t>
      </w:r>
    </w:p>
    <w:p>
      <w:pPr>
        <w:spacing w:line="360" w:lineRule="auto"/>
        <w:ind w:firstLine="48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rPr>
        <w:t>技术建议书</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（2）主要人员：见评标办法前附表；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（3）投标报价：见评标办法前附表；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（4）其他评分因素：见评标办法前附表。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2.2.2评标基准价计算</w:t>
      </w:r>
    </w:p>
    <w:p>
      <w:pPr>
        <w:spacing w:line="360" w:lineRule="auto"/>
        <w:ind w:firstLine="480" w:firstLineChars="200"/>
        <w:rPr>
          <w:rFonts w:hint="eastAsia" w:ascii="宋体" w:hAnsi="宋体"/>
          <w:color w:val="auto"/>
          <w:szCs w:val="21"/>
        </w:rPr>
      </w:pPr>
      <w:r>
        <w:rPr>
          <w:rFonts w:hint="eastAsia" w:ascii="宋体" w:hAnsi="宋体"/>
          <w:color w:val="auto"/>
          <w:szCs w:val="21"/>
        </w:rPr>
        <w:t>评标基准价计算</w:t>
      </w:r>
      <w:r>
        <w:rPr>
          <w:rFonts w:hint="eastAsia" w:ascii="宋体" w:hAnsi="宋体"/>
          <w:color w:val="auto"/>
          <w:szCs w:val="21"/>
          <w:lang w:val="en-US"/>
        </w:rPr>
        <w:t>方法</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2.2.3</w:t>
      </w:r>
      <w:r>
        <w:rPr>
          <w:rFonts w:hint="eastAsia" w:ascii="宋体" w:hAnsi="宋体"/>
        </w:rPr>
        <w:t>评标价</w:t>
      </w:r>
      <w:r>
        <w:rPr>
          <w:rFonts w:hint="eastAsia" w:ascii="宋体" w:hAnsi="宋体"/>
          <w:color w:val="auto"/>
          <w:szCs w:val="21"/>
        </w:rPr>
        <w:t>的偏差率计算</w:t>
      </w:r>
    </w:p>
    <w:p>
      <w:pPr>
        <w:spacing w:line="360" w:lineRule="auto"/>
        <w:ind w:firstLine="480" w:firstLineChars="200"/>
        <w:rPr>
          <w:rFonts w:hint="eastAsia" w:ascii="宋体" w:hAnsi="宋体"/>
          <w:color w:val="auto"/>
          <w:szCs w:val="21"/>
        </w:rPr>
      </w:pPr>
      <w:r>
        <w:rPr>
          <w:rFonts w:hint="eastAsia" w:ascii="宋体" w:hAnsi="宋体"/>
        </w:rPr>
        <w:t>评标价</w:t>
      </w:r>
      <w:r>
        <w:rPr>
          <w:rFonts w:hint="eastAsia" w:ascii="宋体" w:hAnsi="宋体"/>
          <w:color w:val="auto"/>
          <w:szCs w:val="21"/>
        </w:rPr>
        <w:t>的偏差率计算</w:t>
      </w:r>
      <w:r>
        <w:rPr>
          <w:rFonts w:ascii="宋体" w:hAnsi="宋体"/>
        </w:rPr>
        <w:t>公式</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2.2.4评分标准</w:t>
      </w:r>
    </w:p>
    <w:p>
      <w:pPr>
        <w:spacing w:line="360" w:lineRule="auto"/>
        <w:ind w:firstLine="48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rPr>
        <w:t>技术建议书</w:t>
      </w:r>
      <w:r>
        <w:rPr>
          <w:rFonts w:hint="eastAsia" w:ascii="宋体" w:hAnsi="宋体"/>
          <w:color w:val="auto"/>
          <w:szCs w:val="21"/>
        </w:rPr>
        <w:t>评分标准：见评标办法前附表；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（2）主要人员评分标准：见评标办法前附表；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（3）投标报价评分标准：见评标办法前附表；</w:t>
      </w:r>
    </w:p>
    <w:p>
      <w:pPr>
        <w:spacing w:line="360" w:lineRule="auto"/>
        <w:ind w:firstLine="48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）其他因素评分标准：见评标办法前附表；</w:t>
      </w:r>
      <w:r>
        <w:rPr>
          <w:rFonts w:ascii="宋体" w:hAnsi="宋体"/>
          <w:color w:val="auto"/>
          <w:szCs w:val="21"/>
        </w:rPr>
        <w:t> </w:t>
      </w:r>
    </w:p>
    <w:p>
      <w:pPr>
        <w:pStyle w:val="84"/>
        <w:snapToGrid w:val="0"/>
        <w:spacing w:line="360" w:lineRule="auto"/>
        <w:jc w:val="left"/>
        <w:outlineLvl w:val="1"/>
        <w:rPr>
          <w:rFonts w:hint="eastAsia"/>
          <w:b w:val="0"/>
          <w:sz w:val="24"/>
          <w:szCs w:val="13"/>
        </w:rPr>
      </w:pPr>
      <w:r>
        <w:rPr>
          <w:rFonts w:hint="eastAsia"/>
          <w:b w:val="0"/>
          <w:sz w:val="24"/>
          <w:szCs w:val="13"/>
        </w:rPr>
        <w:t>3．评标程序</w:t>
      </w:r>
    </w:p>
    <w:p>
      <w:pPr>
        <w:spacing w:line="360" w:lineRule="auto"/>
        <w:ind w:firstLine="480" w:firstLineChars="200"/>
        <w:rPr>
          <w:rFonts w:hint="eastAsia" w:ascii="宋体" w:hAnsi="宋体"/>
          <w:color w:val="auto"/>
          <w:szCs w:val="21"/>
        </w:rPr>
      </w:pPr>
      <w:r>
        <w:rPr>
          <w:rFonts w:hint="eastAsia" w:ascii="宋体" w:hAnsi="宋体"/>
          <w:color w:val="auto"/>
          <w:szCs w:val="21"/>
        </w:rPr>
        <w:t>3.1第一个信封初步评审</w:t>
      </w:r>
    </w:p>
    <w:p>
      <w:pPr>
        <w:spacing w:line="360" w:lineRule="auto"/>
        <w:ind w:firstLine="480" w:firstLineChars="200"/>
        <w:rPr>
          <w:rFonts w:hint="eastAsia" w:ascii="宋体" w:hAnsi="宋体"/>
          <w:color w:val="auto"/>
          <w:szCs w:val="21"/>
        </w:rPr>
      </w:pPr>
      <w:r>
        <w:rPr>
          <w:rFonts w:hint="eastAsia" w:ascii="宋体" w:hAnsi="宋体"/>
          <w:color w:val="auto"/>
          <w:szCs w:val="21"/>
        </w:rPr>
        <w:t>3.1.1 评标委员会可以要求投标人提交第二章“投标人须知”第3.5.1项至第3.5.</w:t>
      </w:r>
      <w:r>
        <w:rPr>
          <w:rFonts w:hint="eastAsia" w:ascii="宋体" w:hAnsi="宋体"/>
          <w:color w:val="auto"/>
          <w:szCs w:val="21"/>
          <w:lang w:val="en-US"/>
        </w:rPr>
        <w:t>5</w:t>
      </w:r>
      <w:r>
        <w:rPr>
          <w:rFonts w:hint="eastAsia" w:ascii="宋体" w:hAnsi="宋体"/>
          <w:color w:val="auto"/>
          <w:szCs w:val="21"/>
        </w:rPr>
        <w:t>项规定的有关证明和证件的原件，以便核验。评标委员会依据本章第2.1款规定的标准对投标文件第一个信封（商务及技术文件）进行初步评审。有一项不符合评审标准的，评标委员会应否决其投标。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3.2第一个信封详细评审</w:t>
      </w:r>
    </w:p>
    <w:p>
      <w:pPr>
        <w:spacing w:line="360" w:lineRule="auto"/>
        <w:ind w:firstLine="480" w:firstLineChars="200"/>
        <w:rPr>
          <w:rFonts w:hint="eastAsia" w:ascii="宋体" w:hAnsi="宋体"/>
          <w:color w:val="auto"/>
          <w:szCs w:val="21"/>
        </w:rPr>
      </w:pPr>
      <w:r>
        <w:rPr>
          <w:rFonts w:hint="eastAsia" w:ascii="宋体" w:hAnsi="宋体"/>
          <w:color w:val="auto"/>
          <w:szCs w:val="21"/>
        </w:rPr>
        <w:t>3.2.1评标委员会按本章第2.2款规定的量化因素和分值进行打分，并计算出各投标人的商务和技术得分。</w:t>
      </w:r>
    </w:p>
    <w:p>
      <w:pPr>
        <w:spacing w:line="360" w:lineRule="auto"/>
        <w:ind w:firstLine="480" w:firstLineChars="200"/>
        <w:rPr>
          <w:rFonts w:hint="eastAsia" w:ascii="宋体" w:hAnsi="宋体"/>
          <w:color w:val="auto"/>
          <w:szCs w:val="21"/>
        </w:rPr>
      </w:pPr>
      <w:r>
        <w:rPr>
          <w:rFonts w:hint="eastAsia" w:ascii="宋体" w:hAnsi="宋体"/>
          <w:color w:val="auto"/>
          <w:szCs w:val="21"/>
        </w:rPr>
        <w:t>（1）按本章第2.2.4（1）目规定的评审因素和分值对</w:t>
      </w:r>
      <w:r>
        <w:rPr>
          <w:rFonts w:hint="eastAsia" w:ascii="宋体" w:hAnsi="宋体"/>
          <w:color w:val="auto"/>
          <w:szCs w:val="21"/>
          <w:lang w:val="en-US"/>
        </w:rPr>
        <w:t>技术建议书</w:t>
      </w:r>
      <w:r>
        <w:rPr>
          <w:rFonts w:hint="eastAsia" w:ascii="宋体" w:hAnsi="宋体"/>
          <w:color w:val="auto"/>
          <w:szCs w:val="21"/>
        </w:rPr>
        <w:t>部分计算出得分A；</w:t>
      </w:r>
    </w:p>
    <w:p>
      <w:pPr>
        <w:spacing w:line="360" w:lineRule="auto"/>
        <w:ind w:firstLine="480" w:firstLineChars="200"/>
        <w:rPr>
          <w:rFonts w:hint="eastAsia" w:ascii="宋体" w:hAnsi="宋体"/>
          <w:color w:val="auto"/>
          <w:szCs w:val="21"/>
        </w:rPr>
      </w:pPr>
      <w:r>
        <w:rPr>
          <w:rFonts w:hint="eastAsia" w:ascii="宋体" w:hAnsi="宋体"/>
          <w:color w:val="auto"/>
          <w:szCs w:val="21"/>
        </w:rPr>
        <w:t>（2）按本章第2.2.4（2）目规定的评审因素和分值对主要人员部分计算出得分B；</w:t>
      </w:r>
    </w:p>
    <w:p>
      <w:pPr>
        <w:spacing w:line="360" w:lineRule="auto"/>
        <w:ind w:firstLine="480" w:firstLineChars="200"/>
        <w:rPr>
          <w:rFonts w:hint="eastAsia" w:ascii="宋体" w:hAnsi="宋体"/>
          <w:color w:val="auto"/>
          <w:szCs w:val="21"/>
        </w:rPr>
      </w:pPr>
      <w:r>
        <w:rPr>
          <w:rFonts w:hint="eastAsia" w:ascii="宋体" w:hAnsi="宋体"/>
          <w:color w:val="auto"/>
          <w:szCs w:val="21"/>
        </w:rPr>
        <w:t>（3）按本章第2.2.4（4）目规定的评审因素和分值对其他部分计算出得分D。</w:t>
      </w:r>
    </w:p>
    <w:p>
      <w:pPr>
        <w:spacing w:line="360" w:lineRule="auto"/>
        <w:ind w:firstLine="480" w:firstLineChars="200"/>
        <w:rPr>
          <w:rFonts w:hint="eastAsia" w:ascii="宋体" w:hAnsi="宋体"/>
          <w:color w:val="auto"/>
          <w:szCs w:val="21"/>
        </w:rPr>
      </w:pPr>
      <w:r>
        <w:rPr>
          <w:rFonts w:hint="eastAsia" w:ascii="宋体" w:hAnsi="宋体"/>
          <w:color w:val="auto"/>
          <w:szCs w:val="21"/>
        </w:rPr>
        <w:t>3.2.2投标人的商务和技术得分分值计算保留小数点后两位，小数点后第三位“四舍五入”。</w:t>
      </w:r>
    </w:p>
    <w:p>
      <w:pPr>
        <w:spacing w:line="360" w:lineRule="auto"/>
        <w:ind w:firstLine="480" w:firstLineChars="200"/>
        <w:rPr>
          <w:rFonts w:hint="eastAsia" w:ascii="宋体" w:hAnsi="宋体"/>
          <w:color w:val="auto"/>
          <w:szCs w:val="21"/>
        </w:rPr>
      </w:pPr>
      <w:r>
        <w:rPr>
          <w:rFonts w:hint="eastAsia" w:ascii="宋体" w:hAnsi="宋体"/>
          <w:color w:val="auto"/>
          <w:szCs w:val="21"/>
        </w:rPr>
        <w:t>3.2.3投标人的商务和技术得分=A+B+D。</w:t>
      </w:r>
    </w:p>
    <w:p>
      <w:pPr>
        <w:spacing w:line="360" w:lineRule="auto"/>
        <w:ind w:firstLine="480" w:firstLineChars="200"/>
        <w:rPr>
          <w:rFonts w:hint="eastAsia" w:ascii="宋体" w:hAnsi="宋体"/>
          <w:color w:val="auto"/>
          <w:szCs w:val="21"/>
        </w:rPr>
      </w:pPr>
      <w:r>
        <w:rPr>
          <w:rFonts w:hint="eastAsia" w:ascii="宋体" w:hAnsi="宋体"/>
          <w:color w:val="auto"/>
          <w:szCs w:val="21"/>
        </w:rPr>
        <w:t>3.3第二个信封开标</w:t>
      </w:r>
    </w:p>
    <w:p>
      <w:pPr>
        <w:spacing w:line="360" w:lineRule="auto"/>
        <w:ind w:firstLine="480" w:firstLineChars="200"/>
        <w:rPr>
          <w:rFonts w:hint="eastAsia" w:ascii="宋体" w:hAnsi="宋体"/>
          <w:color w:val="auto"/>
          <w:szCs w:val="21"/>
        </w:rPr>
      </w:pPr>
      <w:r>
        <w:rPr>
          <w:rFonts w:hint="eastAsia" w:ascii="宋体" w:hAnsi="宋体"/>
          <w:color w:val="auto"/>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pacing w:line="360" w:lineRule="auto"/>
        <w:ind w:firstLine="480" w:firstLineChars="200"/>
        <w:rPr>
          <w:rFonts w:hint="eastAsia" w:ascii="宋体" w:hAnsi="宋体"/>
          <w:color w:val="auto"/>
          <w:szCs w:val="21"/>
        </w:rPr>
      </w:pPr>
      <w:r>
        <w:rPr>
          <w:rFonts w:hint="eastAsia" w:ascii="宋体" w:hAnsi="宋体"/>
          <w:color w:val="auto"/>
          <w:szCs w:val="21"/>
        </w:rPr>
        <w:t>3.4第二个信封初步评审</w:t>
      </w:r>
    </w:p>
    <w:p>
      <w:pPr>
        <w:spacing w:line="360" w:lineRule="auto"/>
        <w:ind w:firstLine="480" w:firstLineChars="200"/>
        <w:rPr>
          <w:rFonts w:hint="eastAsia" w:ascii="宋体" w:hAnsi="宋体"/>
          <w:color w:val="auto"/>
          <w:szCs w:val="21"/>
        </w:rPr>
      </w:pPr>
      <w:r>
        <w:rPr>
          <w:rFonts w:hint="eastAsia" w:ascii="宋体" w:hAnsi="宋体"/>
          <w:color w:val="auto"/>
          <w:szCs w:val="21"/>
        </w:rPr>
        <w:t>3.4.1评标委员会依据本章第2.1.1项、第2.1.3项规定的评审标准对投标文件第二个信封（报价文件）进行初步评审。有一项不符合评审标准的，评标委员会应否决其投标。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3.4.2投标报价有算术错误的，评标委员会按以下原则对投标报价进行修正，修正的价格经投标人书面确认后具有约束力。投标人不接受修正价格的，评标委员会应否决其投标。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(1)投标文件中的大写金额与小写金额不一致的，以大写金额为准；</w:t>
      </w:r>
    </w:p>
    <w:p>
      <w:pPr>
        <w:spacing w:line="360" w:lineRule="auto"/>
        <w:ind w:firstLine="480" w:firstLineChars="200"/>
        <w:rPr>
          <w:rFonts w:hint="eastAsia" w:ascii="宋体" w:hAnsi="宋体"/>
          <w:color w:val="auto"/>
          <w:szCs w:val="21"/>
        </w:rPr>
      </w:pPr>
      <w:r>
        <w:rPr>
          <w:rFonts w:hint="eastAsia" w:ascii="宋体" w:hAnsi="宋体"/>
          <w:color w:val="auto"/>
          <w:szCs w:val="21"/>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color w:val="auto"/>
          <w:szCs w:val="21"/>
        </w:rPr>
      </w:pPr>
      <w:r>
        <w:rPr>
          <w:rFonts w:hint="eastAsia" w:ascii="宋体" w:hAnsi="宋体"/>
          <w:color w:val="auto"/>
          <w:szCs w:val="21"/>
        </w:rPr>
        <w:t>(3)当单价与数量相乘不等于合价时，以单价计算为准，如果单价有明显的小数点位置差错，应以标出的合价为准，同时对单价予以修正；</w:t>
      </w:r>
    </w:p>
    <w:p>
      <w:pPr>
        <w:spacing w:line="360" w:lineRule="auto"/>
        <w:ind w:firstLine="480" w:firstLineChars="200"/>
        <w:rPr>
          <w:rFonts w:hint="eastAsia" w:ascii="宋体" w:hAnsi="宋体"/>
          <w:color w:val="auto"/>
          <w:szCs w:val="21"/>
        </w:rPr>
      </w:pPr>
      <w:r>
        <w:rPr>
          <w:rFonts w:hint="eastAsia" w:ascii="宋体" w:hAnsi="宋体"/>
          <w:color w:val="auto"/>
          <w:szCs w:val="21"/>
        </w:rPr>
        <w:t>(4)当各子目的合价累计不等于总价时，应以各子目合价累计数为准，修正总价。</w:t>
      </w:r>
    </w:p>
    <w:p>
      <w:pPr>
        <w:spacing w:line="360" w:lineRule="auto"/>
        <w:ind w:firstLine="480" w:firstLineChars="200"/>
        <w:rPr>
          <w:rFonts w:hint="eastAsia" w:ascii="宋体" w:hAnsi="宋体"/>
          <w:color w:val="auto"/>
          <w:szCs w:val="21"/>
        </w:rPr>
      </w:pPr>
      <w:r>
        <w:rPr>
          <w:rFonts w:hint="eastAsia" w:ascii="宋体" w:hAnsi="宋体"/>
          <w:color w:val="auto"/>
          <w:szCs w:val="21"/>
        </w:rPr>
        <w:t>3.4.3修正后的最终投标报价若超过最高投标限价(如有)，评标委员会应否决其投标。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3.4.5修正后的最终投标报价仅作为签订合同的一个依据，不参与评标价得分的计算。</w:t>
      </w:r>
    </w:p>
    <w:p>
      <w:pPr>
        <w:spacing w:line="360" w:lineRule="auto"/>
        <w:ind w:firstLine="480" w:firstLineChars="200"/>
        <w:rPr>
          <w:rFonts w:hint="eastAsia" w:ascii="宋体" w:hAnsi="宋体"/>
          <w:color w:val="auto"/>
          <w:szCs w:val="21"/>
        </w:rPr>
      </w:pPr>
      <w:r>
        <w:rPr>
          <w:rFonts w:hint="eastAsia" w:ascii="宋体" w:hAnsi="宋体"/>
          <w:color w:val="auto"/>
          <w:szCs w:val="21"/>
        </w:rPr>
        <w:t>3.5第二个信封详细评审</w:t>
      </w:r>
    </w:p>
    <w:p>
      <w:pPr>
        <w:spacing w:line="360" w:lineRule="auto"/>
        <w:ind w:firstLine="480" w:firstLineChars="200"/>
        <w:rPr>
          <w:rFonts w:hint="eastAsia" w:ascii="宋体" w:hAnsi="宋体"/>
          <w:color w:val="auto"/>
          <w:szCs w:val="21"/>
        </w:rPr>
      </w:pPr>
      <w:r>
        <w:rPr>
          <w:rFonts w:hint="eastAsia" w:ascii="宋体" w:hAnsi="宋体"/>
          <w:color w:val="auto"/>
          <w:szCs w:val="21"/>
        </w:rPr>
        <w:t>3.5.1评标委员会按本章第2.2.4（3）目规定的评审因素和分值对投标报价计算出得分C。投标报价得分分值计算保留小数点后两位，小数点后第三位“四舍五入”。</w:t>
      </w:r>
    </w:p>
    <w:p>
      <w:pPr>
        <w:spacing w:line="360" w:lineRule="auto"/>
        <w:ind w:firstLine="480" w:firstLineChars="200"/>
        <w:rPr>
          <w:rFonts w:hint="eastAsia" w:ascii="宋体" w:hAnsi="宋体"/>
          <w:color w:val="auto"/>
          <w:szCs w:val="21"/>
        </w:rPr>
      </w:pPr>
      <w:r>
        <w:rPr>
          <w:rFonts w:hint="eastAsia" w:ascii="宋体" w:hAnsi="宋体"/>
          <w:color w:val="auto"/>
          <w:szCs w:val="21"/>
        </w:rPr>
        <w:t>3.5.2投标人得分=投标人的商务和技术得分+C</w:t>
      </w:r>
    </w:p>
    <w:p>
      <w:pPr>
        <w:spacing w:line="360" w:lineRule="auto"/>
        <w:ind w:firstLine="480" w:firstLineChars="200"/>
        <w:rPr>
          <w:rFonts w:hint="eastAsia" w:ascii="宋体" w:hAnsi="宋体"/>
          <w:color w:val="auto"/>
          <w:szCs w:val="21"/>
        </w:rPr>
      </w:pPr>
      <w:r>
        <w:rPr>
          <w:rFonts w:hint="eastAsia" w:ascii="宋体" w:hAnsi="宋体"/>
          <w:color w:val="auto"/>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3.6投标文件相关信息的核查</w:t>
      </w:r>
    </w:p>
    <w:p>
      <w:pPr>
        <w:spacing w:line="360" w:lineRule="auto"/>
        <w:ind w:firstLine="480" w:firstLineChars="200"/>
        <w:rPr>
          <w:rFonts w:hint="eastAsia" w:ascii="宋体" w:hAnsi="宋体"/>
          <w:color w:val="auto"/>
          <w:szCs w:val="21"/>
        </w:rPr>
      </w:pPr>
      <w:r>
        <w:rPr>
          <w:rFonts w:hint="eastAsia" w:ascii="宋体" w:hAnsi="宋体"/>
          <w:color w:val="auto"/>
          <w:szCs w:val="21"/>
        </w:rPr>
        <w:t>3.6.1评标委员会应对在评标过程中发现的投标人与投标人之间、投标人与招标人之间存在的串通投标的情形进行评审和认定。投标人存在串通投标、弄虚作假、行贿等违法行为的，评标委员会应否决其投标。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（1）有下列情形之一的，属于投标人相互串通投标：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a.投标人之间协商投标报价等投标文件的实质性内容；</w:t>
      </w:r>
    </w:p>
    <w:p>
      <w:pPr>
        <w:spacing w:line="360" w:lineRule="auto"/>
        <w:ind w:firstLine="480" w:firstLineChars="200"/>
        <w:rPr>
          <w:rFonts w:hint="eastAsia" w:ascii="宋体" w:hAnsi="宋体"/>
          <w:color w:val="auto"/>
          <w:szCs w:val="21"/>
        </w:rPr>
      </w:pPr>
      <w:r>
        <w:rPr>
          <w:rFonts w:hint="eastAsia" w:ascii="宋体" w:hAnsi="宋体"/>
          <w:color w:val="auto"/>
          <w:szCs w:val="21"/>
        </w:rPr>
        <w:t>b.投标人之间约定中标人；</w:t>
      </w:r>
    </w:p>
    <w:p>
      <w:pPr>
        <w:spacing w:line="360" w:lineRule="auto"/>
        <w:ind w:firstLine="480" w:firstLineChars="200"/>
        <w:rPr>
          <w:rFonts w:hint="eastAsia" w:ascii="宋体" w:hAnsi="宋体"/>
          <w:color w:val="auto"/>
          <w:szCs w:val="21"/>
        </w:rPr>
      </w:pPr>
      <w:r>
        <w:rPr>
          <w:rFonts w:hint="eastAsia" w:ascii="宋体" w:hAnsi="宋体"/>
          <w:color w:val="auto"/>
          <w:szCs w:val="21"/>
        </w:rPr>
        <w:t>c.投标人之间约定部分投标人放弃投标或中标；</w:t>
      </w:r>
    </w:p>
    <w:p>
      <w:pPr>
        <w:spacing w:line="360" w:lineRule="auto"/>
        <w:ind w:firstLine="480" w:firstLineChars="200"/>
        <w:rPr>
          <w:rFonts w:hint="eastAsia" w:ascii="宋体" w:hAnsi="宋体"/>
          <w:color w:val="auto"/>
          <w:szCs w:val="21"/>
        </w:rPr>
      </w:pPr>
      <w:r>
        <w:rPr>
          <w:rFonts w:hint="eastAsia" w:ascii="宋体" w:hAnsi="宋体"/>
          <w:color w:val="auto"/>
          <w:szCs w:val="21"/>
        </w:rPr>
        <w:t>d.属于同一集团、协会、商会等组织成员的投标人按照该组织要求协同投标；</w:t>
      </w:r>
    </w:p>
    <w:p>
      <w:pPr>
        <w:spacing w:line="360" w:lineRule="auto"/>
        <w:ind w:firstLine="480" w:firstLineChars="200"/>
        <w:rPr>
          <w:rFonts w:hint="eastAsia" w:ascii="宋体" w:hAnsi="宋体"/>
          <w:color w:val="auto"/>
          <w:szCs w:val="21"/>
        </w:rPr>
      </w:pPr>
      <w:r>
        <w:rPr>
          <w:rFonts w:hint="eastAsia" w:ascii="宋体" w:hAnsi="宋体"/>
          <w:color w:val="auto"/>
          <w:szCs w:val="21"/>
        </w:rPr>
        <w:t>e.投标人之间为谋取中标或排斥特定投标人而采取的其他联合行动。</w:t>
      </w:r>
    </w:p>
    <w:p>
      <w:pPr>
        <w:spacing w:line="360" w:lineRule="auto"/>
        <w:ind w:firstLine="480" w:firstLineChars="200"/>
        <w:rPr>
          <w:rFonts w:hint="eastAsia" w:ascii="宋体" w:hAnsi="宋体"/>
          <w:color w:val="auto"/>
          <w:szCs w:val="21"/>
        </w:rPr>
      </w:pPr>
      <w:r>
        <w:rPr>
          <w:rFonts w:hint="eastAsia" w:ascii="宋体" w:hAnsi="宋体"/>
          <w:color w:val="auto"/>
          <w:szCs w:val="21"/>
        </w:rPr>
        <w:t>（2）有下列情形之一的，视为投标人相互串通投标：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a.不同投标人的投标文件由同一单位或个人编制；</w:t>
      </w:r>
    </w:p>
    <w:p>
      <w:pPr>
        <w:spacing w:line="360" w:lineRule="auto"/>
        <w:ind w:firstLine="480" w:firstLineChars="200"/>
        <w:rPr>
          <w:rFonts w:hint="eastAsia" w:ascii="宋体" w:hAnsi="宋体"/>
          <w:color w:val="auto"/>
          <w:szCs w:val="21"/>
        </w:rPr>
      </w:pPr>
      <w:r>
        <w:rPr>
          <w:rFonts w:hint="eastAsia" w:ascii="宋体" w:hAnsi="宋体"/>
          <w:color w:val="auto"/>
          <w:szCs w:val="21"/>
        </w:rPr>
        <w:t>b.不同投标人委托同一单位或个人办理投标事宜；</w:t>
      </w:r>
    </w:p>
    <w:p>
      <w:pPr>
        <w:spacing w:line="360" w:lineRule="auto"/>
        <w:ind w:firstLine="480" w:firstLineChars="200"/>
        <w:rPr>
          <w:rFonts w:hint="eastAsia" w:ascii="宋体" w:hAnsi="宋体"/>
          <w:color w:val="auto"/>
          <w:szCs w:val="21"/>
        </w:rPr>
      </w:pPr>
      <w:r>
        <w:rPr>
          <w:rFonts w:hint="eastAsia" w:ascii="宋体" w:hAnsi="宋体"/>
          <w:color w:val="auto"/>
          <w:szCs w:val="21"/>
        </w:rPr>
        <w:t>c.不同投标人的投标文件载明的项目管理成员为同一人；</w:t>
      </w:r>
    </w:p>
    <w:p>
      <w:pPr>
        <w:spacing w:line="360" w:lineRule="auto"/>
        <w:ind w:firstLine="480" w:firstLineChars="200"/>
        <w:rPr>
          <w:rFonts w:hint="eastAsia" w:ascii="宋体" w:hAnsi="宋体"/>
          <w:color w:val="auto"/>
          <w:szCs w:val="21"/>
        </w:rPr>
      </w:pPr>
      <w:r>
        <w:rPr>
          <w:rFonts w:hint="eastAsia" w:ascii="宋体" w:hAnsi="宋体"/>
          <w:color w:val="auto"/>
          <w:szCs w:val="21"/>
        </w:rPr>
        <w:t>d.不同投标人的投标文件异常一致或投标报价呈规律性差异；</w:t>
      </w:r>
    </w:p>
    <w:p>
      <w:pPr>
        <w:spacing w:line="360" w:lineRule="auto"/>
        <w:ind w:firstLine="480" w:firstLineChars="200"/>
        <w:rPr>
          <w:rFonts w:hint="eastAsia" w:ascii="宋体" w:hAnsi="宋体"/>
          <w:color w:val="auto"/>
          <w:szCs w:val="21"/>
        </w:rPr>
      </w:pPr>
      <w:r>
        <w:rPr>
          <w:rFonts w:hint="eastAsia" w:ascii="宋体" w:hAnsi="宋体"/>
          <w:color w:val="auto"/>
          <w:szCs w:val="21"/>
        </w:rPr>
        <w:t>e.不同投标人的投标文件相互混装；</w:t>
      </w:r>
    </w:p>
    <w:p>
      <w:pPr>
        <w:spacing w:line="360" w:lineRule="auto"/>
        <w:ind w:firstLine="480" w:firstLineChars="200"/>
        <w:rPr>
          <w:rFonts w:hint="eastAsia" w:ascii="宋体" w:hAnsi="宋体"/>
          <w:color w:val="auto"/>
          <w:szCs w:val="21"/>
        </w:rPr>
      </w:pPr>
      <w:r>
        <w:rPr>
          <w:rFonts w:hint="eastAsia" w:ascii="宋体" w:hAnsi="宋体"/>
          <w:color w:val="auto"/>
          <w:szCs w:val="21"/>
        </w:rPr>
        <w:t>f.不同投标人的投标保证金从同一单位或个人的账户转出。</w:t>
      </w:r>
    </w:p>
    <w:p>
      <w:pPr>
        <w:spacing w:line="360" w:lineRule="auto"/>
        <w:ind w:firstLine="480" w:firstLineChars="200"/>
        <w:rPr>
          <w:rFonts w:hint="eastAsia" w:ascii="宋体" w:hAnsi="宋体"/>
          <w:color w:val="auto"/>
          <w:szCs w:val="21"/>
        </w:rPr>
      </w:pPr>
      <w:r>
        <w:rPr>
          <w:rFonts w:hint="eastAsia" w:ascii="宋体" w:hAnsi="宋体"/>
          <w:color w:val="auto"/>
          <w:szCs w:val="21"/>
        </w:rPr>
        <w:t>g.广东省实施《中华人民共和国招标投标法》办法第十六条规定的情形。</w:t>
      </w:r>
    </w:p>
    <w:p>
      <w:pPr>
        <w:spacing w:line="360" w:lineRule="auto"/>
        <w:ind w:firstLine="480" w:firstLineChars="200"/>
        <w:rPr>
          <w:rFonts w:hint="eastAsia" w:ascii="宋体" w:hAnsi="宋体"/>
          <w:color w:val="auto"/>
          <w:szCs w:val="21"/>
        </w:rPr>
      </w:pPr>
      <w:r>
        <w:rPr>
          <w:rFonts w:hint="eastAsia" w:ascii="宋体" w:hAnsi="宋体"/>
          <w:color w:val="auto"/>
          <w:szCs w:val="21"/>
        </w:rPr>
        <w:t>（3）有下列情形之一的，属于招标人与投标人串通投标：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a.招标人在开标前开启投标文件并将有关信息泄露给其他投标人;</w:t>
      </w:r>
    </w:p>
    <w:p>
      <w:pPr>
        <w:spacing w:line="360" w:lineRule="auto"/>
        <w:ind w:firstLine="480" w:firstLineChars="200"/>
        <w:rPr>
          <w:rFonts w:hint="eastAsia" w:ascii="宋体" w:hAnsi="宋体"/>
          <w:color w:val="auto"/>
          <w:szCs w:val="21"/>
        </w:rPr>
      </w:pPr>
      <w:r>
        <w:rPr>
          <w:rFonts w:hint="eastAsia" w:ascii="宋体" w:hAnsi="宋体"/>
          <w:color w:val="auto"/>
          <w:szCs w:val="21"/>
        </w:rPr>
        <w:t>b.招标人直接或间接向投标人泄露标底、评标委员会成员等信息；</w:t>
      </w:r>
    </w:p>
    <w:p>
      <w:pPr>
        <w:spacing w:line="360" w:lineRule="auto"/>
        <w:ind w:firstLine="480" w:firstLineChars="200"/>
        <w:rPr>
          <w:rFonts w:hint="eastAsia" w:ascii="宋体" w:hAnsi="宋体"/>
          <w:color w:val="auto"/>
          <w:szCs w:val="21"/>
        </w:rPr>
      </w:pPr>
      <w:r>
        <w:rPr>
          <w:rFonts w:hint="eastAsia" w:ascii="宋体" w:hAnsi="宋体"/>
          <w:color w:val="auto"/>
          <w:szCs w:val="21"/>
        </w:rPr>
        <w:t>c.招标人明示或暗示投标人压低或抬高投标报价；</w:t>
      </w:r>
    </w:p>
    <w:p>
      <w:pPr>
        <w:spacing w:line="360" w:lineRule="auto"/>
        <w:ind w:firstLine="480" w:firstLineChars="200"/>
        <w:rPr>
          <w:rFonts w:hint="eastAsia" w:ascii="宋体" w:hAnsi="宋体"/>
          <w:color w:val="auto"/>
          <w:szCs w:val="21"/>
        </w:rPr>
      </w:pPr>
      <w:r>
        <w:rPr>
          <w:rFonts w:hint="eastAsia" w:ascii="宋体" w:hAnsi="宋体"/>
          <w:color w:val="auto"/>
          <w:szCs w:val="21"/>
        </w:rPr>
        <w:t>d.招标人授意投标人撤换、修改投标文件；</w:t>
      </w:r>
    </w:p>
    <w:p>
      <w:pPr>
        <w:spacing w:line="360" w:lineRule="auto"/>
        <w:ind w:firstLine="480" w:firstLineChars="200"/>
        <w:rPr>
          <w:rFonts w:hint="eastAsia" w:ascii="宋体" w:hAnsi="宋体"/>
          <w:color w:val="auto"/>
          <w:szCs w:val="21"/>
        </w:rPr>
      </w:pPr>
      <w:r>
        <w:rPr>
          <w:rFonts w:hint="eastAsia" w:ascii="宋体" w:hAnsi="宋体"/>
          <w:color w:val="auto"/>
          <w:szCs w:val="21"/>
        </w:rPr>
        <w:t>e.招标人明示或暗示投标人为特定投标人中标提供方便；</w:t>
      </w:r>
    </w:p>
    <w:p>
      <w:pPr>
        <w:spacing w:line="360" w:lineRule="auto"/>
        <w:ind w:firstLine="480" w:firstLineChars="200"/>
        <w:rPr>
          <w:rFonts w:hint="eastAsia" w:ascii="宋体" w:hAnsi="宋体"/>
          <w:color w:val="auto"/>
          <w:szCs w:val="21"/>
        </w:rPr>
      </w:pPr>
      <w:r>
        <w:rPr>
          <w:rFonts w:hint="eastAsia" w:ascii="宋体" w:hAnsi="宋体"/>
          <w:color w:val="auto"/>
          <w:szCs w:val="21"/>
        </w:rPr>
        <w:t>f.招标人与投标人为谋求特定投标人中标而采取的其他串通行为。</w:t>
      </w:r>
    </w:p>
    <w:p>
      <w:pPr>
        <w:spacing w:line="360" w:lineRule="auto"/>
        <w:ind w:firstLine="480" w:firstLineChars="200"/>
        <w:rPr>
          <w:rFonts w:hint="eastAsia" w:ascii="宋体" w:hAnsi="宋体"/>
          <w:color w:val="auto"/>
          <w:szCs w:val="21"/>
        </w:rPr>
      </w:pPr>
      <w:r>
        <w:rPr>
          <w:rFonts w:hint="eastAsia" w:ascii="宋体" w:hAnsi="宋体"/>
          <w:color w:val="auto"/>
          <w:szCs w:val="21"/>
        </w:rPr>
        <w:t>（4）投标人有下列情形之一的，属于弄虚作假的行为：</w:t>
      </w:r>
    </w:p>
    <w:p>
      <w:pPr>
        <w:spacing w:line="360" w:lineRule="auto"/>
        <w:ind w:firstLine="480" w:firstLineChars="200"/>
        <w:rPr>
          <w:rFonts w:hint="eastAsia" w:ascii="宋体" w:hAnsi="宋体"/>
          <w:color w:val="auto"/>
          <w:szCs w:val="21"/>
        </w:rPr>
      </w:pPr>
      <w:r>
        <w:rPr>
          <w:rFonts w:hint="eastAsia" w:ascii="宋体" w:hAnsi="宋体"/>
          <w:color w:val="auto"/>
          <w:szCs w:val="21"/>
        </w:rPr>
        <w:t>a.使用通过受让或租借等方式获取的资格、资质证书投标；</w:t>
      </w:r>
    </w:p>
    <w:p>
      <w:pPr>
        <w:spacing w:line="360" w:lineRule="auto"/>
        <w:ind w:firstLine="480" w:firstLineChars="200"/>
        <w:rPr>
          <w:rFonts w:hint="eastAsia" w:ascii="宋体" w:hAnsi="宋体"/>
          <w:color w:val="auto"/>
          <w:szCs w:val="21"/>
        </w:rPr>
      </w:pPr>
      <w:r>
        <w:rPr>
          <w:rFonts w:hint="eastAsia" w:ascii="宋体" w:hAnsi="宋体"/>
          <w:color w:val="auto"/>
          <w:szCs w:val="21"/>
        </w:rPr>
        <w:t>b.使用伪造、变造的许可证件；</w:t>
      </w:r>
    </w:p>
    <w:p>
      <w:pPr>
        <w:spacing w:line="360" w:lineRule="auto"/>
        <w:ind w:firstLine="480" w:firstLineChars="200"/>
        <w:rPr>
          <w:rFonts w:hint="eastAsia" w:ascii="宋体" w:hAnsi="宋体"/>
          <w:color w:val="auto"/>
          <w:szCs w:val="21"/>
        </w:rPr>
      </w:pPr>
      <w:r>
        <w:rPr>
          <w:rFonts w:hint="eastAsia" w:ascii="宋体" w:hAnsi="宋体"/>
          <w:color w:val="auto"/>
          <w:szCs w:val="21"/>
        </w:rPr>
        <w:t>c.提供虚假的财务状况或业绩；</w:t>
      </w:r>
    </w:p>
    <w:p>
      <w:pPr>
        <w:spacing w:line="360" w:lineRule="auto"/>
        <w:ind w:firstLine="480" w:firstLineChars="200"/>
        <w:rPr>
          <w:rFonts w:hint="eastAsia" w:ascii="宋体" w:hAnsi="宋体"/>
          <w:color w:val="auto"/>
          <w:szCs w:val="21"/>
        </w:rPr>
      </w:pPr>
      <w:r>
        <w:rPr>
          <w:rFonts w:hint="eastAsia" w:ascii="宋体" w:hAnsi="宋体"/>
          <w:color w:val="auto"/>
          <w:szCs w:val="21"/>
        </w:rPr>
        <w:t>d.提供虚假的项目负责人或主要技术人员简历、劳动关系证明；</w:t>
      </w:r>
    </w:p>
    <w:p>
      <w:pPr>
        <w:spacing w:line="360" w:lineRule="auto"/>
        <w:ind w:firstLine="480" w:firstLineChars="200"/>
        <w:rPr>
          <w:rFonts w:hint="eastAsia" w:ascii="宋体" w:hAnsi="宋体"/>
          <w:color w:val="auto"/>
          <w:szCs w:val="21"/>
        </w:rPr>
      </w:pPr>
      <w:r>
        <w:rPr>
          <w:rFonts w:hint="eastAsia" w:ascii="宋体" w:hAnsi="宋体"/>
          <w:color w:val="auto"/>
          <w:szCs w:val="21"/>
        </w:rPr>
        <w:t>e.提供虚假的信用状况；</w:t>
      </w:r>
    </w:p>
    <w:p>
      <w:pPr>
        <w:spacing w:line="360" w:lineRule="auto"/>
        <w:ind w:firstLine="480" w:firstLineChars="200"/>
        <w:rPr>
          <w:rFonts w:hint="eastAsia" w:ascii="宋体" w:hAnsi="宋体"/>
          <w:color w:val="auto"/>
          <w:szCs w:val="21"/>
        </w:rPr>
      </w:pPr>
      <w:r>
        <w:rPr>
          <w:rFonts w:hint="eastAsia" w:ascii="宋体" w:hAnsi="宋体"/>
          <w:color w:val="auto"/>
          <w:szCs w:val="21"/>
        </w:rPr>
        <w:t>f.其他弄虚作假的行为。</w:t>
      </w:r>
    </w:p>
    <w:p>
      <w:pPr>
        <w:spacing w:line="360" w:lineRule="auto"/>
        <w:ind w:firstLine="480" w:firstLineChars="200"/>
        <w:rPr>
          <w:rFonts w:hint="eastAsia" w:ascii="宋体" w:hAnsi="宋体"/>
          <w:color w:val="auto"/>
          <w:szCs w:val="21"/>
        </w:rPr>
      </w:pPr>
      <w:r>
        <w:rPr>
          <w:rFonts w:hint="eastAsia" w:ascii="宋体" w:hAnsi="宋体"/>
          <w:color w:val="auto"/>
          <w:szCs w:val="21"/>
        </w:rPr>
        <w:t>3.6.</w:t>
      </w:r>
      <w:r>
        <w:rPr>
          <w:rFonts w:hint="eastAsia" w:ascii="宋体" w:hAnsi="宋体"/>
          <w:color w:val="auto"/>
          <w:szCs w:val="21"/>
          <w:lang w:val="en-US"/>
        </w:rPr>
        <w:t>2</w:t>
      </w:r>
      <w:r>
        <w:rPr>
          <w:rFonts w:hint="eastAsia" w:ascii="宋体" w:hAnsi="宋体"/>
          <w:color w:val="auto"/>
          <w:szCs w:val="21"/>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pPr>
        <w:spacing w:line="360" w:lineRule="auto"/>
        <w:ind w:firstLine="480" w:firstLineChars="200"/>
        <w:rPr>
          <w:rFonts w:hint="eastAsia" w:ascii="宋体" w:hAnsi="宋体"/>
          <w:color w:val="auto"/>
          <w:szCs w:val="21"/>
        </w:rPr>
      </w:pPr>
      <w:r>
        <w:rPr>
          <w:rFonts w:hint="eastAsia" w:ascii="宋体" w:hAnsi="宋体"/>
          <w:color w:val="auto"/>
          <w:szCs w:val="21"/>
        </w:rPr>
        <w:t>3.7投标文件的澄清和说明</w:t>
      </w:r>
    </w:p>
    <w:p>
      <w:pPr>
        <w:spacing w:line="360" w:lineRule="auto"/>
        <w:ind w:firstLine="480" w:firstLineChars="200"/>
        <w:rPr>
          <w:rFonts w:hint="eastAsia" w:ascii="宋体" w:hAnsi="宋体"/>
          <w:color w:val="auto"/>
          <w:szCs w:val="21"/>
        </w:rPr>
      </w:pPr>
      <w:r>
        <w:rPr>
          <w:rFonts w:hint="eastAsia" w:ascii="宋体" w:hAnsi="宋体"/>
          <w:color w:val="auto"/>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3.7.2 澄清和说明不得超出投标文件的范围或改变投标文件的实质性内容（算术性错误的修正除外）。投标人的书面澄清、说明属于投标文件的组成部分。</w:t>
      </w:r>
    </w:p>
    <w:p>
      <w:pPr>
        <w:spacing w:line="360" w:lineRule="auto"/>
        <w:ind w:firstLine="480" w:firstLineChars="200"/>
        <w:rPr>
          <w:rFonts w:hint="eastAsia" w:ascii="宋体" w:hAnsi="宋体"/>
          <w:color w:val="auto"/>
          <w:szCs w:val="21"/>
        </w:rPr>
      </w:pPr>
      <w:r>
        <w:rPr>
          <w:rFonts w:hint="eastAsia" w:ascii="宋体" w:hAnsi="宋体"/>
          <w:color w:val="auto"/>
          <w:szCs w:val="21"/>
        </w:rPr>
        <w:t>3.7.3 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rPr>
        <w:t>7</w:t>
      </w:r>
      <w:r>
        <w:rPr>
          <w:rFonts w:hint="eastAsia" w:ascii="宋体" w:hAnsi="宋体"/>
          <w:color w:val="auto"/>
          <w:szCs w:val="21"/>
        </w:rPr>
        <w:t>.4 凡超出招标文件规定的或给招标人带来未曾要求的利益的变化、偏差或其他因素在评标时不予考虑。</w:t>
      </w:r>
    </w:p>
    <w:p>
      <w:pPr>
        <w:spacing w:line="360" w:lineRule="auto"/>
        <w:ind w:firstLine="480" w:firstLineChars="200"/>
        <w:rPr>
          <w:rFonts w:hint="eastAsia" w:ascii="宋体" w:hAnsi="宋体"/>
          <w:color w:val="auto"/>
          <w:szCs w:val="21"/>
        </w:rPr>
      </w:pPr>
      <w:r>
        <w:rPr>
          <w:rFonts w:hint="eastAsia" w:ascii="宋体" w:hAnsi="宋体"/>
          <w:color w:val="auto"/>
          <w:szCs w:val="21"/>
        </w:rPr>
        <w:t>3.8不得否决投标的情形</w:t>
      </w:r>
    </w:p>
    <w:p>
      <w:pPr>
        <w:spacing w:line="360" w:lineRule="auto"/>
        <w:ind w:firstLine="480" w:firstLineChars="200"/>
        <w:rPr>
          <w:rFonts w:hint="eastAsia" w:ascii="宋体" w:hAnsi="宋体"/>
          <w:color w:val="auto"/>
          <w:szCs w:val="21"/>
        </w:rPr>
      </w:pPr>
      <w:r>
        <w:rPr>
          <w:rFonts w:hint="eastAsia" w:ascii="宋体" w:hAnsi="宋体"/>
          <w:color w:val="auto"/>
          <w:szCs w:val="21"/>
        </w:rPr>
        <w:t>投标文件存在第二章“投标人须知”第1.12.3项所列情形的，均视为细微偏差，评标委员会不得否决投标人的投标，应按照第二章“投标人须知”第1.12.4项规定的原则处理。</w:t>
      </w:r>
    </w:p>
    <w:p>
      <w:pPr>
        <w:spacing w:line="360" w:lineRule="auto"/>
        <w:ind w:firstLine="480" w:firstLineChars="200"/>
        <w:rPr>
          <w:rFonts w:hint="eastAsia" w:ascii="宋体" w:hAnsi="宋体"/>
          <w:color w:val="auto"/>
          <w:szCs w:val="21"/>
        </w:rPr>
      </w:pPr>
      <w:r>
        <w:rPr>
          <w:rFonts w:hint="eastAsia" w:ascii="宋体" w:hAnsi="宋体"/>
          <w:color w:val="auto"/>
          <w:szCs w:val="21"/>
        </w:rPr>
        <w:t>3.9评标结果</w:t>
      </w:r>
    </w:p>
    <w:p>
      <w:pPr>
        <w:spacing w:line="360" w:lineRule="auto"/>
        <w:ind w:firstLine="480" w:firstLineChars="200"/>
        <w:rPr>
          <w:rFonts w:hint="eastAsia" w:ascii="宋体" w:hAnsi="宋体"/>
          <w:color w:val="auto"/>
          <w:szCs w:val="21"/>
        </w:rPr>
      </w:pPr>
      <w:r>
        <w:rPr>
          <w:rFonts w:hint="eastAsia" w:ascii="宋体" w:hAnsi="宋体"/>
          <w:color w:val="auto"/>
          <w:szCs w:val="21"/>
        </w:rPr>
        <w:t>3.9.1 除第二章“投标人须知”前附表授权直接确定中标人外，评标委员会按照得分由高到低的顺序推荐中标候选人，并标明排序。</w:t>
      </w:r>
    </w:p>
    <w:p>
      <w:pPr>
        <w:spacing w:line="360" w:lineRule="auto"/>
        <w:ind w:firstLine="480" w:firstLineChars="200"/>
        <w:rPr>
          <w:rFonts w:hint="eastAsia" w:ascii="宋体" w:hAnsi="宋体"/>
          <w:color w:val="auto"/>
          <w:szCs w:val="21"/>
        </w:rPr>
        <w:sectPr>
          <w:footnotePr>
            <w:numRestart w:val="eachPage"/>
          </w:footnotePr>
          <w:pgSz w:w="11900" w:h="16838"/>
          <w:pgMar w:top="1803" w:right="1440" w:bottom="1803" w:left="1440" w:header="680" w:footer="680" w:gutter="0"/>
          <w:cols w:space="720" w:num="1"/>
          <w:docGrid w:linePitch="360" w:charSpace="0"/>
        </w:sectPr>
      </w:pPr>
      <w:r>
        <w:rPr>
          <w:rFonts w:hint="eastAsia" w:ascii="宋体" w:hAnsi="宋体"/>
          <w:color w:val="auto"/>
          <w:szCs w:val="21"/>
        </w:rPr>
        <w:t>3.9.2 评标委员会完成评标后，应向招标人提交书面评标报告。</w:t>
      </w:r>
    </w:p>
    <w:p>
      <w:pPr>
        <w:pStyle w:val="613"/>
        <w:shd w:val="clear" w:color="auto" w:fill="auto"/>
        <w:spacing w:after="0" w:line="500" w:lineRule="exact"/>
        <w:rPr>
          <w:rStyle w:val="612"/>
          <w:rFonts w:ascii="黑体" w:hAnsi="宋体" w:eastAsia="黑体"/>
        </w:rPr>
      </w:pPr>
      <w:r>
        <w:rPr>
          <w:rStyle w:val="612"/>
          <w:rFonts w:hint="eastAsia" w:ascii="黑体" w:hAnsi="宋体" w:eastAsia="黑体"/>
          <w:sz w:val="36"/>
          <w:szCs w:val="36"/>
        </w:rPr>
        <w:t>第三章</w:t>
      </w:r>
      <w:r>
        <w:rPr>
          <w:rStyle w:val="612"/>
          <w:rFonts w:hint="eastAsia" w:ascii="黑体" w:hAnsi="宋体" w:eastAsia="黑体"/>
          <w:sz w:val="36"/>
          <w:szCs w:val="36"/>
          <w:lang w:val="en-US" w:eastAsia="zh-CN"/>
        </w:rPr>
        <w:t xml:space="preserve"> </w:t>
      </w:r>
      <w:r>
        <w:rPr>
          <w:rStyle w:val="612"/>
          <w:rFonts w:hint="eastAsia" w:ascii="黑体" w:hAnsi="宋体" w:eastAsia="黑体"/>
          <w:sz w:val="36"/>
          <w:szCs w:val="36"/>
        </w:rPr>
        <w:t>评标办法</w:t>
      </w:r>
    </w:p>
    <w:p>
      <w:pPr>
        <w:pStyle w:val="84"/>
        <w:snapToGrid w:val="0"/>
        <w:spacing w:line="360" w:lineRule="auto"/>
        <w:outlineLvl w:val="1"/>
        <w:rPr>
          <w:sz w:val="24"/>
          <w:szCs w:val="13"/>
        </w:rPr>
      </w:pPr>
      <w:r>
        <w:rPr>
          <w:rFonts w:hint="eastAsia"/>
          <w:bCs/>
          <w:sz w:val="24"/>
          <w:szCs w:val="13"/>
        </w:rPr>
        <w:t>（</w:t>
      </w:r>
      <w:r>
        <w:rPr>
          <w:rFonts w:hint="eastAsia"/>
          <w:sz w:val="24"/>
          <w:szCs w:val="13"/>
        </w:rPr>
        <w:t>双信封的</w:t>
      </w:r>
      <w:r>
        <w:rPr>
          <w:rFonts w:hint="eastAsia"/>
          <w:bCs/>
          <w:sz w:val="24"/>
          <w:szCs w:val="13"/>
          <w:lang w:val="en-US" w:eastAsia="zh-CN"/>
        </w:rPr>
        <w:t>综合评分法</w:t>
      </w:r>
      <w:r>
        <w:rPr>
          <w:rFonts w:hint="eastAsia" w:ascii="宋体" w:hAnsi="宋体" w:cs="宋体"/>
          <w:bCs/>
          <w:sz w:val="24"/>
          <w:szCs w:val="13"/>
          <w:lang w:val="en-US" w:eastAsia="zh-CN"/>
        </w:rPr>
        <w:t>Ⅱ</w:t>
      </w:r>
      <w:r>
        <w:rPr>
          <w:rFonts w:hint="eastAsia"/>
          <w:bCs/>
          <w:sz w:val="24"/>
          <w:szCs w:val="13"/>
          <w:lang w:val="en-US" w:eastAsia="zh-CN"/>
        </w:rPr>
        <w:t>，适用于设计单独招标</w:t>
      </w:r>
      <w:r>
        <w:rPr>
          <w:rFonts w:hint="eastAsia"/>
          <w:bCs/>
          <w:sz w:val="24"/>
          <w:szCs w:val="13"/>
        </w:rPr>
        <w:t>）</w:t>
      </w:r>
    </w:p>
    <w:p>
      <w:pPr>
        <w:pStyle w:val="84"/>
        <w:snapToGrid w:val="0"/>
        <w:spacing w:line="360" w:lineRule="auto"/>
        <w:jc w:val="left"/>
        <w:outlineLvl w:val="1"/>
        <w:rPr>
          <w:b w:val="0"/>
          <w:sz w:val="24"/>
          <w:szCs w:val="13"/>
        </w:rPr>
      </w:pPr>
      <w:r>
        <w:rPr>
          <w:rFonts w:hint="eastAsia"/>
          <w:sz w:val="24"/>
          <w:szCs w:val="13"/>
        </w:rPr>
        <w:t>评标办法前附表</w:t>
      </w:r>
      <w:r>
        <w:rPr>
          <w:rStyle w:val="101"/>
          <w:rFonts w:hint="eastAsia" w:ascii="宋体" w:hAnsi="宋体"/>
          <w:b w:val="0"/>
          <w:sz w:val="30"/>
          <w:szCs w:val="24"/>
          <w:lang w:val="en-US" w:eastAsia="zh-CN"/>
        </w:rPr>
        <w:footnoteReference w:id="71"/>
      </w:r>
    </w:p>
    <w:tbl>
      <w:tblPr>
        <w:tblStyle w:val="88"/>
        <w:tblW w:w="0" w:type="auto"/>
        <w:tblInd w:w="39" w:type="dxa"/>
        <w:tblLayout w:type="fixed"/>
        <w:tblCellMar>
          <w:top w:w="0" w:type="dxa"/>
          <w:left w:w="0" w:type="dxa"/>
          <w:bottom w:w="0" w:type="dxa"/>
          <w:right w:w="0" w:type="dxa"/>
        </w:tblCellMar>
      </w:tblPr>
      <w:tblGrid>
        <w:gridCol w:w="15"/>
        <w:gridCol w:w="856"/>
        <w:gridCol w:w="1463"/>
        <w:gridCol w:w="6637"/>
      </w:tblGrid>
      <w:tr>
        <w:tblPrEx>
          <w:tblCellMar>
            <w:top w:w="0" w:type="dxa"/>
            <w:left w:w="0" w:type="dxa"/>
            <w:bottom w:w="0" w:type="dxa"/>
            <w:right w:w="0" w:type="dxa"/>
          </w:tblCellMar>
        </w:tblPrEx>
        <w:trPr>
          <w:tblHeader/>
        </w:trPr>
        <w:tc>
          <w:tcPr>
            <w:tcW w:w="871" w:type="dxa"/>
            <w:gridSpan w:val="2"/>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b/>
                <w:bCs/>
                <w:sz w:val="21"/>
                <w:szCs w:val="21"/>
                <w:lang w:val="en-US" w:eastAsia="zh-CN"/>
              </w:rPr>
            </w:pPr>
            <w:r>
              <w:rPr>
                <w:rStyle w:val="387"/>
                <w:rFonts w:hint="eastAsia" w:ascii="宋体" w:hAnsi="宋体" w:eastAsia="宋体"/>
                <w:b/>
                <w:bCs/>
                <w:sz w:val="21"/>
                <w:szCs w:val="21"/>
                <w:lang w:val="zh-CN" w:eastAsia="zh-CN"/>
              </w:rPr>
              <w:t>条款号</w:t>
            </w:r>
          </w:p>
        </w:tc>
        <w:tc>
          <w:tcPr>
            <w:tcW w:w="146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360" w:lineRule="auto"/>
              <w:ind w:left="0" w:right="0"/>
              <w:jc w:val="center"/>
              <w:rPr>
                <w:rStyle w:val="387"/>
                <w:rFonts w:hint="default" w:ascii="宋体" w:hAnsi="宋体" w:eastAsia="宋体"/>
                <w:b/>
                <w:bCs/>
                <w:sz w:val="21"/>
                <w:szCs w:val="21"/>
                <w:lang w:val="en-US" w:eastAsia="zh-CN"/>
              </w:rPr>
            </w:pPr>
            <w:r>
              <w:rPr>
                <w:rStyle w:val="387"/>
                <w:rFonts w:hint="eastAsia" w:ascii="宋体" w:hAnsi="宋体" w:eastAsia="宋体"/>
                <w:b/>
                <w:bCs/>
                <w:sz w:val="21"/>
                <w:szCs w:val="21"/>
                <w:lang w:val="en-US" w:eastAsia="zh-CN"/>
              </w:rPr>
              <w:t>条款内容</w:t>
            </w:r>
          </w:p>
        </w:tc>
        <w:tc>
          <w:tcPr>
            <w:tcW w:w="6637" w:type="dxa"/>
            <w:tcBorders>
              <w:top w:val="single" w:color="auto" w:sz="4" w:space="0"/>
              <w:left w:val="single" w:color="auto" w:sz="4" w:space="0"/>
              <w:bottom w:val="nil"/>
              <w:right w:val="single" w:color="auto" w:sz="4" w:space="0"/>
            </w:tcBorders>
            <w:shd w:val="clear" w:color="auto" w:fill="FFFFFF"/>
            <w:noWrap w:val="0"/>
            <w:vAlign w:val="bottom"/>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b/>
                <w:bCs/>
                <w:sz w:val="21"/>
                <w:szCs w:val="21"/>
                <w:lang w:val="en-US" w:eastAsia="zh-CN"/>
              </w:rPr>
            </w:pPr>
            <w:r>
              <w:rPr>
                <w:rStyle w:val="387"/>
                <w:rFonts w:hint="eastAsia" w:ascii="宋体" w:hAnsi="宋体" w:eastAsia="宋体"/>
                <w:b/>
                <w:bCs/>
                <w:sz w:val="21"/>
                <w:szCs w:val="21"/>
                <w:lang w:val="zh-CN" w:eastAsia="zh-CN"/>
              </w:rPr>
              <w:t>评审因素与评审标准</w:t>
            </w:r>
          </w:p>
        </w:tc>
      </w:tr>
      <w:tr>
        <w:tblPrEx>
          <w:tblCellMar>
            <w:top w:w="0" w:type="dxa"/>
            <w:left w:w="0" w:type="dxa"/>
            <w:bottom w:w="0" w:type="dxa"/>
            <w:right w:w="0" w:type="dxa"/>
          </w:tblCellMar>
        </w:tblPrEx>
        <w:tc>
          <w:tcPr>
            <w:tcW w:w="871" w:type="dxa"/>
            <w:gridSpan w:val="2"/>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387"/>
                <w:rFonts w:hint="default" w:ascii="宋体" w:hAnsi="宋体" w:eastAsia="宋体"/>
                <w:sz w:val="21"/>
                <w:szCs w:val="21"/>
                <w:lang w:val="zh-CN" w:eastAsia="zh-CN"/>
              </w:rPr>
              <w:t>1</w:t>
            </w:r>
          </w:p>
        </w:tc>
        <w:tc>
          <w:tcPr>
            <w:tcW w:w="146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387"/>
                <w:rFonts w:hint="eastAsia" w:ascii="宋体" w:hAnsi="宋体" w:eastAsia="宋体"/>
                <w:sz w:val="21"/>
                <w:szCs w:val="21"/>
                <w:lang w:val="zh-CN" w:eastAsia="zh-CN"/>
              </w:rPr>
              <w:t>评标方法</w:t>
            </w:r>
          </w:p>
        </w:tc>
        <w:tc>
          <w:tcPr>
            <w:tcW w:w="6637"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141" w:rightChars="59" w:firstLine="540"/>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综合评分相等时，评标委员会依次按照以下优先顺序推荐中标候选人或确定中标人：</w:t>
            </w:r>
          </w:p>
          <w:p>
            <w:pPr>
              <w:pStyle w:val="215"/>
              <w:keepNext w:val="0"/>
              <w:keepLines w:val="0"/>
              <w:suppressLineNumbers w:val="0"/>
              <w:shd w:val="clear" w:color="auto" w:fill="auto"/>
              <w:tabs>
                <w:tab w:val="left" w:pos="1050"/>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（1）评标价低的优先；</w:t>
            </w:r>
          </w:p>
          <w:p>
            <w:pPr>
              <w:pStyle w:val="215"/>
              <w:keepNext w:val="0"/>
              <w:keepLines w:val="0"/>
              <w:suppressLineNumbers w:val="0"/>
              <w:shd w:val="clear" w:color="auto" w:fill="auto"/>
              <w:tabs>
                <w:tab w:val="left" w:pos="1050"/>
              </w:tabs>
              <w:spacing w:before="0" w:beforeAutospacing="0" w:after="0" w:afterAutospacing="0" w:line="360" w:lineRule="auto"/>
              <w:ind w:left="0" w:right="141" w:rightChars="59"/>
              <w:jc w:val="both"/>
              <w:rPr>
                <w:rStyle w:val="333"/>
                <w:rFonts w:hint="eastAsia" w:ascii="宋体" w:hAnsi="Times New Roman" w:eastAsia="宋体"/>
                <w:sz w:val="21"/>
                <w:szCs w:val="21"/>
                <w:lang w:val="zh-CN" w:eastAsia="zh-CN"/>
              </w:rPr>
            </w:pPr>
            <w:r>
              <w:rPr>
                <w:rStyle w:val="333"/>
                <w:rFonts w:hint="eastAsia" w:ascii="宋体" w:hAnsi="宋体" w:eastAsia="宋体"/>
                <w:sz w:val="21"/>
                <w:szCs w:val="21"/>
                <w:lang w:val="zh-CN" w:eastAsia="zh-CN"/>
              </w:rPr>
              <w:t>（2）</w:t>
            </w:r>
            <w:r>
              <w:rPr>
                <w:rStyle w:val="333"/>
                <w:rFonts w:hint="eastAsia" w:ascii="宋体" w:hAnsi="Times New Roman" w:eastAsia="宋体"/>
                <w:sz w:val="21"/>
                <w:szCs w:val="21"/>
                <w:lang w:val="zh-CN" w:eastAsia="zh-CN"/>
              </w:rPr>
              <w:t>按招标文件规定被认定为最新年度湛江市水运工程从业单位信用评价等级较高的投标人优先：</w:t>
            </w:r>
          </w:p>
          <w:p>
            <w:pPr>
              <w:pStyle w:val="215"/>
              <w:keepNext w:val="0"/>
              <w:keepLines w:val="0"/>
              <w:suppressLineNumbers w:val="0"/>
              <w:shd w:val="clear" w:color="auto" w:fill="auto"/>
              <w:tabs>
                <w:tab w:val="left" w:pos="1050"/>
              </w:tabs>
              <w:spacing w:before="0" w:beforeAutospacing="0" w:after="0" w:afterAutospacing="0" w:line="360" w:lineRule="auto"/>
              <w:ind w:left="0" w:right="141" w:rightChars="59"/>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en-US" w:eastAsia="zh-CN"/>
              </w:rPr>
              <w:t>【</w:t>
            </w:r>
            <w:r>
              <w:rPr>
                <w:rStyle w:val="333"/>
                <w:rFonts w:hint="eastAsia" w:ascii="宋体" w:hAnsi="宋体" w:eastAsia="宋体"/>
                <w:sz w:val="21"/>
                <w:szCs w:val="21"/>
                <w:lang w:val="zh-CN" w:eastAsia="zh-CN"/>
              </w:rPr>
              <w:t>承诺使用的AA级投标人、不承诺使用的AA级投标人、承诺使用的A级投标人、不承诺使用的A级投标人、B级投标人、未参评且被确定为B级投标人】</w:t>
            </w:r>
          </w:p>
          <w:p>
            <w:pPr>
              <w:keepNext w:val="0"/>
              <w:keepLines w:val="0"/>
              <w:suppressLineNumbers w:val="0"/>
              <w:adjustRightInd w:val="0"/>
              <w:snapToGrid w:val="0"/>
              <w:spacing w:before="0" w:beforeAutospacing="0" w:after="0" w:afterAutospacing="0" w:line="360" w:lineRule="auto"/>
              <w:ind w:left="0" w:right="141" w:rightChars="59"/>
              <w:jc w:val="both"/>
              <w:rPr>
                <w:rStyle w:val="333"/>
                <w:rFonts w:hint="eastAsia" w:ascii="宋体" w:hAnsi="宋体" w:eastAsia="宋体"/>
                <w:color w:val="auto"/>
                <w:sz w:val="21"/>
                <w:szCs w:val="21"/>
              </w:rPr>
            </w:pPr>
            <w:r>
              <w:rPr>
                <w:rStyle w:val="333"/>
                <w:rFonts w:hint="eastAsia" w:ascii="宋体" w:hAnsi="宋体" w:eastAsia="宋体"/>
                <w:color w:val="auto"/>
                <w:sz w:val="21"/>
                <w:szCs w:val="21"/>
              </w:rPr>
              <w:t>（3）</w:t>
            </w:r>
            <w:r>
              <w:rPr>
                <w:rStyle w:val="333"/>
                <w:rFonts w:hint="eastAsia" w:ascii="宋体" w:hAnsi="宋体" w:eastAsia="宋体"/>
                <w:color w:val="auto"/>
                <w:sz w:val="21"/>
                <w:szCs w:val="21"/>
                <w:lang w:val="en-US"/>
              </w:rPr>
              <w:t>商务和技术得分较高的投标人</w:t>
            </w:r>
            <w:r>
              <w:rPr>
                <w:rStyle w:val="333"/>
                <w:rFonts w:hint="eastAsia" w:ascii="宋体" w:hAnsi="宋体" w:eastAsia="宋体"/>
                <w:color w:val="auto"/>
                <w:sz w:val="21"/>
                <w:szCs w:val="21"/>
              </w:rPr>
              <w:t>优先；</w:t>
            </w:r>
          </w:p>
          <w:p>
            <w:pPr>
              <w:pStyle w:val="215"/>
              <w:keepNext w:val="0"/>
              <w:keepLines w:val="0"/>
              <w:suppressLineNumbers w:val="0"/>
              <w:shd w:val="clear" w:color="auto" w:fill="auto"/>
              <w:tabs>
                <w:tab w:val="left" w:pos="1087"/>
              </w:tabs>
              <w:spacing w:before="0" w:beforeAutospacing="0" w:after="0" w:afterAutospacing="0" w:line="360" w:lineRule="auto"/>
              <w:ind w:left="0" w:right="141" w:rightChars="59"/>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（4）评标委员会视投标人情况综合比较，投票确定其名次。</w:t>
            </w:r>
          </w:p>
        </w:tc>
      </w:tr>
      <w:tr>
        <w:tblPrEx>
          <w:tblCellMar>
            <w:top w:w="0" w:type="dxa"/>
            <w:left w:w="0" w:type="dxa"/>
            <w:bottom w:w="0" w:type="dxa"/>
            <w:right w:w="0" w:type="dxa"/>
          </w:tblCellMar>
        </w:tblPrEx>
        <w:tc>
          <w:tcPr>
            <w:tcW w:w="871"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MingLiU"/>
                <w:sz w:val="21"/>
                <w:szCs w:val="21"/>
                <w:lang w:val="en-US" w:eastAsia="zh-CN"/>
              </w:rPr>
            </w:pPr>
            <w:r>
              <w:rPr>
                <w:rStyle w:val="291"/>
                <w:rFonts w:hint="eastAsia" w:ascii="宋体" w:hAnsi="宋体" w:eastAsia="宋体"/>
                <w:sz w:val="21"/>
                <w:szCs w:val="21"/>
                <w:lang w:val="en-US" w:eastAsia="zh-CN"/>
              </w:rPr>
              <w:t>2.1.1</w:t>
            </w:r>
          </w:p>
          <w:p>
            <w:pPr>
              <w:pStyle w:val="215"/>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MingLiU"/>
                <w:sz w:val="21"/>
                <w:szCs w:val="21"/>
                <w:lang w:val="en-US" w:eastAsia="zh-CN"/>
              </w:rPr>
            </w:pPr>
            <w:r>
              <w:rPr>
                <w:rStyle w:val="387"/>
                <w:rFonts w:hint="eastAsia" w:ascii="宋体" w:hAnsi="宋体" w:eastAsia="宋体"/>
                <w:sz w:val="21"/>
                <w:szCs w:val="21"/>
                <w:lang w:val="en-US" w:eastAsia="zh-CN"/>
              </w:rPr>
              <w:t>2.1.3</w:t>
            </w:r>
          </w:p>
        </w:tc>
        <w:tc>
          <w:tcPr>
            <w:tcW w:w="146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形式评审与响应性评审标准</w:t>
            </w:r>
          </w:p>
        </w:tc>
        <w:tc>
          <w:tcPr>
            <w:tcW w:w="6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152"/>
                <w:rFonts w:hint="eastAsia" w:ascii="宋体" w:hAnsi="宋体" w:eastAsia="宋体"/>
                <w:b w:val="0"/>
                <w:sz w:val="21"/>
                <w:szCs w:val="21"/>
                <w:lang w:val="zh-CN" w:eastAsia="zh-CN"/>
              </w:rPr>
              <w:t>第一个信封（商务及技术文件）评审标准：</w:t>
            </w:r>
          </w:p>
          <w:p>
            <w:pPr>
              <w:pStyle w:val="215"/>
              <w:keepNext w:val="0"/>
              <w:keepLines w:val="0"/>
              <w:suppressLineNumbers w:val="0"/>
              <w:shd w:val="clear" w:color="auto" w:fill="auto"/>
              <w:tabs>
                <w:tab w:val="left" w:pos="946"/>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（1）投标文件按照招标文件规定的格式、内容填写，字迹清晰可辨：</w:t>
            </w:r>
          </w:p>
          <w:p>
            <w:pPr>
              <w:pStyle w:val="215"/>
              <w:keepNext w:val="0"/>
              <w:keepLines w:val="0"/>
              <w:suppressLineNumbers w:val="0"/>
              <w:shd w:val="clear" w:color="auto" w:fill="auto"/>
              <w:tabs>
                <w:tab w:val="left" w:pos="566"/>
                <w:tab w:val="left" w:pos="805"/>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a.投标函按招标文件规定填报了项目名称、标段号（如有）、</w:t>
            </w:r>
            <w:r>
              <w:rPr>
                <w:rStyle w:val="333"/>
                <w:rFonts w:hint="eastAsia" w:ascii="宋体" w:hAnsi="宋体" w:eastAsia="宋体"/>
                <w:sz w:val="21"/>
                <w:szCs w:val="21"/>
                <w:lang w:val="en-US" w:eastAsia="zh-CN"/>
              </w:rPr>
              <w:t>服务期限</w:t>
            </w:r>
            <w:r>
              <w:rPr>
                <w:rStyle w:val="333"/>
                <w:rFonts w:hint="eastAsia" w:ascii="宋体" w:hAnsi="宋体" w:eastAsia="宋体"/>
                <w:sz w:val="21"/>
                <w:szCs w:val="21"/>
                <w:lang w:val="zh-CN" w:eastAsia="zh-CN"/>
              </w:rPr>
              <w:t>、质量要求及安全目标；</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b.投标文件组成齐全完整，内容均按规定填写。</w:t>
            </w:r>
          </w:p>
          <w:p>
            <w:pPr>
              <w:pStyle w:val="215"/>
              <w:keepNext w:val="0"/>
              <w:keepLines w:val="0"/>
              <w:suppressLineNumbers w:val="0"/>
              <w:shd w:val="clear" w:color="auto" w:fill="auto"/>
              <w:tabs>
                <w:tab w:val="left" w:pos="948"/>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（2）投标文件上法定代表人或其委托代理人的签字、投标人的单位章盖章齐全，符合招标文件规定。</w:t>
            </w:r>
          </w:p>
          <w:p>
            <w:pPr>
              <w:pStyle w:val="215"/>
              <w:keepNext w:val="0"/>
              <w:keepLines w:val="0"/>
              <w:suppressLineNumbers w:val="0"/>
              <w:shd w:val="clear" w:color="auto" w:fill="auto"/>
              <w:tabs>
                <w:tab w:val="left" w:pos="948"/>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（3）投标人按照招标文件的规定提供了投标保证金：</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Style w:val="333"/>
                <w:rFonts w:hint="default" w:ascii="宋体" w:hAnsi="宋体" w:eastAsia="宋体"/>
                <w:sz w:val="21"/>
                <w:szCs w:val="21"/>
                <w:lang w:val="zh-CN" w:eastAsia="zh-CN"/>
              </w:rPr>
            </w:pPr>
            <w:r>
              <w:rPr>
                <w:rStyle w:val="153"/>
                <w:rFonts w:hint="default" w:ascii="宋体" w:hAnsi="宋体" w:eastAsia="宋体"/>
                <w:sz w:val="21"/>
                <w:szCs w:val="21"/>
                <w:lang w:eastAsia="zh-CN"/>
              </w:rPr>
              <w:t>a</w:t>
            </w:r>
            <w:r>
              <w:rPr>
                <w:rStyle w:val="333"/>
                <w:rFonts w:hint="default" w:ascii="宋体" w:hAnsi="宋体" w:eastAsia="宋体"/>
                <w:sz w:val="21"/>
                <w:szCs w:val="21"/>
                <w:lang w:val="zh-CN" w:eastAsia="zh-CN"/>
              </w:rPr>
              <w:t>.</w:t>
            </w:r>
            <w:r>
              <w:rPr>
                <w:rStyle w:val="333"/>
                <w:rFonts w:hint="eastAsia" w:ascii="宋体" w:hAnsi="宋体" w:eastAsia="宋体"/>
                <w:sz w:val="21"/>
                <w:szCs w:val="21"/>
                <w:lang w:val="zh-CN" w:eastAsia="zh-CN"/>
              </w:rPr>
              <w:t>投标保证金金额符合招标文件规定的金额，且投标保证金有效期不少于投标有效期；</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153"/>
                <w:rFonts w:hint="default" w:ascii="宋体" w:hAnsi="宋体" w:eastAsia="宋体"/>
                <w:sz w:val="21"/>
                <w:szCs w:val="21"/>
                <w:lang w:eastAsia="zh-CN"/>
              </w:rPr>
              <w:t>b</w:t>
            </w:r>
            <w:r>
              <w:rPr>
                <w:rStyle w:val="333"/>
                <w:rFonts w:hint="default" w:ascii="宋体" w:hAnsi="宋体" w:eastAsia="宋体"/>
                <w:sz w:val="21"/>
                <w:szCs w:val="21"/>
                <w:lang w:val="zh-CN" w:eastAsia="zh-CN"/>
              </w:rPr>
              <w:t>.</w:t>
            </w:r>
            <w:r>
              <w:rPr>
                <w:rStyle w:val="333"/>
                <w:rFonts w:hint="eastAsia" w:ascii="宋体" w:hAnsi="宋体" w:eastAsia="宋体"/>
                <w:sz w:val="21"/>
                <w:szCs w:val="21"/>
                <w:lang w:val="zh-CN" w:eastAsia="zh-CN"/>
              </w:rPr>
              <w:t>若投标保证金采用现金或支票形式提交，投标人应在投标人须知3.4.1款规定的时间，将投标保证金由投标人的基本账户转入招标人指定账户；</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Style w:val="333"/>
                <w:rFonts w:hint="eastAsia" w:ascii="宋体" w:hAnsi="宋体" w:eastAsia="宋体"/>
                <w:sz w:val="21"/>
                <w:szCs w:val="21"/>
                <w:lang w:val="zh-CN" w:eastAsia="zh-CN"/>
              </w:rPr>
            </w:pPr>
            <w:r>
              <w:rPr>
                <w:rStyle w:val="194"/>
                <w:rFonts w:hint="eastAsia" w:ascii="宋体" w:hAnsi="宋体" w:eastAsia="宋体"/>
                <w:sz w:val="21"/>
                <w:szCs w:val="21"/>
                <w:lang w:eastAsia="zh-CN"/>
              </w:rPr>
              <w:t>c.</w:t>
            </w:r>
            <w:r>
              <w:rPr>
                <w:rStyle w:val="333"/>
                <w:rFonts w:hint="eastAsia" w:ascii="宋体" w:hAnsi="宋体" w:eastAsia="宋体"/>
                <w:sz w:val="21"/>
                <w:szCs w:val="21"/>
                <w:lang w:val="zh-CN" w:eastAsia="zh-CN"/>
              </w:rPr>
              <w:t>若投标保证金采用银行保函形式提交，银行保函的格式、开具保函的银行均满足招标文件要求，</w:t>
            </w:r>
            <w:r>
              <w:rPr>
                <w:rStyle w:val="333"/>
                <w:rFonts w:hint="default" w:ascii="宋体" w:hAnsi="宋体" w:eastAsia="宋体"/>
                <w:sz w:val="21"/>
                <w:szCs w:val="21"/>
                <w:lang w:val="zh-CN" w:eastAsia="zh-CN"/>
              </w:rPr>
              <w:t>银行保函原件在</w:t>
            </w:r>
            <w:r>
              <w:rPr>
                <w:rStyle w:val="333"/>
                <w:rFonts w:hint="eastAsia" w:ascii="宋体" w:hAnsi="宋体" w:eastAsia="宋体"/>
                <w:sz w:val="21"/>
                <w:szCs w:val="21"/>
                <w:lang w:val="zh-CN" w:eastAsia="zh-CN"/>
              </w:rPr>
              <w:t>递交</w:t>
            </w:r>
            <w:r>
              <w:rPr>
                <w:rStyle w:val="333"/>
                <w:rFonts w:hint="default" w:ascii="宋体" w:hAnsi="宋体" w:eastAsia="宋体"/>
                <w:sz w:val="21"/>
                <w:szCs w:val="21"/>
                <w:lang w:val="zh-CN" w:eastAsia="zh-CN"/>
              </w:rPr>
              <w:t>投标文件</w:t>
            </w:r>
            <w:r>
              <w:rPr>
                <w:rStyle w:val="333"/>
                <w:rFonts w:hint="eastAsia" w:ascii="宋体" w:hAnsi="宋体" w:eastAsia="宋体"/>
                <w:sz w:val="21"/>
                <w:szCs w:val="21"/>
                <w:lang w:val="zh-CN" w:eastAsia="zh-CN"/>
              </w:rPr>
              <w:t>时单独密封递交，其复印件装订在投标文件中；</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d.若投标保证金采用其他形式形式提交，应满足投标人须知前附表3.4.1项的规定。</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（4）投标人法定代表人授权委托代理人签署投标文件的，需提交授权委托书，且授权人和被授权人均在授权委托书上签名，未使用印章、签名章或其他电子制版签名代替。</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（5）投标人法定代表人亲自签署投标文件的，提供了法定代表人身份证明，且法定代表人在法定代表人身份证明上签名，未使用印章、签名章或其他电子制版签名代替。</w:t>
            </w:r>
          </w:p>
          <w:p>
            <w:pPr>
              <w:pStyle w:val="215"/>
              <w:keepNext w:val="0"/>
              <w:keepLines w:val="0"/>
              <w:suppressLineNumbers w:val="0"/>
              <w:shd w:val="clear" w:color="auto" w:fill="auto"/>
              <w:tabs>
                <w:tab w:val="left" w:pos="1035"/>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（6）投标人以联合体形式投标时，联合体满足招标文件的要求：投标人按照招标文件提供的格式签订了联合体协议书，明确各方承担连带责任，并明确了联合体牵头人；（适用于允许联合体投标的）</w:t>
            </w:r>
          </w:p>
          <w:p>
            <w:pPr>
              <w:pStyle w:val="215"/>
              <w:keepNext w:val="0"/>
              <w:keepLines w:val="0"/>
              <w:suppressLineNumbers w:val="0"/>
              <w:shd w:val="clear" w:color="auto" w:fill="auto"/>
              <w:tabs>
                <w:tab w:val="left" w:pos="1035"/>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（6）投标人未以联合体形式投标。（适用于不允许联合体投标的）</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（7）投标人如有分包计划，符合招标文件第二章“投标人须知”第</w:t>
            </w:r>
            <w:r>
              <w:rPr>
                <w:rStyle w:val="333"/>
                <w:rFonts w:hint="default" w:ascii="宋体" w:hAnsi="宋体" w:eastAsia="宋体"/>
                <w:sz w:val="21"/>
                <w:szCs w:val="21"/>
                <w:lang w:val="zh-CN" w:eastAsia="zh-CN"/>
              </w:rPr>
              <w:t>1.11</w:t>
            </w:r>
            <w:r>
              <w:rPr>
                <w:rStyle w:val="333"/>
                <w:rFonts w:hint="eastAsia" w:ascii="宋体" w:hAnsi="宋体" w:eastAsia="宋体"/>
                <w:sz w:val="21"/>
                <w:szCs w:val="21"/>
                <w:lang w:val="zh-CN" w:eastAsia="zh-CN"/>
              </w:rPr>
              <w:t>款规定，且按招标文件第</w:t>
            </w:r>
            <w:r>
              <w:rPr>
                <w:rStyle w:val="333"/>
                <w:rFonts w:hint="eastAsia" w:ascii="宋体" w:hAnsi="宋体" w:eastAsia="宋体"/>
                <w:sz w:val="21"/>
                <w:szCs w:val="21"/>
                <w:lang w:val="en-US" w:eastAsia="zh-CN"/>
              </w:rPr>
              <w:t>六</w:t>
            </w:r>
            <w:r>
              <w:rPr>
                <w:rStyle w:val="333"/>
                <w:rFonts w:hint="eastAsia" w:ascii="宋体" w:hAnsi="宋体" w:eastAsia="宋体"/>
                <w:sz w:val="21"/>
                <w:szCs w:val="21"/>
                <w:lang w:val="zh-CN" w:eastAsia="zh-CN"/>
              </w:rPr>
              <w:t>章“投标文件格式”的要求填写了“拟分包项目情况表”。</w:t>
            </w:r>
          </w:p>
          <w:p>
            <w:pPr>
              <w:pStyle w:val="215"/>
              <w:keepNext w:val="0"/>
              <w:keepLines w:val="0"/>
              <w:suppressLineNumbers w:val="0"/>
              <w:shd w:val="clear" w:color="auto" w:fill="auto"/>
              <w:tabs>
                <w:tab w:val="left" w:pos="924"/>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（8）同一投标人未提交两个以上不同的投标文件，但招标文件要求提交备选投标的除外。</w:t>
            </w:r>
          </w:p>
          <w:p>
            <w:pPr>
              <w:pStyle w:val="215"/>
              <w:keepNext w:val="0"/>
              <w:keepLines w:val="0"/>
              <w:suppressLineNumbers w:val="0"/>
              <w:shd w:val="clear" w:color="auto" w:fill="auto"/>
              <w:tabs>
                <w:tab w:val="left" w:pos="1141"/>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（9）投标文件中未出现有关投标报价的内容。</w:t>
            </w:r>
          </w:p>
          <w:p>
            <w:pPr>
              <w:pStyle w:val="215"/>
              <w:keepNext w:val="0"/>
              <w:keepLines w:val="0"/>
              <w:suppressLineNumbers w:val="0"/>
              <w:shd w:val="clear" w:color="auto" w:fill="auto"/>
              <w:tabs>
                <w:tab w:val="left" w:pos="926"/>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（10）投标文件载明的招标项目完成期限未超过招标文件规定的时限。</w:t>
            </w:r>
          </w:p>
          <w:p>
            <w:pPr>
              <w:pStyle w:val="215"/>
              <w:keepNext w:val="0"/>
              <w:keepLines w:val="0"/>
              <w:suppressLineNumbers w:val="0"/>
              <w:shd w:val="clear" w:color="auto" w:fill="auto"/>
              <w:tabs>
                <w:tab w:val="left" w:pos="1143"/>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（11）投标文件对招标文件的实质性要求和条件作出响应。</w:t>
            </w:r>
          </w:p>
          <w:p>
            <w:pPr>
              <w:pStyle w:val="215"/>
              <w:keepNext w:val="0"/>
              <w:keepLines w:val="0"/>
              <w:suppressLineNumbers w:val="0"/>
              <w:shd w:val="clear" w:color="auto" w:fill="auto"/>
              <w:tabs>
                <w:tab w:val="left" w:pos="1138"/>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（12）权利义务符合招标文件规定：</w:t>
            </w:r>
          </w:p>
          <w:p>
            <w:pPr>
              <w:pStyle w:val="215"/>
              <w:keepNext w:val="0"/>
              <w:keepLines w:val="0"/>
              <w:suppressLineNumbers w:val="0"/>
              <w:shd w:val="clear" w:color="auto" w:fill="auto"/>
              <w:tabs>
                <w:tab w:val="left" w:pos="530"/>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en-US" w:eastAsia="zh-CN"/>
              </w:rPr>
              <w:t>a.</w:t>
            </w:r>
            <w:r>
              <w:rPr>
                <w:rStyle w:val="333"/>
                <w:rFonts w:hint="eastAsia" w:ascii="宋体" w:hAnsi="宋体" w:eastAsia="宋体"/>
                <w:sz w:val="21"/>
                <w:szCs w:val="21"/>
                <w:lang w:val="zh-CN" w:eastAsia="zh-CN"/>
              </w:rPr>
              <w:t>投标人应接受招标文件规定的风险划分原则，未提出新的风险划</w:t>
            </w:r>
            <w:r>
              <w:rPr>
                <w:rStyle w:val="455"/>
                <w:rFonts w:hint="eastAsia" w:ascii="宋体" w:hAnsi="宋体" w:eastAsia="宋体"/>
                <w:sz w:val="21"/>
                <w:szCs w:val="21"/>
                <w:lang w:val="zh-CN" w:eastAsia="zh-CN"/>
              </w:rPr>
              <w:t>分办法；</w:t>
            </w:r>
          </w:p>
          <w:p>
            <w:pPr>
              <w:pStyle w:val="215"/>
              <w:keepNext w:val="0"/>
              <w:keepLines w:val="0"/>
              <w:suppressLineNumbers w:val="0"/>
              <w:shd w:val="clear" w:color="auto" w:fill="auto"/>
              <w:tabs>
                <w:tab w:val="left" w:pos="666"/>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en-US" w:eastAsia="zh-CN"/>
              </w:rPr>
              <w:t>b.</w:t>
            </w:r>
            <w:r>
              <w:rPr>
                <w:rStyle w:val="333"/>
                <w:rFonts w:hint="eastAsia" w:ascii="宋体" w:hAnsi="宋体" w:eastAsia="宋体"/>
                <w:sz w:val="21"/>
                <w:szCs w:val="21"/>
                <w:lang w:val="zh-CN" w:eastAsia="zh-CN"/>
              </w:rPr>
              <w:t>投标人未增加发包人的责任范围，或减少投标人义务；</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194"/>
                <w:rFonts w:hint="eastAsia" w:ascii="宋体" w:hAnsi="宋体" w:eastAsia="宋体"/>
                <w:sz w:val="21"/>
                <w:szCs w:val="21"/>
                <w:lang w:eastAsia="zh-CN"/>
              </w:rPr>
              <w:t>c</w:t>
            </w:r>
            <w:r>
              <w:rPr>
                <w:rStyle w:val="461"/>
                <w:rFonts w:hint="default" w:ascii="宋体" w:hAnsi="宋体" w:eastAsia="宋体"/>
                <w:sz w:val="21"/>
                <w:szCs w:val="21"/>
                <w:lang w:val="en-US" w:eastAsia="zh-CN"/>
              </w:rPr>
              <w:t>.</w:t>
            </w:r>
            <w:r>
              <w:rPr>
                <w:rStyle w:val="333"/>
                <w:rFonts w:hint="eastAsia" w:ascii="宋体" w:hAnsi="宋体" w:eastAsia="宋体"/>
                <w:sz w:val="21"/>
                <w:szCs w:val="21"/>
                <w:lang w:val="zh-CN" w:eastAsia="zh-CN"/>
              </w:rPr>
              <w:t>投标人未提出不同的支付办法；</w:t>
            </w:r>
          </w:p>
          <w:p>
            <w:pPr>
              <w:pStyle w:val="215"/>
              <w:keepNext w:val="0"/>
              <w:keepLines w:val="0"/>
              <w:suppressLineNumbers w:val="0"/>
              <w:shd w:val="clear" w:color="auto" w:fill="auto"/>
              <w:tabs>
                <w:tab w:val="left" w:pos="661"/>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en-US" w:eastAsia="zh-CN"/>
              </w:rPr>
              <w:t>d.</w:t>
            </w:r>
            <w:r>
              <w:rPr>
                <w:rStyle w:val="333"/>
                <w:rFonts w:hint="eastAsia" w:ascii="宋体" w:hAnsi="宋体" w:eastAsia="宋体"/>
                <w:sz w:val="21"/>
                <w:szCs w:val="21"/>
                <w:lang w:val="zh-CN" w:eastAsia="zh-CN"/>
              </w:rPr>
              <w:t>投标人对合同纠纷、事故处理办法未提出异议；</w:t>
            </w:r>
          </w:p>
          <w:p>
            <w:pPr>
              <w:pStyle w:val="215"/>
              <w:keepNext w:val="0"/>
              <w:keepLines w:val="0"/>
              <w:suppressLineNumbers w:val="0"/>
              <w:shd w:val="clear" w:color="auto" w:fill="auto"/>
              <w:tabs>
                <w:tab w:val="left" w:pos="651"/>
              </w:tabs>
              <w:spacing w:before="0" w:beforeAutospacing="0" w:after="0" w:afterAutospacing="0" w:line="360" w:lineRule="auto"/>
              <w:ind w:left="0" w:right="141" w:rightChars="59" w:firstLine="420" w:firstLineChars="200"/>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en-US" w:eastAsia="zh-CN"/>
              </w:rPr>
              <w:t>e.</w:t>
            </w:r>
            <w:r>
              <w:rPr>
                <w:rStyle w:val="333"/>
                <w:rFonts w:hint="eastAsia" w:ascii="宋体" w:hAnsi="宋体" w:eastAsia="宋体"/>
                <w:sz w:val="21"/>
                <w:szCs w:val="21"/>
                <w:lang w:val="zh-CN" w:eastAsia="zh-CN"/>
              </w:rPr>
              <w:t>投标人在投标活动中无欺诈行为；</w:t>
            </w:r>
          </w:p>
          <w:p>
            <w:pPr>
              <w:pStyle w:val="215"/>
              <w:keepNext w:val="0"/>
              <w:keepLines w:val="0"/>
              <w:suppressLineNumbers w:val="0"/>
              <w:shd w:val="clear" w:color="auto" w:fill="auto"/>
              <w:tabs>
                <w:tab w:val="left" w:pos="651"/>
              </w:tabs>
              <w:spacing w:before="0" w:beforeAutospacing="0" w:after="0" w:afterAutospacing="0" w:line="360" w:lineRule="auto"/>
              <w:ind w:left="0" w:right="141" w:rightChars="59" w:firstLine="420" w:firstLineChars="200"/>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en-US" w:eastAsia="zh-CN"/>
              </w:rPr>
              <w:t>f.</w:t>
            </w:r>
            <w:r>
              <w:rPr>
                <w:rStyle w:val="333"/>
                <w:rFonts w:hint="eastAsia" w:ascii="宋体" w:hAnsi="宋体" w:eastAsia="宋体"/>
                <w:sz w:val="21"/>
                <w:szCs w:val="21"/>
                <w:lang w:val="zh-CN" w:eastAsia="zh-CN"/>
              </w:rPr>
              <w:t>投标人未对合同条款有重要保留。</w:t>
            </w:r>
          </w:p>
          <w:p>
            <w:pPr>
              <w:pStyle w:val="219"/>
              <w:keepNext w:val="0"/>
              <w:keepLines w:val="0"/>
              <w:suppressLineNumbers w:val="0"/>
              <w:shd w:val="clear" w:color="auto" w:fill="auto"/>
              <w:spacing w:before="0" w:beforeAutospacing="0" w:after="0" w:afterAutospacing="0" w:line="360" w:lineRule="auto"/>
              <w:ind w:left="0" w:right="0"/>
              <w:rPr>
                <w:rFonts w:hint="default" w:ascii="宋体" w:hAnsi="宋体" w:eastAsia="宋体" w:cs="MingLiU"/>
                <w:sz w:val="21"/>
                <w:szCs w:val="21"/>
                <w:lang w:val="en-US" w:eastAsia="zh-CN"/>
              </w:rPr>
            </w:pPr>
            <w:r>
              <w:rPr>
                <w:rStyle w:val="218"/>
                <w:rFonts w:hint="default" w:ascii="宋体" w:hAnsi="宋体" w:eastAsia="宋体"/>
                <w:sz w:val="21"/>
                <w:szCs w:val="21"/>
                <w:lang w:val="en-US" w:eastAsia="zh-CN"/>
              </w:rPr>
              <w:t>(1</w:t>
            </w:r>
            <w:r>
              <w:rPr>
                <w:rStyle w:val="218"/>
                <w:rFonts w:hint="eastAsia" w:ascii="宋体" w:hAnsi="宋体" w:eastAsia="宋体"/>
                <w:sz w:val="21"/>
                <w:szCs w:val="21"/>
                <w:lang w:val="en-US" w:eastAsia="zh-CN"/>
              </w:rPr>
              <w:t>3</w:t>
            </w:r>
            <w:r>
              <w:rPr>
                <w:rStyle w:val="218"/>
                <w:rFonts w:hint="default" w:ascii="宋体" w:hAnsi="宋体" w:eastAsia="宋体"/>
                <w:sz w:val="21"/>
                <w:szCs w:val="21"/>
                <w:lang w:val="en-US" w:eastAsia="zh-CN"/>
              </w:rPr>
              <w:t>)</w:t>
            </w:r>
            <w:r>
              <w:rPr>
                <w:rStyle w:val="218"/>
                <w:rFonts w:hint="eastAsia" w:ascii="宋体" w:hAnsi="宋体" w:eastAsia="宋体"/>
                <w:sz w:val="21"/>
                <w:szCs w:val="21"/>
                <w:lang w:val="zh-CN" w:eastAsia="zh-CN"/>
              </w:rPr>
              <w:t>投标文件正、副本份数符合招标文件第二章“投标人须知第</w:t>
            </w:r>
            <w:r>
              <w:rPr>
                <w:rStyle w:val="218"/>
                <w:rFonts w:hint="default" w:ascii="宋体" w:hAnsi="宋体" w:eastAsia="宋体"/>
                <w:sz w:val="21"/>
                <w:szCs w:val="21"/>
                <w:lang w:val="en-US" w:eastAsia="zh-CN"/>
              </w:rPr>
              <w:t>3.7.4</w:t>
            </w:r>
            <w:r>
              <w:rPr>
                <w:rStyle w:val="218"/>
                <w:rFonts w:hint="eastAsia" w:ascii="宋体" w:hAnsi="宋体" w:eastAsia="宋体"/>
                <w:sz w:val="21"/>
                <w:szCs w:val="21"/>
                <w:lang w:val="zh-CN" w:eastAsia="zh-CN"/>
              </w:rPr>
              <w:t>项规定。</w:t>
            </w:r>
          </w:p>
          <w:p>
            <w:pPr>
              <w:pStyle w:val="219"/>
              <w:keepNext w:val="0"/>
              <w:keepLines w:val="0"/>
              <w:suppressLineNumbers w:val="0"/>
              <w:shd w:val="clear" w:color="auto" w:fill="auto"/>
              <w:spacing w:before="0" w:beforeAutospacing="0" w:after="0" w:afterAutospacing="0" w:line="360" w:lineRule="auto"/>
              <w:ind w:left="0" w:right="0"/>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（14）</w:t>
            </w:r>
            <w:r>
              <w:rPr>
                <w:rFonts w:hint="default" w:ascii="宋体" w:hAnsi="宋体" w:eastAsia="宋体"/>
                <w:kern w:val="2"/>
                <w:sz w:val="21"/>
                <w:szCs w:val="21"/>
                <w:lang w:val="en-US" w:eastAsia="zh-CN"/>
              </w:rPr>
              <w:t>投标文件</w:t>
            </w:r>
            <w:r>
              <w:rPr>
                <w:rFonts w:hint="eastAsia" w:ascii="宋体" w:hAnsi="宋体" w:eastAsia="宋体"/>
                <w:kern w:val="2"/>
                <w:sz w:val="21"/>
                <w:szCs w:val="21"/>
                <w:lang w:val="en-US" w:eastAsia="zh-CN"/>
              </w:rPr>
              <w:t>未</w:t>
            </w:r>
            <w:r>
              <w:rPr>
                <w:rFonts w:hint="default" w:ascii="宋体" w:hAnsi="宋体" w:eastAsia="宋体"/>
                <w:kern w:val="2"/>
                <w:sz w:val="21"/>
                <w:szCs w:val="21"/>
                <w:lang w:val="en-US" w:eastAsia="zh-CN"/>
              </w:rPr>
              <w:t>附有招标人不能接受的条件。</w:t>
            </w:r>
          </w:p>
          <w:p>
            <w:pPr>
              <w:pStyle w:val="583"/>
              <w:keepNext w:val="0"/>
              <w:keepLines w:val="0"/>
              <w:suppressLineNumbers w:val="0"/>
              <w:shd w:val="clear" w:color="auto" w:fill="auto"/>
              <w:spacing w:before="0" w:beforeAutospacing="0" w:after="0" w:afterAutospacing="0" w:line="360" w:lineRule="auto"/>
              <w:ind w:left="0" w:right="0"/>
              <w:jc w:val="left"/>
              <w:rPr>
                <w:rStyle w:val="653"/>
                <w:rFonts w:hint="default" w:ascii="宋体" w:hAnsi="宋体" w:eastAsia="宋体"/>
                <w:sz w:val="21"/>
                <w:szCs w:val="21"/>
                <w:lang w:val="en-US" w:eastAsia="zh-CN"/>
              </w:rPr>
            </w:pPr>
            <w:r>
              <w:rPr>
                <w:rStyle w:val="653"/>
                <w:rFonts w:hint="eastAsia" w:ascii="宋体" w:hAnsi="宋体" w:eastAsia="宋体"/>
                <w:sz w:val="21"/>
                <w:szCs w:val="21"/>
                <w:lang w:val="en-US" w:eastAsia="zh-CN"/>
              </w:rPr>
              <w:t>……</w:t>
            </w:r>
          </w:p>
          <w:p>
            <w:pPr>
              <w:pStyle w:val="583"/>
              <w:keepNext w:val="0"/>
              <w:keepLines w:val="0"/>
              <w:suppressLineNumbers w:val="0"/>
              <w:shd w:val="clear" w:color="auto" w:fill="auto"/>
              <w:spacing w:before="0" w:beforeAutospacing="0" w:after="0" w:afterAutospacing="0" w:line="360" w:lineRule="auto"/>
              <w:ind w:left="0" w:right="0"/>
              <w:jc w:val="left"/>
              <w:rPr>
                <w:rFonts w:hint="default" w:ascii="宋体" w:hAnsi="宋体" w:eastAsia="宋体" w:cs="MingLiU"/>
                <w:sz w:val="21"/>
                <w:szCs w:val="21"/>
                <w:lang w:val="en-US" w:eastAsia="zh-CN"/>
              </w:rPr>
            </w:pPr>
            <w:r>
              <w:rPr>
                <w:rStyle w:val="653"/>
                <w:rFonts w:hint="eastAsia" w:ascii="宋体" w:hAnsi="宋体" w:eastAsia="宋体"/>
                <w:sz w:val="21"/>
                <w:szCs w:val="21"/>
                <w:lang w:val="zh-CN" w:eastAsia="zh-CN"/>
              </w:rPr>
              <w:t>第二个信封（报价文件）评审标准：</w:t>
            </w:r>
          </w:p>
          <w:p>
            <w:pPr>
              <w:pStyle w:val="219"/>
              <w:keepNext w:val="0"/>
              <w:keepLines w:val="0"/>
              <w:suppressLineNumbers w:val="0"/>
              <w:shd w:val="clear" w:color="auto" w:fill="auto"/>
              <w:spacing w:before="0" w:beforeAutospacing="0" w:after="0" w:afterAutospacing="0" w:line="360" w:lineRule="auto"/>
              <w:ind w:left="0" w:right="0"/>
              <w:rPr>
                <w:rFonts w:hint="default" w:ascii="宋体" w:hAnsi="宋体" w:eastAsia="宋体" w:cs="MingLiU"/>
                <w:sz w:val="21"/>
                <w:szCs w:val="21"/>
                <w:lang w:val="en-US" w:eastAsia="zh-CN"/>
              </w:rPr>
            </w:pPr>
            <w:r>
              <w:rPr>
                <w:rStyle w:val="218"/>
                <w:rFonts w:hint="default" w:ascii="宋体" w:hAnsi="宋体" w:eastAsia="宋体"/>
                <w:sz w:val="21"/>
                <w:szCs w:val="21"/>
                <w:lang w:val="en-US" w:eastAsia="zh-CN"/>
              </w:rPr>
              <w:t>(1)</w:t>
            </w:r>
            <w:r>
              <w:rPr>
                <w:rStyle w:val="218"/>
                <w:rFonts w:hint="eastAsia" w:ascii="宋体" w:hAnsi="宋体" w:eastAsia="宋体"/>
                <w:sz w:val="21"/>
                <w:szCs w:val="21"/>
                <w:lang w:val="zh-CN" w:eastAsia="zh-CN"/>
              </w:rPr>
              <w:t>投标文件按照招标文件规定的格式、内容填写，字迹清晰可</w:t>
            </w:r>
            <w:r>
              <w:rPr>
                <w:rStyle w:val="333"/>
                <w:rFonts w:hint="eastAsia" w:ascii="宋体" w:hAnsi="宋体" w:eastAsia="宋体"/>
                <w:sz w:val="21"/>
                <w:szCs w:val="21"/>
                <w:lang w:val="zh-CN" w:eastAsia="zh-CN"/>
              </w:rPr>
              <w:t>辨：</w:t>
            </w:r>
          </w:p>
          <w:p>
            <w:pPr>
              <w:pStyle w:val="219"/>
              <w:keepNext w:val="0"/>
              <w:keepLines w:val="0"/>
              <w:suppressLineNumbers w:val="0"/>
              <w:shd w:val="clear" w:color="auto" w:fill="auto"/>
              <w:tabs>
                <w:tab w:val="left" w:pos="566"/>
              </w:tabs>
              <w:spacing w:before="0" w:beforeAutospacing="0" w:after="0" w:afterAutospacing="0" w:line="360" w:lineRule="auto"/>
              <w:ind w:left="0" w:right="0" w:firstLine="315" w:firstLineChars="150"/>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a.投标函按招标文件规定填报了项目名称、标段号（如有）、投标总报价（包括大写金额和小写金额</w:t>
            </w:r>
            <w:r>
              <w:rPr>
                <w:rStyle w:val="218"/>
                <w:rFonts w:hint="default" w:ascii="宋体" w:hAnsi="宋体" w:eastAsia="宋体"/>
                <w:sz w:val="21"/>
                <w:szCs w:val="21"/>
                <w:lang w:val="en-US" w:eastAsia="zh-CN"/>
              </w:rPr>
              <w:t>)</w:t>
            </w:r>
            <w:r>
              <w:rPr>
                <w:rStyle w:val="218"/>
                <w:rFonts w:hint="eastAsia" w:ascii="宋体" w:hAnsi="宋体" w:eastAsia="宋体"/>
                <w:sz w:val="21"/>
                <w:szCs w:val="21"/>
                <w:lang w:val="en-US" w:eastAsia="zh-CN"/>
              </w:rPr>
              <w:t>；</w:t>
            </w:r>
          </w:p>
          <w:p>
            <w:pPr>
              <w:pStyle w:val="219"/>
              <w:keepNext w:val="0"/>
              <w:keepLines w:val="0"/>
              <w:suppressLineNumbers w:val="0"/>
              <w:shd w:val="clear" w:color="auto" w:fill="auto"/>
              <w:tabs>
                <w:tab w:val="left" w:pos="602"/>
              </w:tabs>
              <w:spacing w:before="0" w:beforeAutospacing="0" w:after="0" w:afterAutospacing="0" w:line="360" w:lineRule="auto"/>
              <w:ind w:left="0" w:right="0" w:firstLine="315" w:firstLineChars="150"/>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b.已标价清单说明文字与招标文件规定一致，未进行实质性修改和删减；</w:t>
            </w:r>
          </w:p>
          <w:p>
            <w:pPr>
              <w:pStyle w:val="219"/>
              <w:keepNext w:val="0"/>
              <w:keepLines w:val="0"/>
              <w:suppressLineNumbers w:val="0"/>
              <w:shd w:val="clear" w:color="auto" w:fill="auto"/>
              <w:tabs>
                <w:tab w:val="left" w:pos="589"/>
              </w:tabs>
              <w:spacing w:before="0" w:beforeAutospacing="0" w:after="0" w:afterAutospacing="0" w:line="360" w:lineRule="auto"/>
              <w:ind w:left="0" w:right="0" w:firstLine="315" w:firstLineChars="150"/>
              <w:jc w:val="both"/>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c.投标文件组成齐全完整，内容均按规定填写。</w:t>
            </w:r>
          </w:p>
          <w:p>
            <w:pPr>
              <w:pStyle w:val="219"/>
              <w:keepNext w:val="0"/>
              <w:keepLines w:val="0"/>
              <w:suppressLineNumbers w:val="0"/>
              <w:shd w:val="clear" w:color="auto" w:fill="auto"/>
              <w:tabs>
                <w:tab w:val="left" w:pos="950"/>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（2）投标文件上法定代表人或其委托代理人的签字、投标人的单位章盖章齐全，符合招标文件规定。</w:t>
            </w:r>
          </w:p>
          <w:p>
            <w:pPr>
              <w:pStyle w:val="219"/>
              <w:keepNext w:val="0"/>
              <w:keepLines w:val="0"/>
              <w:suppressLineNumbers w:val="0"/>
              <w:shd w:val="clear" w:color="auto" w:fill="auto"/>
              <w:tabs>
                <w:tab w:val="left" w:pos="934"/>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（3）</w:t>
            </w:r>
            <w:r>
              <w:rPr>
                <w:rStyle w:val="218"/>
                <w:rFonts w:hint="eastAsia" w:ascii="宋体" w:hAnsi="宋体" w:eastAsia="宋体"/>
                <w:sz w:val="21"/>
                <w:szCs w:val="21"/>
                <w:lang w:val="zh-CN" w:eastAsia="zh-CN"/>
              </w:rPr>
              <w:t>投标报价未超过招标文件设定的最高投标限价（如有</w:t>
            </w:r>
            <w:r>
              <w:rPr>
                <w:rStyle w:val="218"/>
                <w:rFonts w:hint="default" w:ascii="宋体" w:hAnsi="宋体" w:eastAsia="宋体"/>
                <w:sz w:val="21"/>
                <w:szCs w:val="21"/>
                <w:lang w:val="zh-CN" w:eastAsia="zh-CN"/>
              </w:rPr>
              <w:t>)</w:t>
            </w:r>
            <w:r>
              <w:rPr>
                <w:rStyle w:val="218"/>
                <w:rFonts w:hint="eastAsia" w:ascii="宋体" w:hAnsi="宋体" w:eastAsia="宋体"/>
                <w:sz w:val="21"/>
                <w:szCs w:val="21"/>
                <w:lang w:val="zh-CN" w:eastAsia="zh-CN"/>
              </w:rPr>
              <w:t>。</w:t>
            </w:r>
          </w:p>
          <w:p>
            <w:pPr>
              <w:pStyle w:val="219"/>
              <w:keepNext w:val="0"/>
              <w:keepLines w:val="0"/>
              <w:suppressLineNumbers w:val="0"/>
              <w:shd w:val="clear" w:color="auto" w:fill="auto"/>
              <w:tabs>
                <w:tab w:val="left" w:pos="978"/>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（4）</w:t>
            </w:r>
            <w:r>
              <w:rPr>
                <w:rStyle w:val="218"/>
                <w:rFonts w:hint="eastAsia" w:ascii="宋体" w:hAnsi="宋体" w:eastAsia="宋体"/>
                <w:sz w:val="21"/>
                <w:szCs w:val="21"/>
                <w:lang w:val="zh-CN" w:eastAsia="zh-CN"/>
              </w:rPr>
              <w:t>投标报价的大写金额能够确定具体数值。</w:t>
            </w:r>
          </w:p>
          <w:p>
            <w:pPr>
              <w:pStyle w:val="219"/>
              <w:keepNext w:val="0"/>
              <w:keepLines w:val="0"/>
              <w:suppressLineNumbers w:val="0"/>
              <w:shd w:val="clear" w:color="auto" w:fill="auto"/>
              <w:tabs>
                <w:tab w:val="left" w:pos="965"/>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（5）</w:t>
            </w:r>
            <w:r>
              <w:rPr>
                <w:rStyle w:val="218"/>
                <w:rFonts w:hint="eastAsia" w:ascii="宋体" w:hAnsi="宋体" w:eastAsia="宋体"/>
                <w:sz w:val="21"/>
                <w:szCs w:val="21"/>
                <w:lang w:val="zh-CN" w:eastAsia="zh-CN"/>
              </w:rPr>
              <w:t>同一投标人未提交两个以上不同的投标报价，但招标文件要求提交备选投标的除外。</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Style w:val="274"/>
                <w:rFonts w:hint="eastAsia" w:ascii="宋体" w:hAnsi="宋体" w:eastAsia="宋体"/>
                <w:spacing w:val="0"/>
                <w:sz w:val="21"/>
                <w:szCs w:val="21"/>
                <w:lang w:eastAsia="zh-CN"/>
              </w:rPr>
            </w:pPr>
            <w:r>
              <w:rPr>
                <w:rStyle w:val="218"/>
                <w:rFonts w:hint="eastAsia" w:ascii="宋体" w:hAnsi="宋体" w:eastAsia="宋体"/>
                <w:spacing w:val="0"/>
                <w:sz w:val="21"/>
                <w:szCs w:val="21"/>
                <w:lang w:val="en-US" w:eastAsia="zh-CN"/>
              </w:rPr>
              <w:t>（6）</w:t>
            </w:r>
            <w:r>
              <w:rPr>
                <w:rStyle w:val="218"/>
                <w:rFonts w:hint="eastAsia" w:ascii="宋体" w:hAnsi="宋体" w:eastAsia="宋体"/>
                <w:spacing w:val="0"/>
                <w:sz w:val="21"/>
                <w:szCs w:val="21"/>
                <w:lang w:val="zh-CN" w:eastAsia="zh-CN"/>
              </w:rPr>
              <w:t>投标文件正、副本份数符合招标文件第二章“投标人须知”第</w:t>
            </w:r>
            <w:r>
              <w:rPr>
                <w:rStyle w:val="218"/>
                <w:rFonts w:hint="eastAsia" w:ascii="宋体" w:hAnsi="宋体" w:eastAsia="宋体"/>
                <w:spacing w:val="0"/>
                <w:lang w:val="zh-CN" w:eastAsia="zh-CN"/>
              </w:rPr>
              <w:t>3.7.4</w:t>
            </w:r>
            <w:r>
              <w:rPr>
                <w:rStyle w:val="218"/>
                <w:rFonts w:hint="default" w:ascii="宋体" w:hAnsi="宋体" w:eastAsia="宋体"/>
                <w:spacing w:val="0"/>
                <w:lang w:val="zh-CN" w:eastAsia="zh-CN"/>
              </w:rPr>
              <w:t>项规定。</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Style w:val="333"/>
                <w:rFonts w:hint="default" w:ascii="宋体" w:hAnsi="宋体" w:eastAsia="宋体"/>
                <w:spacing w:val="20"/>
                <w:sz w:val="21"/>
                <w:szCs w:val="21"/>
                <w:lang w:val="en-US" w:eastAsia="zh-CN"/>
              </w:rPr>
            </w:pPr>
            <w:r>
              <w:rPr>
                <w:rStyle w:val="274"/>
                <w:rFonts w:hint="eastAsia" w:ascii="宋体" w:hAnsi="宋体" w:eastAsia="宋体"/>
                <w:sz w:val="21"/>
                <w:szCs w:val="21"/>
                <w:lang w:eastAsia="zh-CN"/>
              </w:rPr>
              <w:t>……</w:t>
            </w:r>
          </w:p>
        </w:tc>
      </w:tr>
      <w:tr>
        <w:tc>
          <w:tcPr>
            <w:tcW w:w="871"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291"/>
                <w:rFonts w:hint="eastAsia" w:ascii="宋体" w:hAnsi="宋体" w:eastAsia="宋体"/>
                <w:sz w:val="21"/>
                <w:szCs w:val="21"/>
                <w:lang w:val="en-US" w:eastAsia="zh-CN"/>
              </w:rPr>
            </w:pPr>
            <w:r>
              <w:rPr>
                <w:rStyle w:val="333"/>
                <w:rFonts w:hint="eastAsia" w:ascii="宋体" w:hAnsi="Times New Roman" w:eastAsia="宋体"/>
                <w:sz w:val="21"/>
                <w:szCs w:val="21"/>
                <w:lang w:val="zh-CN" w:eastAsia="zh-CN"/>
              </w:rPr>
              <w:t>2.1.2</w:t>
            </w:r>
          </w:p>
        </w:tc>
        <w:tc>
          <w:tcPr>
            <w:tcW w:w="146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资格评审标准</w:t>
            </w:r>
          </w:p>
        </w:tc>
        <w:tc>
          <w:tcPr>
            <w:tcW w:w="663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219"/>
              <w:keepNext w:val="0"/>
              <w:keepLines w:val="0"/>
              <w:suppressLineNumbers w:val="0"/>
              <w:shd w:val="clear" w:color="auto" w:fill="auto"/>
              <w:spacing w:before="0" w:beforeAutospacing="0" w:after="0" w:afterAutospacing="0" w:line="440" w:lineRule="exact"/>
              <w:ind w:left="0" w:right="0"/>
              <w:rPr>
                <w:rStyle w:val="218"/>
                <w:rFonts w:hint="eastAsia" w:ascii="宋体" w:hAnsi="Times New Roman" w:eastAsia="宋体"/>
                <w:sz w:val="21"/>
                <w:szCs w:val="21"/>
                <w:lang w:val="zh-CN" w:eastAsia="zh-CN"/>
              </w:rPr>
            </w:pPr>
            <w:r>
              <w:rPr>
                <w:rStyle w:val="218"/>
                <w:rFonts w:hint="eastAsia" w:ascii="宋体" w:hAnsi="宋体" w:eastAsia="宋体"/>
                <w:sz w:val="21"/>
                <w:szCs w:val="21"/>
                <w:lang w:val="en-US" w:eastAsia="zh-CN"/>
              </w:rPr>
              <w:t>（1）</w:t>
            </w:r>
            <w:r>
              <w:rPr>
                <w:rStyle w:val="218"/>
                <w:rFonts w:hint="eastAsia" w:ascii="宋体" w:hAnsi="宋体" w:eastAsia="宋体"/>
                <w:sz w:val="21"/>
                <w:szCs w:val="21"/>
                <w:lang w:val="zh-CN" w:eastAsia="zh-CN"/>
              </w:rPr>
              <w:t>投标人具备有效的营业执照、</w:t>
            </w:r>
            <w:r>
              <w:rPr>
                <w:rStyle w:val="218"/>
                <w:rFonts w:hint="eastAsia" w:ascii="宋体" w:hAnsi="宋体" w:eastAsia="宋体"/>
                <w:sz w:val="21"/>
                <w:szCs w:val="21"/>
                <w:lang w:val="en-US" w:eastAsia="zh-CN"/>
              </w:rPr>
              <w:t>资质证书</w:t>
            </w:r>
            <w:r>
              <w:rPr>
                <w:rStyle w:val="218"/>
                <w:rFonts w:hint="eastAsia" w:ascii="宋体" w:hAnsi="宋体" w:eastAsia="宋体"/>
                <w:sz w:val="21"/>
                <w:szCs w:val="21"/>
                <w:lang w:val="zh-CN" w:eastAsia="zh-CN"/>
              </w:rPr>
              <w:t>和基本账户开户许可证（如企业所在地已取消企业银行账户许可而无法提供开户许可证的，则需附上开户银行出具的“基本存款账户信息”或“人民银行账户管理系统查询的基本账户信息截图”）；</w:t>
            </w:r>
          </w:p>
          <w:p>
            <w:pPr>
              <w:pStyle w:val="219"/>
              <w:keepNext w:val="0"/>
              <w:keepLines w:val="0"/>
              <w:suppressLineNumbers w:val="0"/>
              <w:shd w:val="clear" w:color="auto" w:fill="auto"/>
              <w:spacing w:before="0" w:beforeAutospacing="0" w:after="0" w:afterAutospacing="0" w:line="440" w:lineRule="exact"/>
              <w:ind w:left="0" w:right="0"/>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（2）投标人的资质等级符合招标文件规定；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（3）投标人的类似项目业绩符合招标文件规定；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（4）投标人的</w:t>
            </w:r>
            <w:r>
              <w:rPr>
                <w:rStyle w:val="218"/>
                <w:rFonts w:hint="eastAsia" w:ascii="宋体" w:hAnsi="宋体" w:eastAsia="宋体"/>
                <w:sz w:val="21"/>
                <w:szCs w:val="21"/>
                <w:lang w:val="en-US" w:eastAsia="zh-CN"/>
              </w:rPr>
              <w:t>信誉</w:t>
            </w:r>
            <w:r>
              <w:rPr>
                <w:rStyle w:val="218"/>
                <w:rFonts w:hint="eastAsia" w:ascii="宋体" w:hAnsi="宋体" w:eastAsia="宋体"/>
                <w:sz w:val="21"/>
                <w:szCs w:val="21"/>
                <w:lang w:val="zh-CN" w:eastAsia="zh-CN"/>
              </w:rPr>
              <w:t>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eastAsia" w:ascii="宋体" w:hAnsi="宋体" w:eastAsia="宋体"/>
                <w:sz w:val="21"/>
                <w:szCs w:val="21"/>
                <w:lang w:val="zh-CN" w:eastAsia="zh-CN"/>
              </w:rPr>
            </w:pPr>
            <w:r>
              <w:rPr>
                <w:rStyle w:val="218"/>
                <w:rFonts w:hint="eastAsia" w:ascii="宋体" w:hAnsi="宋体" w:eastAsia="宋体"/>
                <w:sz w:val="21"/>
                <w:szCs w:val="21"/>
                <w:lang w:val="zh-CN" w:eastAsia="zh-CN"/>
              </w:rPr>
              <w:t>（5）投标人的</w:t>
            </w:r>
            <w:r>
              <w:rPr>
                <w:rStyle w:val="218"/>
                <w:rFonts w:hint="eastAsia" w:ascii="宋体" w:hAnsi="宋体" w:eastAsia="宋体"/>
                <w:sz w:val="21"/>
                <w:szCs w:val="21"/>
                <w:lang w:val="en-US" w:eastAsia="zh-CN"/>
              </w:rPr>
              <w:t>项目负责人</w:t>
            </w:r>
            <w:r>
              <w:rPr>
                <w:rStyle w:val="218"/>
                <w:rFonts w:hint="eastAsia" w:ascii="宋体" w:hAnsi="宋体" w:eastAsia="宋体"/>
                <w:sz w:val="21"/>
                <w:szCs w:val="21"/>
                <w:lang w:val="zh-CN" w:eastAsia="zh-CN"/>
              </w:rPr>
              <w:t>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eastAsia" w:ascii="宋体" w:hAnsi="Times New Roman" w:eastAsia="宋体"/>
                <w:sz w:val="21"/>
                <w:szCs w:val="21"/>
                <w:lang w:val="zh-CN" w:eastAsia="zh-CN"/>
              </w:rPr>
            </w:pPr>
            <w:r>
              <w:rPr>
                <w:rStyle w:val="218"/>
                <w:rFonts w:hint="eastAsia" w:ascii="宋体" w:hAnsi="宋体" w:eastAsia="宋体"/>
                <w:sz w:val="21"/>
                <w:szCs w:val="21"/>
                <w:lang w:val="zh-CN" w:eastAsia="zh-CN"/>
              </w:rPr>
              <w:t>（</w:t>
            </w:r>
            <w:r>
              <w:rPr>
                <w:rStyle w:val="218"/>
                <w:rFonts w:hint="eastAsia" w:ascii="宋体" w:hAnsi="宋体" w:eastAsia="宋体"/>
                <w:sz w:val="21"/>
                <w:szCs w:val="21"/>
                <w:lang w:val="en-US" w:eastAsia="zh-CN"/>
              </w:rPr>
              <w:t>6</w:t>
            </w:r>
            <w:r>
              <w:rPr>
                <w:rStyle w:val="218"/>
                <w:rFonts w:hint="eastAsia" w:ascii="宋体" w:hAnsi="宋体" w:eastAsia="宋体"/>
                <w:sz w:val="21"/>
                <w:szCs w:val="21"/>
                <w:lang w:val="zh-CN" w:eastAsia="zh-CN"/>
              </w:rPr>
              <w:t>）投标人的</w:t>
            </w:r>
            <w:r>
              <w:rPr>
                <w:rStyle w:val="218"/>
                <w:rFonts w:hint="eastAsia" w:ascii="宋体" w:hAnsi="宋体" w:eastAsia="宋体"/>
                <w:sz w:val="21"/>
                <w:szCs w:val="21"/>
                <w:lang w:val="en-US" w:eastAsia="zh-CN"/>
              </w:rPr>
              <w:t>其他要求</w:t>
            </w:r>
            <w:r>
              <w:rPr>
                <w:rStyle w:val="218"/>
                <w:rFonts w:hint="eastAsia" w:ascii="宋体" w:hAnsi="宋体" w:eastAsia="宋体"/>
                <w:sz w:val="21"/>
                <w:szCs w:val="21"/>
                <w:lang w:val="zh-CN" w:eastAsia="zh-CN"/>
              </w:rPr>
              <w:t>符合招标文件规定；</w:t>
            </w:r>
            <w:r>
              <w:rPr>
                <w:rFonts w:hint="eastAsia" w:ascii="宋体" w:hAnsi="宋体" w:eastAsia="宋体" w:cs="宋体"/>
                <w:szCs w:val="21"/>
                <w:vertAlign w:val="superscript"/>
              </w:rPr>
              <w:footnoteReference w:id="72"/>
            </w:r>
          </w:p>
          <w:p>
            <w:pPr>
              <w:pStyle w:val="215"/>
              <w:keepNext w:val="0"/>
              <w:keepLines w:val="0"/>
              <w:suppressLineNumbers w:val="0"/>
              <w:shd w:val="clear" w:color="auto" w:fill="auto"/>
              <w:tabs>
                <w:tab w:val="left" w:pos="943"/>
              </w:tabs>
              <w:spacing w:before="0" w:beforeAutospacing="0" w:after="0" w:afterAutospacing="0" w:line="440" w:lineRule="exact"/>
              <w:ind w:left="0" w:right="0"/>
              <w:jc w:val="both"/>
              <w:rPr>
                <w:rFonts w:hint="default" w:ascii="宋体" w:hAnsi="宋体" w:eastAsia="宋体" w:cs="MingLiU"/>
                <w:sz w:val="21"/>
                <w:szCs w:val="21"/>
                <w:lang w:val="en-US" w:eastAsia="zh-CN"/>
              </w:rPr>
            </w:pPr>
            <w:r>
              <w:rPr>
                <w:rStyle w:val="387"/>
                <w:rFonts w:hint="eastAsia" w:ascii="宋体" w:hAnsi="宋体" w:eastAsia="宋体"/>
                <w:sz w:val="21"/>
                <w:szCs w:val="21"/>
                <w:lang w:val="en-US" w:eastAsia="zh-CN"/>
              </w:rPr>
              <w:t>（7）</w:t>
            </w:r>
            <w:r>
              <w:rPr>
                <w:rStyle w:val="387"/>
                <w:rFonts w:hint="eastAsia" w:ascii="宋体" w:hAnsi="宋体" w:eastAsia="宋体"/>
                <w:sz w:val="21"/>
                <w:szCs w:val="21"/>
                <w:lang w:val="zh-CN" w:eastAsia="zh-CN"/>
              </w:rPr>
              <w:t>投标人不存在第二章“投标人须知”第</w:t>
            </w:r>
            <w:r>
              <w:rPr>
                <w:rStyle w:val="387"/>
                <w:rFonts w:hint="default" w:ascii="宋体" w:hAnsi="宋体" w:eastAsia="宋体"/>
                <w:sz w:val="21"/>
                <w:szCs w:val="21"/>
                <w:lang w:val="en-US" w:eastAsia="zh-CN"/>
              </w:rPr>
              <w:t>1.4.3</w:t>
            </w:r>
            <w:r>
              <w:rPr>
                <w:rStyle w:val="387"/>
                <w:rFonts w:hint="eastAsia" w:ascii="宋体" w:hAnsi="宋体" w:eastAsia="宋体"/>
                <w:sz w:val="21"/>
                <w:szCs w:val="21"/>
                <w:lang w:val="zh-CN" w:eastAsia="zh-CN"/>
              </w:rPr>
              <w:t>项或第</w:t>
            </w:r>
            <w:r>
              <w:rPr>
                <w:rStyle w:val="387"/>
                <w:rFonts w:hint="default" w:ascii="宋体" w:hAnsi="宋体" w:eastAsia="宋体"/>
                <w:sz w:val="21"/>
                <w:szCs w:val="21"/>
                <w:lang w:val="en-US" w:eastAsia="zh-CN"/>
              </w:rPr>
              <w:t>1.4.4</w:t>
            </w:r>
            <w:r>
              <w:rPr>
                <w:rStyle w:val="387"/>
                <w:rFonts w:hint="eastAsia" w:ascii="宋体" w:hAnsi="宋体" w:eastAsia="宋体"/>
                <w:sz w:val="21"/>
                <w:szCs w:val="21"/>
                <w:lang w:val="zh-CN" w:eastAsia="zh-CN"/>
              </w:rPr>
              <w:t>项规定的任何一种情形；</w:t>
            </w:r>
          </w:p>
          <w:p>
            <w:pPr>
              <w:pStyle w:val="215"/>
              <w:keepNext w:val="0"/>
              <w:keepLines w:val="0"/>
              <w:suppressLineNumbers w:val="0"/>
              <w:shd w:val="clear" w:color="auto" w:fill="auto"/>
              <w:spacing w:before="0" w:beforeAutospacing="0" w:after="0" w:afterAutospacing="0" w:line="440" w:lineRule="exact"/>
              <w:ind w:left="0" w:right="141" w:rightChars="59"/>
              <w:jc w:val="both"/>
              <w:rPr>
                <w:rStyle w:val="387"/>
                <w:rFonts w:hint="eastAsia" w:ascii="宋体" w:hAnsi="宋体" w:eastAsia="宋体"/>
                <w:sz w:val="21"/>
                <w:szCs w:val="21"/>
                <w:lang w:val="zh-CN" w:eastAsia="zh-CN"/>
              </w:rPr>
            </w:pPr>
            <w:r>
              <w:rPr>
                <w:rStyle w:val="387"/>
                <w:rFonts w:hint="eastAsia" w:ascii="宋体" w:hAnsi="宋体" w:eastAsia="宋体"/>
                <w:sz w:val="21"/>
                <w:szCs w:val="21"/>
                <w:lang w:val="zh-CN" w:eastAsia="zh-CN"/>
              </w:rPr>
              <w:t>（</w:t>
            </w:r>
            <w:r>
              <w:rPr>
                <w:rStyle w:val="387"/>
                <w:rFonts w:hint="eastAsia" w:ascii="宋体" w:hAnsi="宋体" w:eastAsia="宋体"/>
                <w:sz w:val="21"/>
                <w:szCs w:val="21"/>
                <w:lang w:val="en-US" w:eastAsia="zh-CN"/>
              </w:rPr>
              <w:t>8</w:t>
            </w:r>
            <w:r>
              <w:rPr>
                <w:rStyle w:val="387"/>
                <w:rFonts w:hint="eastAsia" w:ascii="宋体" w:hAnsi="宋体" w:eastAsia="宋体"/>
                <w:sz w:val="21"/>
                <w:szCs w:val="21"/>
                <w:lang w:val="zh-CN" w:eastAsia="zh-CN"/>
              </w:rPr>
              <w:t>）以联合体形式参与投标的，联合体各方均未再以自己名义单独或参加其他联合体在同一标段中投标；独立参与投标的，投标人未同时参加联合体在同一标段中投标</w:t>
            </w:r>
            <w:r>
              <w:rPr>
                <w:rStyle w:val="101"/>
                <w:rFonts w:hint="eastAsia" w:ascii="宋体" w:hAnsi="宋体" w:eastAsia="宋体"/>
                <w:spacing w:val="0"/>
                <w:sz w:val="30"/>
                <w:szCs w:val="24"/>
                <w:lang w:val="en-US" w:eastAsia="zh-CN"/>
              </w:rPr>
              <w:footnoteReference w:id="73"/>
            </w:r>
            <w:r>
              <w:rPr>
                <w:rStyle w:val="387"/>
                <w:rFonts w:hint="eastAsia" w:ascii="宋体" w:hAnsi="宋体" w:eastAsia="宋体"/>
                <w:sz w:val="21"/>
                <w:szCs w:val="21"/>
                <w:lang w:val="zh-CN" w:eastAsia="zh-CN"/>
              </w:rPr>
              <w:t>。</w:t>
            </w:r>
          </w:p>
          <w:p>
            <w:pPr>
              <w:pStyle w:val="215"/>
              <w:keepNext w:val="0"/>
              <w:keepLines w:val="0"/>
              <w:suppressLineNumbers w:val="0"/>
              <w:shd w:val="clear" w:color="auto" w:fill="auto"/>
              <w:spacing w:before="0" w:beforeAutospacing="0" w:after="0" w:afterAutospacing="0" w:line="440" w:lineRule="exact"/>
              <w:ind w:left="0" w:right="141" w:rightChars="59"/>
              <w:jc w:val="both"/>
              <w:rPr>
                <w:rStyle w:val="152"/>
                <w:rFonts w:hint="eastAsia" w:ascii="宋体" w:hAnsi="宋体" w:eastAsia="宋体"/>
                <w:b w:val="0"/>
                <w:sz w:val="21"/>
                <w:szCs w:val="21"/>
                <w:lang w:val="en-US" w:eastAsia="zh-CN"/>
              </w:rPr>
            </w:pPr>
            <w:r>
              <w:rPr>
                <w:rStyle w:val="387"/>
                <w:rFonts w:hint="eastAsia" w:ascii="宋体" w:hAnsi="宋体"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Pr>
        <w:tc>
          <w:tcPr>
            <w:tcW w:w="856"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606"/>
                <w:rFonts w:hint="default" w:ascii="宋体" w:hAnsi="宋体" w:eastAsia="宋体"/>
                <w:b w:val="0"/>
                <w:sz w:val="21"/>
                <w:szCs w:val="21"/>
                <w:lang w:val="zh-CN" w:eastAsia="zh-CN"/>
              </w:rPr>
              <w:t>2.2.1</w:t>
            </w:r>
          </w:p>
        </w:tc>
        <w:tc>
          <w:tcPr>
            <w:tcW w:w="1463"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both"/>
              <w:rPr>
                <w:rStyle w:val="387"/>
                <w:rFonts w:hint="eastAsia" w:ascii="宋体" w:hAnsi="宋体" w:eastAsia="宋体"/>
                <w:sz w:val="21"/>
                <w:szCs w:val="21"/>
                <w:lang w:val="zh-CN" w:eastAsia="zh-CN"/>
              </w:rPr>
            </w:pPr>
            <w:r>
              <w:rPr>
                <w:rStyle w:val="387"/>
                <w:rFonts w:hint="eastAsia" w:ascii="宋体" w:hAnsi="宋体" w:eastAsia="宋体"/>
                <w:sz w:val="21"/>
                <w:szCs w:val="21"/>
                <w:lang w:val="zh-CN" w:eastAsia="zh-CN"/>
              </w:rPr>
              <w:t>分值构成</w:t>
            </w:r>
            <w:r>
              <w:rPr>
                <w:rStyle w:val="101"/>
                <w:rFonts w:hint="default" w:ascii="宋体" w:hAnsi="宋体" w:eastAsia="宋体" w:cs="宋体"/>
                <w:szCs w:val="21"/>
                <w:lang w:val="zh-CN" w:eastAsia="zh-CN"/>
              </w:rPr>
              <w:footnoteReference w:id="74"/>
            </w:r>
            <w:r>
              <w:rPr>
                <w:rStyle w:val="387"/>
                <w:rFonts w:hint="default" w:ascii="宋体" w:hAnsi="宋体" w:eastAsia="宋体"/>
                <w:sz w:val="21"/>
                <w:szCs w:val="21"/>
                <w:lang w:val="zh-CN" w:eastAsia="zh-CN"/>
              </w:rPr>
              <w:t>(</w:t>
            </w:r>
            <w:r>
              <w:rPr>
                <w:rStyle w:val="387"/>
                <w:rFonts w:hint="eastAsia" w:ascii="宋体" w:hAnsi="宋体" w:eastAsia="宋体"/>
                <w:sz w:val="21"/>
                <w:szCs w:val="21"/>
                <w:lang w:val="zh-CN" w:eastAsia="zh-CN"/>
              </w:rPr>
              <w:t>总分</w:t>
            </w:r>
            <w:r>
              <w:rPr>
                <w:rStyle w:val="606"/>
                <w:rFonts w:hint="default" w:ascii="宋体" w:hAnsi="宋体" w:eastAsia="宋体"/>
                <w:b w:val="0"/>
                <w:sz w:val="21"/>
                <w:szCs w:val="21"/>
                <w:lang w:val="zh-CN" w:eastAsia="zh-CN"/>
              </w:rPr>
              <w:t>100</w:t>
            </w:r>
            <w:r>
              <w:rPr>
                <w:rStyle w:val="387"/>
                <w:rFonts w:hint="eastAsia" w:ascii="宋体" w:hAnsi="宋体" w:eastAsia="宋体"/>
                <w:sz w:val="21"/>
                <w:szCs w:val="21"/>
                <w:lang w:val="zh-CN" w:eastAsia="zh-CN"/>
              </w:rPr>
              <w:t>分）</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eastAsia="宋体" w:cs="MingLiU"/>
                <w:sz w:val="21"/>
                <w:szCs w:val="21"/>
                <w:lang w:val="en-US" w:eastAsia="zh-CN"/>
              </w:rPr>
            </w:pPr>
          </w:p>
        </w:tc>
        <w:tc>
          <w:tcPr>
            <w:tcW w:w="6637"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both"/>
              <w:rPr>
                <w:rStyle w:val="606"/>
                <w:rFonts w:hint="eastAsia" w:ascii="宋体" w:hAnsi="Times New Roman" w:eastAsia="宋体"/>
                <w:b w:val="0"/>
                <w:sz w:val="21"/>
                <w:szCs w:val="21"/>
                <w:lang w:val="zh-CN" w:eastAsia="zh-CN"/>
              </w:rPr>
            </w:pPr>
            <w:r>
              <w:rPr>
                <w:rStyle w:val="606"/>
                <w:rFonts w:hint="eastAsia" w:ascii="宋体" w:hAnsi="Times New Roman" w:eastAsia="宋体"/>
                <w:bCs w:val="0"/>
                <w:sz w:val="21"/>
                <w:szCs w:val="21"/>
                <w:lang w:val="zh-CN" w:eastAsia="zh-CN"/>
              </w:rPr>
              <w:t>第一个信封（商务及技术文件）评分分值构成：</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spacing w:val="0"/>
                <w:kern w:val="2"/>
                <w:sz w:val="21"/>
                <w:szCs w:val="21"/>
                <w:lang w:val="en-US" w:eastAsia="zh-CN"/>
              </w:rPr>
            </w:pPr>
            <w:r>
              <w:rPr>
                <w:rFonts w:hint="eastAsia" w:ascii="宋体" w:hAnsi="宋体" w:eastAsia="宋体"/>
                <w:spacing w:val="0"/>
                <w:kern w:val="2"/>
                <w:sz w:val="21"/>
                <w:szCs w:val="21"/>
                <w:lang w:val="en-US" w:eastAsia="zh-CN"/>
              </w:rPr>
              <w:t>技术建议书</w:t>
            </w:r>
            <w:r>
              <w:rPr>
                <w:rFonts w:hint="default" w:ascii="宋体" w:hAnsi="宋体"/>
                <w:spacing w:val="0"/>
                <w:kern w:val="2"/>
                <w:sz w:val="21"/>
                <w:szCs w:val="21"/>
                <w:lang w:val="en-US" w:eastAsia="zh-CN"/>
              </w:rPr>
              <w:t>：</w:t>
            </w:r>
            <w:r>
              <w:rPr>
                <w:rFonts w:hint="eastAsia" w:ascii="宋体" w:hAnsi="宋体" w:eastAsia="宋体"/>
                <w:spacing w:val="0"/>
                <w:kern w:val="2"/>
                <w:sz w:val="21"/>
                <w:szCs w:val="21"/>
                <w:u w:val="single"/>
                <w:lang w:val="en-US" w:eastAsia="zh-CN"/>
              </w:rPr>
              <w:t>40-50</w:t>
            </w:r>
            <w:r>
              <w:rPr>
                <w:rFonts w:hint="eastAsia" w:ascii="宋体" w:hAnsi="宋体" w:eastAsia="宋体"/>
                <w:spacing w:val="0"/>
                <w:kern w:val="2"/>
                <w:sz w:val="21"/>
                <w:szCs w:val="21"/>
                <w:lang w:val="en-US" w:eastAsia="zh-CN"/>
              </w:rPr>
              <w:t>分</w:t>
            </w:r>
          </w:p>
          <w:p>
            <w:pPr>
              <w:keepNext w:val="0"/>
              <w:keepLines w:val="0"/>
              <w:suppressLineNumbers w:val="0"/>
              <w:spacing w:before="0" w:beforeAutospacing="0" w:after="0" w:afterAutospacing="0" w:line="360" w:lineRule="auto"/>
              <w:ind w:left="0" w:right="0"/>
              <w:jc w:val="both"/>
              <w:rPr>
                <w:rFonts w:hint="default" w:ascii="宋体" w:hAnsi="宋体" w:cs="Times New Roman"/>
                <w:color w:val="auto"/>
                <w:kern w:val="2"/>
                <w:sz w:val="21"/>
                <w:szCs w:val="21"/>
                <w:lang w:val="en-US"/>
              </w:rPr>
            </w:pPr>
            <w:r>
              <w:rPr>
                <w:rFonts w:hint="eastAsia" w:ascii="宋体" w:hAnsi="宋体" w:cs="Times New Roman"/>
                <w:color w:val="auto"/>
                <w:kern w:val="2"/>
                <w:sz w:val="21"/>
                <w:szCs w:val="21"/>
                <w:lang w:val="en-US"/>
              </w:rPr>
              <w:t>主要人员</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u w:val="single"/>
                <w:lang w:val="en-US"/>
              </w:rPr>
              <w:t>5-15</w:t>
            </w:r>
            <w:r>
              <w:rPr>
                <w:rFonts w:hint="eastAsia" w:ascii="宋体" w:hAnsi="宋体" w:cs="Times New Roman"/>
                <w:color w:val="auto"/>
                <w:kern w:val="2"/>
                <w:sz w:val="21"/>
                <w:szCs w:val="21"/>
                <w:lang w:val="en-US"/>
              </w:rPr>
              <w:t>分</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其他因素：</w:t>
            </w:r>
            <w:r>
              <w:rPr>
                <w:rFonts w:hint="eastAsia" w:ascii="宋体" w:hAnsi="宋体" w:eastAsia="宋体"/>
                <w:spacing w:val="0"/>
                <w:kern w:val="2"/>
                <w:sz w:val="21"/>
                <w:szCs w:val="21"/>
                <w:u w:val="single"/>
                <w:lang w:val="en-US" w:eastAsia="zh-CN"/>
              </w:rPr>
              <w:t>20-35分</w:t>
            </w:r>
            <w:r>
              <w:rPr>
                <w:rFonts w:hint="eastAsia" w:ascii="宋体" w:hAnsi="宋体" w:eastAsia="宋体"/>
                <w:spacing w:val="0"/>
                <w:kern w:val="2"/>
                <w:sz w:val="21"/>
                <w:szCs w:val="21"/>
                <w:lang w:val="en-US" w:eastAsia="zh-CN"/>
              </w:rPr>
              <w:t>，其中：</w:t>
            </w:r>
          </w:p>
          <w:p>
            <w:pPr>
              <w:pStyle w:val="215"/>
              <w:keepNext w:val="0"/>
              <w:keepLines w:val="0"/>
              <w:suppressLineNumbers w:val="0"/>
              <w:shd w:val="clear" w:color="auto" w:fill="auto"/>
              <w:spacing w:before="0" w:beforeAutospacing="0" w:after="0" w:afterAutospacing="0" w:line="360" w:lineRule="auto"/>
              <w:ind w:left="0" w:right="0"/>
              <w:jc w:val="both"/>
              <w:rPr>
                <w:rFonts w:hint="eastAsia" w:ascii="宋体" w:hAnsi="宋体"/>
                <w:spacing w:val="0"/>
                <w:kern w:val="2"/>
                <w:sz w:val="21"/>
                <w:szCs w:val="21"/>
                <w:lang w:val="en-US" w:eastAsia="zh-CN"/>
              </w:rPr>
            </w:pPr>
            <w:r>
              <w:rPr>
                <w:rFonts w:hint="eastAsia" w:ascii="宋体" w:hAnsi="宋体" w:eastAsia="宋体"/>
                <w:spacing w:val="0"/>
                <w:kern w:val="2"/>
                <w:sz w:val="21"/>
                <w:szCs w:val="21"/>
                <w:lang w:val="en-US" w:eastAsia="zh-CN"/>
              </w:rPr>
              <w:t>企业综合能力：</w:t>
            </w:r>
            <w:r>
              <w:rPr>
                <w:rFonts w:hint="eastAsia" w:ascii="宋体" w:hAnsi="宋体"/>
                <w:spacing w:val="0"/>
                <w:kern w:val="2"/>
                <w:sz w:val="21"/>
                <w:szCs w:val="21"/>
                <w:u w:val="single"/>
                <w:lang w:val="en-US" w:eastAsia="zh-CN"/>
              </w:rPr>
              <w:t>0</w:t>
            </w:r>
            <w:r>
              <w:rPr>
                <w:rFonts w:hint="eastAsia" w:ascii="宋体" w:hAnsi="宋体" w:eastAsia="宋体"/>
                <w:spacing w:val="0"/>
                <w:kern w:val="2"/>
                <w:sz w:val="21"/>
                <w:szCs w:val="21"/>
                <w:u w:val="single"/>
                <w:lang w:val="en-US" w:eastAsia="zh-CN"/>
              </w:rPr>
              <w:t>-5</w:t>
            </w:r>
            <w:r>
              <w:rPr>
                <w:rFonts w:hint="eastAsia" w:ascii="宋体" w:hAnsi="宋体" w:eastAsia="宋体"/>
                <w:spacing w:val="0"/>
                <w:kern w:val="2"/>
                <w:sz w:val="21"/>
                <w:szCs w:val="21"/>
                <w:lang w:val="en-US" w:eastAsia="zh-CN"/>
              </w:rPr>
              <w:t>分</w:t>
            </w:r>
          </w:p>
          <w:p>
            <w:pPr>
              <w:pStyle w:val="215"/>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业绩</w:t>
            </w:r>
            <w:r>
              <w:rPr>
                <w:rFonts w:hint="default"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10-20</w:t>
            </w:r>
            <w:r>
              <w:rPr>
                <w:rFonts w:hint="eastAsia" w:ascii="宋体" w:hAnsi="宋体" w:eastAsia="宋体"/>
                <w:spacing w:val="0"/>
                <w:kern w:val="2"/>
                <w:sz w:val="21"/>
                <w:szCs w:val="21"/>
                <w:lang w:val="en-US" w:eastAsia="zh-CN"/>
              </w:rPr>
              <w:t>分</w:t>
            </w:r>
          </w:p>
          <w:p>
            <w:pPr>
              <w:pStyle w:val="215"/>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履约信誉</w:t>
            </w:r>
            <w:r>
              <w:rPr>
                <w:rFonts w:hint="default"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w:t>
            </w:r>
            <w:r>
              <w:rPr>
                <w:rFonts w:hint="eastAsia" w:ascii="宋体" w:hAnsi="宋体" w:eastAsia="宋体"/>
                <w:spacing w:val="0"/>
                <w:kern w:val="2"/>
                <w:sz w:val="21"/>
                <w:szCs w:val="21"/>
                <w:lang w:val="en-US" w:eastAsia="zh-CN"/>
              </w:rPr>
              <w:t>分</w:t>
            </w:r>
          </w:p>
          <w:p>
            <w:pPr>
              <w:pStyle w:val="215"/>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w:t>
            </w:r>
          </w:p>
          <w:p>
            <w:pPr>
              <w:pStyle w:val="215"/>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b/>
                <w:bCs/>
                <w:spacing w:val="0"/>
                <w:kern w:val="2"/>
                <w:sz w:val="21"/>
                <w:szCs w:val="21"/>
                <w:lang w:val="en-US" w:eastAsia="zh-CN"/>
              </w:rPr>
            </w:pPr>
            <w:r>
              <w:rPr>
                <w:rFonts w:hint="eastAsia" w:ascii="宋体" w:hAnsi="宋体" w:eastAsia="宋体"/>
                <w:b/>
                <w:bCs/>
                <w:spacing w:val="0"/>
                <w:kern w:val="2"/>
                <w:sz w:val="21"/>
                <w:szCs w:val="21"/>
                <w:lang w:val="en-US" w:eastAsia="zh-CN"/>
              </w:rPr>
              <w:t>第二个信封（报价文件）评分分值构成：</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cs="MingLiU"/>
                <w:sz w:val="21"/>
                <w:szCs w:val="21"/>
                <w:lang w:val="en-US" w:eastAsia="zh-CN"/>
              </w:rPr>
            </w:pPr>
            <w:r>
              <w:rPr>
                <w:rFonts w:hint="eastAsia" w:ascii="宋体" w:hAnsi="宋体" w:eastAsia="宋体" w:cs="宋体"/>
                <w:kern w:val="2"/>
                <w:sz w:val="21"/>
                <w:szCs w:val="21"/>
                <w:lang w:val="en-US" w:eastAsia="zh-CN"/>
              </w:rPr>
              <w:t>评标价</w:t>
            </w:r>
            <w:r>
              <w:rPr>
                <w:rFonts w:hint="eastAsia"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10-25</w:t>
            </w:r>
            <w:r>
              <w:rPr>
                <w:rFonts w:hint="eastAsia" w:ascii="宋体" w:hAnsi="宋体" w:eastAsia="宋体"/>
                <w:kern w:val="2"/>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Pr>
        <w:tc>
          <w:tcPr>
            <w:tcW w:w="856"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606"/>
                <w:rFonts w:hint="default" w:ascii="宋体" w:hAnsi="宋体" w:eastAsia="宋体"/>
                <w:b w:val="0"/>
                <w:sz w:val="21"/>
                <w:szCs w:val="21"/>
                <w:lang w:val="zh-CN" w:eastAsia="zh-CN"/>
              </w:rPr>
            </w:pPr>
            <w:r>
              <w:rPr>
                <w:rFonts w:hint="default" w:ascii="宋体" w:hAnsi="宋体"/>
                <w:sz w:val="21"/>
                <w:szCs w:val="21"/>
                <w:lang w:val="zh-CN" w:eastAsia="zh-CN"/>
              </w:rPr>
              <w:t>2.2.2</w:t>
            </w:r>
          </w:p>
        </w:tc>
        <w:tc>
          <w:tcPr>
            <w:tcW w:w="1463"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387"/>
                <w:rFonts w:hint="eastAsia" w:ascii="宋体" w:hAnsi="宋体" w:eastAsia="宋体"/>
                <w:sz w:val="21"/>
                <w:szCs w:val="21"/>
                <w:lang w:val="zh-CN" w:eastAsia="zh-CN"/>
              </w:rPr>
            </w:pPr>
            <w:r>
              <w:rPr>
                <w:rFonts w:hint="default" w:ascii="宋体" w:hAnsi="宋体" w:eastAsia="宋体"/>
                <w:sz w:val="21"/>
                <w:szCs w:val="21"/>
                <w:lang w:val="zh-CN" w:eastAsia="zh-CN"/>
              </w:rPr>
              <w:t>评标基准价计算方法</w:t>
            </w:r>
          </w:p>
        </w:tc>
        <w:tc>
          <w:tcPr>
            <w:tcW w:w="6637" w:type="dxa"/>
            <w:noWrap w:val="0"/>
            <w:vAlign w:val="center"/>
          </w:tcPr>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default" w:ascii="宋体" w:hAnsi="宋体" w:cs="Times New Roman"/>
                <w:b/>
                <w:bCs/>
                <w:color w:val="auto"/>
                <w:kern w:val="2"/>
                <w:sz w:val="21"/>
                <w:szCs w:val="21"/>
                <w:lang w:val="en-US"/>
              </w:rPr>
              <w:t>评标基准价的计算：</w:t>
            </w:r>
            <w:r>
              <w:rPr>
                <w:rFonts w:hint="eastAsia" w:ascii="宋体" w:hAnsi="宋体" w:cs="Times New Roman"/>
                <w:b/>
                <w:bCs/>
                <w:color w:val="auto"/>
                <w:kern w:val="2"/>
                <w:sz w:val="21"/>
                <w:szCs w:val="21"/>
                <w:lang w:val="en-US"/>
              </w:rPr>
              <w:t>（方案一）</w:t>
            </w:r>
          </w:p>
          <w:p>
            <w:pPr>
              <w:pStyle w:val="215"/>
              <w:keepNext w:val="0"/>
              <w:keepLines w:val="0"/>
              <w:suppressLineNumbers w:val="0"/>
              <w:shd w:val="clear" w:color="auto" w:fill="auto"/>
              <w:spacing w:before="0" w:beforeAutospacing="0" w:after="0" w:afterAutospacing="0" w:line="360" w:lineRule="auto"/>
              <w:ind w:left="0" w:right="141" w:rightChars="59"/>
              <w:jc w:val="left"/>
              <w:rPr>
                <w:rFonts w:hint="default" w:ascii="宋体" w:hAnsi="宋体" w:eastAsia="宋体"/>
                <w:sz w:val="21"/>
                <w:szCs w:val="21"/>
                <w:lang w:val="zh-CN" w:eastAsia="zh-CN"/>
              </w:rPr>
            </w:pPr>
            <w:r>
              <w:rPr>
                <w:rStyle w:val="387"/>
                <w:rFonts w:hint="eastAsia" w:ascii="宋体" w:hAnsi="宋体" w:eastAsia="宋体"/>
                <w:sz w:val="21"/>
                <w:szCs w:val="21"/>
                <w:lang w:val="zh-CN" w:eastAsia="zh-CN"/>
              </w:rPr>
              <w:t>在开标现场，招标人将当场计算并宣布评标基准价。</w:t>
            </w:r>
          </w:p>
          <w:p>
            <w:pPr>
              <w:pStyle w:val="215"/>
              <w:keepNext w:val="0"/>
              <w:keepLines w:val="0"/>
              <w:suppressLineNumbers w:val="0"/>
              <w:shd w:val="clear" w:color="auto" w:fill="auto"/>
              <w:tabs>
                <w:tab w:val="left" w:pos="413"/>
              </w:tabs>
              <w:spacing w:before="0" w:beforeAutospacing="0" w:after="0" w:afterAutospacing="0" w:line="360" w:lineRule="auto"/>
              <w:ind w:left="0" w:right="141" w:rightChars="59"/>
              <w:jc w:val="both"/>
              <w:rPr>
                <w:rFonts w:hint="default" w:ascii="宋体" w:hAnsi="宋体" w:eastAsia="宋体"/>
                <w:sz w:val="21"/>
                <w:szCs w:val="21"/>
                <w:lang w:val="zh-CN" w:eastAsia="zh-CN"/>
              </w:rPr>
            </w:pPr>
            <w:r>
              <w:rPr>
                <w:rStyle w:val="387"/>
                <w:rFonts w:hint="eastAsia" w:ascii="宋体" w:hAnsi="宋体" w:eastAsia="宋体"/>
                <w:sz w:val="21"/>
                <w:szCs w:val="21"/>
                <w:lang w:val="en-US" w:eastAsia="zh-CN"/>
              </w:rPr>
              <w:t>(1)</w:t>
            </w:r>
            <w:r>
              <w:rPr>
                <w:rStyle w:val="387"/>
                <w:rFonts w:hint="eastAsia" w:ascii="宋体" w:hAnsi="宋体" w:eastAsia="宋体"/>
                <w:sz w:val="21"/>
                <w:szCs w:val="21"/>
                <w:lang w:val="zh-CN" w:eastAsia="zh-CN"/>
              </w:rPr>
              <w:t>评标价的确定：</w:t>
            </w:r>
          </w:p>
          <w:p>
            <w:pPr>
              <w:pStyle w:val="215"/>
              <w:keepNext w:val="0"/>
              <w:keepLines w:val="0"/>
              <w:suppressLineNumbers w:val="0"/>
              <w:shd w:val="clear" w:color="auto" w:fill="auto"/>
              <w:spacing w:before="0" w:beforeAutospacing="0" w:after="0" w:afterAutospacing="0" w:line="360" w:lineRule="auto"/>
              <w:ind w:left="0" w:right="141" w:rightChars="59"/>
              <w:jc w:val="left"/>
              <w:rPr>
                <w:rStyle w:val="387"/>
                <w:rFonts w:hint="default" w:ascii="宋体" w:hAnsi="Times New Roman" w:eastAsia="宋体"/>
                <w:sz w:val="21"/>
                <w:szCs w:val="21"/>
                <w:lang w:val="zh-CN" w:eastAsia="zh-CN"/>
              </w:rPr>
            </w:pPr>
            <w:r>
              <w:rPr>
                <w:rStyle w:val="387"/>
                <w:rFonts w:hint="eastAsia" w:ascii="宋体" w:hAnsi="宋体" w:eastAsia="宋体"/>
                <w:sz w:val="21"/>
                <w:szCs w:val="21"/>
                <w:lang w:val="zh-CN" w:eastAsia="zh-CN"/>
              </w:rPr>
              <w:t>评标价</w:t>
            </w:r>
            <w:r>
              <w:rPr>
                <w:rStyle w:val="387"/>
                <w:rFonts w:hint="default" w:ascii="宋体" w:hAnsi="宋体" w:eastAsia="宋体"/>
                <w:sz w:val="21"/>
                <w:szCs w:val="21"/>
                <w:lang w:val="zh-CN" w:eastAsia="zh-CN"/>
              </w:rPr>
              <w:t>=</w:t>
            </w:r>
            <w:r>
              <w:rPr>
                <w:rStyle w:val="387"/>
                <w:rFonts w:hint="eastAsia" w:ascii="宋体" w:hAnsi="宋体" w:eastAsia="宋体"/>
                <w:sz w:val="21"/>
                <w:szCs w:val="21"/>
                <w:lang w:val="zh-CN" w:eastAsia="zh-CN"/>
              </w:rPr>
              <w:t>投标函文字报价</w:t>
            </w:r>
          </w:p>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2</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确定参与评标基准价计算的评标价平均值计算：</w:t>
            </w:r>
          </w:p>
          <w:p>
            <w:pPr>
              <w:keepNext w:val="0"/>
              <w:keepLines w:val="0"/>
              <w:suppressLineNumbers w:val="0"/>
              <w:spacing w:before="0" w:beforeAutospacing="0" w:after="0" w:afterAutospacing="0" w:line="360" w:lineRule="auto"/>
              <w:ind w:left="16" w:right="141" w:rightChars="59"/>
              <w:jc w:val="both"/>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①参与评标基准价计算的评标价范围：</w:t>
            </w:r>
            <w:r>
              <w:rPr>
                <w:rFonts w:hint="eastAsia" w:ascii="宋体" w:hAnsi="宋体" w:cs="Times New Roman"/>
                <w:color w:val="auto"/>
                <w:kern w:val="2"/>
                <w:sz w:val="21"/>
                <w:szCs w:val="21"/>
                <w:lang w:val="en-US"/>
              </w:rPr>
              <w:t>最高投标限价的85%≤</w:t>
            </w:r>
            <w:r>
              <w:rPr>
                <w:rFonts w:hint="eastAsia" w:ascii="宋体" w:hAnsi="宋体" w:cs="Times New Roman"/>
                <w:snapToGrid w:val="0"/>
                <w:color w:val="auto"/>
                <w:kern w:val="2"/>
                <w:sz w:val="21"/>
                <w:szCs w:val="21"/>
                <w:lang w:val="en-US"/>
              </w:rPr>
              <w:t>参与评标基准价计算的评标价</w:t>
            </w:r>
            <w:r>
              <w:rPr>
                <w:rFonts w:hint="eastAsia" w:ascii="宋体" w:hAnsi="宋体" w:cs="Times New Roman"/>
                <w:color w:val="auto"/>
                <w:kern w:val="2"/>
                <w:sz w:val="21"/>
                <w:szCs w:val="21"/>
                <w:lang w:val="en-US"/>
              </w:rPr>
              <w:t>≤最高投标限价的100%，小于最高投标限价85%</w:t>
            </w:r>
            <w:r>
              <w:rPr>
                <w:rFonts w:hint="eastAsia" w:ascii="宋体" w:hAnsi="宋体" w:cs="Times New Roman"/>
                <w:snapToGrid w:val="0"/>
                <w:color w:val="auto"/>
                <w:kern w:val="2"/>
                <w:sz w:val="21"/>
                <w:szCs w:val="21"/>
                <w:lang w:val="en-US"/>
              </w:rPr>
              <w:t>的评标价不参与评标基准价的计算，但仍参与评标价的得分计算</w:t>
            </w:r>
            <w:r>
              <w:rPr>
                <w:rFonts w:hint="eastAsia" w:ascii="宋体" w:hAnsi="宋体" w:cs="Times New Roman"/>
                <w:color w:val="auto"/>
                <w:kern w:val="2"/>
                <w:sz w:val="21"/>
                <w:szCs w:val="21"/>
                <w:lang w:val="en-US"/>
              </w:rPr>
              <w:t>。</w:t>
            </w:r>
          </w:p>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②参与评标基准价计算的有效评标价的算术平均值：</w:t>
            </w:r>
            <w:r>
              <w:rPr>
                <w:rStyle w:val="387"/>
                <w:rFonts w:hint="eastAsia" w:ascii="宋体" w:hAnsi="宋体" w:eastAsia="宋体"/>
                <w:color w:val="auto"/>
                <w:sz w:val="21"/>
                <w:szCs w:val="21"/>
              </w:rPr>
              <w:t>除按第二章“投标人须知”第</w:t>
            </w:r>
            <w:r>
              <w:rPr>
                <w:rStyle w:val="387"/>
                <w:rFonts w:hint="default" w:ascii="宋体" w:hAnsi="宋体" w:eastAsia="宋体"/>
                <w:color w:val="auto"/>
                <w:sz w:val="21"/>
                <w:szCs w:val="21"/>
              </w:rPr>
              <w:t>5.2.4</w:t>
            </w:r>
            <w:r>
              <w:rPr>
                <w:rStyle w:val="387"/>
                <w:rFonts w:hint="eastAsia" w:ascii="宋体" w:hAnsi="宋体" w:eastAsia="宋体"/>
                <w:color w:val="auto"/>
                <w:sz w:val="21"/>
                <w:szCs w:val="21"/>
              </w:rPr>
              <w:t>项规定开标现场被宣布为不进入评标基准价计算的投标报价之外</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在上述确定的</w:t>
            </w:r>
            <w:r>
              <w:rPr>
                <w:rFonts w:hint="eastAsia" w:ascii="宋体" w:hAnsi="宋体" w:cs="Times New Roman"/>
                <w:snapToGrid w:val="0"/>
                <w:color w:val="auto"/>
                <w:kern w:val="2"/>
                <w:sz w:val="21"/>
                <w:szCs w:val="21"/>
                <w:lang w:val="en-US"/>
              </w:rPr>
              <w:t>参与评标基准价计算的评标价中</w:t>
            </w:r>
            <w:r>
              <w:rPr>
                <w:rFonts w:hint="default" w:ascii="宋体" w:hAnsi="宋体" w:cs="Times New Roman"/>
                <w:color w:val="auto"/>
                <w:kern w:val="2"/>
                <w:sz w:val="21"/>
                <w:szCs w:val="21"/>
                <w:lang w:val="en-US"/>
              </w:rPr>
              <w:t>去掉一个最高值和一个最低值后的算术平均值即为</w:t>
            </w:r>
            <w:r>
              <w:rPr>
                <w:rFonts w:hint="eastAsia" w:ascii="宋体" w:hAnsi="宋体" w:cs="Times New Roman"/>
                <w:snapToGrid w:val="0"/>
                <w:color w:val="auto"/>
                <w:kern w:val="2"/>
                <w:sz w:val="21"/>
                <w:szCs w:val="21"/>
                <w:lang w:val="en-US"/>
              </w:rPr>
              <w:t>参与评标基准价计算的有效评标价的算术平均值</w:t>
            </w:r>
            <w:r>
              <w:rPr>
                <w:rFonts w:hint="default" w:ascii="宋体" w:hAnsi="宋体" w:cs="Times New Roman"/>
                <w:color w:val="auto"/>
                <w:kern w:val="2"/>
                <w:sz w:val="21"/>
                <w:szCs w:val="21"/>
                <w:lang w:val="en-US"/>
              </w:rPr>
              <w:t>(如果参与评标价平均值计算的有效投标人少于</w:t>
            </w:r>
            <w:r>
              <w:rPr>
                <w:rFonts w:hint="eastAsia" w:ascii="宋体" w:hAnsi="宋体" w:cs="Times New Roman"/>
                <w:color w:val="auto"/>
                <w:kern w:val="2"/>
                <w:sz w:val="21"/>
                <w:szCs w:val="21"/>
                <w:lang w:val="en-US"/>
              </w:rPr>
              <w:t>5</w:t>
            </w:r>
            <w:r>
              <w:rPr>
                <w:rFonts w:hint="default" w:ascii="宋体" w:hAnsi="宋体" w:cs="Times New Roman"/>
                <w:color w:val="auto"/>
                <w:kern w:val="2"/>
                <w:sz w:val="21"/>
                <w:szCs w:val="21"/>
                <w:lang w:val="en-US"/>
              </w:rPr>
              <w:t>家时，则计算</w:t>
            </w:r>
            <w:r>
              <w:rPr>
                <w:rFonts w:hint="eastAsia" w:ascii="宋体" w:hAnsi="宋体" w:cs="Times New Roman"/>
                <w:color w:val="auto"/>
                <w:kern w:val="2"/>
                <w:sz w:val="21"/>
                <w:szCs w:val="21"/>
                <w:lang w:val="en-US"/>
              </w:rPr>
              <w:t>上述</w:t>
            </w:r>
            <w:r>
              <w:rPr>
                <w:rFonts w:hint="default" w:ascii="宋体" w:hAnsi="宋体" w:cs="Times New Roman"/>
                <w:color w:val="auto"/>
                <w:kern w:val="2"/>
                <w:sz w:val="21"/>
                <w:szCs w:val="21"/>
                <w:lang w:val="en-US"/>
              </w:rPr>
              <w:t>平均值时不去掉最高值和最低值)；</w:t>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若投标人的评标价均小于最高投标限价的85%时，则以最高投标限价的85%为评标基准价 ，同时可对评标价小于最高投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w:t>
            </w:r>
            <w:r>
              <w:rPr>
                <w:rFonts w:hint="default" w:ascii="宋体" w:hAnsi="宋体" w:cs="Times New Roman"/>
                <w:color w:val="auto"/>
                <w:kern w:val="2"/>
                <w:sz w:val="21"/>
                <w:szCs w:val="21"/>
                <w:lang w:val="en-US"/>
              </w:rPr>
              <w:t>可以否决全部投标</w:t>
            </w:r>
            <w:r>
              <w:rPr>
                <w:rFonts w:hint="eastAsia" w:ascii="宋体" w:hAnsi="宋体" w:cs="Times New Roman"/>
                <w:color w:val="auto"/>
                <w:kern w:val="2"/>
                <w:sz w:val="21"/>
                <w:szCs w:val="21"/>
                <w:lang w:val="en-US"/>
              </w:rPr>
              <w:t>。</w:t>
            </w:r>
            <w:r>
              <w:rPr>
                <w:rFonts w:hint="default" w:ascii="宋体" w:hAnsi="宋体" w:cs="Times New Roman"/>
                <w:color w:val="auto"/>
                <w:kern w:val="2"/>
                <w:sz w:val="21"/>
                <w:szCs w:val="21"/>
                <w:lang w:val="en-US"/>
              </w:rPr>
              <w:t>未否决全部投标的，评标委员会应当在评标报告中阐明理由</w:t>
            </w:r>
            <w:r>
              <w:rPr>
                <w:rFonts w:hint="eastAsia" w:ascii="宋体" w:hAnsi="宋体" w:cs="Times New Roman"/>
                <w:color w:val="auto"/>
                <w:kern w:val="2"/>
                <w:sz w:val="21"/>
                <w:szCs w:val="21"/>
                <w:lang w:val="en-US"/>
              </w:rPr>
              <w:t>并推荐中标候选人。</w:t>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即使某投标文件第二个信封未通过形式评审与响应性评审,如其报价处于参与评标基准价计算的评标价的有效范围内，其评标价仍应参与有效评标价平均值的计算。</w:t>
            </w:r>
          </w:p>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3</w:t>
            </w:r>
            <w:r>
              <w:rPr>
                <w:rFonts w:hint="default" w:ascii="宋体" w:hAnsi="宋体" w:cs="Times New Roman"/>
                <w:color w:val="auto"/>
                <w:kern w:val="2"/>
                <w:sz w:val="21"/>
                <w:szCs w:val="21"/>
                <w:lang w:val="en-US"/>
              </w:rPr>
              <w:t>)评标基准价的确定</w:t>
            </w:r>
            <w:r>
              <w:rPr>
                <w:rFonts w:hint="eastAsia" w:ascii="宋体" w:hAnsi="宋体" w:cs="Times New Roman"/>
                <w:color w:val="auto"/>
                <w:kern w:val="2"/>
                <w:sz w:val="21"/>
                <w:szCs w:val="21"/>
                <w:lang w:val="en-US"/>
              </w:rPr>
              <w:t>：（选择以下方法之一）</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方法一：将参与评标基准价计算的有效评标价的平均值直接作为评标基准价</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default" w:ascii="宋体" w:hAnsi="宋体" w:cs="Times New Roman"/>
                <w:snapToGrid w:val="0"/>
                <w:color w:val="auto"/>
                <w:kern w:val="2"/>
                <w:sz w:val="21"/>
                <w:szCs w:val="21"/>
                <w:lang w:val="en-US"/>
              </w:rPr>
              <w:t>方法</w:t>
            </w:r>
            <w:r>
              <w:rPr>
                <w:rFonts w:hint="eastAsia" w:ascii="宋体" w:hAnsi="宋体" w:cs="Times New Roman"/>
                <w:snapToGrid w:val="0"/>
                <w:color w:val="auto"/>
                <w:kern w:val="2"/>
                <w:sz w:val="21"/>
                <w:szCs w:val="21"/>
                <w:lang w:val="en-US"/>
              </w:rPr>
              <w:t>二</w:t>
            </w:r>
            <w:r>
              <w:rPr>
                <w:rFonts w:hint="default"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(M×</w:t>
            </w:r>
            <w:r>
              <w:rPr>
                <w:rFonts w:hint="eastAsia" w:ascii="宋体" w:hAnsi="宋体" w:cs="Times New Roman"/>
                <w:color w:val="auto"/>
                <w:kern w:val="2"/>
                <w:sz w:val="21"/>
                <w:szCs w:val="21"/>
                <w:lang w:val="en-US"/>
              </w:rPr>
              <w:t>最高投标限价</w:t>
            </w:r>
            <w:r>
              <w:rPr>
                <w:rFonts w:hint="eastAsia" w:ascii="宋体" w:hAnsi="宋体" w:cs="Times New Roman"/>
                <w:snapToGrid w:val="0"/>
                <w:color w:val="auto"/>
                <w:kern w:val="2"/>
                <w:sz w:val="21"/>
                <w:szCs w:val="21"/>
                <w:lang w:val="en-US"/>
              </w:rPr>
              <w:t>+N×参与评标基准价计算的有效评标价的平均值）</w:t>
            </w:r>
          </w:p>
          <w:p>
            <w:pPr>
              <w:keepNext w:val="0"/>
              <w:keepLines w:val="0"/>
              <w:suppressLineNumbers w:val="0"/>
              <w:spacing w:before="0" w:beforeAutospacing="0" w:after="0" w:afterAutospacing="0" w:line="360" w:lineRule="auto"/>
              <w:ind w:left="0" w:right="141" w:rightChars="59" w:firstLine="420" w:firstLineChars="20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（M可选择</w:t>
            </w:r>
            <w:r>
              <w:rPr>
                <w:rFonts w:hint="eastAsia" w:ascii="宋体" w:hAnsi="宋体" w:cs="Times New Roman"/>
                <w:snapToGrid w:val="0"/>
                <w:color w:val="auto"/>
                <w:kern w:val="2"/>
                <w:sz w:val="21"/>
                <w:szCs w:val="21"/>
                <w:u w:val="single"/>
                <w:lang w:val="en-US"/>
              </w:rPr>
              <w:t>0.7、0.8、0.9、1，N</w:t>
            </w:r>
            <w:r>
              <w:rPr>
                <w:rFonts w:hint="eastAsia" w:ascii="宋体" w:hAnsi="宋体" w:cs="Times New Roman"/>
                <w:snapToGrid w:val="0"/>
                <w:color w:val="auto"/>
                <w:kern w:val="2"/>
                <w:sz w:val="21"/>
                <w:szCs w:val="21"/>
                <w:lang w:val="en-US"/>
              </w:rPr>
              <w:t>可对应选择</w:t>
            </w:r>
            <w:r>
              <w:rPr>
                <w:rFonts w:hint="eastAsia" w:ascii="宋体" w:hAnsi="宋体" w:cs="Times New Roman"/>
                <w:snapToGrid w:val="0"/>
                <w:color w:val="auto"/>
                <w:kern w:val="2"/>
                <w:sz w:val="21"/>
                <w:szCs w:val="21"/>
                <w:u w:val="single"/>
                <w:lang w:val="en-US"/>
              </w:rPr>
              <w:t>0.3、0.2、0.1、0,且M+N=1</w:t>
            </w:r>
            <w:r>
              <w:rPr>
                <w:rFonts w:hint="default" w:ascii="宋体" w:hAnsi="宋体" w:cs="Times New Roman"/>
                <w:snapToGrid w:val="0"/>
                <w:color w:val="auto"/>
                <w:kern w:val="2"/>
                <w:sz w:val="21"/>
                <w:szCs w:val="21"/>
                <w:u w:val="single"/>
                <w:lang w:val="en-US"/>
              </w:rPr>
              <w:t>）</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备注：评标基准价四舍五入至个位整数。</w:t>
            </w:r>
          </w:p>
          <w:p>
            <w:pPr>
              <w:keepNext w:val="0"/>
              <w:keepLines w:val="0"/>
              <w:suppressLineNumbers w:val="0"/>
              <w:spacing w:before="0" w:beforeAutospacing="0" w:after="0" w:afterAutospacing="0" w:line="360" w:lineRule="auto"/>
              <w:ind w:left="0" w:right="141" w:rightChars="59" w:firstLine="316" w:firstLineChars="150"/>
              <w:jc w:val="both"/>
              <w:rPr>
                <w:rFonts w:hint="default" w:ascii="宋体" w:hAnsi="宋体" w:cs="Times New Roman"/>
                <w:b/>
                <w:bCs/>
                <w:snapToGrid w:val="0"/>
                <w:color w:val="auto"/>
                <w:kern w:val="2"/>
                <w:sz w:val="21"/>
                <w:szCs w:val="21"/>
                <w:lang w:val="en-US"/>
              </w:rPr>
            </w:pPr>
          </w:p>
          <w:p>
            <w:pPr>
              <w:keepNext w:val="0"/>
              <w:keepLines w:val="0"/>
              <w:suppressLineNumbers w:val="0"/>
              <w:spacing w:before="0" w:beforeAutospacing="0" w:after="0" w:afterAutospacing="0" w:line="360" w:lineRule="auto"/>
              <w:ind w:left="0" w:right="141" w:rightChars="59" w:firstLine="316" w:firstLineChars="150"/>
              <w:jc w:val="both"/>
              <w:rPr>
                <w:rFonts w:hint="eastAsia" w:ascii="宋体" w:hAnsi="宋体" w:cs="Times New Roman"/>
                <w:snapToGrid w:val="0"/>
                <w:color w:val="auto"/>
                <w:kern w:val="2"/>
                <w:sz w:val="21"/>
                <w:szCs w:val="21"/>
                <w:lang w:val="en-US"/>
              </w:rPr>
            </w:pPr>
            <w:r>
              <w:rPr>
                <w:rFonts w:hint="default" w:ascii="宋体" w:hAnsi="宋体" w:cs="Times New Roman"/>
                <w:b/>
                <w:bCs/>
                <w:snapToGrid w:val="0"/>
                <w:color w:val="auto"/>
                <w:kern w:val="2"/>
                <w:sz w:val="21"/>
                <w:szCs w:val="21"/>
                <w:lang w:val="en-US"/>
              </w:rPr>
              <w:t>评标基准价的计算：</w:t>
            </w:r>
            <w:r>
              <w:rPr>
                <w:rFonts w:hint="eastAsia" w:ascii="宋体" w:hAnsi="宋体" w:cs="Times New Roman"/>
                <w:b/>
                <w:bCs/>
                <w:snapToGrid w:val="0"/>
                <w:color w:val="auto"/>
                <w:kern w:val="2"/>
                <w:sz w:val="21"/>
                <w:szCs w:val="21"/>
                <w:lang w:val="en-US"/>
              </w:rPr>
              <w:t>（方案二）</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在开标现场，招标人将当场计算并宣布评标基准价。</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(1)评标价的确定：</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评标价</w:t>
            </w:r>
            <w:r>
              <w:rPr>
                <w:rFonts w:hint="default"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投标函文字报价</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(2)评标基准价=最高投标限价×（1-下浮率）</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下浮率在开标前在开标现场采取逐标段摇珠方式确定。摇珠操作办法如下：在下浮率摇珠范围内，以0.1%为一档次增序确定摇珠号码，不少于31个球，每个标段各一次性摇出3个球（</w:t>
            </w:r>
            <w:r>
              <w:rPr>
                <w:rFonts w:hint="eastAsia" w:ascii="宋体" w:hAnsi="宋体" w:cs="Times New Roman"/>
                <w:snapToGrid w:val="0"/>
                <w:color w:val="auto"/>
                <w:kern w:val="2"/>
                <w:sz w:val="21"/>
                <w:szCs w:val="21"/>
                <w:lang w:val="en-US" w:eastAsia="zh-CN"/>
              </w:rPr>
              <w:t>摇出的球</w:t>
            </w:r>
            <w:r>
              <w:rPr>
                <w:rFonts w:hint="eastAsia" w:ascii="宋体" w:hAnsi="宋体" w:cs="Times New Roman"/>
                <w:snapToGrid w:val="0"/>
                <w:color w:val="auto"/>
                <w:kern w:val="2"/>
                <w:sz w:val="21"/>
                <w:szCs w:val="21"/>
                <w:lang w:val="en-US"/>
              </w:rPr>
              <w:t>不放回），摇出3个球对应的下浮率的平均值即为本标段招标的下浮率。（注：下浮率摇珠区间差值以3至5个百分点为宜，三个下浮率的平均值四舍五入取整到0.001％）</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最高投标限价、下浮率有效范围可在投标文件递交截止日15天前以书面补遗书的形式通知各投标人。</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suppressLineNumbers w:val="0"/>
              <w:spacing w:before="0" w:beforeAutospacing="0" w:after="0" w:afterAutospacing="0"/>
              <w:ind w:left="0" w:right="141" w:rightChars="59" w:firstLine="315" w:firstLineChars="150"/>
              <w:rPr>
                <w:rStyle w:val="606"/>
                <w:rFonts w:hint="eastAsia" w:ascii="宋体" w:hAnsi="Times New Roman" w:eastAsia="等线"/>
                <w:b w:val="0"/>
                <w:sz w:val="21"/>
                <w:szCs w:val="21"/>
              </w:rPr>
            </w:pPr>
            <w:r>
              <w:rPr>
                <w:rFonts w:hint="eastAsia" w:ascii="宋体" w:hAnsi="宋体" w:cs="Times New Roman"/>
                <w:snapToGrid w:val="0"/>
                <w:color w:val="auto"/>
                <w:kern w:val="2"/>
                <w:sz w:val="21"/>
                <w:szCs w:val="21"/>
                <w:lang w:val="en-US"/>
              </w:rPr>
              <w:t>备注：评标基准价四舍五入至个位整数。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Pr>
        <w:tc>
          <w:tcPr>
            <w:tcW w:w="856"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sz w:val="21"/>
                <w:szCs w:val="21"/>
                <w:lang w:val="zh-CN" w:eastAsia="zh-CN"/>
              </w:rPr>
            </w:pPr>
            <w:r>
              <w:rPr>
                <w:rFonts w:hint="default" w:ascii="宋体" w:hAnsi="宋体"/>
                <w:sz w:val="21"/>
                <w:szCs w:val="21"/>
                <w:lang w:val="zh-CN" w:eastAsia="zh-CN"/>
              </w:rPr>
              <w:t>2.2.3</w:t>
            </w:r>
          </w:p>
        </w:tc>
        <w:tc>
          <w:tcPr>
            <w:tcW w:w="1463"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sz w:val="21"/>
                <w:szCs w:val="21"/>
                <w:lang w:val="zh-CN" w:eastAsia="zh-CN"/>
              </w:rPr>
            </w:pPr>
            <w:r>
              <w:rPr>
                <w:rFonts w:hint="default" w:ascii="宋体" w:hAnsi="宋体" w:eastAsia="宋体"/>
                <w:sz w:val="21"/>
                <w:szCs w:val="21"/>
                <w:lang w:val="zh-CN" w:eastAsia="zh-CN"/>
              </w:rPr>
              <w:t>评标价的偏差率计算公式</w:t>
            </w:r>
          </w:p>
        </w:tc>
        <w:tc>
          <w:tcPr>
            <w:tcW w:w="6637" w:type="dxa"/>
            <w:noWrap w:val="0"/>
            <w:vAlign w:val="center"/>
          </w:tcPr>
          <w:p>
            <w:pPr>
              <w:keepNext w:val="0"/>
              <w:keepLines w:val="0"/>
              <w:suppressLineNumbers w:val="0"/>
              <w:spacing w:before="0" w:beforeAutospacing="0" w:after="0" w:afterAutospacing="0" w:line="360" w:lineRule="auto"/>
              <w:ind w:left="0" w:right="141" w:rightChars="59"/>
              <w:jc w:val="both"/>
              <w:rPr>
                <w:rFonts w:hint="default" w:ascii="宋体" w:hAnsi="宋体" w:cs="Times New Roman"/>
                <w:color w:val="auto"/>
                <w:kern w:val="2"/>
                <w:sz w:val="21"/>
                <w:szCs w:val="21"/>
                <w:lang w:val="en-US"/>
              </w:rPr>
            </w:pPr>
            <w:r>
              <w:rPr>
                <w:rFonts w:hint="default" w:ascii="宋体" w:hAnsi="宋体"/>
                <w:color w:val="auto"/>
                <w:sz w:val="21"/>
                <w:szCs w:val="21"/>
              </w:rPr>
              <w:t>偏差率=100%×(投标人评标价－评标基准价)/评标基准价</w:t>
            </w:r>
          </w:p>
        </w:tc>
      </w:tr>
    </w:tbl>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jc w:val="right"/>
        <w:rPr>
          <w:rStyle w:val="649"/>
          <w:rFonts w:hint="eastAsia" w:ascii="宋体" w:hAnsi="宋体" w:eastAsia="宋体"/>
          <w:b/>
          <w:bCs/>
          <w:color w:val="auto"/>
          <w:sz w:val="24"/>
          <w:szCs w:val="24"/>
        </w:rPr>
      </w:pPr>
      <w:r>
        <w:rPr>
          <w:rStyle w:val="649"/>
          <w:rFonts w:hint="eastAsia" w:ascii="宋体" w:hAnsi="宋体" w:eastAsia="宋体"/>
          <w:b/>
          <w:bCs/>
          <w:color w:val="auto"/>
          <w:sz w:val="24"/>
          <w:szCs w:val="24"/>
        </w:rPr>
        <w:br w:type="page"/>
      </w:r>
    </w:p>
    <w:tbl>
      <w:tblPr>
        <w:tblStyle w:val="8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59"/>
        <w:gridCol w:w="803"/>
        <w:gridCol w:w="788"/>
        <w:gridCol w:w="2525"/>
        <w:gridCol w:w="1417"/>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6" w:type="dxa"/>
            <w:gridSpan w:val="6"/>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b/>
                <w:bCs/>
                <w:color w:val="auto"/>
                <w:sz w:val="21"/>
                <w:szCs w:val="21"/>
              </w:rPr>
            </w:pPr>
            <w:r>
              <w:rPr>
                <w:rFonts w:hint="default" w:ascii="宋体" w:hAnsi="宋体"/>
                <w:b/>
                <w:bCs/>
                <w:color w:val="auto"/>
                <w:sz w:val="21"/>
                <w:szCs w:val="21"/>
              </w:rPr>
              <w:t>评分因素与权重分值</w:t>
            </w:r>
          </w:p>
        </w:tc>
        <w:tc>
          <w:tcPr>
            <w:tcW w:w="17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lang w:val="en-US"/>
              </w:rPr>
            </w:pPr>
            <w:r>
              <w:rPr>
                <w:rFonts w:hint="eastAsia" w:ascii="宋体" w:hAnsi="宋体"/>
                <w:b/>
                <w:bCs/>
                <w:color w:val="auto"/>
                <w:sz w:val="21"/>
                <w:szCs w:val="21"/>
                <w:lang w:val="en-US"/>
              </w:rPr>
              <w:t>评分标准</w:t>
            </w:r>
            <w:r>
              <w:rPr>
                <w:rStyle w:val="101"/>
                <w:rFonts w:hint="default" w:ascii="宋体" w:hAnsi="宋体"/>
                <w:sz w:val="32"/>
                <w:szCs w:val="32"/>
              </w:rPr>
              <w:footnoteReference w:id="7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条款号</w:t>
            </w:r>
          </w:p>
        </w:tc>
        <w:tc>
          <w:tcPr>
            <w:tcW w:w="1562"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评分因素</w:t>
            </w:r>
          </w:p>
        </w:tc>
        <w:tc>
          <w:tcPr>
            <w:tcW w:w="788"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评分因素权重分值</w:t>
            </w:r>
          </w:p>
        </w:tc>
        <w:tc>
          <w:tcPr>
            <w:tcW w:w="2525"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各评分因素细分项</w:t>
            </w:r>
          </w:p>
        </w:tc>
        <w:tc>
          <w:tcPr>
            <w:tcW w:w="1417"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分值</w:t>
            </w:r>
          </w:p>
        </w:tc>
        <w:tc>
          <w:tcPr>
            <w:tcW w:w="1758" w:type="dxa"/>
            <w:vMerge w:val="continue"/>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w:t>
            </w:r>
            <w:r>
              <w:rPr>
                <w:rFonts w:hint="eastAsia" w:ascii="宋体" w:hAnsi="宋体"/>
                <w:color w:val="auto"/>
                <w:sz w:val="21"/>
                <w:szCs w:val="21"/>
              </w:rPr>
              <w:t>1</w:t>
            </w:r>
            <w:r>
              <w:rPr>
                <w:rFonts w:hint="default" w:ascii="宋体" w:hAnsi="宋体"/>
                <w:color w:val="auto"/>
                <w:sz w:val="21"/>
                <w:szCs w:val="21"/>
              </w:rPr>
              <w:t>)</w:t>
            </w:r>
          </w:p>
        </w:tc>
        <w:tc>
          <w:tcPr>
            <w:tcW w:w="1562"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技术建议书</w:t>
            </w:r>
          </w:p>
        </w:tc>
        <w:tc>
          <w:tcPr>
            <w:tcW w:w="788"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hint="default" w:ascii="宋体" w:hAnsi="宋体"/>
                <w:color w:val="auto"/>
                <w:sz w:val="21"/>
                <w:szCs w:val="21"/>
              </w:rPr>
              <w:t>分</w:t>
            </w:r>
            <w:r>
              <w:rPr>
                <w:rStyle w:val="101"/>
                <w:rFonts w:hint="eastAsia" w:ascii="宋体" w:hAnsi="宋体" w:cs="Times New Roman"/>
                <w:color w:val="auto"/>
                <w:sz w:val="30"/>
                <w:lang w:val="en-US"/>
              </w:rPr>
              <w:footnoteReference w:id="76"/>
            </w: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lang w:val="en-US"/>
              </w:rPr>
            </w:pPr>
            <w:r>
              <w:rPr>
                <w:rFonts w:hint="default" w:ascii="宋体" w:hAnsi="宋体"/>
                <w:color w:val="auto"/>
                <w:sz w:val="21"/>
                <w:szCs w:val="21"/>
                <w:lang w:val="en-US"/>
              </w:rPr>
              <w:t>对</w:t>
            </w:r>
            <w:r>
              <w:rPr>
                <w:rFonts w:hint="eastAsia" w:ascii="宋体" w:hAnsi="宋体"/>
                <w:color w:val="auto"/>
                <w:sz w:val="21"/>
                <w:szCs w:val="21"/>
                <w:lang w:val="en-US"/>
              </w:rPr>
              <w:t>招标项目的理解和总体设计思路</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MingLiU"/>
                <w:color w:val="auto"/>
                <w:sz w:val="21"/>
                <w:szCs w:val="21"/>
              </w:rPr>
            </w:pPr>
            <w:r>
              <w:rPr>
                <w:rStyle w:val="461"/>
                <w:rFonts w:hint="eastAsia" w:ascii="宋体" w:hAnsi="宋体" w:eastAsia="宋体"/>
                <w:color w:val="auto"/>
                <w:sz w:val="21"/>
                <w:szCs w:val="21"/>
              </w:rPr>
              <w:t>对项目设计的特点、关键技术问题的认识及其对策措施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MingLiU"/>
                <w:color w:val="auto"/>
                <w:sz w:val="21"/>
                <w:szCs w:val="21"/>
                <w:lang w:val="en-US"/>
              </w:rPr>
            </w:pPr>
            <w:r>
              <w:rPr>
                <w:rStyle w:val="461"/>
                <w:rFonts w:hint="eastAsia" w:ascii="宋体" w:hAnsi="宋体" w:eastAsia="宋体"/>
                <w:color w:val="auto"/>
                <w:sz w:val="21"/>
                <w:szCs w:val="21"/>
                <w:lang w:val="en-US"/>
              </w:rPr>
              <w:t>设计工作内容及计划安排</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设计的质量保证措施、进度保证措施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后续服务计划及保证措施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p>
        </w:tc>
        <w:tc>
          <w:tcPr>
            <w:tcW w:w="1758" w:type="dxa"/>
            <w:noWrap w:val="0"/>
            <w:vAlign w:val="center"/>
          </w:tcPr>
          <w:p>
            <w:pPr>
              <w:keepNext w:val="0"/>
              <w:keepLines w:val="0"/>
              <w:suppressLineNumbers w:val="0"/>
              <w:spacing w:before="0" w:beforeAutospacing="0" w:after="0" w:afterAutospacing="0" w:line="260" w:lineRule="exact"/>
              <w:ind w:left="10" w:right="139" w:rightChars="58" w:hanging="10" w:hangingChars="5"/>
              <w:jc w:val="both"/>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default" w:ascii="宋体" w:hAnsi="宋体"/>
                <w:color w:val="auto"/>
                <w:sz w:val="21"/>
                <w:szCs w:val="21"/>
              </w:rPr>
              <w:t>(2)</w:t>
            </w:r>
          </w:p>
        </w:tc>
        <w:tc>
          <w:tcPr>
            <w:tcW w:w="1562"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Style w:val="333"/>
                <w:rFonts w:hint="eastAsia" w:ascii="宋体" w:hAnsi="宋体" w:eastAsia="宋体"/>
                <w:color w:val="auto"/>
                <w:sz w:val="21"/>
                <w:szCs w:val="21"/>
                <w:lang w:val="en-US"/>
              </w:rPr>
              <w:t>主要人员</w:t>
            </w:r>
          </w:p>
        </w:tc>
        <w:tc>
          <w:tcPr>
            <w:tcW w:w="78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hint="default" w:ascii="宋体" w:hAnsi="宋体"/>
                <w:color w:val="auto"/>
                <w:sz w:val="21"/>
                <w:szCs w:val="21"/>
              </w:rPr>
              <w:t>分</w:t>
            </w: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rPr>
              <w:t>项目负责人</w:t>
            </w:r>
            <w:r>
              <w:rPr>
                <w:rFonts w:hint="default" w:ascii="宋体" w:hAnsi="宋体"/>
                <w:color w:val="auto"/>
                <w:sz w:val="21"/>
                <w:szCs w:val="21"/>
              </w:rPr>
              <w:t>任职资格与业绩</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MingLiU"/>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各分项</w:t>
            </w:r>
            <w:r>
              <w:rPr>
                <w:rFonts w:hint="eastAsia" w:ascii="宋体" w:hAnsi="宋体"/>
                <w:color w:val="auto"/>
                <w:sz w:val="21"/>
                <w:szCs w:val="21"/>
              </w:rPr>
              <w:t>负责人</w:t>
            </w:r>
            <w:r>
              <w:rPr>
                <w:rFonts w:hint="default" w:ascii="宋体" w:hAnsi="宋体"/>
                <w:color w:val="auto"/>
                <w:sz w:val="21"/>
                <w:szCs w:val="21"/>
              </w:rPr>
              <w:t>任职资格与业绩</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MingLiU"/>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1562"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MingLiU"/>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4"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(3)</w:t>
            </w:r>
          </w:p>
        </w:tc>
        <w:tc>
          <w:tcPr>
            <w:tcW w:w="1562"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Style w:val="333"/>
                <w:rFonts w:hint="default" w:ascii="宋体" w:hAnsi="Times New Roman" w:eastAsia="宋体"/>
                <w:color w:val="auto"/>
                <w:sz w:val="21"/>
                <w:szCs w:val="21"/>
              </w:rPr>
              <w:t>评标价</w:t>
            </w:r>
          </w:p>
        </w:tc>
        <w:tc>
          <w:tcPr>
            <w:tcW w:w="788" w:type="dxa"/>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color w:val="auto"/>
                <w:szCs w:val="21"/>
              </w:rPr>
            </w:pPr>
            <w:r>
              <w:rPr>
                <w:rFonts w:hint="eastAsia" w:ascii="宋体" w:hAnsi="宋体"/>
                <w:color w:val="auto"/>
                <w:sz w:val="21"/>
                <w:szCs w:val="21"/>
                <w:u w:val="single"/>
              </w:rPr>
              <w:t xml:space="preserve">  </w:t>
            </w:r>
            <w:r>
              <w:rPr>
                <w:rFonts w:hint="eastAsia" w:ascii="宋体" w:hAnsi="宋体"/>
                <w:color w:val="auto"/>
                <w:sz w:val="21"/>
                <w:szCs w:val="21"/>
              </w:rPr>
              <w:t>分</w:t>
            </w:r>
          </w:p>
        </w:tc>
        <w:tc>
          <w:tcPr>
            <w:tcW w:w="5700" w:type="dxa"/>
            <w:gridSpan w:val="3"/>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default" w:ascii="宋体" w:hAnsi="宋体"/>
                <w:color w:val="auto"/>
                <w:sz w:val="21"/>
                <w:szCs w:val="21"/>
              </w:rPr>
              <w:t>评标价得分计算公式示例：</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default" w:ascii="宋体" w:hAnsi="宋体"/>
                <w:color w:val="auto"/>
                <w:sz w:val="21"/>
                <w:szCs w:val="21"/>
              </w:rPr>
              <w:t>(1)如果投标人的评标价&gt;评标基准价，则评标价得分＝F－偏差率×100×</w:t>
            </w:r>
            <w:r>
              <w:rPr>
                <w:rFonts w:hint="eastAsia" w:ascii="宋体" w:hAnsi="宋体"/>
                <w:color w:val="auto"/>
                <w:sz w:val="21"/>
                <w:szCs w:val="21"/>
              </w:rPr>
              <w:t>D1</w:t>
            </w:r>
            <w:r>
              <w:rPr>
                <w:rFonts w:hint="default" w:ascii="宋体" w:hAnsi="宋体"/>
                <w:color w:val="auto"/>
                <w:sz w:val="21"/>
                <w:szCs w:val="21"/>
              </w:rPr>
              <w:t>；</w:t>
            </w:r>
            <w:r>
              <w:rPr>
                <w:rFonts w:hint="eastAsia" w:ascii="宋体" w:hAnsi="宋体"/>
                <w:color w:val="auto"/>
                <w:sz w:val="21"/>
                <w:szCs w:val="21"/>
                <w:lang w:val="en-US"/>
              </w:rPr>
              <w:t>方案一时</w:t>
            </w:r>
            <w:r>
              <w:rPr>
                <w:rFonts w:hint="eastAsia" w:ascii="宋体" w:hAnsi="宋体"/>
                <w:color w:val="auto"/>
                <w:sz w:val="21"/>
                <w:szCs w:val="21"/>
              </w:rPr>
              <w:t>D1</w:t>
            </w:r>
            <w:r>
              <w:rPr>
                <w:rFonts w:hint="eastAsia" w:ascii="宋体" w:hAnsi="宋体"/>
                <w:color w:val="auto"/>
                <w:sz w:val="21"/>
                <w:szCs w:val="21"/>
                <w:lang w:val="en-US"/>
              </w:rPr>
              <w:t>宜</w:t>
            </w:r>
            <w:r>
              <w:rPr>
                <w:rFonts w:hint="eastAsia" w:ascii="宋体" w:hAnsi="宋体"/>
                <w:color w:val="auto"/>
                <w:sz w:val="21"/>
                <w:szCs w:val="21"/>
              </w:rPr>
              <w:t>取</w:t>
            </w:r>
            <w:r>
              <w:rPr>
                <w:rFonts w:hint="eastAsia" w:ascii="宋体" w:hAnsi="宋体"/>
                <w:color w:val="auto"/>
                <w:sz w:val="21"/>
                <w:szCs w:val="21"/>
                <w:lang w:val="en-US"/>
              </w:rPr>
              <w:t>0.2</w:t>
            </w:r>
            <w:r>
              <w:rPr>
                <w:rFonts w:hint="eastAsia" w:ascii="宋体" w:hAnsi="宋体"/>
                <w:color w:val="auto"/>
                <w:sz w:val="21"/>
                <w:szCs w:val="21"/>
              </w:rPr>
              <w:t>～</w:t>
            </w:r>
            <w:r>
              <w:rPr>
                <w:rFonts w:hint="eastAsia" w:ascii="宋体" w:hAnsi="宋体"/>
                <w:color w:val="auto"/>
                <w:sz w:val="21"/>
                <w:szCs w:val="21"/>
                <w:lang w:val="en-US"/>
              </w:rPr>
              <w:t>1.5，方案二时D1宜取1</w:t>
            </w:r>
            <w:r>
              <w:rPr>
                <w:rFonts w:hint="eastAsia" w:ascii="宋体" w:hAnsi="宋体"/>
                <w:color w:val="auto"/>
                <w:sz w:val="21"/>
                <w:szCs w:val="21"/>
              </w:rPr>
              <w:t>～</w:t>
            </w:r>
            <w:r>
              <w:rPr>
                <w:rFonts w:hint="eastAsia" w:ascii="宋体" w:hAnsi="宋体"/>
                <w:color w:val="auto"/>
                <w:sz w:val="21"/>
                <w:szCs w:val="21"/>
                <w:lang w:val="en-US"/>
              </w:rPr>
              <w:t>3</w:t>
            </w:r>
            <w:r>
              <w:rPr>
                <w:rFonts w:hint="eastAsia" w:ascii="宋体" w:hAnsi="宋体"/>
                <w:color w:val="auto"/>
                <w:sz w:val="21"/>
                <w:szCs w:val="21"/>
              </w:rPr>
              <w:t>；</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default" w:ascii="宋体" w:hAnsi="宋体"/>
                <w:color w:val="auto"/>
                <w:sz w:val="21"/>
                <w:szCs w:val="21"/>
              </w:rPr>
              <w:t>(2)如果投标人的评标价≤评标基准价，则评标价得分＝F＋偏差率×100×</w:t>
            </w:r>
            <w:r>
              <w:rPr>
                <w:rFonts w:hint="eastAsia" w:ascii="宋体" w:hAnsi="宋体"/>
                <w:color w:val="auto"/>
                <w:sz w:val="21"/>
                <w:szCs w:val="21"/>
              </w:rPr>
              <w:t>D2；</w:t>
            </w:r>
            <w:r>
              <w:rPr>
                <w:rFonts w:hint="eastAsia" w:ascii="宋体" w:hAnsi="宋体"/>
                <w:color w:val="auto"/>
                <w:sz w:val="21"/>
                <w:szCs w:val="21"/>
                <w:lang w:val="en-US"/>
              </w:rPr>
              <w:t>方案一时</w:t>
            </w:r>
            <w:r>
              <w:rPr>
                <w:rFonts w:hint="eastAsia" w:ascii="宋体" w:hAnsi="宋体"/>
                <w:color w:val="auto"/>
                <w:sz w:val="21"/>
                <w:szCs w:val="21"/>
              </w:rPr>
              <w:t>D2</w:t>
            </w:r>
            <w:r>
              <w:rPr>
                <w:rFonts w:hint="eastAsia" w:ascii="宋体" w:hAnsi="宋体"/>
                <w:color w:val="auto"/>
                <w:sz w:val="21"/>
                <w:szCs w:val="21"/>
                <w:lang w:val="en-US"/>
              </w:rPr>
              <w:t>宜取0.1</w:t>
            </w:r>
            <w:r>
              <w:rPr>
                <w:rFonts w:hint="eastAsia" w:ascii="宋体" w:hAnsi="宋体"/>
                <w:color w:val="auto"/>
                <w:sz w:val="21"/>
                <w:szCs w:val="21"/>
              </w:rPr>
              <w:t>～</w:t>
            </w:r>
            <w:r>
              <w:rPr>
                <w:rFonts w:hint="eastAsia" w:ascii="宋体" w:hAnsi="宋体"/>
                <w:color w:val="auto"/>
                <w:sz w:val="21"/>
                <w:szCs w:val="21"/>
                <w:lang w:val="en-US"/>
              </w:rPr>
              <w:t>0.5，方案二时D2宜取0.5</w:t>
            </w:r>
            <w:r>
              <w:rPr>
                <w:rFonts w:hint="eastAsia" w:ascii="宋体" w:hAnsi="宋体"/>
                <w:color w:val="auto"/>
                <w:sz w:val="21"/>
                <w:szCs w:val="21"/>
              </w:rPr>
              <w:t>～</w:t>
            </w:r>
            <w:r>
              <w:rPr>
                <w:rFonts w:hint="eastAsia" w:ascii="宋体" w:hAnsi="宋体"/>
                <w:color w:val="auto"/>
                <w:sz w:val="21"/>
                <w:szCs w:val="21"/>
                <w:lang w:val="en-US"/>
              </w:rPr>
              <w:t>1</w:t>
            </w:r>
            <w:r>
              <w:rPr>
                <w:rFonts w:hint="default" w:ascii="宋体" w:hAnsi="宋体"/>
                <w:color w:val="auto"/>
                <w:sz w:val="21"/>
                <w:szCs w:val="21"/>
              </w:rPr>
              <w:t>。</w:t>
            </w:r>
          </w:p>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rPr>
              <w:t xml:space="preserve">其中：F 是评标价所占的权重分值， </w:t>
            </w:r>
            <w:r>
              <w:rPr>
                <w:rFonts w:hint="eastAsia" w:ascii="宋体" w:hAnsi="宋体"/>
                <w:color w:val="auto"/>
                <w:sz w:val="21"/>
                <w:szCs w:val="21"/>
                <w:lang w:val="en-US"/>
              </w:rPr>
              <w:t>D</w:t>
            </w:r>
            <w:r>
              <w:rPr>
                <w:rFonts w:hint="eastAsia" w:ascii="宋体" w:hAnsi="宋体"/>
                <w:color w:val="auto"/>
                <w:sz w:val="21"/>
                <w:szCs w:val="21"/>
              </w:rPr>
              <w:t>1是评标价每高于</w:t>
            </w:r>
          </w:p>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rPr>
              <w:t xml:space="preserve">评标基准价一个百分点的扣分值， </w:t>
            </w:r>
            <w:r>
              <w:rPr>
                <w:rFonts w:hint="eastAsia" w:ascii="宋体" w:hAnsi="宋体"/>
                <w:color w:val="auto"/>
                <w:sz w:val="21"/>
                <w:szCs w:val="21"/>
                <w:lang w:val="en-US"/>
              </w:rPr>
              <w:t>D</w:t>
            </w:r>
            <w:r>
              <w:rPr>
                <w:rFonts w:hint="eastAsia" w:ascii="宋体" w:hAnsi="宋体"/>
                <w:color w:val="auto"/>
                <w:sz w:val="21"/>
                <w:szCs w:val="21"/>
              </w:rPr>
              <w:t>2 是评标价每低于评标基准价一个百分点的扣分值</w:t>
            </w:r>
            <w:r>
              <w:rPr>
                <w:rFonts w:hint="eastAsia" w:ascii="宋体" w:hAnsi="宋体"/>
                <w:color w:val="auto"/>
                <w:sz w:val="21"/>
                <w:szCs w:val="21"/>
                <w:lang w:val="en-US"/>
              </w:rPr>
              <w:t>,</w:t>
            </w:r>
            <w:r>
              <w:rPr>
                <w:rFonts w:hint="eastAsia" w:ascii="宋体" w:hAnsi="宋体"/>
                <w:color w:val="auto"/>
                <w:sz w:val="21"/>
                <w:szCs w:val="21"/>
              </w:rPr>
              <w:t>一般原则上D1是D2的2或3倍。</w:t>
            </w:r>
          </w:p>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rPr>
              <w:t>注：评标价得分</w:t>
            </w:r>
            <w:r>
              <w:rPr>
                <w:rFonts w:hint="eastAsia" w:ascii="宋体" w:hAnsi="宋体"/>
                <w:color w:val="auto"/>
                <w:kern w:val="2"/>
                <w:sz w:val="21"/>
                <w:szCs w:val="21"/>
                <w:lang w:val="en-US"/>
              </w:rPr>
              <w:t>计算保留小数点后四位，小数点后第五位“</w:t>
            </w:r>
            <w:r>
              <w:rPr>
                <w:rFonts w:hint="default" w:ascii="宋体" w:hAnsi="宋体"/>
                <w:color w:val="auto"/>
                <w:kern w:val="2"/>
                <w:sz w:val="21"/>
                <w:szCs w:val="21"/>
                <w:lang w:val="en-US"/>
              </w:rPr>
              <w:t>四舍五入</w:t>
            </w:r>
            <w:r>
              <w:rPr>
                <w:rFonts w:hint="eastAsia" w:ascii="宋体" w:hAnsi="宋体"/>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4"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(4)</w:t>
            </w:r>
          </w:p>
        </w:tc>
        <w:tc>
          <w:tcPr>
            <w:tcW w:w="75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其他因素</w:t>
            </w:r>
            <w:r>
              <w:rPr>
                <w:rStyle w:val="101"/>
                <w:rFonts w:hint="eastAsia" w:ascii="宋体" w:hAnsi="宋体" w:cs="Times New Roman"/>
                <w:color w:val="auto"/>
                <w:sz w:val="30"/>
                <w:lang w:val="en-US"/>
              </w:rPr>
              <w:footnoteReference w:id="77"/>
            </w:r>
          </w:p>
        </w:tc>
        <w:tc>
          <w:tcPr>
            <w:tcW w:w="803"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企业综合能力</w:t>
            </w:r>
          </w:p>
        </w:tc>
        <w:tc>
          <w:tcPr>
            <w:tcW w:w="7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center"/>
          </w:tcPr>
          <w:p>
            <w:pPr>
              <w:pStyle w:val="45"/>
              <w:keepNext w:val="0"/>
              <w:keepLines w:val="0"/>
              <w:suppressLineNumbers w:val="0"/>
              <w:spacing w:before="0" w:beforeAutospacing="0" w:after="0" w:afterAutospacing="0" w:line="300" w:lineRule="exact"/>
              <w:ind w:left="0" w:right="0" w:firstLine="428" w:firstLineChars="204"/>
              <w:rPr>
                <w:rFonts w:hint="eastAsia" w:hAnsi="宋体"/>
                <w:szCs w:val="21"/>
                <w:lang w:val="en-US" w:eastAsia="zh-CN"/>
              </w:rPr>
            </w:pPr>
            <w:r>
              <w:rPr>
                <w:rFonts w:hint="eastAsia"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75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803"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业绩</w:t>
            </w:r>
          </w:p>
        </w:tc>
        <w:tc>
          <w:tcPr>
            <w:tcW w:w="7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pStyle w:val="45"/>
              <w:keepNext w:val="0"/>
              <w:keepLines w:val="0"/>
              <w:suppressLineNumbers w:val="0"/>
              <w:spacing w:before="0" w:beforeAutospacing="0" w:after="0" w:afterAutospacing="0" w:line="300" w:lineRule="exact"/>
              <w:ind w:left="0" w:right="0" w:firstLine="428" w:firstLineChars="204"/>
              <w:rPr>
                <w:rFonts w:hint="eastAsia" w:hAnsi="宋体"/>
                <w:szCs w:val="21"/>
                <w:lang w:val="en-US" w:eastAsia="zh-CN"/>
              </w:rPr>
            </w:pPr>
            <w:r>
              <w:rPr>
                <w:rFonts w:hint="eastAsia"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5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803"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履约信誉</w:t>
            </w:r>
            <w:r>
              <w:rPr>
                <w:rStyle w:val="101"/>
                <w:rFonts w:hint="eastAsia" w:ascii="宋体" w:hAnsi="宋体" w:cs="Times New Roman"/>
                <w:color w:val="auto"/>
                <w:sz w:val="30"/>
                <w:lang w:val="en-US"/>
              </w:rPr>
              <w:footnoteReference w:id="78"/>
            </w:r>
          </w:p>
        </w:tc>
        <w:tc>
          <w:tcPr>
            <w:tcW w:w="7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u w:val="single"/>
                <w:lang w:val="en-US"/>
              </w:rPr>
              <w:t>10</w:t>
            </w:r>
            <w:r>
              <w:rPr>
                <w:rFonts w:hint="eastAsia" w:ascii="宋体" w:hAnsi="宋体"/>
                <w:color w:val="auto"/>
                <w:sz w:val="21"/>
                <w:szCs w:val="21"/>
                <w:lang w:val="en-US"/>
              </w:rPr>
              <w:t>分</w:t>
            </w:r>
          </w:p>
        </w:tc>
        <w:tc>
          <w:tcPr>
            <w:tcW w:w="5700" w:type="dxa"/>
            <w:gridSpan w:val="3"/>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color w:val="auto"/>
                <w:sz w:val="21"/>
                <w:szCs w:val="21"/>
              </w:rPr>
            </w:pPr>
            <w:r>
              <w:rPr>
                <w:rFonts w:hint="eastAsia" w:ascii="宋体" w:hAnsi="宋体"/>
                <w:color w:val="auto"/>
                <w:sz w:val="21"/>
                <w:szCs w:val="21"/>
              </w:rPr>
              <w:t>1. 信用等级分值（</w:t>
            </w:r>
            <w:r>
              <w:rPr>
                <w:rFonts w:hint="eastAsia" w:ascii="宋体" w:hAnsi="宋体"/>
                <w:color w:val="auto"/>
                <w:sz w:val="21"/>
                <w:szCs w:val="21"/>
                <w:u w:val="single"/>
              </w:rPr>
              <w:t>5</w:t>
            </w:r>
            <w:r>
              <w:rPr>
                <w:rFonts w:hint="eastAsia" w:ascii="宋体" w:hAnsi="宋体"/>
                <w:color w:val="auto"/>
                <w:sz w:val="21"/>
                <w:szCs w:val="21"/>
              </w:rPr>
              <w:t>分）</w:t>
            </w:r>
          </w:p>
          <w:p>
            <w:pPr>
              <w:keepNext w:val="0"/>
              <w:keepLines w:val="0"/>
              <w:suppressLineNumbers w:val="0"/>
              <w:spacing w:before="0" w:beforeAutospacing="0" w:after="0" w:afterAutospacing="0" w:line="360" w:lineRule="auto"/>
              <w:ind w:left="0" w:right="0" w:firstLine="525" w:firstLineChars="250"/>
              <w:rPr>
                <w:rFonts w:hint="eastAsia" w:ascii="宋体" w:hAnsi="宋体"/>
                <w:color w:val="auto"/>
                <w:sz w:val="21"/>
                <w:szCs w:val="21"/>
              </w:rPr>
            </w:pPr>
            <w:r>
              <w:rPr>
                <w:rFonts w:hint="eastAsia" w:ascii="宋体" w:hAnsi="宋体"/>
                <w:color w:val="auto"/>
                <w:sz w:val="21"/>
                <w:szCs w:val="21"/>
              </w:rPr>
              <w:t>AA、A、B、C级单位的信用等级分得分分别为5.00、4.75、4.45、3.65分。</w:t>
            </w:r>
          </w:p>
          <w:p>
            <w:pPr>
              <w:keepNext w:val="0"/>
              <w:keepLines w:val="0"/>
              <w:suppressLineNumbers w:val="0"/>
              <w:spacing w:before="0" w:beforeAutospacing="0" w:after="0" w:afterAutospacing="0" w:line="360" w:lineRule="auto"/>
              <w:ind w:left="0" w:right="0"/>
              <w:rPr>
                <w:rFonts w:hint="eastAsia" w:ascii="宋体" w:hAnsi="宋体"/>
                <w:color w:val="auto"/>
                <w:sz w:val="21"/>
                <w:szCs w:val="21"/>
                <w:u w:val="single"/>
              </w:rPr>
            </w:pPr>
            <w:r>
              <w:rPr>
                <w:rFonts w:hint="eastAsia" w:ascii="宋体" w:hAnsi="宋体" w:cs="宋体"/>
                <w:color w:val="auto"/>
                <w:sz w:val="21"/>
                <w:szCs w:val="21"/>
              </w:rPr>
              <w:t>注：信用等级的确定原则遵循投标人须知前附表10.2款的规定。以联合体形式投标的，按联合体成员中等级较低的计算。</w:t>
            </w:r>
          </w:p>
          <w:p>
            <w:pPr>
              <w:pStyle w:val="45"/>
              <w:keepNext w:val="0"/>
              <w:keepLines w:val="0"/>
              <w:suppressLineNumbers w:val="0"/>
              <w:spacing w:before="0" w:beforeAutospacing="0" w:after="0" w:afterAutospacing="0" w:line="360" w:lineRule="auto"/>
              <w:ind w:left="0" w:right="0"/>
              <w:rPr>
                <w:rFonts w:hint="eastAsia" w:hAnsi="宋体"/>
                <w:szCs w:val="21"/>
                <w:lang w:val="en-US" w:eastAsia="zh-CN"/>
              </w:rPr>
            </w:pPr>
          </w:p>
          <w:p>
            <w:pPr>
              <w:pStyle w:val="45"/>
              <w:keepNext w:val="0"/>
              <w:keepLines w:val="0"/>
              <w:suppressLineNumbers w:val="0"/>
              <w:spacing w:before="0" w:beforeAutospacing="0" w:after="0" w:afterAutospacing="0" w:line="360" w:lineRule="auto"/>
              <w:ind w:left="0" w:right="0"/>
              <w:rPr>
                <w:rFonts w:hint="eastAsia" w:hAnsi="宋体"/>
                <w:szCs w:val="21"/>
                <w:lang w:val="en-US" w:eastAsia="zh-CN"/>
              </w:rPr>
            </w:pPr>
            <w:r>
              <w:rPr>
                <w:rFonts w:hint="eastAsia" w:hAnsi="宋体"/>
                <w:szCs w:val="21"/>
                <w:lang w:val="en-US" w:eastAsia="zh-CN"/>
              </w:rPr>
              <w:t>2. 履约情况（</w:t>
            </w:r>
            <w:r>
              <w:rPr>
                <w:rFonts w:hint="eastAsia" w:hAnsi="宋体"/>
                <w:szCs w:val="21"/>
                <w:u w:val="single"/>
                <w:lang w:val="en-US" w:eastAsia="zh-CN"/>
              </w:rPr>
              <w:t>5</w:t>
            </w:r>
            <w:r>
              <w:rPr>
                <w:rFonts w:hint="eastAsia" w:hAnsi="宋体"/>
                <w:szCs w:val="21"/>
                <w:lang w:val="en-US" w:eastAsia="zh-CN"/>
              </w:rPr>
              <w:t>分）</w:t>
            </w:r>
          </w:p>
          <w:p>
            <w:pPr>
              <w:pStyle w:val="45"/>
              <w:keepNext w:val="0"/>
              <w:keepLines w:val="0"/>
              <w:suppressLineNumbers w:val="0"/>
              <w:spacing w:before="0" w:beforeAutospacing="0" w:after="0" w:afterAutospacing="0" w:line="360" w:lineRule="auto"/>
              <w:ind w:left="0" w:right="0" w:firstLine="420" w:firstLineChars="200"/>
              <w:rPr>
                <w:rFonts w:hint="eastAsia" w:hAnsi="宋体"/>
                <w:szCs w:val="21"/>
                <w:lang w:val="en-US" w:eastAsia="zh-CN"/>
              </w:rPr>
            </w:pPr>
            <w:r>
              <w:rPr>
                <w:rFonts w:hint="eastAsia" w:hAnsi="宋体"/>
                <w:szCs w:val="21"/>
                <w:lang w:val="en-US" w:eastAsia="zh-CN"/>
              </w:rPr>
              <w:t>若没出现下述情形得满分；</w:t>
            </w:r>
          </w:p>
          <w:p>
            <w:pPr>
              <w:pStyle w:val="45"/>
              <w:keepNext w:val="0"/>
              <w:keepLines w:val="0"/>
              <w:suppressLineNumbers w:val="0"/>
              <w:spacing w:before="0" w:beforeAutospacing="0" w:after="0" w:afterAutospacing="0" w:line="360" w:lineRule="auto"/>
              <w:ind w:left="0" w:right="0" w:firstLine="210" w:firstLineChars="100"/>
              <w:rPr>
                <w:rFonts w:hint="eastAsia" w:hAnsi="宋体"/>
                <w:szCs w:val="21"/>
                <w:lang w:val="en-US" w:eastAsia="zh-CN"/>
              </w:rPr>
            </w:pPr>
            <w:r>
              <w:rPr>
                <w:rFonts w:hint="eastAsia" w:hAnsi="宋体"/>
                <w:szCs w:val="21"/>
                <w:lang w:val="en-US" w:eastAsia="zh-CN"/>
              </w:rPr>
              <w:t>投标文件递交截止日前1年内，因水运工程</w:t>
            </w:r>
            <w:r>
              <w:rPr>
                <w:rFonts w:hint="eastAsia" w:hAnsi="宋体"/>
                <w:szCs w:val="21"/>
                <w:lang w:val="zh-CN" w:eastAsia="zh-CN"/>
              </w:rPr>
              <w:t>（含附属设施）</w:t>
            </w:r>
            <w:r>
              <w:rPr>
                <w:rFonts w:hint="eastAsia" w:hAnsi="宋体"/>
                <w:szCs w:val="21"/>
                <w:lang w:val="en-US" w:eastAsia="zh-CN"/>
              </w:rPr>
              <w:t>质量、安全、履约或招标投标问题等原因被：</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（1）交通运输部行政处罚的，扣5分/次；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（2）广东省交通运输厅行政处罚的，扣3分/次；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u w:val="single"/>
                <w:lang w:val="en-US" w:eastAsia="zh-CN"/>
              </w:rPr>
            </w:pPr>
            <w:r>
              <w:rPr>
                <w:rFonts w:hint="eastAsia" w:hAnsi="宋体"/>
                <w:szCs w:val="21"/>
                <w:u w:val="single"/>
                <w:lang w:val="en-US" w:eastAsia="zh-CN"/>
              </w:rPr>
              <w:t>（3</w:t>
            </w:r>
            <w:r>
              <w:rPr>
                <w:rFonts w:hint="default" w:hAnsi="宋体"/>
                <w:szCs w:val="21"/>
                <w:u w:val="single"/>
                <w:lang w:val="en-US" w:eastAsia="zh-CN"/>
              </w:rPr>
              <w:t>）</w:t>
            </w:r>
            <w:r>
              <w:rPr>
                <w:rFonts w:hint="default" w:hAnsi="宋体"/>
                <w:u w:val="single"/>
                <w:lang w:val="zh-CN" w:eastAsia="zh-CN"/>
              </w:rPr>
              <w:t>项目所在地</w:t>
            </w:r>
            <w:r>
              <w:rPr>
                <w:rFonts w:hint="eastAsia" w:hAnsi="宋体"/>
                <w:u w:val="single"/>
                <w:lang w:val="zh-CN" w:eastAsia="zh-CN"/>
              </w:rPr>
              <w:t>地级以上市</w:t>
            </w:r>
            <w:r>
              <w:rPr>
                <w:rFonts w:hint="default" w:hAnsi="宋体"/>
                <w:u w:val="single"/>
                <w:lang w:val="zh-CN" w:eastAsia="zh-CN"/>
              </w:rPr>
              <w:t>交通</w:t>
            </w:r>
            <w:r>
              <w:rPr>
                <w:rFonts w:hint="eastAsia" w:hAnsi="宋体"/>
                <w:u w:val="single"/>
                <w:lang w:val="zh-CN" w:eastAsia="zh-CN"/>
              </w:rPr>
              <w:t>运输</w:t>
            </w:r>
            <w:r>
              <w:rPr>
                <w:rFonts w:hint="default" w:hAnsi="宋体"/>
                <w:u w:val="single"/>
                <w:lang w:val="zh-CN" w:eastAsia="zh-CN"/>
              </w:rPr>
              <w:t>局行政处罚的</w:t>
            </w:r>
            <w:r>
              <w:rPr>
                <w:rFonts w:hint="eastAsia" w:hAnsi="宋体"/>
                <w:szCs w:val="21"/>
                <w:u w:val="single"/>
                <w:lang w:val="en-US" w:eastAsia="zh-CN"/>
              </w:rPr>
              <w:t>，扣1.5分/次。</w:t>
            </w:r>
            <w:r>
              <w:rPr>
                <w:rStyle w:val="101"/>
                <w:rFonts w:hint="eastAsia" w:hAnsi="宋体"/>
                <w:kern w:val="0"/>
                <w:sz w:val="30"/>
                <w:szCs w:val="24"/>
                <w:lang w:val="en-US" w:eastAsia="zh-CN"/>
              </w:rPr>
              <w:footnoteReference w:id="79"/>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（4）广东省交通运输厅正式约谈的，扣 0.1分/次。</w:t>
            </w:r>
          </w:p>
          <w:p>
            <w:pPr>
              <w:pStyle w:val="45"/>
              <w:keepNext w:val="0"/>
              <w:keepLines w:val="0"/>
              <w:suppressLineNumbers w:val="0"/>
              <w:spacing w:before="0" w:beforeAutospacing="0" w:after="0" w:afterAutospacing="0" w:line="360" w:lineRule="auto"/>
              <w:ind w:left="0" w:right="0" w:firstLine="428" w:firstLineChars="204"/>
              <w:rPr>
                <w:rFonts w:hint="eastAsia" w:hAnsi="宋体"/>
                <w:szCs w:val="21"/>
                <w:lang w:val="zh-CN" w:eastAsia="zh-CN"/>
              </w:rPr>
            </w:pPr>
            <w:r>
              <w:rPr>
                <w:rFonts w:hint="eastAsia" w:hAnsi="宋体"/>
                <w:szCs w:val="21"/>
                <w:lang w:val="en-US" w:eastAsia="zh-CN"/>
              </w:rPr>
              <w:t>同一事项同时被多个部门通报批评只按最高的扣分计算1次</w:t>
            </w:r>
            <w:r>
              <w:rPr>
                <w:rStyle w:val="101"/>
                <w:rFonts w:hint="eastAsia" w:hAnsi="宋体"/>
                <w:kern w:val="0"/>
                <w:sz w:val="30"/>
                <w:szCs w:val="24"/>
                <w:lang w:val="en-US" w:eastAsia="zh-CN"/>
              </w:rPr>
              <w:footnoteReference w:id="80"/>
            </w:r>
            <w:r>
              <w:rPr>
                <w:rFonts w:hint="eastAsia" w:hAnsi="宋体"/>
                <w:szCs w:val="21"/>
                <w:lang w:val="en-US" w:eastAsia="zh-CN"/>
              </w:rPr>
              <w:t>。如果扣完本项分值，可以从投标人总得分中扣除。</w:t>
            </w:r>
            <w:r>
              <w:rPr>
                <w:rFonts w:hint="eastAsia" w:hAnsi="宋体"/>
                <w:szCs w:val="21"/>
                <w:lang w:val="zh-CN" w:eastAsia="zh-CN"/>
              </w:rPr>
              <w:t>以联合体形式投标的，若各联合体成员任何一方或均存在上述情形的，对联合体各成员进行累计扣分。</w:t>
            </w:r>
          </w:p>
          <w:p>
            <w:pPr>
              <w:pStyle w:val="45"/>
              <w:keepNext w:val="0"/>
              <w:keepLines w:val="0"/>
              <w:suppressLineNumbers w:val="0"/>
              <w:spacing w:before="0" w:beforeAutospacing="0" w:after="0" w:afterAutospacing="0" w:line="400" w:lineRule="exact"/>
              <w:ind w:left="0" w:right="0"/>
              <w:rPr>
                <w:rFonts w:hint="eastAsia" w:hAnsi="宋体"/>
                <w:szCs w:val="21"/>
                <w:lang w:val="en-US" w:eastAsia="zh-CN"/>
              </w:rPr>
            </w:pPr>
            <w:r>
              <w:rPr>
                <w:rFonts w:hint="eastAsia" w:hAnsi="宋体"/>
                <w:szCs w:val="21"/>
                <w:u w:val="single"/>
                <w:lang w:val="zh-CN" w:eastAsia="zh-CN"/>
              </w:rPr>
              <w:t>3、（如有）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5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80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lang w:val="en-US"/>
              </w:rPr>
              <w:t>……</w:t>
            </w:r>
          </w:p>
        </w:tc>
        <w:tc>
          <w:tcPr>
            <w:tcW w:w="7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keepNext w:val="0"/>
              <w:keepLines w:val="0"/>
              <w:suppressLineNumbers w:val="0"/>
              <w:spacing w:before="0" w:beforeAutospacing="0" w:after="0" w:afterAutospacing="0" w:line="300" w:lineRule="exact"/>
              <w:ind w:left="0" w:right="0" w:firstLine="105" w:firstLineChars="50"/>
              <w:rPr>
                <w:rFonts w:hint="eastAsia" w:ascii="宋体" w:hAnsi="宋体"/>
                <w:color w:val="auto"/>
                <w:sz w:val="21"/>
                <w:szCs w:val="21"/>
              </w:rPr>
            </w:pPr>
            <w:r>
              <w:rPr>
                <w:rFonts w:hint="eastAsia" w:ascii="宋体" w:hAnsi="宋体"/>
                <w:color w:val="auto"/>
                <w:sz w:val="21"/>
                <w:szCs w:val="21"/>
                <w:lang w:val="en-US"/>
              </w:rPr>
              <w:t>……</w:t>
            </w:r>
          </w:p>
        </w:tc>
      </w:tr>
    </w:tbl>
    <w:p>
      <w:pPr>
        <w:spacing w:line="360" w:lineRule="auto"/>
        <w:rPr>
          <w:rFonts w:ascii="宋体" w:hAnsi="宋体"/>
          <w:color w:val="auto"/>
        </w:rPr>
        <w:sectPr>
          <w:footnotePr>
            <w:numRestart w:val="eachPage"/>
          </w:footnotePr>
          <w:pgSz w:w="11900" w:h="16838"/>
          <w:pgMar w:top="1803" w:right="1440" w:bottom="1803" w:left="1440" w:header="680" w:footer="680" w:gutter="0"/>
          <w:cols w:space="720" w:num="1"/>
          <w:docGrid w:linePitch="360" w:charSpace="0"/>
        </w:sect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2"/>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条款号</w:t>
            </w:r>
          </w:p>
        </w:tc>
        <w:tc>
          <w:tcPr>
            <w:tcW w:w="73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sz w:val="21"/>
                <w:szCs w:val="21"/>
              </w:rPr>
              <w:t>3.2.2</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将评标办法原文第3.2.2项修改如下：</w:t>
            </w:r>
          </w:p>
          <w:p>
            <w:pPr>
              <w:keepNext w:val="0"/>
              <w:keepLines w:val="0"/>
              <w:suppressLineNumbers w:val="0"/>
              <w:spacing w:before="0" w:beforeAutospacing="0" w:after="0" w:afterAutospacing="0" w:line="360" w:lineRule="auto"/>
              <w:ind w:left="0" w:right="0"/>
              <w:jc w:val="both"/>
              <w:rPr>
                <w:rFonts w:hint="eastAsia" w:ascii="宋体" w:hAnsi="宋体" w:cs="宋体"/>
                <w:color w:val="auto"/>
                <w:kern w:val="2"/>
                <w:sz w:val="21"/>
                <w:szCs w:val="21"/>
                <w:lang w:val="en-US"/>
              </w:rPr>
            </w:pPr>
            <w:r>
              <w:rPr>
                <w:rFonts w:hint="eastAsia" w:ascii="宋体" w:hAnsi="宋体" w:cs="宋体"/>
                <w:color w:val="auto"/>
                <w:sz w:val="21"/>
                <w:szCs w:val="21"/>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3.2.3</w:t>
            </w:r>
          </w:p>
        </w:tc>
        <w:tc>
          <w:tcPr>
            <w:tcW w:w="7380" w:type="dxa"/>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sz w:val="21"/>
                <w:szCs w:val="21"/>
                <w:lang w:val="en-US"/>
              </w:rPr>
            </w:pPr>
            <w:r>
              <w:rPr>
                <w:rFonts w:hint="eastAsia" w:ascii="宋体" w:hAnsi="宋体"/>
                <w:sz w:val="21"/>
                <w:szCs w:val="21"/>
                <w:lang w:val="en-US"/>
              </w:rPr>
              <w:t>将评标办法范本原文第3.2.3</w:t>
            </w:r>
            <w:r>
              <w:rPr>
                <w:rFonts w:hint="eastAsia" w:ascii="宋体" w:hAnsi="宋体"/>
                <w:sz w:val="21"/>
                <w:szCs w:val="21"/>
              </w:rPr>
              <w:t>项</w:t>
            </w:r>
            <w:r>
              <w:rPr>
                <w:rFonts w:hint="eastAsia" w:ascii="宋体" w:hAnsi="宋体"/>
                <w:sz w:val="21"/>
                <w:szCs w:val="21"/>
                <w:lang w:val="en-US"/>
              </w:rPr>
              <w:t>细化如下：</w:t>
            </w:r>
          </w:p>
          <w:p>
            <w:pPr>
              <w:keepNext w:val="0"/>
              <w:keepLines w:val="0"/>
              <w:suppressLineNumbers w:val="0"/>
              <w:spacing w:before="0" w:beforeAutospacing="0" w:after="0" w:afterAutospacing="0" w:line="360" w:lineRule="auto"/>
              <w:ind w:left="0" w:right="0" w:firstLine="420" w:firstLineChars="200"/>
              <w:jc w:val="both"/>
              <w:rPr>
                <w:rFonts w:hint="eastAsia" w:ascii="宋体" w:hAnsi="宋体"/>
                <w:sz w:val="21"/>
                <w:szCs w:val="21"/>
                <w:lang w:val="en-US"/>
              </w:rPr>
            </w:pPr>
            <w:r>
              <w:rPr>
                <w:rFonts w:hint="eastAsia" w:ascii="宋体" w:hAnsi="宋体"/>
                <w:sz w:val="21"/>
                <w:szCs w:val="21"/>
                <w:lang w:val="en-US"/>
              </w:rPr>
              <w:t>投标人的商务和技术得分=A+B+D。</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投标文件评分因素</w:t>
            </w:r>
            <w:r>
              <w:rPr>
                <w:rFonts w:hint="default" w:ascii="宋体" w:hAnsi="宋体"/>
                <w:sz w:val="21"/>
                <w:szCs w:val="21"/>
                <w:lang w:val="en-US"/>
              </w:rPr>
              <w:t>（技术建议书）</w:t>
            </w:r>
            <w:r>
              <w:rPr>
                <w:rFonts w:hint="eastAsia" w:ascii="宋体" w:hAnsi="宋体"/>
                <w:sz w:val="21"/>
                <w:szCs w:val="21"/>
                <w:lang w:val="en-US"/>
              </w:rPr>
              <w:t>细分项得分均不应低于其权重分的60%，评分低于权重分值60%的，评标委员会成员应当在评标报告中作出说明。</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sz w:val="21"/>
                <w:szCs w:val="21"/>
              </w:rPr>
              <w:t>保留小数点后三位，小数点后第四位“四舍五入”</w:t>
            </w:r>
            <w:r>
              <w:rPr>
                <w:rFonts w:hint="eastAsia" w:ascii="宋体" w:hAnsi="宋体"/>
                <w:sz w:val="21"/>
                <w:szCs w:val="21"/>
                <w:lang w:val="en-US"/>
              </w:rPr>
              <w:t>。</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default" w:ascii="宋体" w:hAnsi="宋体"/>
                <w:sz w:val="21"/>
                <w:szCs w:val="21"/>
                <w:lang w:val="en-US"/>
              </w:rPr>
            </w:pPr>
            <w:r>
              <w:rPr>
                <w:rFonts w:hint="default" w:ascii="宋体" w:hAnsi="宋体"/>
                <w:sz w:val="21"/>
                <w:szCs w:val="21"/>
                <w:lang w:val="en-US"/>
              </w:rPr>
              <w:t>取消其中1名评委评分的办法二：按随机抽取的方式选定取消1名评委评分。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default" w:ascii="宋体" w:hAnsi="宋体"/>
                <w:sz w:val="21"/>
                <w:szCs w:val="21"/>
                <w:lang w:val="en-US"/>
              </w:rPr>
            </w:pPr>
            <w:r>
              <w:rPr>
                <w:rFonts w:hint="default" w:ascii="宋体" w:hAnsi="宋体"/>
                <w:sz w:val="21"/>
                <w:szCs w:val="21"/>
                <w:lang w:val="en-US"/>
              </w:rPr>
              <w:t>注：如同一评委对5名投标人技术评分总分分别为：50分（最高分）、50分、49分、48分、48分（次低分）、47分、47分（最低分），则其最大差值为3分，次分差为：50分-48分=2分。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评标委员会人数为7人时，计算投标人技术得分时:各评分因素细分项中取消一个最高、一个最低分后计算算术平均值的和为投标人的最终技术得分，平均值计算</w:t>
            </w:r>
            <w:r>
              <w:rPr>
                <w:rFonts w:hint="eastAsia" w:ascii="宋体" w:hAnsi="宋体"/>
                <w:sz w:val="21"/>
                <w:szCs w:val="21"/>
              </w:rPr>
              <w:t>保留小数点后三位，小数点后第四位“四舍五入”</w:t>
            </w:r>
            <w:r>
              <w:rPr>
                <w:rFonts w:hint="eastAsia" w:ascii="宋体" w:hAnsi="宋体"/>
                <w:sz w:val="21"/>
                <w:szCs w:val="21"/>
                <w:lang w:val="en-US"/>
              </w:rPr>
              <w:t>。</w:t>
            </w:r>
          </w:p>
          <w:p>
            <w:pPr>
              <w:pStyle w:val="34"/>
              <w:keepNext w:val="0"/>
              <w:keepLines w:val="0"/>
              <w:suppressLineNumbers w:val="0"/>
              <w:spacing w:before="0" w:beforeAutospacing="0" w:afterAutospacing="0"/>
              <w:ind w:left="0" w:right="0"/>
              <w:rPr>
                <w:rFonts w:hint="eastAsia" w:ascii="宋体" w:hAnsi="宋体"/>
                <w:szCs w:val="21"/>
                <w:lang w:val="en-US" w:eastAsia="zh-CN"/>
              </w:rPr>
            </w:pPr>
            <w:r>
              <w:rPr>
                <w:rFonts w:hint="eastAsia" w:ascii="宋体" w:hAnsi="宋体" w:cs="MingLiU_HKSCS"/>
                <w:color w:val="000000"/>
                <w:kern w:val="0"/>
                <w:szCs w:val="21"/>
                <w:lang w:val="en-US" w:eastAsia="zh-CN"/>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w:t>
            </w:r>
          </w:p>
        </w:tc>
        <w:tc>
          <w:tcPr>
            <w:tcW w:w="7380" w:type="dxa"/>
            <w:noWrap w:val="0"/>
            <w:vAlign w:val="center"/>
          </w:tcPr>
          <w:p>
            <w:pPr>
              <w:keepNext w:val="0"/>
              <w:keepLines w:val="0"/>
              <w:suppressLineNumbers w:val="0"/>
              <w:snapToGrid w:val="0"/>
              <w:spacing w:before="0" w:beforeAutospacing="0" w:after="0" w:afterAutospacing="0" w:line="360" w:lineRule="auto"/>
              <w:ind w:left="0" w:right="0"/>
              <w:jc w:val="both"/>
              <w:rPr>
                <w:rFonts w:hint="eastAsia" w:ascii="宋体" w:hAnsi="宋体" w:cs="宋体"/>
                <w:bCs/>
                <w:color w:val="auto"/>
                <w:kern w:val="2"/>
                <w:sz w:val="21"/>
                <w:szCs w:val="21"/>
                <w:lang w:val="en-US"/>
              </w:rPr>
            </w:pPr>
            <w:r>
              <w:rPr>
                <w:rFonts w:hint="eastAsia" w:ascii="宋体" w:hAnsi="宋体" w:cs="宋体"/>
                <w:bCs/>
                <w:color w:val="auto"/>
                <w:kern w:val="2"/>
                <w:sz w:val="21"/>
                <w:szCs w:val="21"/>
                <w:lang w:val="en-US"/>
              </w:rPr>
              <w:t>增加3.9.3-3.9.7</w:t>
            </w:r>
            <w:r>
              <w:rPr>
                <w:rFonts w:hint="eastAsia" w:ascii="宋体" w:hAnsi="宋体" w:cs="宋体"/>
                <w:color w:val="auto"/>
                <w:sz w:val="21"/>
                <w:szCs w:val="21"/>
              </w:rPr>
              <w:t>项</w:t>
            </w:r>
            <w:r>
              <w:rPr>
                <w:rFonts w:hint="eastAsia" w:ascii="宋体" w:hAnsi="宋体" w:cs="宋体"/>
                <w:bCs/>
                <w:color w:val="auto"/>
                <w:kern w:val="2"/>
                <w:sz w:val="21"/>
                <w:szCs w:val="21"/>
                <w:lang w:val="en-US"/>
              </w:rPr>
              <w:t>：</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u w:val="single"/>
                <w:lang w:val="en-US"/>
              </w:rPr>
              <w:t>3.9.3推荐中标候选人方式：（1）已被推荐为某一合同段的第一中标候选人，自动失去其在本次招标中其他合同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Style w:val="101"/>
                <w:rFonts w:hint="default" w:ascii="宋体" w:hAnsi="宋体" w:cs="宋体"/>
                <w:szCs w:val="21"/>
              </w:rPr>
              <w:footnoteReference w:id="81"/>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3.9.4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keepNext w:val="0"/>
              <w:keepLines w:val="0"/>
              <w:suppressLineNumbers w:val="0"/>
              <w:spacing w:before="0" w:beforeAutospacing="0" w:after="0" w:afterAutospacing="0" w:line="360" w:lineRule="auto"/>
              <w:ind w:left="0" w:right="0" w:firstLine="424" w:firstLineChars="202"/>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lang w:val="en-US"/>
              </w:rPr>
            </w:pPr>
            <w:r>
              <w:rPr>
                <w:rFonts w:hint="eastAsia" w:ascii="宋体" w:hAnsi="宋体" w:cs="宋体"/>
                <w:color w:val="auto"/>
                <w:kern w:val="2"/>
                <w:sz w:val="21"/>
                <w:szCs w:val="21"/>
                <w:lang w:val="en-US"/>
              </w:rPr>
              <w:t>3.9.6</w:t>
            </w:r>
            <w:r>
              <w:rPr>
                <w:rFonts w:hint="eastAsia" w:ascii="宋体" w:hAnsi="宋体" w:cs="宋体"/>
                <w:color w:val="auto"/>
                <w:sz w:val="21"/>
                <w:szCs w:val="21"/>
                <w:lang w:val="en-US"/>
              </w:rPr>
              <w:t>如果发生无法确定推荐中标候选人的其它意外情况，评标委员会可建议招标人重新招标。</w:t>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rPr>
              <w:t>9</w:t>
            </w:r>
            <w:r>
              <w:rPr>
                <w:rFonts w:hint="eastAsia" w:ascii="宋体" w:hAnsi="宋体" w:cs="宋体"/>
                <w:color w:val="auto"/>
                <w:sz w:val="21"/>
                <w:szCs w:val="21"/>
              </w:rPr>
              <w:t>.</w:t>
            </w:r>
            <w:r>
              <w:rPr>
                <w:rFonts w:hint="eastAsia" w:ascii="宋体" w:hAnsi="宋体" w:cs="宋体"/>
                <w:color w:val="auto"/>
                <w:sz w:val="21"/>
                <w:szCs w:val="21"/>
                <w:lang w:val="en-US"/>
              </w:rPr>
              <w:t>7</w:t>
            </w:r>
            <w:r>
              <w:rPr>
                <w:rFonts w:hint="eastAsia" w:ascii="宋体" w:hAnsi="宋体" w:cs="宋体"/>
                <w:color w:val="auto"/>
                <w:sz w:val="21"/>
                <w:szCs w:val="21"/>
              </w:rPr>
              <w:t>本招标文件规定的否决投标条款包含在以下条款：</w:t>
            </w:r>
            <w:r>
              <w:rPr>
                <w:rStyle w:val="101"/>
                <w:rFonts w:hint="eastAsia" w:ascii="宋体" w:hAnsi="宋体" w:cs="Times New Roman"/>
                <w:color w:val="auto"/>
                <w:sz w:val="30"/>
                <w:lang w:val="en-US"/>
              </w:rPr>
              <w:footnoteReference w:id="82"/>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宋体"/>
                <w:color w:val="auto"/>
                <w:sz w:val="21"/>
                <w:szCs w:val="21"/>
              </w:rPr>
            </w:pPr>
            <w:r>
              <w:rPr>
                <w:rFonts w:hint="eastAsia" w:ascii="宋体" w:hAnsi="宋体" w:cs="宋体"/>
                <w:color w:val="auto"/>
                <w:sz w:val="21"/>
                <w:szCs w:val="21"/>
              </w:rPr>
              <w:t>（1）招标公告第3点投标人资格要求；</w:t>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rPr>
              <w:t>投标人须知1.4.3项、1.4.4项、1.12</w:t>
            </w:r>
            <w:r>
              <w:rPr>
                <w:rFonts w:hint="eastAsia" w:ascii="宋体" w:hAnsi="宋体" w:cs="宋体"/>
                <w:color w:val="auto"/>
                <w:sz w:val="21"/>
                <w:szCs w:val="21"/>
                <w:u w:val="single"/>
                <w:lang w:val="en-US"/>
              </w:rPr>
              <w:t>.2</w:t>
            </w:r>
            <w:r>
              <w:rPr>
                <w:rFonts w:hint="eastAsia" w:ascii="宋体" w:hAnsi="宋体" w:cs="宋体"/>
                <w:color w:val="auto"/>
                <w:sz w:val="21"/>
                <w:szCs w:val="21"/>
                <w:u w:val="single"/>
              </w:rPr>
              <w:t>项、3.4</w:t>
            </w:r>
            <w:r>
              <w:rPr>
                <w:rFonts w:hint="eastAsia" w:ascii="宋体" w:hAnsi="宋体" w:cs="宋体"/>
                <w:color w:val="auto"/>
                <w:sz w:val="21"/>
                <w:szCs w:val="21"/>
                <w:u w:val="single"/>
                <w:lang w:val="en-US"/>
              </w:rPr>
              <w:t>.2</w:t>
            </w:r>
            <w:r>
              <w:rPr>
                <w:rFonts w:hint="eastAsia" w:ascii="宋体" w:hAnsi="宋体" w:cs="宋体"/>
                <w:color w:val="auto"/>
                <w:sz w:val="21"/>
                <w:szCs w:val="21"/>
                <w:u w:val="single"/>
              </w:rPr>
              <w:t>项、3.5</w:t>
            </w:r>
            <w:r>
              <w:rPr>
                <w:rFonts w:hint="eastAsia" w:ascii="宋体" w:hAnsi="宋体" w:cs="宋体"/>
                <w:color w:val="auto"/>
                <w:sz w:val="21"/>
                <w:szCs w:val="21"/>
                <w:u w:val="single"/>
                <w:lang w:val="en-US"/>
              </w:rPr>
              <w:t>.9</w:t>
            </w:r>
            <w:r>
              <w:rPr>
                <w:rFonts w:hint="eastAsia" w:ascii="宋体" w:hAnsi="宋体" w:cs="宋体"/>
                <w:color w:val="auto"/>
                <w:sz w:val="21"/>
                <w:szCs w:val="21"/>
                <w:u w:val="single"/>
              </w:rPr>
              <w:t>项、3.6</w:t>
            </w:r>
            <w:r>
              <w:rPr>
                <w:rFonts w:hint="eastAsia" w:ascii="宋体" w:hAnsi="宋体" w:cs="宋体"/>
                <w:color w:val="auto"/>
                <w:sz w:val="21"/>
                <w:szCs w:val="21"/>
                <w:u w:val="single"/>
                <w:lang w:val="en-US"/>
              </w:rPr>
              <w:t>.1</w:t>
            </w:r>
            <w:r>
              <w:rPr>
                <w:rFonts w:hint="eastAsia" w:ascii="宋体" w:hAnsi="宋体" w:cs="宋体"/>
                <w:color w:val="auto"/>
                <w:sz w:val="21"/>
                <w:szCs w:val="21"/>
                <w:u w:val="single"/>
              </w:rPr>
              <w:t>项；</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sz w:val="21"/>
                <w:szCs w:val="21"/>
              </w:rPr>
              <w:t>（3）本评标办法的否决条款。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9"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w:t>
            </w: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bCs/>
                <w:color w:val="auto"/>
                <w:kern w:val="2"/>
                <w:sz w:val="21"/>
                <w:szCs w:val="21"/>
                <w:lang w:val="en-US"/>
              </w:rPr>
            </w:pPr>
            <w:r>
              <w:rPr>
                <w:rFonts w:hint="eastAsia" w:ascii="宋体" w:hAnsi="宋体" w:cs="宋体"/>
                <w:color w:val="auto"/>
                <w:kern w:val="2"/>
                <w:sz w:val="21"/>
                <w:szCs w:val="21"/>
                <w:lang w:val="en-US"/>
              </w:rPr>
              <w:t>…</w:t>
            </w:r>
          </w:p>
        </w:tc>
      </w:tr>
    </w:tbl>
    <w:p>
      <w:pPr>
        <w:pStyle w:val="215"/>
        <w:shd w:val="clear" w:color="auto" w:fill="auto"/>
        <w:spacing w:before="0" w:line="360" w:lineRule="auto"/>
        <w:jc w:val="both"/>
        <w:rPr>
          <w:rFonts w:hint="eastAsia" w:ascii="宋体" w:hAnsi="宋体" w:eastAsia="宋体"/>
          <w:szCs w:val="21"/>
        </w:rPr>
      </w:pPr>
    </w:p>
    <w:p>
      <w:pPr>
        <w:pStyle w:val="84"/>
        <w:snapToGrid w:val="0"/>
        <w:spacing w:line="360" w:lineRule="auto"/>
        <w:jc w:val="left"/>
        <w:outlineLvl w:val="1"/>
        <w:rPr>
          <w:rFonts w:hint="eastAsia"/>
          <w:b w:val="0"/>
          <w:sz w:val="24"/>
          <w:szCs w:val="13"/>
        </w:rPr>
      </w:pPr>
      <w:r>
        <w:rPr>
          <w:rFonts w:ascii="宋体" w:hAnsi="宋体"/>
          <w:szCs w:val="21"/>
        </w:rPr>
        <w:br w:type="page"/>
      </w:r>
      <w:r>
        <w:rPr>
          <w:rFonts w:hint="eastAsia"/>
          <w:b w:val="0"/>
          <w:sz w:val="24"/>
          <w:szCs w:val="13"/>
        </w:rPr>
        <w:t>1．评标方法</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1.1评标方法</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1.2评标组织</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1.2.1协助工作组</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招标人可以协助评标委员会开展下列工作并提供相关信息：</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（1）根据招标文件，编制评标使用的相应表格；</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（2）对投标报价进行算术性校核；</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（3）以评标标准和方法为依据，列出投标文件相对于招标文件的所有偏差，并进行归类汇总；</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（4）对投标人的资质、业绩、主要人员资历和目前在岗情况、信用等级进行核实。</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招标人不得对投标文件作出任何评价，不得故意遗漏或者片面摘录，不得在评标委员会对所有偏差定性之前透露存有偏差的投标人名称。</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1.2.2评标委员会</w:t>
      </w:r>
    </w:p>
    <w:p>
      <w:pPr>
        <w:spacing w:line="360" w:lineRule="auto"/>
        <w:ind w:firstLine="566" w:firstLineChars="236"/>
        <w:rPr>
          <w:rFonts w:hint="eastAsia" w:ascii="宋体" w:hAnsi="宋体"/>
          <w:color w:val="auto"/>
          <w:szCs w:val="21"/>
        </w:rPr>
      </w:pPr>
      <w:r>
        <w:rPr>
          <w:rFonts w:hint="eastAsia" w:ascii="宋体" w:hAnsi="宋体"/>
          <w:color w:val="auto"/>
          <w:szCs w:val="21"/>
        </w:rPr>
        <w:t>评标委员会由招标人按国家、广东省等的有关规定依法组建。评标委员人数参见本招标文件“投标人须知前附表第6.1.1款</w:t>
      </w:r>
      <w:r>
        <w:rPr>
          <w:rFonts w:hint="eastAsia" w:ascii="宋体" w:hAnsi="宋体"/>
          <w:color w:val="auto"/>
          <w:szCs w:val="21"/>
          <w:lang w:eastAsia="zh-CN"/>
        </w:rPr>
        <w:t>”</w:t>
      </w:r>
      <w:r>
        <w:rPr>
          <w:rFonts w:hint="eastAsia" w:ascii="宋体" w:hAnsi="宋体"/>
          <w:color w:val="auto"/>
          <w:szCs w:val="21"/>
        </w:rPr>
        <w:t>。评标委员会的主要工作内容包括：</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（1）评标委员会开始评标工作之前，首先听取招标人、协助工作组关于工程情况和辅助工作的说明，并认真研读招标文件，获取评标所需的重要信息和数据；</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（2）对协助工作组提供的评标工作用表和评标内容进行核查。</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（3）按照以下1.3款程序进行各项评审工作。</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1.3评审工作程序</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（一）第一个信封（商务及技术文件）：</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l、初步评审：包括形式评审与响应性评审、资格评审；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2、详细评审（评审打分）：评标委员会首先对通过初步评审的投标文件第一个信封（商务及技术文件）进行详细评审，对投标人的技术建议书、主要人员、其他因素等分别评审打分。</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（二）第二个信封（报价文件）：</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1、初步评审：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（1）只有投标文件第一个信封通过详细评审的投标人才能继续参加第二个信封（报价文件）的形式评审与响应性评审；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（2）报价算术性修正；</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2、详细评审：计算评标基准价、评标价得分及综合得分；</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（三）投标文件相关信息的核查。</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（四）投标文件的澄清和说明(如有)。</w:t>
      </w:r>
    </w:p>
    <w:p>
      <w:pPr>
        <w:spacing w:line="360" w:lineRule="auto"/>
        <w:ind w:firstLine="566" w:firstLineChars="236"/>
        <w:rPr>
          <w:rFonts w:hint="eastAsia" w:ascii="宋体" w:hAnsi="宋体"/>
          <w:color w:val="auto"/>
          <w:szCs w:val="21"/>
        </w:rPr>
      </w:pPr>
      <w:r>
        <w:rPr>
          <w:rFonts w:hint="eastAsia" w:ascii="宋体" w:hAnsi="宋体"/>
          <w:color w:val="auto"/>
          <w:szCs w:val="21"/>
          <w:lang w:val="en-US"/>
        </w:rPr>
        <w:t>（五）按评标办法规定推荐中标候选人，编写评标报告。</w:t>
      </w:r>
    </w:p>
    <w:p>
      <w:pPr>
        <w:pStyle w:val="84"/>
        <w:snapToGrid w:val="0"/>
        <w:spacing w:line="360" w:lineRule="auto"/>
        <w:jc w:val="left"/>
        <w:outlineLvl w:val="1"/>
        <w:rPr>
          <w:rFonts w:hint="eastAsia"/>
          <w:b w:val="0"/>
          <w:sz w:val="24"/>
          <w:szCs w:val="13"/>
        </w:rPr>
      </w:pPr>
      <w:r>
        <w:rPr>
          <w:rFonts w:hint="eastAsia"/>
          <w:b w:val="0"/>
          <w:sz w:val="24"/>
          <w:szCs w:val="13"/>
        </w:rPr>
        <w:t>2．评审标准</w:t>
      </w:r>
    </w:p>
    <w:p>
      <w:pPr>
        <w:spacing w:line="360" w:lineRule="auto"/>
        <w:ind w:firstLine="480" w:firstLineChars="200"/>
        <w:rPr>
          <w:rFonts w:hint="eastAsia" w:ascii="宋体" w:hAnsi="宋体"/>
          <w:color w:val="auto"/>
          <w:szCs w:val="21"/>
        </w:rPr>
      </w:pPr>
      <w:r>
        <w:rPr>
          <w:rFonts w:hint="eastAsia" w:ascii="宋体" w:hAnsi="宋体"/>
          <w:color w:val="auto"/>
          <w:szCs w:val="21"/>
        </w:rPr>
        <w:t>2.1初步评审标准</w:t>
      </w:r>
    </w:p>
    <w:p>
      <w:pPr>
        <w:spacing w:line="360" w:lineRule="auto"/>
        <w:ind w:firstLine="480" w:firstLineChars="200"/>
        <w:rPr>
          <w:rFonts w:hint="eastAsia" w:ascii="宋体" w:hAnsi="宋体"/>
          <w:color w:val="auto"/>
          <w:szCs w:val="21"/>
        </w:rPr>
      </w:pPr>
      <w:r>
        <w:rPr>
          <w:rFonts w:hint="eastAsia" w:ascii="宋体" w:hAnsi="宋体"/>
          <w:color w:val="auto"/>
          <w:szCs w:val="21"/>
        </w:rPr>
        <w:t>2.1.1形式评审标准：见评标办法前附表。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2.1.2资格评审标准：见评标办法前附表。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2.1.3响应性评审标准：见评标办法前附表。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2.2分值构成与评分标准</w:t>
      </w:r>
    </w:p>
    <w:p>
      <w:pPr>
        <w:spacing w:line="360" w:lineRule="auto"/>
        <w:ind w:firstLine="480" w:firstLineChars="200"/>
        <w:rPr>
          <w:rFonts w:hint="eastAsia" w:ascii="宋体" w:hAnsi="宋体"/>
          <w:color w:val="auto"/>
          <w:szCs w:val="21"/>
        </w:rPr>
      </w:pPr>
      <w:r>
        <w:rPr>
          <w:rFonts w:hint="eastAsia" w:ascii="宋体" w:hAnsi="宋体"/>
          <w:color w:val="auto"/>
          <w:szCs w:val="21"/>
        </w:rPr>
        <w:t>2.2.1分值构成</w:t>
      </w:r>
    </w:p>
    <w:p>
      <w:pPr>
        <w:spacing w:line="360" w:lineRule="auto"/>
        <w:ind w:firstLine="48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rPr>
        <w:t>技术建议书</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（2）主要人员：见评标办法前附表；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（3）投标报价：见评标办法前附表；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（4）其他评分因素：见评标办法前附表。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2.2.2评标基准价计算</w:t>
      </w:r>
    </w:p>
    <w:p>
      <w:pPr>
        <w:spacing w:line="360" w:lineRule="auto"/>
        <w:ind w:firstLine="480" w:firstLineChars="200"/>
        <w:rPr>
          <w:rFonts w:hint="eastAsia" w:ascii="宋体" w:hAnsi="宋体"/>
          <w:color w:val="auto"/>
          <w:szCs w:val="21"/>
        </w:rPr>
      </w:pPr>
      <w:r>
        <w:rPr>
          <w:rFonts w:hint="eastAsia" w:ascii="宋体" w:hAnsi="宋体"/>
          <w:color w:val="auto"/>
          <w:szCs w:val="21"/>
        </w:rPr>
        <w:t>评标基准价计算</w:t>
      </w:r>
      <w:r>
        <w:rPr>
          <w:rFonts w:hint="eastAsia" w:ascii="宋体" w:hAnsi="宋体"/>
          <w:color w:val="auto"/>
          <w:szCs w:val="21"/>
          <w:lang w:val="en-US"/>
        </w:rPr>
        <w:t>方法</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2.2.3</w:t>
      </w:r>
      <w:r>
        <w:rPr>
          <w:rFonts w:hint="eastAsia" w:ascii="宋体" w:hAnsi="宋体"/>
        </w:rPr>
        <w:t>评标价</w:t>
      </w:r>
      <w:r>
        <w:rPr>
          <w:rFonts w:hint="eastAsia" w:ascii="宋体" w:hAnsi="宋体"/>
          <w:color w:val="auto"/>
          <w:szCs w:val="21"/>
        </w:rPr>
        <w:t>的偏差率计算</w:t>
      </w:r>
    </w:p>
    <w:p>
      <w:pPr>
        <w:spacing w:line="360" w:lineRule="auto"/>
        <w:ind w:firstLine="480" w:firstLineChars="200"/>
        <w:rPr>
          <w:rFonts w:hint="eastAsia" w:ascii="宋体" w:hAnsi="宋体"/>
          <w:color w:val="auto"/>
          <w:szCs w:val="21"/>
        </w:rPr>
      </w:pPr>
      <w:r>
        <w:rPr>
          <w:rFonts w:hint="eastAsia" w:ascii="宋体" w:hAnsi="宋体"/>
        </w:rPr>
        <w:t>评标价</w:t>
      </w:r>
      <w:r>
        <w:rPr>
          <w:rFonts w:hint="eastAsia" w:ascii="宋体" w:hAnsi="宋体"/>
          <w:color w:val="auto"/>
          <w:szCs w:val="21"/>
        </w:rPr>
        <w:t>的偏差率计算</w:t>
      </w:r>
      <w:r>
        <w:rPr>
          <w:rFonts w:ascii="宋体" w:hAnsi="宋体"/>
        </w:rPr>
        <w:t>公式</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2.2.4评分标准</w:t>
      </w:r>
    </w:p>
    <w:p>
      <w:pPr>
        <w:spacing w:line="360" w:lineRule="auto"/>
        <w:ind w:firstLine="48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rPr>
        <w:t>技术建议书</w:t>
      </w:r>
      <w:r>
        <w:rPr>
          <w:rFonts w:hint="eastAsia" w:ascii="宋体" w:hAnsi="宋体"/>
          <w:color w:val="auto"/>
          <w:szCs w:val="21"/>
        </w:rPr>
        <w:t>评分标准：见评标办法前附表；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（2）主要人员评分标准：见评标办法前附表；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（3）投标报价评分标准：见评标办法前附表；</w:t>
      </w:r>
    </w:p>
    <w:p>
      <w:pPr>
        <w:spacing w:line="360" w:lineRule="auto"/>
        <w:ind w:firstLine="48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）其他因素评分标准：见评标办法前附表；</w:t>
      </w:r>
      <w:r>
        <w:rPr>
          <w:rFonts w:ascii="宋体" w:hAnsi="宋体"/>
          <w:color w:val="auto"/>
          <w:szCs w:val="21"/>
        </w:rPr>
        <w:t> </w:t>
      </w:r>
    </w:p>
    <w:p>
      <w:pPr>
        <w:pStyle w:val="84"/>
        <w:snapToGrid w:val="0"/>
        <w:spacing w:line="360" w:lineRule="auto"/>
        <w:jc w:val="left"/>
        <w:outlineLvl w:val="1"/>
        <w:rPr>
          <w:rFonts w:hint="eastAsia"/>
          <w:b w:val="0"/>
          <w:sz w:val="24"/>
          <w:szCs w:val="13"/>
        </w:rPr>
      </w:pPr>
      <w:r>
        <w:rPr>
          <w:rFonts w:hint="eastAsia"/>
          <w:b w:val="0"/>
          <w:sz w:val="24"/>
          <w:szCs w:val="13"/>
        </w:rPr>
        <w:t>3．评标程序</w:t>
      </w:r>
    </w:p>
    <w:p>
      <w:pPr>
        <w:spacing w:line="360" w:lineRule="auto"/>
        <w:ind w:firstLine="480" w:firstLineChars="200"/>
        <w:rPr>
          <w:rFonts w:hint="eastAsia" w:ascii="宋体" w:hAnsi="宋体"/>
          <w:color w:val="auto"/>
          <w:szCs w:val="21"/>
        </w:rPr>
      </w:pPr>
      <w:r>
        <w:rPr>
          <w:rFonts w:hint="eastAsia" w:ascii="宋体" w:hAnsi="宋体"/>
          <w:color w:val="auto"/>
          <w:szCs w:val="21"/>
        </w:rPr>
        <w:t>3.1第一个信封初步评审</w:t>
      </w:r>
    </w:p>
    <w:p>
      <w:pPr>
        <w:spacing w:line="360" w:lineRule="auto"/>
        <w:ind w:firstLine="480" w:firstLineChars="200"/>
        <w:rPr>
          <w:rFonts w:hint="eastAsia" w:ascii="宋体" w:hAnsi="宋体"/>
          <w:color w:val="auto"/>
          <w:szCs w:val="21"/>
        </w:rPr>
      </w:pPr>
      <w:r>
        <w:rPr>
          <w:rFonts w:hint="eastAsia" w:ascii="宋体" w:hAnsi="宋体"/>
          <w:color w:val="auto"/>
          <w:szCs w:val="21"/>
        </w:rPr>
        <w:t>3.1.1 评标委员会可以要求投标人提交第二章“投标人须知”第3.5.1项至第3.5.</w:t>
      </w:r>
      <w:r>
        <w:rPr>
          <w:rFonts w:hint="eastAsia" w:ascii="宋体" w:hAnsi="宋体"/>
          <w:color w:val="auto"/>
          <w:szCs w:val="21"/>
          <w:lang w:val="en-US"/>
        </w:rPr>
        <w:t>5</w:t>
      </w:r>
      <w:r>
        <w:rPr>
          <w:rFonts w:hint="eastAsia" w:ascii="宋体" w:hAnsi="宋体"/>
          <w:color w:val="auto"/>
          <w:szCs w:val="21"/>
        </w:rPr>
        <w:t>项规定的有关证明和证件的原件，以便核验。评标委员会依据本章第2.1款规定的标准对投标文件第一个信封（商务及技术文件）进行初步评审。有一项不符合评审标准的，评标委员会应否决其投标。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3.2第一个信封详细评审</w:t>
      </w:r>
    </w:p>
    <w:p>
      <w:pPr>
        <w:spacing w:line="360" w:lineRule="auto"/>
        <w:ind w:firstLine="480" w:firstLineChars="200"/>
        <w:rPr>
          <w:rFonts w:hint="eastAsia" w:ascii="宋体" w:hAnsi="宋体"/>
          <w:color w:val="auto"/>
          <w:szCs w:val="21"/>
        </w:rPr>
      </w:pPr>
      <w:r>
        <w:rPr>
          <w:rFonts w:hint="eastAsia" w:ascii="宋体" w:hAnsi="宋体"/>
          <w:color w:val="auto"/>
          <w:szCs w:val="21"/>
        </w:rPr>
        <w:t>3.2.1评标委员会按本章第2.2款规定的量化因素和分值进行打分，并计算出各投标人的商务和技术得分。</w:t>
      </w:r>
    </w:p>
    <w:p>
      <w:pPr>
        <w:spacing w:line="360" w:lineRule="auto"/>
        <w:ind w:firstLine="480" w:firstLineChars="200"/>
        <w:rPr>
          <w:rFonts w:hint="eastAsia" w:ascii="宋体" w:hAnsi="宋体"/>
          <w:color w:val="auto"/>
          <w:szCs w:val="21"/>
        </w:rPr>
      </w:pPr>
      <w:r>
        <w:rPr>
          <w:rFonts w:hint="eastAsia" w:ascii="宋体" w:hAnsi="宋体"/>
          <w:color w:val="auto"/>
          <w:szCs w:val="21"/>
        </w:rPr>
        <w:t>（1）按本章第2.2.4（1）目规定的评审因素和分值对</w:t>
      </w:r>
      <w:r>
        <w:rPr>
          <w:rFonts w:hint="eastAsia" w:ascii="宋体" w:hAnsi="宋体"/>
          <w:color w:val="auto"/>
          <w:szCs w:val="21"/>
          <w:lang w:val="en-US"/>
        </w:rPr>
        <w:t>技术建议书</w:t>
      </w:r>
      <w:r>
        <w:rPr>
          <w:rFonts w:hint="eastAsia" w:ascii="宋体" w:hAnsi="宋体"/>
          <w:color w:val="auto"/>
          <w:szCs w:val="21"/>
        </w:rPr>
        <w:t>部分计算出得分A；</w:t>
      </w:r>
    </w:p>
    <w:p>
      <w:pPr>
        <w:spacing w:line="360" w:lineRule="auto"/>
        <w:ind w:firstLine="480" w:firstLineChars="200"/>
        <w:rPr>
          <w:rFonts w:hint="eastAsia" w:ascii="宋体" w:hAnsi="宋体"/>
          <w:color w:val="auto"/>
          <w:szCs w:val="21"/>
        </w:rPr>
      </w:pPr>
      <w:r>
        <w:rPr>
          <w:rFonts w:hint="eastAsia" w:ascii="宋体" w:hAnsi="宋体"/>
          <w:color w:val="auto"/>
          <w:szCs w:val="21"/>
        </w:rPr>
        <w:t>（2）按本章第2.2.4（2）目规定的评审因素和分值对主要人员部分计算出得分B；</w:t>
      </w:r>
    </w:p>
    <w:p>
      <w:pPr>
        <w:spacing w:line="360" w:lineRule="auto"/>
        <w:ind w:firstLine="480" w:firstLineChars="200"/>
        <w:rPr>
          <w:rFonts w:hint="eastAsia" w:ascii="宋体" w:hAnsi="宋体"/>
          <w:color w:val="auto"/>
          <w:szCs w:val="21"/>
        </w:rPr>
      </w:pPr>
      <w:r>
        <w:rPr>
          <w:rFonts w:hint="eastAsia" w:ascii="宋体" w:hAnsi="宋体"/>
          <w:color w:val="auto"/>
          <w:szCs w:val="21"/>
        </w:rPr>
        <w:t>（3）按本章第2.2.4（4）目规定的评审因素和分值对其他部分计算出得分D。</w:t>
      </w:r>
    </w:p>
    <w:p>
      <w:pPr>
        <w:spacing w:line="360" w:lineRule="auto"/>
        <w:ind w:firstLine="480" w:firstLineChars="200"/>
        <w:rPr>
          <w:rFonts w:hint="eastAsia" w:ascii="宋体" w:hAnsi="宋体"/>
          <w:color w:val="auto"/>
          <w:szCs w:val="21"/>
        </w:rPr>
      </w:pPr>
      <w:r>
        <w:rPr>
          <w:rFonts w:hint="eastAsia" w:ascii="宋体" w:hAnsi="宋体"/>
          <w:color w:val="auto"/>
          <w:szCs w:val="21"/>
        </w:rPr>
        <w:t>3.2.2投标人的商务和技术得分分值计算保留小数点后两位，小数点后第三位“四舍五入”。</w:t>
      </w:r>
    </w:p>
    <w:p>
      <w:pPr>
        <w:spacing w:line="360" w:lineRule="auto"/>
        <w:ind w:firstLine="480" w:firstLineChars="200"/>
        <w:rPr>
          <w:rFonts w:hint="eastAsia" w:ascii="宋体" w:hAnsi="宋体"/>
          <w:color w:val="auto"/>
          <w:szCs w:val="21"/>
        </w:rPr>
      </w:pPr>
      <w:r>
        <w:rPr>
          <w:rFonts w:hint="eastAsia" w:ascii="宋体" w:hAnsi="宋体"/>
          <w:color w:val="auto"/>
          <w:szCs w:val="21"/>
        </w:rPr>
        <w:t>3.2.3投标人的商务和技术得分=A+B+D。</w:t>
      </w:r>
    </w:p>
    <w:p>
      <w:pPr>
        <w:spacing w:line="360" w:lineRule="auto"/>
        <w:ind w:firstLine="480" w:firstLineChars="200"/>
        <w:rPr>
          <w:rFonts w:hint="eastAsia" w:ascii="宋体" w:hAnsi="宋体"/>
          <w:color w:val="auto"/>
          <w:szCs w:val="21"/>
        </w:rPr>
      </w:pPr>
      <w:r>
        <w:rPr>
          <w:rFonts w:hint="eastAsia" w:ascii="宋体" w:hAnsi="宋体"/>
          <w:color w:val="auto"/>
          <w:szCs w:val="21"/>
        </w:rPr>
        <w:t>3.3第二个信封开标</w:t>
      </w:r>
    </w:p>
    <w:p>
      <w:pPr>
        <w:spacing w:line="360" w:lineRule="auto"/>
        <w:ind w:firstLine="480" w:firstLineChars="200"/>
        <w:rPr>
          <w:rFonts w:hint="eastAsia" w:ascii="宋体" w:hAnsi="宋体"/>
          <w:color w:val="auto"/>
          <w:szCs w:val="21"/>
        </w:rPr>
      </w:pPr>
      <w:r>
        <w:rPr>
          <w:rFonts w:hint="eastAsia" w:ascii="宋体" w:hAnsi="宋体"/>
          <w:color w:val="auto"/>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pacing w:line="360" w:lineRule="auto"/>
        <w:ind w:firstLine="480" w:firstLineChars="200"/>
        <w:rPr>
          <w:rFonts w:hint="eastAsia" w:ascii="宋体" w:hAnsi="宋体"/>
          <w:color w:val="auto"/>
          <w:szCs w:val="21"/>
        </w:rPr>
      </w:pPr>
      <w:r>
        <w:rPr>
          <w:rFonts w:hint="eastAsia" w:ascii="宋体" w:hAnsi="宋体"/>
          <w:color w:val="auto"/>
          <w:szCs w:val="21"/>
        </w:rPr>
        <w:t>3.4第二个信封初步评审</w:t>
      </w:r>
    </w:p>
    <w:p>
      <w:pPr>
        <w:spacing w:line="360" w:lineRule="auto"/>
        <w:ind w:firstLine="480" w:firstLineChars="200"/>
        <w:rPr>
          <w:rFonts w:hint="eastAsia" w:ascii="宋体" w:hAnsi="宋体"/>
          <w:color w:val="auto"/>
          <w:szCs w:val="21"/>
        </w:rPr>
      </w:pPr>
      <w:r>
        <w:rPr>
          <w:rFonts w:hint="eastAsia" w:ascii="宋体" w:hAnsi="宋体"/>
          <w:color w:val="auto"/>
          <w:szCs w:val="21"/>
        </w:rPr>
        <w:t>3.4.1评标委员会依据本章第2.1.1项、第2.1.3项规定的评审标准对投标文件第二个信封（报价文件）进行初步评审。有一项不符合评审标准的，评标委员会应否决其投标。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3.4.2投标报价有算术错误的，评标委员会按以下原则对投标报价进行修正，修正的价格经投标人书面确认后具有约束力。投标人不接受修正价格的，评标委员会应否决其投标。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(1)投标文件中的大写金额与小写金额不一致的，以大写金额为准；</w:t>
      </w:r>
    </w:p>
    <w:p>
      <w:pPr>
        <w:spacing w:line="360" w:lineRule="auto"/>
        <w:ind w:firstLine="480" w:firstLineChars="200"/>
        <w:rPr>
          <w:rFonts w:hint="eastAsia" w:ascii="宋体" w:hAnsi="宋体"/>
          <w:color w:val="auto"/>
          <w:szCs w:val="21"/>
        </w:rPr>
      </w:pPr>
      <w:r>
        <w:rPr>
          <w:rFonts w:hint="eastAsia" w:ascii="宋体" w:hAnsi="宋体"/>
          <w:color w:val="auto"/>
          <w:szCs w:val="21"/>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color w:val="auto"/>
          <w:szCs w:val="21"/>
        </w:rPr>
      </w:pPr>
      <w:r>
        <w:rPr>
          <w:rFonts w:hint="eastAsia" w:ascii="宋体" w:hAnsi="宋体"/>
          <w:color w:val="auto"/>
          <w:szCs w:val="21"/>
        </w:rPr>
        <w:t>(3)当单价与数量相乘不等于合价时，以单价计算为准，如果单价有明显的小数点位置差错，应以标出的合价为准，同时对单价予以修正；</w:t>
      </w:r>
    </w:p>
    <w:p>
      <w:pPr>
        <w:spacing w:line="360" w:lineRule="auto"/>
        <w:ind w:firstLine="480" w:firstLineChars="200"/>
        <w:rPr>
          <w:rFonts w:hint="eastAsia" w:ascii="宋体" w:hAnsi="宋体"/>
          <w:color w:val="auto"/>
          <w:szCs w:val="21"/>
        </w:rPr>
      </w:pPr>
      <w:r>
        <w:rPr>
          <w:rFonts w:hint="eastAsia" w:ascii="宋体" w:hAnsi="宋体"/>
          <w:color w:val="auto"/>
          <w:szCs w:val="21"/>
        </w:rPr>
        <w:t>(4)当各子目的合价累计不等于总价时，应以各子目合价累计数为准，修正总价。</w:t>
      </w:r>
    </w:p>
    <w:p>
      <w:pPr>
        <w:spacing w:line="360" w:lineRule="auto"/>
        <w:ind w:firstLine="480" w:firstLineChars="200"/>
        <w:rPr>
          <w:rFonts w:hint="eastAsia" w:ascii="宋体" w:hAnsi="宋体"/>
          <w:color w:val="auto"/>
          <w:szCs w:val="21"/>
        </w:rPr>
      </w:pPr>
      <w:r>
        <w:rPr>
          <w:rFonts w:hint="eastAsia" w:ascii="宋体" w:hAnsi="宋体"/>
          <w:color w:val="auto"/>
          <w:szCs w:val="21"/>
        </w:rPr>
        <w:t>3.4.3修正后的最终投标报价若超过最高投标限价(如有)，评标委员会应否决其投标。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3.4.5修正后的最终投标报价仅作为签订合同的一个依据，不参与评标价得分的计算。</w:t>
      </w:r>
    </w:p>
    <w:p>
      <w:pPr>
        <w:spacing w:line="360" w:lineRule="auto"/>
        <w:ind w:firstLine="480" w:firstLineChars="200"/>
        <w:rPr>
          <w:rFonts w:hint="eastAsia" w:ascii="宋体" w:hAnsi="宋体"/>
          <w:color w:val="auto"/>
          <w:szCs w:val="21"/>
        </w:rPr>
      </w:pPr>
      <w:r>
        <w:rPr>
          <w:rFonts w:hint="eastAsia" w:ascii="宋体" w:hAnsi="宋体"/>
          <w:color w:val="auto"/>
          <w:szCs w:val="21"/>
        </w:rPr>
        <w:t>3.5第二个信封详细评审</w:t>
      </w:r>
    </w:p>
    <w:p>
      <w:pPr>
        <w:spacing w:line="360" w:lineRule="auto"/>
        <w:ind w:firstLine="480" w:firstLineChars="200"/>
        <w:rPr>
          <w:rFonts w:hint="eastAsia" w:ascii="宋体" w:hAnsi="宋体"/>
          <w:color w:val="auto"/>
          <w:szCs w:val="21"/>
        </w:rPr>
      </w:pPr>
      <w:r>
        <w:rPr>
          <w:rFonts w:hint="eastAsia" w:ascii="宋体" w:hAnsi="宋体"/>
          <w:color w:val="auto"/>
          <w:szCs w:val="21"/>
        </w:rPr>
        <w:t>3.5.1评标委员会按本章第2.2.4（3）目规定的评审因素和分值对投标报价计算出得分C。投标报价得分分值计算保留小数点后两位，小数点后第三位“四舍五入”。</w:t>
      </w:r>
    </w:p>
    <w:p>
      <w:pPr>
        <w:spacing w:line="360" w:lineRule="auto"/>
        <w:ind w:firstLine="480" w:firstLineChars="200"/>
        <w:rPr>
          <w:rFonts w:hint="eastAsia" w:ascii="宋体" w:hAnsi="宋体"/>
          <w:color w:val="auto"/>
          <w:szCs w:val="21"/>
        </w:rPr>
      </w:pPr>
      <w:r>
        <w:rPr>
          <w:rFonts w:hint="eastAsia" w:ascii="宋体" w:hAnsi="宋体"/>
          <w:color w:val="auto"/>
          <w:szCs w:val="21"/>
        </w:rPr>
        <w:t>3.5.2投标人得分=投标人的商务和技术得分+C</w:t>
      </w:r>
    </w:p>
    <w:p>
      <w:pPr>
        <w:spacing w:line="360" w:lineRule="auto"/>
        <w:ind w:firstLine="480" w:firstLineChars="200"/>
        <w:rPr>
          <w:rFonts w:hint="eastAsia" w:ascii="宋体" w:hAnsi="宋体"/>
          <w:color w:val="auto"/>
          <w:szCs w:val="21"/>
        </w:rPr>
      </w:pPr>
      <w:r>
        <w:rPr>
          <w:rFonts w:hint="eastAsia" w:ascii="宋体" w:hAnsi="宋体"/>
          <w:color w:val="auto"/>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3.6投标文件相关信息的核查</w:t>
      </w:r>
    </w:p>
    <w:p>
      <w:pPr>
        <w:spacing w:line="360" w:lineRule="auto"/>
        <w:ind w:firstLine="480" w:firstLineChars="200"/>
        <w:rPr>
          <w:rFonts w:hint="eastAsia" w:ascii="宋体" w:hAnsi="宋体"/>
          <w:color w:val="auto"/>
          <w:szCs w:val="21"/>
        </w:rPr>
      </w:pPr>
      <w:r>
        <w:rPr>
          <w:rFonts w:ascii="宋体" w:hAnsi="宋体"/>
        </w:rPr>
        <w:t>3.</w:t>
      </w:r>
      <w:r>
        <w:rPr>
          <w:rFonts w:hint="eastAsia" w:ascii="宋体" w:hAnsi="宋体"/>
        </w:rPr>
        <w:t>6</w:t>
      </w:r>
      <w:r>
        <w:rPr>
          <w:rFonts w:ascii="宋体" w:hAnsi="宋体"/>
        </w:rPr>
        <w:t>.1</w:t>
      </w:r>
      <w:r>
        <w:rPr>
          <w:rStyle w:val="101"/>
          <w:rFonts w:cs="Times New Roman"/>
          <w:color w:val="auto"/>
          <w:sz w:val="30"/>
          <w:lang w:val="en-US"/>
        </w:rPr>
        <w:t xml:space="preserve"> </w:t>
      </w:r>
      <w:r>
        <w:rPr>
          <w:rStyle w:val="101"/>
          <w:rFonts w:hint="eastAsia" w:ascii="宋体" w:hAnsi="宋体" w:cs="Times New Roman"/>
          <w:color w:val="auto"/>
          <w:sz w:val="30"/>
          <w:lang w:val="en-US"/>
        </w:rPr>
        <w:footnoteReference w:id="83"/>
      </w:r>
      <w:r>
        <w:rPr>
          <w:rFonts w:hint="eastAsia" w:ascii="宋体" w:hAnsi="宋体"/>
        </w:rPr>
        <w:t>在评标过程中，评标</w:t>
      </w:r>
      <w:r>
        <w:rPr>
          <w:rFonts w:ascii="宋体" w:hAnsi="宋体"/>
        </w:rPr>
        <w:t>委员会应查询</w:t>
      </w:r>
      <w:r>
        <w:rPr>
          <w:rFonts w:hint="eastAsia" w:ascii="宋体" w:hAnsi="宋体"/>
        </w:rPr>
        <w:t>交通运输部“</w:t>
      </w:r>
      <w:r>
        <w:rPr>
          <w:rStyle w:val="101"/>
          <w:rFonts w:hint="eastAsia" w:ascii="宋体" w:hAnsi="宋体"/>
          <w:vertAlign w:val="baseline"/>
        </w:rPr>
        <w:t>全国</w:t>
      </w:r>
      <w:r>
        <w:rPr>
          <w:rFonts w:hint="eastAsia" w:ascii="宋体" w:hAnsi="宋体"/>
          <w:lang w:val="en-US"/>
        </w:rPr>
        <w:t>水运</w:t>
      </w:r>
      <w:r>
        <w:rPr>
          <w:rFonts w:ascii="宋体" w:hAnsi="宋体"/>
        </w:rPr>
        <w:t>建设市场信用信息管理系统</w:t>
      </w:r>
      <w:r>
        <w:rPr>
          <w:rFonts w:hint="eastAsia" w:ascii="宋体" w:hAnsi="宋体"/>
        </w:rPr>
        <w:t>”</w:t>
      </w:r>
      <w:r>
        <w:rPr>
          <w:rFonts w:ascii="宋体" w:hAnsi="宋体"/>
        </w:rPr>
        <w:t>，对</w:t>
      </w:r>
      <w:r>
        <w:rPr>
          <w:rFonts w:hint="eastAsia" w:ascii="宋体" w:hAnsi="宋体"/>
        </w:rPr>
        <w:t>投标</w:t>
      </w:r>
      <w:r>
        <w:rPr>
          <w:rFonts w:ascii="宋体" w:hAnsi="宋体"/>
        </w:rPr>
        <w:t>人的资质、业绩、主要人员资历和目前在岗情况、信用等级等信息进行核实。若</w:t>
      </w:r>
      <w:r>
        <w:rPr>
          <w:rFonts w:hint="eastAsia" w:ascii="宋体" w:hAnsi="宋体"/>
        </w:rPr>
        <w:t>投标</w:t>
      </w:r>
      <w:r>
        <w:rPr>
          <w:rFonts w:ascii="宋体" w:hAnsi="宋体"/>
        </w:rPr>
        <w:t>文件载明的信息与</w:t>
      </w:r>
      <w:r>
        <w:rPr>
          <w:rFonts w:hint="eastAsia" w:ascii="宋体" w:hAnsi="宋体"/>
        </w:rPr>
        <w:t>交通运输部“</w:t>
      </w:r>
      <w:r>
        <w:rPr>
          <w:rStyle w:val="101"/>
          <w:rFonts w:hint="eastAsia" w:ascii="宋体" w:hAnsi="宋体"/>
          <w:vertAlign w:val="baseline"/>
        </w:rPr>
        <w:t>全国</w:t>
      </w:r>
      <w:r>
        <w:rPr>
          <w:rFonts w:hint="eastAsia" w:ascii="宋体" w:hAnsi="宋体"/>
          <w:lang w:val="en-US"/>
        </w:rPr>
        <w:t>水运</w:t>
      </w:r>
      <w:r>
        <w:rPr>
          <w:rFonts w:ascii="宋体" w:hAnsi="宋体"/>
        </w:rPr>
        <w:t>建设市场信用信息管理系统</w:t>
      </w:r>
      <w:r>
        <w:rPr>
          <w:rFonts w:hint="eastAsia" w:ascii="宋体" w:hAnsi="宋体"/>
        </w:rPr>
        <w:t>”</w:t>
      </w:r>
      <w:r>
        <w:rPr>
          <w:rFonts w:ascii="宋体" w:hAnsi="宋体"/>
        </w:rPr>
        <w:t>发布的信息不符，使得</w:t>
      </w:r>
      <w:r>
        <w:rPr>
          <w:rFonts w:hint="eastAsia" w:ascii="宋体" w:hAnsi="宋体"/>
        </w:rPr>
        <w:t>投标</w:t>
      </w:r>
      <w:r>
        <w:rPr>
          <w:rFonts w:ascii="宋体" w:hAnsi="宋体"/>
        </w:rPr>
        <w:t>人的资格条件不符合</w:t>
      </w:r>
      <w:r>
        <w:rPr>
          <w:rFonts w:hint="eastAsia" w:ascii="宋体" w:hAnsi="宋体"/>
        </w:rPr>
        <w:t>招标文件</w:t>
      </w:r>
      <w:r>
        <w:rPr>
          <w:rFonts w:ascii="宋体" w:hAnsi="宋体"/>
        </w:rPr>
        <w:t>规定的，评标委员会应否决其投标。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3.6.</w:t>
      </w:r>
      <w:r>
        <w:rPr>
          <w:rFonts w:hint="eastAsia" w:ascii="宋体" w:hAnsi="宋体"/>
          <w:color w:val="auto"/>
          <w:szCs w:val="21"/>
          <w:lang w:val="en-US"/>
        </w:rPr>
        <w:t>2</w:t>
      </w:r>
      <w:r>
        <w:rPr>
          <w:rFonts w:hint="eastAsia" w:ascii="宋体" w:hAnsi="宋体"/>
          <w:color w:val="auto"/>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（1）有下列情形之一的，属于投标人相互串通投标：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a.投标人之间协商投标报价等投标文件的实质性内容；</w:t>
      </w:r>
    </w:p>
    <w:p>
      <w:pPr>
        <w:spacing w:line="360" w:lineRule="auto"/>
        <w:ind w:firstLine="480" w:firstLineChars="200"/>
        <w:rPr>
          <w:rFonts w:hint="eastAsia" w:ascii="宋体" w:hAnsi="宋体"/>
          <w:color w:val="auto"/>
          <w:szCs w:val="21"/>
        </w:rPr>
      </w:pPr>
      <w:r>
        <w:rPr>
          <w:rFonts w:hint="eastAsia" w:ascii="宋体" w:hAnsi="宋体"/>
          <w:color w:val="auto"/>
          <w:szCs w:val="21"/>
        </w:rPr>
        <w:t>b.投标人之间约定中标人；</w:t>
      </w:r>
    </w:p>
    <w:p>
      <w:pPr>
        <w:spacing w:line="360" w:lineRule="auto"/>
        <w:ind w:firstLine="480" w:firstLineChars="200"/>
        <w:rPr>
          <w:rFonts w:hint="eastAsia" w:ascii="宋体" w:hAnsi="宋体"/>
          <w:color w:val="auto"/>
          <w:szCs w:val="21"/>
        </w:rPr>
      </w:pPr>
      <w:r>
        <w:rPr>
          <w:rFonts w:hint="eastAsia" w:ascii="宋体" w:hAnsi="宋体"/>
          <w:color w:val="auto"/>
          <w:szCs w:val="21"/>
        </w:rPr>
        <w:t>c.投标人之间约定部分投标人放弃投标或中标；</w:t>
      </w:r>
    </w:p>
    <w:p>
      <w:pPr>
        <w:spacing w:line="360" w:lineRule="auto"/>
        <w:ind w:firstLine="480" w:firstLineChars="200"/>
        <w:rPr>
          <w:rFonts w:hint="eastAsia" w:ascii="宋体" w:hAnsi="宋体"/>
          <w:color w:val="auto"/>
          <w:szCs w:val="21"/>
        </w:rPr>
      </w:pPr>
      <w:r>
        <w:rPr>
          <w:rFonts w:hint="eastAsia" w:ascii="宋体" w:hAnsi="宋体"/>
          <w:color w:val="auto"/>
          <w:szCs w:val="21"/>
        </w:rPr>
        <w:t>d.属于同一集团、协会、商会等组织成员的投标人按照该组织要求协同投标；</w:t>
      </w:r>
    </w:p>
    <w:p>
      <w:pPr>
        <w:spacing w:line="360" w:lineRule="auto"/>
        <w:ind w:firstLine="480" w:firstLineChars="200"/>
        <w:rPr>
          <w:rFonts w:hint="eastAsia" w:ascii="宋体" w:hAnsi="宋体"/>
          <w:color w:val="auto"/>
          <w:szCs w:val="21"/>
        </w:rPr>
      </w:pPr>
      <w:r>
        <w:rPr>
          <w:rFonts w:hint="eastAsia" w:ascii="宋体" w:hAnsi="宋体"/>
          <w:color w:val="auto"/>
          <w:szCs w:val="21"/>
        </w:rPr>
        <w:t>e.投标人之间为谋取中标或排斥特定投标人而采取的其他联合行动。</w:t>
      </w:r>
    </w:p>
    <w:p>
      <w:pPr>
        <w:spacing w:line="360" w:lineRule="auto"/>
        <w:ind w:firstLine="480" w:firstLineChars="200"/>
        <w:rPr>
          <w:rFonts w:hint="eastAsia" w:ascii="宋体" w:hAnsi="宋体"/>
          <w:color w:val="auto"/>
          <w:szCs w:val="21"/>
        </w:rPr>
      </w:pPr>
      <w:r>
        <w:rPr>
          <w:rFonts w:hint="eastAsia" w:ascii="宋体" w:hAnsi="宋体"/>
          <w:color w:val="auto"/>
          <w:szCs w:val="21"/>
        </w:rPr>
        <w:t>（2）有下列情形之一的，视为投标人相互串通投标：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a.不同投标人的投标文件由同一单位或个人编制；</w:t>
      </w:r>
    </w:p>
    <w:p>
      <w:pPr>
        <w:spacing w:line="360" w:lineRule="auto"/>
        <w:ind w:firstLine="480" w:firstLineChars="200"/>
        <w:rPr>
          <w:rFonts w:hint="eastAsia" w:ascii="宋体" w:hAnsi="宋体"/>
          <w:color w:val="auto"/>
          <w:szCs w:val="21"/>
        </w:rPr>
      </w:pPr>
      <w:r>
        <w:rPr>
          <w:rFonts w:hint="eastAsia" w:ascii="宋体" w:hAnsi="宋体"/>
          <w:color w:val="auto"/>
          <w:szCs w:val="21"/>
        </w:rPr>
        <w:t>b.不同投标人委托同一单位或个人办理投标事宜；</w:t>
      </w:r>
    </w:p>
    <w:p>
      <w:pPr>
        <w:spacing w:line="360" w:lineRule="auto"/>
        <w:ind w:firstLine="480" w:firstLineChars="200"/>
        <w:rPr>
          <w:rFonts w:hint="eastAsia" w:ascii="宋体" w:hAnsi="宋体"/>
          <w:color w:val="auto"/>
          <w:szCs w:val="21"/>
        </w:rPr>
      </w:pPr>
      <w:r>
        <w:rPr>
          <w:rFonts w:hint="eastAsia" w:ascii="宋体" w:hAnsi="宋体"/>
          <w:color w:val="auto"/>
          <w:szCs w:val="21"/>
        </w:rPr>
        <w:t>c.不同投标人的投标文件载明的项目管理成员为同一人；</w:t>
      </w:r>
    </w:p>
    <w:p>
      <w:pPr>
        <w:spacing w:line="360" w:lineRule="auto"/>
        <w:ind w:firstLine="480" w:firstLineChars="200"/>
        <w:rPr>
          <w:rFonts w:hint="eastAsia" w:ascii="宋体" w:hAnsi="宋体"/>
          <w:color w:val="auto"/>
          <w:szCs w:val="21"/>
        </w:rPr>
      </w:pPr>
      <w:r>
        <w:rPr>
          <w:rFonts w:hint="eastAsia" w:ascii="宋体" w:hAnsi="宋体"/>
          <w:color w:val="auto"/>
          <w:szCs w:val="21"/>
        </w:rPr>
        <w:t>d.不同投标人的投标文件异常一致或投标报价呈规律性差异；</w:t>
      </w:r>
    </w:p>
    <w:p>
      <w:pPr>
        <w:spacing w:line="360" w:lineRule="auto"/>
        <w:ind w:firstLine="480" w:firstLineChars="200"/>
        <w:rPr>
          <w:rFonts w:hint="eastAsia" w:ascii="宋体" w:hAnsi="宋体"/>
          <w:color w:val="auto"/>
          <w:szCs w:val="21"/>
        </w:rPr>
      </w:pPr>
      <w:r>
        <w:rPr>
          <w:rFonts w:hint="eastAsia" w:ascii="宋体" w:hAnsi="宋体"/>
          <w:color w:val="auto"/>
          <w:szCs w:val="21"/>
        </w:rPr>
        <w:t>e.不同投标人的投标文件相互混装；</w:t>
      </w:r>
    </w:p>
    <w:p>
      <w:pPr>
        <w:spacing w:line="360" w:lineRule="auto"/>
        <w:ind w:firstLine="480" w:firstLineChars="200"/>
        <w:rPr>
          <w:rFonts w:hint="eastAsia" w:ascii="宋体" w:hAnsi="宋体"/>
          <w:color w:val="auto"/>
          <w:szCs w:val="21"/>
        </w:rPr>
      </w:pPr>
      <w:r>
        <w:rPr>
          <w:rFonts w:hint="eastAsia" w:ascii="宋体" w:hAnsi="宋体"/>
          <w:color w:val="auto"/>
          <w:szCs w:val="21"/>
        </w:rPr>
        <w:t>f.不同投标人的投标保证金从同一单位或个人的账户转出。</w:t>
      </w:r>
    </w:p>
    <w:p>
      <w:pPr>
        <w:spacing w:line="360" w:lineRule="auto"/>
        <w:ind w:firstLine="480" w:firstLineChars="200"/>
        <w:rPr>
          <w:rFonts w:hint="eastAsia" w:ascii="宋体" w:hAnsi="宋体"/>
          <w:color w:val="auto"/>
          <w:szCs w:val="21"/>
        </w:rPr>
      </w:pPr>
      <w:r>
        <w:rPr>
          <w:rFonts w:hint="eastAsia" w:ascii="宋体" w:hAnsi="宋体"/>
          <w:color w:val="auto"/>
          <w:szCs w:val="21"/>
        </w:rPr>
        <w:t>g.广东省实施《中华人民共和国招标投标法》办法第十六条规定的情形。</w:t>
      </w:r>
    </w:p>
    <w:p>
      <w:pPr>
        <w:spacing w:line="360" w:lineRule="auto"/>
        <w:ind w:firstLine="480" w:firstLineChars="200"/>
        <w:rPr>
          <w:rFonts w:hint="eastAsia" w:ascii="宋体" w:hAnsi="宋体"/>
          <w:color w:val="auto"/>
          <w:szCs w:val="21"/>
        </w:rPr>
      </w:pPr>
      <w:r>
        <w:rPr>
          <w:rFonts w:hint="eastAsia" w:ascii="宋体" w:hAnsi="宋体"/>
          <w:color w:val="auto"/>
          <w:szCs w:val="21"/>
        </w:rPr>
        <w:t>（3）有下列情形之一的，属于招标人与投标人串通投标：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a.招标人在开标前开启投标文件并将有关信息泄露给其他投标人;</w:t>
      </w:r>
    </w:p>
    <w:p>
      <w:pPr>
        <w:spacing w:line="360" w:lineRule="auto"/>
        <w:ind w:firstLine="480" w:firstLineChars="200"/>
        <w:rPr>
          <w:rFonts w:hint="eastAsia" w:ascii="宋体" w:hAnsi="宋体"/>
          <w:color w:val="auto"/>
          <w:szCs w:val="21"/>
        </w:rPr>
      </w:pPr>
      <w:r>
        <w:rPr>
          <w:rFonts w:hint="eastAsia" w:ascii="宋体" w:hAnsi="宋体"/>
          <w:color w:val="auto"/>
          <w:szCs w:val="21"/>
        </w:rPr>
        <w:t>b.招标人直接或间接向投标人泄露标底、评标委员会成员等信息；</w:t>
      </w:r>
    </w:p>
    <w:p>
      <w:pPr>
        <w:spacing w:line="360" w:lineRule="auto"/>
        <w:ind w:firstLine="480" w:firstLineChars="200"/>
        <w:rPr>
          <w:rFonts w:hint="eastAsia" w:ascii="宋体" w:hAnsi="宋体"/>
          <w:color w:val="auto"/>
          <w:szCs w:val="21"/>
        </w:rPr>
      </w:pPr>
      <w:r>
        <w:rPr>
          <w:rFonts w:hint="eastAsia" w:ascii="宋体" w:hAnsi="宋体"/>
          <w:color w:val="auto"/>
          <w:szCs w:val="21"/>
        </w:rPr>
        <w:t>c.招标人明示或暗示投标人压低或抬高投标报价；</w:t>
      </w:r>
    </w:p>
    <w:p>
      <w:pPr>
        <w:spacing w:line="360" w:lineRule="auto"/>
        <w:ind w:firstLine="480" w:firstLineChars="200"/>
        <w:rPr>
          <w:rFonts w:hint="eastAsia" w:ascii="宋体" w:hAnsi="宋体"/>
          <w:color w:val="auto"/>
          <w:szCs w:val="21"/>
        </w:rPr>
      </w:pPr>
      <w:r>
        <w:rPr>
          <w:rFonts w:hint="eastAsia" w:ascii="宋体" w:hAnsi="宋体"/>
          <w:color w:val="auto"/>
          <w:szCs w:val="21"/>
        </w:rPr>
        <w:t>d.招标人授意投标人撤换、修改投标文件；</w:t>
      </w:r>
    </w:p>
    <w:p>
      <w:pPr>
        <w:spacing w:line="360" w:lineRule="auto"/>
        <w:ind w:firstLine="480" w:firstLineChars="200"/>
        <w:rPr>
          <w:rFonts w:hint="eastAsia" w:ascii="宋体" w:hAnsi="宋体"/>
          <w:color w:val="auto"/>
          <w:szCs w:val="21"/>
        </w:rPr>
      </w:pPr>
      <w:r>
        <w:rPr>
          <w:rFonts w:hint="eastAsia" w:ascii="宋体" w:hAnsi="宋体"/>
          <w:color w:val="auto"/>
          <w:szCs w:val="21"/>
        </w:rPr>
        <w:t>e.招标人明示或暗示投标人为特定投标人中标提供方便；</w:t>
      </w:r>
    </w:p>
    <w:p>
      <w:pPr>
        <w:spacing w:line="360" w:lineRule="auto"/>
        <w:ind w:firstLine="480" w:firstLineChars="200"/>
        <w:rPr>
          <w:rFonts w:hint="eastAsia" w:ascii="宋体" w:hAnsi="宋体"/>
          <w:color w:val="auto"/>
          <w:szCs w:val="21"/>
        </w:rPr>
      </w:pPr>
      <w:r>
        <w:rPr>
          <w:rFonts w:hint="eastAsia" w:ascii="宋体" w:hAnsi="宋体"/>
          <w:color w:val="auto"/>
          <w:szCs w:val="21"/>
        </w:rPr>
        <w:t>f.招标人与投标人为谋求特定投标人中标而采取的其他串通行为。</w:t>
      </w:r>
    </w:p>
    <w:p>
      <w:pPr>
        <w:spacing w:line="360" w:lineRule="auto"/>
        <w:ind w:firstLine="480" w:firstLineChars="200"/>
        <w:rPr>
          <w:rFonts w:hint="eastAsia" w:ascii="宋体" w:hAnsi="宋体"/>
          <w:color w:val="auto"/>
          <w:szCs w:val="21"/>
        </w:rPr>
      </w:pPr>
      <w:r>
        <w:rPr>
          <w:rFonts w:hint="eastAsia" w:ascii="宋体" w:hAnsi="宋体"/>
          <w:color w:val="auto"/>
          <w:szCs w:val="21"/>
        </w:rPr>
        <w:t>（4）投标人有下列情形之一的，属于弄虚作假的行为：</w:t>
      </w:r>
    </w:p>
    <w:p>
      <w:pPr>
        <w:spacing w:line="360" w:lineRule="auto"/>
        <w:ind w:firstLine="480" w:firstLineChars="200"/>
        <w:rPr>
          <w:rFonts w:hint="eastAsia" w:ascii="宋体" w:hAnsi="宋体"/>
          <w:color w:val="auto"/>
          <w:szCs w:val="21"/>
        </w:rPr>
      </w:pPr>
      <w:r>
        <w:rPr>
          <w:rFonts w:hint="eastAsia" w:ascii="宋体" w:hAnsi="宋体"/>
          <w:color w:val="auto"/>
          <w:szCs w:val="21"/>
        </w:rPr>
        <w:t>a.使用通过受让或租借等方式获取的资格、资质证书投标；</w:t>
      </w:r>
    </w:p>
    <w:p>
      <w:pPr>
        <w:spacing w:line="360" w:lineRule="auto"/>
        <w:ind w:firstLine="480" w:firstLineChars="200"/>
        <w:rPr>
          <w:rFonts w:hint="eastAsia" w:ascii="宋体" w:hAnsi="宋体"/>
          <w:color w:val="auto"/>
          <w:szCs w:val="21"/>
        </w:rPr>
      </w:pPr>
      <w:r>
        <w:rPr>
          <w:rFonts w:hint="eastAsia" w:ascii="宋体" w:hAnsi="宋体"/>
          <w:color w:val="auto"/>
          <w:szCs w:val="21"/>
        </w:rPr>
        <w:t>b.使用伪造、变造的许可证件；</w:t>
      </w:r>
    </w:p>
    <w:p>
      <w:pPr>
        <w:spacing w:line="360" w:lineRule="auto"/>
        <w:ind w:firstLine="480" w:firstLineChars="200"/>
        <w:rPr>
          <w:rFonts w:hint="eastAsia" w:ascii="宋体" w:hAnsi="宋体"/>
          <w:color w:val="auto"/>
          <w:szCs w:val="21"/>
        </w:rPr>
      </w:pPr>
      <w:r>
        <w:rPr>
          <w:rFonts w:hint="eastAsia" w:ascii="宋体" w:hAnsi="宋体"/>
          <w:color w:val="auto"/>
          <w:szCs w:val="21"/>
        </w:rPr>
        <w:t>c.提供虚假的财务状况或业绩；</w:t>
      </w:r>
    </w:p>
    <w:p>
      <w:pPr>
        <w:spacing w:line="360" w:lineRule="auto"/>
        <w:ind w:firstLine="480" w:firstLineChars="200"/>
        <w:rPr>
          <w:rFonts w:hint="eastAsia" w:ascii="宋体" w:hAnsi="宋体"/>
          <w:color w:val="auto"/>
          <w:szCs w:val="21"/>
        </w:rPr>
      </w:pPr>
      <w:r>
        <w:rPr>
          <w:rFonts w:hint="eastAsia" w:ascii="宋体" w:hAnsi="宋体"/>
          <w:color w:val="auto"/>
          <w:szCs w:val="21"/>
        </w:rPr>
        <w:t>d.提供虚假的项目负责人或主要技术人员简历、劳动关系证明；</w:t>
      </w:r>
    </w:p>
    <w:p>
      <w:pPr>
        <w:spacing w:line="360" w:lineRule="auto"/>
        <w:ind w:firstLine="480" w:firstLineChars="200"/>
        <w:rPr>
          <w:rFonts w:hint="eastAsia" w:ascii="宋体" w:hAnsi="宋体"/>
          <w:color w:val="auto"/>
          <w:szCs w:val="21"/>
        </w:rPr>
      </w:pPr>
      <w:r>
        <w:rPr>
          <w:rFonts w:hint="eastAsia" w:ascii="宋体" w:hAnsi="宋体"/>
          <w:color w:val="auto"/>
          <w:szCs w:val="21"/>
        </w:rPr>
        <w:t>e.提供虚假的信用状况；</w:t>
      </w:r>
    </w:p>
    <w:p>
      <w:pPr>
        <w:spacing w:line="360" w:lineRule="auto"/>
        <w:ind w:firstLine="480" w:firstLineChars="200"/>
        <w:rPr>
          <w:rFonts w:hint="eastAsia" w:ascii="宋体" w:hAnsi="宋体"/>
          <w:color w:val="auto"/>
          <w:szCs w:val="21"/>
        </w:rPr>
      </w:pPr>
      <w:r>
        <w:rPr>
          <w:rFonts w:hint="eastAsia" w:ascii="宋体" w:hAnsi="宋体"/>
          <w:color w:val="auto"/>
          <w:szCs w:val="21"/>
        </w:rPr>
        <w:t>f.其他弄虚作假的行为。</w:t>
      </w:r>
    </w:p>
    <w:p>
      <w:pPr>
        <w:spacing w:line="360" w:lineRule="auto"/>
        <w:ind w:firstLine="480" w:firstLineChars="200"/>
        <w:rPr>
          <w:rFonts w:hint="eastAsia" w:ascii="宋体" w:hAnsi="宋体"/>
          <w:color w:val="auto"/>
          <w:szCs w:val="21"/>
        </w:rPr>
      </w:pPr>
      <w:r>
        <w:rPr>
          <w:rFonts w:hint="eastAsia" w:ascii="宋体" w:hAnsi="宋体"/>
          <w:color w:val="auto"/>
          <w:szCs w:val="21"/>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pPr>
        <w:spacing w:line="360" w:lineRule="auto"/>
        <w:ind w:firstLine="480" w:firstLineChars="200"/>
        <w:rPr>
          <w:rFonts w:hint="eastAsia" w:ascii="宋体" w:hAnsi="宋体"/>
          <w:color w:val="auto"/>
          <w:szCs w:val="21"/>
        </w:rPr>
      </w:pPr>
      <w:r>
        <w:rPr>
          <w:rFonts w:hint="eastAsia" w:ascii="宋体" w:hAnsi="宋体"/>
          <w:color w:val="auto"/>
          <w:szCs w:val="21"/>
        </w:rPr>
        <w:t>3.7投标文件的澄清和说明</w:t>
      </w:r>
    </w:p>
    <w:p>
      <w:pPr>
        <w:spacing w:line="360" w:lineRule="auto"/>
        <w:ind w:firstLine="480" w:firstLineChars="200"/>
        <w:rPr>
          <w:rFonts w:hint="eastAsia" w:ascii="宋体" w:hAnsi="宋体"/>
          <w:color w:val="auto"/>
          <w:szCs w:val="21"/>
        </w:rPr>
      </w:pPr>
      <w:r>
        <w:rPr>
          <w:rFonts w:hint="eastAsia" w:ascii="宋体" w:hAnsi="宋体"/>
          <w:color w:val="auto"/>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3.7.2 澄清和说明不得超出投标文件的范围或改变投标文件的实质性内容（算术性错误的修正除外）。投标人的书面澄清、说明属于投标文件的组成部分。</w:t>
      </w:r>
    </w:p>
    <w:p>
      <w:pPr>
        <w:spacing w:line="360" w:lineRule="auto"/>
        <w:ind w:firstLine="480" w:firstLineChars="200"/>
        <w:rPr>
          <w:rFonts w:hint="eastAsia" w:ascii="宋体" w:hAnsi="宋体"/>
          <w:color w:val="auto"/>
          <w:szCs w:val="21"/>
        </w:rPr>
      </w:pPr>
      <w:r>
        <w:rPr>
          <w:rFonts w:hint="eastAsia" w:ascii="宋体" w:hAnsi="宋体"/>
          <w:color w:val="auto"/>
          <w:szCs w:val="21"/>
        </w:rPr>
        <w:t>3.7.3 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rPr>
        <w:t>7</w:t>
      </w:r>
      <w:r>
        <w:rPr>
          <w:rFonts w:hint="eastAsia" w:ascii="宋体" w:hAnsi="宋体"/>
          <w:color w:val="auto"/>
          <w:szCs w:val="21"/>
        </w:rPr>
        <w:t>.4 凡超出招标文件规定的或给招标人带来未曾要求的利益的变化、偏差或其他因素在评标时不予考虑。</w:t>
      </w:r>
    </w:p>
    <w:p>
      <w:pPr>
        <w:spacing w:line="360" w:lineRule="auto"/>
        <w:ind w:firstLine="480" w:firstLineChars="200"/>
        <w:rPr>
          <w:rFonts w:hint="eastAsia" w:ascii="宋体" w:hAnsi="宋体"/>
          <w:color w:val="auto"/>
          <w:szCs w:val="21"/>
        </w:rPr>
      </w:pPr>
      <w:r>
        <w:rPr>
          <w:rFonts w:hint="eastAsia" w:ascii="宋体" w:hAnsi="宋体"/>
          <w:color w:val="auto"/>
          <w:szCs w:val="21"/>
        </w:rPr>
        <w:t>3.8不得否决投标的情形</w:t>
      </w:r>
    </w:p>
    <w:p>
      <w:pPr>
        <w:spacing w:line="360" w:lineRule="auto"/>
        <w:ind w:firstLine="480" w:firstLineChars="200"/>
        <w:rPr>
          <w:rFonts w:hint="eastAsia" w:ascii="宋体" w:hAnsi="宋体"/>
          <w:color w:val="auto"/>
          <w:szCs w:val="21"/>
        </w:rPr>
      </w:pPr>
      <w:r>
        <w:rPr>
          <w:rFonts w:hint="eastAsia" w:ascii="宋体" w:hAnsi="宋体"/>
          <w:color w:val="auto"/>
          <w:szCs w:val="21"/>
        </w:rPr>
        <w:t>投标文件存在第二章“投标人须知”第1.12.3项所列情形的，均视为细微偏差，评标委员会不得否决投标人的投标，应按照第二章“投标人须知”第1.12.4项规定的原则处理。</w:t>
      </w:r>
    </w:p>
    <w:p>
      <w:pPr>
        <w:spacing w:line="360" w:lineRule="auto"/>
        <w:ind w:firstLine="480" w:firstLineChars="200"/>
        <w:rPr>
          <w:rFonts w:hint="eastAsia" w:ascii="宋体" w:hAnsi="宋体"/>
          <w:color w:val="auto"/>
          <w:szCs w:val="21"/>
        </w:rPr>
      </w:pPr>
      <w:r>
        <w:rPr>
          <w:rFonts w:hint="eastAsia" w:ascii="宋体" w:hAnsi="宋体"/>
          <w:color w:val="auto"/>
          <w:szCs w:val="21"/>
        </w:rPr>
        <w:t>3.9评标结果</w:t>
      </w:r>
    </w:p>
    <w:p>
      <w:pPr>
        <w:spacing w:line="360" w:lineRule="auto"/>
        <w:ind w:firstLine="480" w:firstLineChars="200"/>
        <w:rPr>
          <w:rFonts w:hint="eastAsia" w:ascii="宋体" w:hAnsi="宋体"/>
          <w:color w:val="auto"/>
          <w:szCs w:val="21"/>
        </w:rPr>
      </w:pPr>
      <w:r>
        <w:rPr>
          <w:rFonts w:hint="eastAsia" w:ascii="宋体" w:hAnsi="宋体"/>
          <w:color w:val="auto"/>
          <w:szCs w:val="21"/>
        </w:rPr>
        <w:t>3.9.1 除第二章“投标人须知”前附表授权直接确定中标人外，评标委员会按照得分由高到低的顺序推荐中标候选人，并标明排序。</w:t>
      </w:r>
    </w:p>
    <w:p>
      <w:pPr>
        <w:spacing w:line="360" w:lineRule="auto"/>
        <w:ind w:firstLine="566" w:firstLineChars="236"/>
        <w:rPr>
          <w:rFonts w:hint="eastAsia" w:ascii="宋体" w:hAnsi="宋体"/>
          <w:color w:val="auto"/>
          <w:szCs w:val="21"/>
        </w:rPr>
        <w:sectPr>
          <w:footnotePr>
            <w:numRestart w:val="eachPage"/>
          </w:footnotePr>
          <w:pgSz w:w="11900" w:h="16838"/>
          <w:pgMar w:top="1803" w:right="1440" w:bottom="1803" w:left="1440" w:header="680" w:footer="680" w:gutter="0"/>
          <w:cols w:space="720" w:num="1"/>
          <w:docGrid w:linePitch="360" w:charSpace="0"/>
        </w:sectPr>
      </w:pPr>
      <w:r>
        <w:rPr>
          <w:rFonts w:hint="eastAsia" w:ascii="宋体" w:hAnsi="宋体"/>
          <w:color w:val="auto"/>
          <w:szCs w:val="21"/>
        </w:rPr>
        <w:t>3.9.2 评标委员会完成评标后，应向招标人提交书面评标报告。</w:t>
      </w:r>
    </w:p>
    <w:p>
      <w:pPr>
        <w:pStyle w:val="215"/>
        <w:shd w:val="clear" w:color="auto" w:fill="auto"/>
        <w:spacing w:before="0" w:line="360" w:lineRule="auto"/>
        <w:jc w:val="both"/>
        <w:rPr>
          <w:rFonts w:ascii="宋体" w:hAnsi="宋体" w:eastAsia="宋体"/>
          <w:sz w:val="2"/>
          <w:szCs w:val="2"/>
          <w:lang w:val="en-US"/>
        </w:rPr>
      </w:pPr>
    </w:p>
    <w:p>
      <w:pPr>
        <w:pStyle w:val="613"/>
        <w:shd w:val="clear" w:color="auto" w:fill="auto"/>
        <w:spacing w:after="0" w:line="500" w:lineRule="exact"/>
        <w:rPr>
          <w:rStyle w:val="612"/>
          <w:rFonts w:ascii="黑体" w:hAnsi="宋体" w:eastAsia="黑体"/>
        </w:rPr>
      </w:pPr>
      <w:r>
        <w:rPr>
          <w:rStyle w:val="612"/>
          <w:rFonts w:hint="eastAsia" w:ascii="黑体" w:hAnsi="宋体" w:eastAsia="黑体"/>
          <w:sz w:val="36"/>
          <w:szCs w:val="36"/>
        </w:rPr>
        <w:t>第三章</w:t>
      </w:r>
      <w:r>
        <w:rPr>
          <w:rStyle w:val="612"/>
          <w:rFonts w:hint="eastAsia" w:ascii="黑体" w:hAnsi="宋体" w:eastAsia="黑体"/>
          <w:sz w:val="36"/>
          <w:szCs w:val="36"/>
          <w:lang w:val="en-US" w:eastAsia="zh-CN"/>
        </w:rPr>
        <w:t xml:space="preserve"> </w:t>
      </w:r>
      <w:r>
        <w:rPr>
          <w:rStyle w:val="612"/>
          <w:rFonts w:hint="eastAsia" w:ascii="黑体" w:hAnsi="宋体" w:eastAsia="黑体"/>
          <w:sz w:val="36"/>
          <w:szCs w:val="36"/>
        </w:rPr>
        <w:t>评标办法</w:t>
      </w:r>
    </w:p>
    <w:p>
      <w:pPr>
        <w:pStyle w:val="84"/>
        <w:snapToGrid w:val="0"/>
        <w:spacing w:line="360" w:lineRule="auto"/>
        <w:outlineLvl w:val="1"/>
        <w:rPr>
          <w:sz w:val="24"/>
          <w:szCs w:val="13"/>
        </w:rPr>
      </w:pPr>
      <w:r>
        <w:rPr>
          <w:rFonts w:hint="eastAsia"/>
          <w:bCs/>
          <w:sz w:val="24"/>
          <w:szCs w:val="13"/>
        </w:rPr>
        <w:t>（</w:t>
      </w:r>
      <w:r>
        <w:rPr>
          <w:rFonts w:hint="eastAsia"/>
          <w:sz w:val="24"/>
          <w:szCs w:val="13"/>
        </w:rPr>
        <w:t>双信封的</w:t>
      </w:r>
      <w:r>
        <w:rPr>
          <w:rFonts w:hint="eastAsia"/>
          <w:bCs/>
          <w:sz w:val="24"/>
          <w:szCs w:val="13"/>
          <w:lang w:val="en-US" w:eastAsia="zh-CN"/>
        </w:rPr>
        <w:t>综合评分法</w:t>
      </w:r>
      <w:r>
        <w:rPr>
          <w:rFonts w:hint="eastAsia" w:ascii="宋体" w:hAnsi="宋体" w:cs="宋体"/>
          <w:bCs/>
          <w:sz w:val="24"/>
          <w:szCs w:val="13"/>
          <w:lang w:val="en-US" w:eastAsia="zh-CN"/>
        </w:rPr>
        <w:t>Ⅲ</w:t>
      </w:r>
      <w:r>
        <w:rPr>
          <w:rFonts w:hint="eastAsia"/>
          <w:bCs/>
          <w:sz w:val="24"/>
          <w:szCs w:val="13"/>
          <w:lang w:val="en-US" w:eastAsia="zh-CN"/>
        </w:rPr>
        <w:t>，适用于勘察设计同时招标</w:t>
      </w:r>
      <w:r>
        <w:rPr>
          <w:rFonts w:hint="eastAsia"/>
          <w:bCs/>
          <w:sz w:val="24"/>
          <w:szCs w:val="13"/>
        </w:rPr>
        <w:t>）</w:t>
      </w:r>
    </w:p>
    <w:p>
      <w:pPr>
        <w:pStyle w:val="84"/>
        <w:snapToGrid w:val="0"/>
        <w:spacing w:line="360" w:lineRule="auto"/>
        <w:jc w:val="left"/>
        <w:outlineLvl w:val="1"/>
        <w:rPr>
          <w:b w:val="0"/>
          <w:sz w:val="24"/>
          <w:szCs w:val="13"/>
        </w:rPr>
      </w:pPr>
      <w:r>
        <w:rPr>
          <w:rFonts w:hint="eastAsia"/>
          <w:sz w:val="24"/>
          <w:szCs w:val="13"/>
        </w:rPr>
        <w:t>评标办法前附表</w:t>
      </w:r>
      <w:r>
        <w:rPr>
          <w:rStyle w:val="101"/>
          <w:rFonts w:hint="eastAsia" w:ascii="宋体" w:hAnsi="宋体"/>
          <w:b w:val="0"/>
          <w:sz w:val="30"/>
          <w:szCs w:val="24"/>
          <w:lang w:val="en-US" w:eastAsia="zh-CN"/>
        </w:rPr>
        <w:footnoteReference w:id="84"/>
      </w:r>
    </w:p>
    <w:tbl>
      <w:tblPr>
        <w:tblStyle w:val="88"/>
        <w:tblW w:w="0" w:type="auto"/>
        <w:tblInd w:w="39" w:type="dxa"/>
        <w:tblLayout w:type="fixed"/>
        <w:tblCellMar>
          <w:top w:w="0" w:type="dxa"/>
          <w:left w:w="0" w:type="dxa"/>
          <w:bottom w:w="0" w:type="dxa"/>
          <w:right w:w="0" w:type="dxa"/>
        </w:tblCellMar>
      </w:tblPr>
      <w:tblGrid>
        <w:gridCol w:w="871"/>
        <w:gridCol w:w="1463"/>
        <w:gridCol w:w="6637"/>
      </w:tblGrid>
      <w:tr>
        <w:tblPrEx>
          <w:tblCellMar>
            <w:top w:w="0" w:type="dxa"/>
            <w:left w:w="0" w:type="dxa"/>
            <w:bottom w:w="0" w:type="dxa"/>
            <w:right w:w="0" w:type="dxa"/>
          </w:tblCellMar>
        </w:tblPrEx>
        <w:trPr>
          <w:tblHeader/>
        </w:trPr>
        <w:tc>
          <w:tcPr>
            <w:tcW w:w="871"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b/>
                <w:bCs/>
                <w:sz w:val="21"/>
                <w:szCs w:val="21"/>
                <w:lang w:val="en-US" w:eastAsia="zh-CN"/>
              </w:rPr>
            </w:pPr>
            <w:r>
              <w:rPr>
                <w:rStyle w:val="387"/>
                <w:rFonts w:hint="eastAsia" w:ascii="宋体" w:hAnsi="宋体" w:eastAsia="宋体"/>
                <w:b/>
                <w:bCs/>
                <w:sz w:val="21"/>
                <w:szCs w:val="21"/>
                <w:lang w:val="zh-CN" w:eastAsia="zh-CN"/>
              </w:rPr>
              <w:t>条款号</w:t>
            </w:r>
          </w:p>
        </w:tc>
        <w:tc>
          <w:tcPr>
            <w:tcW w:w="1463" w:type="dxa"/>
            <w:tcBorders>
              <w:top w:val="single" w:color="auto" w:sz="4" w:space="0"/>
              <w:left w:val="single" w:color="auto" w:sz="4" w:space="0"/>
              <w:bottom w:val="nil"/>
              <w:right w:val="nil"/>
            </w:tcBorders>
            <w:shd w:val="clear" w:color="auto" w:fill="FFFFFF"/>
            <w:noWrap w:val="0"/>
            <w:vAlign w:val="bottom"/>
          </w:tcPr>
          <w:p>
            <w:pPr>
              <w:pStyle w:val="215"/>
              <w:keepNext w:val="0"/>
              <w:keepLines w:val="0"/>
              <w:suppressLineNumbers w:val="0"/>
              <w:shd w:val="clear" w:color="auto" w:fill="auto"/>
              <w:spacing w:before="0" w:beforeAutospacing="0" w:after="0" w:afterAutospacing="0" w:line="360" w:lineRule="auto"/>
              <w:ind w:left="0" w:right="0"/>
              <w:jc w:val="center"/>
              <w:rPr>
                <w:rStyle w:val="387"/>
                <w:rFonts w:hint="default" w:ascii="宋体" w:hAnsi="宋体" w:eastAsia="宋体"/>
                <w:b/>
                <w:bCs/>
                <w:sz w:val="21"/>
                <w:szCs w:val="21"/>
                <w:lang w:val="en-US" w:eastAsia="zh-CN"/>
              </w:rPr>
            </w:pPr>
            <w:r>
              <w:rPr>
                <w:rStyle w:val="387"/>
                <w:rFonts w:hint="eastAsia" w:ascii="宋体" w:hAnsi="宋体" w:eastAsia="宋体"/>
                <w:b/>
                <w:bCs/>
                <w:sz w:val="21"/>
                <w:szCs w:val="21"/>
                <w:lang w:val="en-US" w:eastAsia="zh-CN"/>
              </w:rPr>
              <w:t>条款内容</w:t>
            </w:r>
          </w:p>
        </w:tc>
        <w:tc>
          <w:tcPr>
            <w:tcW w:w="6637" w:type="dxa"/>
            <w:tcBorders>
              <w:top w:val="single" w:color="auto" w:sz="4" w:space="0"/>
              <w:left w:val="single" w:color="auto" w:sz="4" w:space="0"/>
              <w:bottom w:val="nil"/>
              <w:right w:val="single" w:color="auto" w:sz="4" w:space="0"/>
            </w:tcBorders>
            <w:shd w:val="clear" w:color="auto" w:fill="FFFFFF"/>
            <w:noWrap w:val="0"/>
            <w:vAlign w:val="bottom"/>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b/>
                <w:bCs/>
                <w:sz w:val="21"/>
                <w:szCs w:val="21"/>
                <w:lang w:val="en-US" w:eastAsia="zh-CN"/>
              </w:rPr>
            </w:pPr>
            <w:r>
              <w:rPr>
                <w:rStyle w:val="387"/>
                <w:rFonts w:hint="eastAsia" w:ascii="宋体" w:hAnsi="宋体" w:eastAsia="宋体"/>
                <w:b/>
                <w:bCs/>
                <w:sz w:val="21"/>
                <w:szCs w:val="21"/>
                <w:lang w:val="zh-CN" w:eastAsia="zh-CN"/>
              </w:rPr>
              <w:t>评审因素与评审标准</w:t>
            </w:r>
          </w:p>
        </w:tc>
      </w:tr>
      <w:tr>
        <w:tblPrEx>
          <w:tblCellMar>
            <w:top w:w="0" w:type="dxa"/>
            <w:left w:w="0" w:type="dxa"/>
            <w:bottom w:w="0" w:type="dxa"/>
            <w:right w:w="0" w:type="dxa"/>
          </w:tblCellMar>
        </w:tblPrEx>
        <w:tc>
          <w:tcPr>
            <w:tcW w:w="871"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387"/>
                <w:rFonts w:hint="default" w:ascii="宋体" w:hAnsi="宋体" w:eastAsia="宋体"/>
                <w:sz w:val="21"/>
                <w:szCs w:val="21"/>
                <w:lang w:val="zh-CN" w:eastAsia="zh-CN"/>
              </w:rPr>
              <w:t>1</w:t>
            </w:r>
          </w:p>
        </w:tc>
        <w:tc>
          <w:tcPr>
            <w:tcW w:w="1463" w:type="dxa"/>
            <w:tcBorders>
              <w:top w:val="single" w:color="auto" w:sz="4" w:space="0"/>
              <w:left w:val="single" w:color="auto" w:sz="4" w:space="0"/>
              <w:bottom w:val="nil"/>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387"/>
                <w:rFonts w:hint="eastAsia" w:ascii="宋体" w:hAnsi="宋体" w:eastAsia="宋体"/>
                <w:sz w:val="21"/>
                <w:szCs w:val="21"/>
                <w:lang w:val="zh-CN" w:eastAsia="zh-CN"/>
              </w:rPr>
              <w:t>评标方法</w:t>
            </w:r>
          </w:p>
        </w:tc>
        <w:tc>
          <w:tcPr>
            <w:tcW w:w="6637" w:type="dxa"/>
            <w:tcBorders>
              <w:top w:val="single" w:color="auto" w:sz="4" w:space="0"/>
              <w:left w:val="single" w:color="auto" w:sz="4" w:space="0"/>
              <w:bottom w:val="nil"/>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141" w:rightChars="59" w:firstLine="540"/>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综合评分相等时，评标委员会依次按照以下优先顺序推荐中标候选人或确定中标人：</w:t>
            </w:r>
          </w:p>
          <w:p>
            <w:pPr>
              <w:pStyle w:val="215"/>
              <w:keepNext w:val="0"/>
              <w:keepLines w:val="0"/>
              <w:suppressLineNumbers w:val="0"/>
              <w:shd w:val="clear" w:color="auto" w:fill="auto"/>
              <w:tabs>
                <w:tab w:val="left" w:pos="1050"/>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（1）评标价低的优先；</w:t>
            </w:r>
          </w:p>
          <w:p>
            <w:pPr>
              <w:pStyle w:val="215"/>
              <w:keepNext w:val="0"/>
              <w:keepLines w:val="0"/>
              <w:suppressLineNumbers w:val="0"/>
              <w:shd w:val="clear" w:color="auto" w:fill="auto"/>
              <w:tabs>
                <w:tab w:val="left" w:pos="1050"/>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（2）</w:t>
            </w:r>
            <w:r>
              <w:rPr>
                <w:rStyle w:val="333"/>
                <w:rFonts w:hint="eastAsia" w:ascii="宋体" w:hAnsi="Times New Roman" w:eastAsia="宋体"/>
                <w:sz w:val="21"/>
                <w:szCs w:val="21"/>
                <w:lang w:val="zh-CN" w:eastAsia="zh-CN"/>
              </w:rPr>
              <w:t>按招标文件规定被认定为最新年度湛江市水运工程从业单位信用评价等级较高的投标人优先</w:t>
            </w:r>
            <w:r>
              <w:rPr>
                <w:rStyle w:val="333"/>
                <w:rFonts w:hint="eastAsia" w:ascii="宋体" w:hAnsi="宋体" w:eastAsia="宋体"/>
                <w:sz w:val="21"/>
                <w:szCs w:val="21"/>
                <w:lang w:val="zh-CN" w:eastAsia="zh-CN"/>
              </w:rPr>
              <w:t>：</w:t>
            </w:r>
          </w:p>
          <w:p>
            <w:pPr>
              <w:pStyle w:val="215"/>
              <w:keepNext w:val="0"/>
              <w:keepLines w:val="0"/>
              <w:suppressLineNumbers w:val="0"/>
              <w:shd w:val="clear" w:color="auto" w:fill="auto"/>
              <w:tabs>
                <w:tab w:val="left" w:pos="1050"/>
              </w:tabs>
              <w:spacing w:before="0" w:beforeAutospacing="0" w:after="0" w:afterAutospacing="0" w:line="360" w:lineRule="auto"/>
              <w:ind w:left="0" w:right="141" w:rightChars="59"/>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【承诺使用的AA级投标人、不承诺使用的AA级投标人、承诺使用的A级投标人、不承诺使用的A级投标人、B级投标人、未参评且被确定为B级投标人】；</w:t>
            </w:r>
          </w:p>
          <w:p>
            <w:pPr>
              <w:keepNext w:val="0"/>
              <w:keepLines w:val="0"/>
              <w:suppressLineNumbers w:val="0"/>
              <w:adjustRightInd w:val="0"/>
              <w:snapToGrid w:val="0"/>
              <w:spacing w:before="0" w:beforeAutospacing="0" w:after="0" w:afterAutospacing="0" w:line="360" w:lineRule="auto"/>
              <w:ind w:left="0" w:right="141" w:rightChars="59"/>
              <w:jc w:val="both"/>
              <w:rPr>
                <w:rStyle w:val="333"/>
                <w:rFonts w:hint="eastAsia" w:ascii="宋体" w:hAnsi="宋体" w:eastAsia="宋体"/>
                <w:color w:val="auto"/>
                <w:sz w:val="21"/>
                <w:szCs w:val="21"/>
              </w:rPr>
            </w:pPr>
            <w:r>
              <w:rPr>
                <w:rStyle w:val="333"/>
                <w:rFonts w:hint="eastAsia" w:ascii="宋体" w:hAnsi="宋体" w:eastAsia="宋体"/>
                <w:color w:val="auto"/>
                <w:sz w:val="21"/>
                <w:szCs w:val="21"/>
              </w:rPr>
              <w:t>（3）</w:t>
            </w:r>
            <w:r>
              <w:rPr>
                <w:rStyle w:val="333"/>
                <w:rFonts w:hint="eastAsia" w:ascii="宋体" w:hAnsi="宋体" w:eastAsia="宋体"/>
                <w:color w:val="auto"/>
                <w:sz w:val="21"/>
                <w:szCs w:val="21"/>
                <w:lang w:val="en-US"/>
              </w:rPr>
              <w:t>商务和技术得分较高的投标人</w:t>
            </w:r>
            <w:r>
              <w:rPr>
                <w:rStyle w:val="333"/>
                <w:rFonts w:hint="eastAsia" w:ascii="宋体" w:hAnsi="宋体" w:eastAsia="宋体"/>
                <w:color w:val="auto"/>
                <w:sz w:val="21"/>
                <w:szCs w:val="21"/>
              </w:rPr>
              <w:t>优先；</w:t>
            </w:r>
          </w:p>
          <w:p>
            <w:pPr>
              <w:pStyle w:val="215"/>
              <w:keepNext w:val="0"/>
              <w:keepLines w:val="0"/>
              <w:suppressLineNumbers w:val="0"/>
              <w:shd w:val="clear" w:color="auto" w:fill="auto"/>
              <w:tabs>
                <w:tab w:val="left" w:pos="1087"/>
              </w:tabs>
              <w:spacing w:before="0" w:beforeAutospacing="0" w:after="0" w:afterAutospacing="0" w:line="360" w:lineRule="auto"/>
              <w:ind w:left="0" w:right="141" w:rightChars="59"/>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zh-CN" w:eastAsia="zh-CN"/>
              </w:rPr>
              <w:t>（4）评标委员会视投标人情况综合比较，投票确定其名次。</w:t>
            </w:r>
          </w:p>
        </w:tc>
      </w:tr>
      <w:tr>
        <w:tblPrEx>
          <w:tblCellMar>
            <w:top w:w="0" w:type="dxa"/>
            <w:left w:w="0" w:type="dxa"/>
            <w:bottom w:w="0" w:type="dxa"/>
            <w:right w:w="0" w:type="dxa"/>
          </w:tblCellMar>
        </w:tblPrEx>
        <w:tc>
          <w:tcPr>
            <w:tcW w:w="871"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MingLiU"/>
                <w:sz w:val="21"/>
                <w:szCs w:val="21"/>
                <w:lang w:val="en-US" w:eastAsia="zh-CN"/>
              </w:rPr>
            </w:pPr>
            <w:r>
              <w:rPr>
                <w:rStyle w:val="291"/>
                <w:rFonts w:hint="eastAsia" w:ascii="宋体" w:hAnsi="宋体" w:eastAsia="宋体"/>
                <w:sz w:val="21"/>
                <w:szCs w:val="21"/>
                <w:lang w:val="en-US" w:eastAsia="zh-CN"/>
              </w:rPr>
              <w:t>2.1.1</w:t>
            </w:r>
          </w:p>
          <w:p>
            <w:pPr>
              <w:pStyle w:val="215"/>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MingLiU"/>
                <w:sz w:val="21"/>
                <w:szCs w:val="21"/>
                <w:lang w:val="en-US" w:eastAsia="zh-CN"/>
              </w:rPr>
            </w:pPr>
            <w:r>
              <w:rPr>
                <w:rStyle w:val="387"/>
                <w:rFonts w:hint="eastAsia" w:ascii="宋体" w:hAnsi="宋体" w:eastAsia="宋体"/>
                <w:sz w:val="21"/>
                <w:szCs w:val="21"/>
                <w:lang w:val="en-US" w:eastAsia="zh-CN"/>
              </w:rPr>
              <w:t>2.1.3</w:t>
            </w:r>
          </w:p>
        </w:tc>
        <w:tc>
          <w:tcPr>
            <w:tcW w:w="146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形式评审与响应性评审标准</w:t>
            </w:r>
          </w:p>
        </w:tc>
        <w:tc>
          <w:tcPr>
            <w:tcW w:w="6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152"/>
                <w:rFonts w:hint="eastAsia" w:ascii="宋体" w:hAnsi="宋体" w:eastAsia="宋体"/>
                <w:b w:val="0"/>
                <w:sz w:val="21"/>
                <w:szCs w:val="21"/>
                <w:lang w:val="zh-CN" w:eastAsia="zh-CN"/>
              </w:rPr>
              <w:t>第一个信封（商务及技术文件）评审标准：</w:t>
            </w:r>
          </w:p>
          <w:p>
            <w:pPr>
              <w:pStyle w:val="215"/>
              <w:keepNext w:val="0"/>
              <w:keepLines w:val="0"/>
              <w:suppressLineNumbers w:val="0"/>
              <w:shd w:val="clear" w:color="auto" w:fill="auto"/>
              <w:tabs>
                <w:tab w:val="left" w:pos="946"/>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（1）投标文件按照招标文件规定的格式、内容填写，字迹清晰可辨：</w:t>
            </w:r>
          </w:p>
          <w:p>
            <w:pPr>
              <w:pStyle w:val="215"/>
              <w:keepNext w:val="0"/>
              <w:keepLines w:val="0"/>
              <w:suppressLineNumbers w:val="0"/>
              <w:shd w:val="clear" w:color="auto" w:fill="auto"/>
              <w:tabs>
                <w:tab w:val="left" w:pos="566"/>
                <w:tab w:val="left" w:pos="805"/>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a.投标函按招标文件规定填报了项目名称、标段号（如有）、</w:t>
            </w:r>
            <w:r>
              <w:rPr>
                <w:rStyle w:val="333"/>
                <w:rFonts w:hint="eastAsia" w:ascii="宋体" w:hAnsi="宋体" w:eastAsia="宋体"/>
                <w:sz w:val="21"/>
                <w:szCs w:val="21"/>
                <w:lang w:val="en-US" w:eastAsia="zh-CN"/>
              </w:rPr>
              <w:t>服务期限</w:t>
            </w:r>
            <w:r>
              <w:rPr>
                <w:rStyle w:val="333"/>
                <w:rFonts w:hint="eastAsia" w:ascii="宋体" w:hAnsi="宋体" w:eastAsia="宋体"/>
                <w:sz w:val="21"/>
                <w:szCs w:val="21"/>
                <w:lang w:val="zh-CN" w:eastAsia="zh-CN"/>
              </w:rPr>
              <w:t>、工程质量要求及安全目标；</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b.投标文件组成齐全完整，内容均按规定填写。</w:t>
            </w:r>
          </w:p>
          <w:p>
            <w:pPr>
              <w:pStyle w:val="215"/>
              <w:keepNext w:val="0"/>
              <w:keepLines w:val="0"/>
              <w:suppressLineNumbers w:val="0"/>
              <w:shd w:val="clear" w:color="auto" w:fill="auto"/>
              <w:tabs>
                <w:tab w:val="left" w:pos="948"/>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（2）投标文件上法定代表人或其委托代理人的签字、投标人的单位章盖章齐全，符合招标文件规定。</w:t>
            </w:r>
          </w:p>
          <w:p>
            <w:pPr>
              <w:pStyle w:val="215"/>
              <w:keepNext w:val="0"/>
              <w:keepLines w:val="0"/>
              <w:suppressLineNumbers w:val="0"/>
              <w:shd w:val="clear" w:color="auto" w:fill="auto"/>
              <w:tabs>
                <w:tab w:val="left" w:pos="948"/>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（3）投标人按照招标文件的规定提供了投标保证金：</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Style w:val="333"/>
                <w:rFonts w:hint="default" w:ascii="宋体" w:hAnsi="宋体" w:eastAsia="宋体"/>
                <w:sz w:val="21"/>
                <w:szCs w:val="21"/>
                <w:lang w:val="zh-CN" w:eastAsia="zh-CN"/>
              </w:rPr>
            </w:pPr>
            <w:r>
              <w:rPr>
                <w:rStyle w:val="153"/>
                <w:rFonts w:hint="default" w:ascii="宋体" w:hAnsi="宋体" w:eastAsia="宋体"/>
                <w:sz w:val="21"/>
                <w:szCs w:val="21"/>
                <w:lang w:eastAsia="zh-CN"/>
              </w:rPr>
              <w:t>a</w:t>
            </w:r>
            <w:r>
              <w:rPr>
                <w:rStyle w:val="333"/>
                <w:rFonts w:hint="default" w:ascii="宋体" w:hAnsi="宋体" w:eastAsia="宋体"/>
                <w:sz w:val="21"/>
                <w:szCs w:val="21"/>
                <w:lang w:val="zh-CN" w:eastAsia="zh-CN"/>
              </w:rPr>
              <w:t>.</w:t>
            </w:r>
            <w:r>
              <w:rPr>
                <w:rStyle w:val="333"/>
                <w:rFonts w:hint="eastAsia" w:ascii="宋体" w:hAnsi="宋体" w:eastAsia="宋体"/>
                <w:sz w:val="21"/>
                <w:szCs w:val="21"/>
                <w:lang w:val="zh-CN" w:eastAsia="zh-CN"/>
              </w:rPr>
              <w:t>投标保证金金额符合招标文件规定的金额，且投标保证金有效期不少于投标有效期；</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153"/>
                <w:rFonts w:hint="default" w:ascii="宋体" w:hAnsi="宋体" w:eastAsia="宋体"/>
                <w:sz w:val="21"/>
                <w:szCs w:val="21"/>
                <w:lang w:eastAsia="zh-CN"/>
              </w:rPr>
              <w:t>b</w:t>
            </w:r>
            <w:r>
              <w:rPr>
                <w:rStyle w:val="333"/>
                <w:rFonts w:hint="default" w:ascii="宋体" w:hAnsi="宋体" w:eastAsia="宋体"/>
                <w:sz w:val="21"/>
                <w:szCs w:val="21"/>
                <w:lang w:val="zh-CN" w:eastAsia="zh-CN"/>
              </w:rPr>
              <w:t>.</w:t>
            </w:r>
            <w:r>
              <w:rPr>
                <w:rStyle w:val="333"/>
                <w:rFonts w:hint="eastAsia" w:ascii="宋体" w:hAnsi="宋体" w:eastAsia="宋体"/>
                <w:sz w:val="21"/>
                <w:szCs w:val="21"/>
                <w:lang w:val="zh-CN" w:eastAsia="zh-CN"/>
              </w:rPr>
              <w:t>若投标保证金采用现金或支票形式提交，投标人应在投标人须知3.4.1款规定的时间，将投标保证金由投标人的基本账户转入招标人指定账户；</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Style w:val="333"/>
                <w:rFonts w:hint="eastAsia" w:ascii="宋体" w:hAnsi="宋体" w:eastAsia="宋体"/>
                <w:sz w:val="21"/>
                <w:szCs w:val="21"/>
                <w:lang w:val="zh-CN" w:eastAsia="zh-CN"/>
              </w:rPr>
            </w:pPr>
            <w:r>
              <w:rPr>
                <w:rStyle w:val="194"/>
                <w:rFonts w:hint="eastAsia" w:ascii="宋体" w:hAnsi="宋体" w:eastAsia="宋体"/>
                <w:sz w:val="21"/>
                <w:szCs w:val="21"/>
                <w:lang w:eastAsia="zh-CN"/>
              </w:rPr>
              <w:t>c.</w:t>
            </w:r>
            <w:r>
              <w:rPr>
                <w:rStyle w:val="333"/>
                <w:rFonts w:hint="eastAsia" w:ascii="宋体" w:hAnsi="宋体" w:eastAsia="宋体"/>
                <w:sz w:val="21"/>
                <w:szCs w:val="21"/>
                <w:lang w:val="zh-CN" w:eastAsia="zh-CN"/>
              </w:rPr>
              <w:t>若投标保证金采用银行保函形式提交，银行保函的格式、开具保函的银行均满足招标文件要求，</w:t>
            </w:r>
            <w:r>
              <w:rPr>
                <w:rStyle w:val="333"/>
                <w:rFonts w:hint="default" w:ascii="宋体" w:hAnsi="宋体" w:eastAsia="宋体"/>
                <w:sz w:val="21"/>
                <w:szCs w:val="21"/>
                <w:lang w:val="zh-CN" w:eastAsia="zh-CN"/>
              </w:rPr>
              <w:t>银行保函原件在</w:t>
            </w:r>
            <w:r>
              <w:rPr>
                <w:rStyle w:val="333"/>
                <w:rFonts w:hint="eastAsia" w:ascii="宋体" w:hAnsi="宋体" w:eastAsia="宋体"/>
                <w:sz w:val="21"/>
                <w:szCs w:val="21"/>
                <w:lang w:val="zh-CN" w:eastAsia="zh-CN"/>
              </w:rPr>
              <w:t>递交</w:t>
            </w:r>
            <w:r>
              <w:rPr>
                <w:rStyle w:val="333"/>
                <w:rFonts w:hint="default" w:ascii="宋体" w:hAnsi="宋体" w:eastAsia="宋体"/>
                <w:sz w:val="21"/>
                <w:szCs w:val="21"/>
                <w:lang w:val="zh-CN" w:eastAsia="zh-CN"/>
              </w:rPr>
              <w:t>投标文件</w:t>
            </w:r>
            <w:r>
              <w:rPr>
                <w:rStyle w:val="333"/>
                <w:rFonts w:hint="eastAsia" w:ascii="宋体" w:hAnsi="宋体" w:eastAsia="宋体"/>
                <w:sz w:val="21"/>
                <w:szCs w:val="21"/>
                <w:lang w:val="zh-CN" w:eastAsia="zh-CN"/>
              </w:rPr>
              <w:t>时单独密封递交，其复印件装订在投标文件中；</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d.若投标保证金采用其他形式形式提交，应满足投标人须知前附表3.4.1项的规定。</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（4）投标人法定代表人授权委托代理人签署投标文件的，需提交授权委托书，且授权人和被授权人均在授权委托书上签名，未使用印章、签名章或其他电子制版签名代替。</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（5）投标人法定代表人亲自签署投标文件的，提供了法定代表人身份证明，且法定代表人在法定代表人身份证明上签名，未使用印章、签名章或其他电子制版签名代替。</w:t>
            </w:r>
          </w:p>
          <w:p>
            <w:pPr>
              <w:pStyle w:val="215"/>
              <w:keepNext w:val="0"/>
              <w:keepLines w:val="0"/>
              <w:suppressLineNumbers w:val="0"/>
              <w:shd w:val="clear" w:color="auto" w:fill="auto"/>
              <w:tabs>
                <w:tab w:val="left" w:pos="1035"/>
              </w:tabs>
              <w:spacing w:before="0" w:beforeAutospacing="0" w:after="0" w:afterAutospacing="0" w:line="360" w:lineRule="auto"/>
              <w:ind w:left="0" w:right="141" w:rightChars="59"/>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（6）投标人以联合体形式投标时，联合体满足招标文件的要求：投标人按照招标文件提供的格式签订了联合体协议书，明确各方承担连带责任，并明确了联合体牵头人</w:t>
            </w:r>
            <w:r>
              <w:rPr>
                <w:rStyle w:val="333"/>
                <w:rFonts w:hint="eastAsia" w:ascii="宋体" w:hAnsi="宋体" w:eastAsia="宋体"/>
                <w:sz w:val="21"/>
                <w:szCs w:val="21"/>
                <w:lang w:val="en-US" w:eastAsia="zh-CN"/>
              </w:rPr>
              <w:t>。</w:t>
            </w:r>
            <w:r>
              <w:rPr>
                <w:rStyle w:val="333"/>
                <w:rFonts w:hint="eastAsia" w:ascii="宋体" w:hAnsi="宋体" w:eastAsia="宋体"/>
                <w:sz w:val="21"/>
                <w:szCs w:val="21"/>
                <w:lang w:val="zh-CN" w:eastAsia="zh-CN"/>
              </w:rPr>
              <w:t>（适用于允许联合体投标的）</w:t>
            </w:r>
          </w:p>
          <w:p>
            <w:pPr>
              <w:pStyle w:val="215"/>
              <w:keepNext w:val="0"/>
              <w:keepLines w:val="0"/>
              <w:suppressLineNumbers w:val="0"/>
              <w:shd w:val="clear" w:color="auto" w:fill="auto"/>
              <w:tabs>
                <w:tab w:val="left" w:pos="1035"/>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cs="宋体"/>
                <w:sz w:val="21"/>
                <w:szCs w:val="21"/>
                <w:lang w:val="zh-CN" w:eastAsia="zh-CN"/>
              </w:rPr>
              <w:t>（6）投标人未以联合体形式投标。（适用于不允许联合体投标的）</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（7）投标人如有分包计划，符合招标文件第二章“投标人须知”第</w:t>
            </w:r>
            <w:r>
              <w:rPr>
                <w:rStyle w:val="333"/>
                <w:rFonts w:hint="default" w:ascii="宋体" w:hAnsi="宋体" w:eastAsia="宋体"/>
                <w:sz w:val="21"/>
                <w:szCs w:val="21"/>
                <w:lang w:val="zh-CN" w:eastAsia="zh-CN"/>
              </w:rPr>
              <w:t>1.11</w:t>
            </w:r>
            <w:r>
              <w:rPr>
                <w:rStyle w:val="333"/>
                <w:rFonts w:hint="eastAsia" w:ascii="宋体" w:hAnsi="宋体" w:eastAsia="宋体"/>
                <w:sz w:val="21"/>
                <w:szCs w:val="21"/>
                <w:lang w:val="zh-CN" w:eastAsia="zh-CN"/>
              </w:rPr>
              <w:t>款规定，且按招标文件第</w:t>
            </w:r>
            <w:r>
              <w:rPr>
                <w:rStyle w:val="333"/>
                <w:rFonts w:hint="eastAsia" w:ascii="宋体" w:hAnsi="宋体" w:eastAsia="宋体"/>
                <w:sz w:val="21"/>
                <w:szCs w:val="21"/>
                <w:lang w:val="en-US" w:eastAsia="zh-CN"/>
              </w:rPr>
              <w:t>六</w:t>
            </w:r>
            <w:r>
              <w:rPr>
                <w:rStyle w:val="333"/>
                <w:rFonts w:hint="eastAsia" w:ascii="宋体" w:hAnsi="宋体" w:eastAsia="宋体"/>
                <w:sz w:val="21"/>
                <w:szCs w:val="21"/>
                <w:lang w:val="zh-CN" w:eastAsia="zh-CN"/>
              </w:rPr>
              <w:t>章“投标文件格式”的要求填写了“拟分包项目情况表”。</w:t>
            </w:r>
          </w:p>
          <w:p>
            <w:pPr>
              <w:pStyle w:val="215"/>
              <w:keepNext w:val="0"/>
              <w:keepLines w:val="0"/>
              <w:suppressLineNumbers w:val="0"/>
              <w:shd w:val="clear" w:color="auto" w:fill="auto"/>
              <w:tabs>
                <w:tab w:val="left" w:pos="924"/>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（8）同一投标人未提交两个以上不同的投标文件，但招标文件要求提交备选投标的除外。</w:t>
            </w:r>
          </w:p>
          <w:p>
            <w:pPr>
              <w:pStyle w:val="215"/>
              <w:keepNext w:val="0"/>
              <w:keepLines w:val="0"/>
              <w:suppressLineNumbers w:val="0"/>
              <w:shd w:val="clear" w:color="auto" w:fill="auto"/>
              <w:tabs>
                <w:tab w:val="left" w:pos="1141"/>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（9）投标文件中未出现有关投标报价的内容。</w:t>
            </w:r>
          </w:p>
          <w:p>
            <w:pPr>
              <w:pStyle w:val="215"/>
              <w:keepNext w:val="0"/>
              <w:keepLines w:val="0"/>
              <w:suppressLineNumbers w:val="0"/>
              <w:shd w:val="clear" w:color="auto" w:fill="auto"/>
              <w:tabs>
                <w:tab w:val="left" w:pos="926"/>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（10）投标文件载明的招标项目完成期限未超过招标文件规定的时限。</w:t>
            </w:r>
          </w:p>
          <w:p>
            <w:pPr>
              <w:pStyle w:val="215"/>
              <w:keepNext w:val="0"/>
              <w:keepLines w:val="0"/>
              <w:suppressLineNumbers w:val="0"/>
              <w:shd w:val="clear" w:color="auto" w:fill="auto"/>
              <w:tabs>
                <w:tab w:val="left" w:pos="1143"/>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（11）投标文件对招标文件的实质性要求和条件作出响应。</w:t>
            </w:r>
          </w:p>
          <w:p>
            <w:pPr>
              <w:pStyle w:val="215"/>
              <w:keepNext w:val="0"/>
              <w:keepLines w:val="0"/>
              <w:suppressLineNumbers w:val="0"/>
              <w:shd w:val="clear" w:color="auto" w:fill="auto"/>
              <w:tabs>
                <w:tab w:val="left" w:pos="1138"/>
              </w:tabs>
              <w:spacing w:before="0" w:beforeAutospacing="0" w:after="0" w:afterAutospacing="0" w:line="360" w:lineRule="auto"/>
              <w:ind w:left="0" w:right="141" w:rightChars="59"/>
              <w:jc w:val="both"/>
              <w:rPr>
                <w:rFonts w:hint="default" w:ascii="宋体" w:hAnsi="宋体" w:eastAsia="宋体" w:cs="MingLiU"/>
                <w:sz w:val="21"/>
                <w:szCs w:val="21"/>
                <w:lang w:val="en-US" w:eastAsia="zh-CN"/>
              </w:rPr>
            </w:pPr>
            <w:r>
              <w:rPr>
                <w:rStyle w:val="333"/>
                <w:rFonts w:hint="eastAsia" w:ascii="宋体" w:hAnsi="宋体" w:eastAsia="宋体"/>
                <w:sz w:val="21"/>
                <w:szCs w:val="21"/>
                <w:lang w:val="zh-CN" w:eastAsia="zh-CN"/>
              </w:rPr>
              <w:t>（12）权利义务符合招标文件规定：</w:t>
            </w:r>
          </w:p>
          <w:p>
            <w:pPr>
              <w:pStyle w:val="215"/>
              <w:keepNext w:val="0"/>
              <w:keepLines w:val="0"/>
              <w:suppressLineNumbers w:val="0"/>
              <w:shd w:val="clear" w:color="auto" w:fill="auto"/>
              <w:tabs>
                <w:tab w:val="left" w:pos="530"/>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en-US" w:eastAsia="zh-CN"/>
              </w:rPr>
              <w:t>a.</w:t>
            </w:r>
            <w:r>
              <w:rPr>
                <w:rStyle w:val="333"/>
                <w:rFonts w:hint="eastAsia" w:ascii="宋体" w:hAnsi="宋体" w:eastAsia="宋体"/>
                <w:sz w:val="21"/>
                <w:szCs w:val="21"/>
                <w:lang w:val="zh-CN" w:eastAsia="zh-CN"/>
              </w:rPr>
              <w:t>投标人应接受招标文件规定的风险划分原则，未提出新的风险划</w:t>
            </w:r>
            <w:r>
              <w:rPr>
                <w:rStyle w:val="455"/>
                <w:rFonts w:hint="eastAsia" w:ascii="宋体" w:hAnsi="宋体" w:eastAsia="宋体"/>
                <w:sz w:val="21"/>
                <w:szCs w:val="21"/>
                <w:lang w:val="zh-CN" w:eastAsia="zh-CN"/>
              </w:rPr>
              <w:t>分办法；</w:t>
            </w:r>
          </w:p>
          <w:p>
            <w:pPr>
              <w:pStyle w:val="215"/>
              <w:keepNext w:val="0"/>
              <w:keepLines w:val="0"/>
              <w:suppressLineNumbers w:val="0"/>
              <w:shd w:val="clear" w:color="auto" w:fill="auto"/>
              <w:tabs>
                <w:tab w:val="left" w:pos="666"/>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en-US" w:eastAsia="zh-CN"/>
              </w:rPr>
              <w:t>b.</w:t>
            </w:r>
            <w:r>
              <w:rPr>
                <w:rStyle w:val="333"/>
                <w:rFonts w:hint="eastAsia" w:ascii="宋体" w:hAnsi="宋体" w:eastAsia="宋体"/>
                <w:sz w:val="21"/>
                <w:szCs w:val="21"/>
                <w:lang w:val="zh-CN" w:eastAsia="zh-CN"/>
              </w:rPr>
              <w:t>投标人未增加发包人的责任范围，或减少投标人义务；</w:t>
            </w:r>
          </w:p>
          <w:p>
            <w:pPr>
              <w:pStyle w:val="215"/>
              <w:keepNext w:val="0"/>
              <w:keepLines w:val="0"/>
              <w:suppressLineNumbers w:val="0"/>
              <w:shd w:val="clear" w:color="auto" w:fill="auto"/>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194"/>
                <w:rFonts w:hint="eastAsia" w:ascii="宋体" w:hAnsi="宋体" w:eastAsia="宋体"/>
                <w:sz w:val="21"/>
                <w:szCs w:val="21"/>
                <w:lang w:eastAsia="zh-CN"/>
              </w:rPr>
              <w:t>c</w:t>
            </w:r>
            <w:r>
              <w:rPr>
                <w:rStyle w:val="461"/>
                <w:rFonts w:hint="default" w:ascii="宋体" w:hAnsi="宋体" w:eastAsia="宋体"/>
                <w:sz w:val="21"/>
                <w:szCs w:val="21"/>
                <w:lang w:val="en-US" w:eastAsia="zh-CN"/>
              </w:rPr>
              <w:t>.</w:t>
            </w:r>
            <w:r>
              <w:rPr>
                <w:rStyle w:val="333"/>
                <w:rFonts w:hint="eastAsia" w:ascii="宋体" w:hAnsi="宋体" w:eastAsia="宋体"/>
                <w:sz w:val="21"/>
                <w:szCs w:val="21"/>
                <w:lang w:val="zh-CN" w:eastAsia="zh-CN"/>
              </w:rPr>
              <w:t>投标人未提出不同的支付办法；</w:t>
            </w:r>
          </w:p>
          <w:p>
            <w:pPr>
              <w:pStyle w:val="215"/>
              <w:keepNext w:val="0"/>
              <w:keepLines w:val="0"/>
              <w:suppressLineNumbers w:val="0"/>
              <w:shd w:val="clear" w:color="auto" w:fill="auto"/>
              <w:tabs>
                <w:tab w:val="left" w:pos="661"/>
              </w:tabs>
              <w:spacing w:before="0" w:beforeAutospacing="0" w:after="0" w:afterAutospacing="0" w:line="360" w:lineRule="auto"/>
              <w:ind w:left="0" w:right="141" w:rightChars="59" w:firstLine="420" w:firstLineChars="200"/>
              <w:jc w:val="both"/>
              <w:rPr>
                <w:rFonts w:hint="default" w:ascii="宋体" w:hAnsi="宋体" w:eastAsia="宋体" w:cs="MingLiU"/>
                <w:sz w:val="21"/>
                <w:szCs w:val="21"/>
                <w:lang w:val="en-US" w:eastAsia="zh-CN"/>
              </w:rPr>
            </w:pPr>
            <w:r>
              <w:rPr>
                <w:rStyle w:val="333"/>
                <w:rFonts w:hint="eastAsia" w:ascii="宋体" w:hAnsi="宋体" w:eastAsia="宋体"/>
                <w:sz w:val="21"/>
                <w:szCs w:val="21"/>
                <w:lang w:val="en-US" w:eastAsia="zh-CN"/>
              </w:rPr>
              <w:t>d.</w:t>
            </w:r>
            <w:r>
              <w:rPr>
                <w:rStyle w:val="333"/>
                <w:rFonts w:hint="eastAsia" w:ascii="宋体" w:hAnsi="宋体" w:eastAsia="宋体"/>
                <w:sz w:val="21"/>
                <w:szCs w:val="21"/>
                <w:lang w:val="zh-CN" w:eastAsia="zh-CN"/>
              </w:rPr>
              <w:t>投标人对合同纠纷、事故处理办法未提出异议；</w:t>
            </w:r>
          </w:p>
          <w:p>
            <w:pPr>
              <w:pStyle w:val="215"/>
              <w:keepNext w:val="0"/>
              <w:keepLines w:val="0"/>
              <w:suppressLineNumbers w:val="0"/>
              <w:shd w:val="clear" w:color="auto" w:fill="auto"/>
              <w:tabs>
                <w:tab w:val="left" w:pos="651"/>
              </w:tabs>
              <w:spacing w:before="0" w:beforeAutospacing="0" w:after="0" w:afterAutospacing="0" w:line="360" w:lineRule="auto"/>
              <w:ind w:left="0" w:right="141" w:rightChars="59" w:firstLine="420" w:firstLineChars="200"/>
              <w:jc w:val="both"/>
              <w:rPr>
                <w:rStyle w:val="333"/>
                <w:rFonts w:hint="default" w:ascii="宋体" w:hAnsi="宋体" w:eastAsia="宋体"/>
                <w:sz w:val="21"/>
                <w:szCs w:val="21"/>
                <w:lang w:val="zh-CN" w:eastAsia="zh-CN"/>
              </w:rPr>
            </w:pPr>
            <w:r>
              <w:rPr>
                <w:rStyle w:val="333"/>
                <w:rFonts w:hint="eastAsia" w:ascii="宋体" w:hAnsi="宋体" w:eastAsia="宋体"/>
                <w:sz w:val="21"/>
                <w:szCs w:val="21"/>
                <w:lang w:val="en-US" w:eastAsia="zh-CN"/>
              </w:rPr>
              <w:t>e.</w:t>
            </w:r>
            <w:r>
              <w:rPr>
                <w:rStyle w:val="333"/>
                <w:rFonts w:hint="eastAsia" w:ascii="宋体" w:hAnsi="宋体" w:eastAsia="宋体"/>
                <w:sz w:val="21"/>
                <w:szCs w:val="21"/>
                <w:lang w:val="zh-CN" w:eastAsia="zh-CN"/>
              </w:rPr>
              <w:t>投标人在投标活动中无欺诈行为；</w:t>
            </w:r>
          </w:p>
          <w:p>
            <w:pPr>
              <w:pStyle w:val="215"/>
              <w:keepNext w:val="0"/>
              <w:keepLines w:val="0"/>
              <w:suppressLineNumbers w:val="0"/>
              <w:shd w:val="clear" w:color="auto" w:fill="auto"/>
              <w:tabs>
                <w:tab w:val="left" w:pos="651"/>
              </w:tabs>
              <w:spacing w:before="0" w:beforeAutospacing="0" w:after="0" w:afterAutospacing="0" w:line="360" w:lineRule="auto"/>
              <w:ind w:left="0" w:right="141" w:rightChars="59" w:firstLine="420" w:firstLineChars="200"/>
              <w:jc w:val="both"/>
              <w:rPr>
                <w:rStyle w:val="333"/>
                <w:rFonts w:hint="eastAsia" w:ascii="宋体" w:hAnsi="宋体" w:eastAsia="宋体"/>
                <w:sz w:val="21"/>
                <w:szCs w:val="21"/>
                <w:lang w:val="zh-CN" w:eastAsia="zh-CN"/>
              </w:rPr>
            </w:pPr>
            <w:r>
              <w:rPr>
                <w:rStyle w:val="333"/>
                <w:rFonts w:hint="eastAsia" w:ascii="宋体" w:hAnsi="宋体" w:eastAsia="宋体"/>
                <w:sz w:val="21"/>
                <w:szCs w:val="21"/>
                <w:lang w:val="en-US" w:eastAsia="zh-CN"/>
              </w:rPr>
              <w:t>f.</w:t>
            </w:r>
            <w:r>
              <w:rPr>
                <w:rStyle w:val="333"/>
                <w:rFonts w:hint="eastAsia" w:ascii="宋体" w:hAnsi="宋体" w:eastAsia="宋体"/>
                <w:sz w:val="21"/>
                <w:szCs w:val="21"/>
                <w:lang w:val="zh-CN" w:eastAsia="zh-CN"/>
              </w:rPr>
              <w:t>投标人未对合同条款有重要保留。</w:t>
            </w:r>
          </w:p>
          <w:p>
            <w:pPr>
              <w:pStyle w:val="219"/>
              <w:keepNext w:val="0"/>
              <w:keepLines w:val="0"/>
              <w:suppressLineNumbers w:val="0"/>
              <w:shd w:val="clear" w:color="auto" w:fill="auto"/>
              <w:spacing w:before="0" w:beforeAutospacing="0" w:after="0" w:afterAutospacing="0" w:line="360" w:lineRule="auto"/>
              <w:ind w:left="0" w:right="0"/>
              <w:rPr>
                <w:rFonts w:hint="default" w:ascii="宋体" w:hAnsi="宋体" w:eastAsia="宋体" w:cs="MingLiU"/>
                <w:sz w:val="21"/>
                <w:szCs w:val="21"/>
                <w:lang w:val="en-US" w:eastAsia="zh-CN"/>
              </w:rPr>
            </w:pPr>
            <w:r>
              <w:rPr>
                <w:rStyle w:val="218"/>
                <w:rFonts w:hint="default" w:ascii="宋体" w:hAnsi="宋体" w:eastAsia="宋体"/>
                <w:sz w:val="21"/>
                <w:szCs w:val="21"/>
                <w:lang w:val="en-US" w:eastAsia="zh-CN"/>
              </w:rPr>
              <w:t>(1</w:t>
            </w:r>
            <w:r>
              <w:rPr>
                <w:rStyle w:val="218"/>
                <w:rFonts w:hint="eastAsia" w:ascii="宋体" w:hAnsi="宋体" w:eastAsia="宋体"/>
                <w:sz w:val="21"/>
                <w:szCs w:val="21"/>
                <w:lang w:val="en-US" w:eastAsia="zh-CN"/>
              </w:rPr>
              <w:t>3</w:t>
            </w:r>
            <w:r>
              <w:rPr>
                <w:rStyle w:val="218"/>
                <w:rFonts w:hint="default" w:ascii="宋体" w:hAnsi="宋体" w:eastAsia="宋体"/>
                <w:sz w:val="21"/>
                <w:szCs w:val="21"/>
                <w:lang w:val="en-US" w:eastAsia="zh-CN"/>
              </w:rPr>
              <w:t>)</w:t>
            </w:r>
            <w:r>
              <w:rPr>
                <w:rStyle w:val="218"/>
                <w:rFonts w:hint="eastAsia" w:ascii="宋体" w:hAnsi="宋体" w:eastAsia="宋体"/>
                <w:sz w:val="21"/>
                <w:szCs w:val="21"/>
                <w:lang w:val="zh-CN" w:eastAsia="zh-CN"/>
              </w:rPr>
              <w:t>投标文件正、副本份数符合招标文件第二章“投标人须知第</w:t>
            </w:r>
            <w:r>
              <w:rPr>
                <w:rStyle w:val="218"/>
                <w:rFonts w:hint="default" w:ascii="宋体" w:hAnsi="宋体" w:eastAsia="宋体"/>
                <w:sz w:val="21"/>
                <w:szCs w:val="21"/>
                <w:lang w:val="en-US" w:eastAsia="zh-CN"/>
              </w:rPr>
              <w:t>3.7.4</w:t>
            </w:r>
            <w:r>
              <w:rPr>
                <w:rStyle w:val="218"/>
                <w:rFonts w:hint="eastAsia" w:ascii="宋体" w:hAnsi="宋体" w:eastAsia="宋体"/>
                <w:sz w:val="21"/>
                <w:szCs w:val="21"/>
                <w:lang w:val="zh-CN" w:eastAsia="zh-CN"/>
              </w:rPr>
              <w:t>项规定。</w:t>
            </w:r>
          </w:p>
          <w:p>
            <w:pPr>
              <w:pStyle w:val="219"/>
              <w:keepNext w:val="0"/>
              <w:keepLines w:val="0"/>
              <w:suppressLineNumbers w:val="0"/>
              <w:shd w:val="clear" w:color="auto" w:fill="auto"/>
              <w:spacing w:before="0" w:beforeAutospacing="0" w:after="0" w:afterAutospacing="0" w:line="360" w:lineRule="auto"/>
              <w:ind w:left="0" w:right="0"/>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（14）</w:t>
            </w:r>
            <w:r>
              <w:rPr>
                <w:rFonts w:hint="default" w:ascii="宋体" w:hAnsi="宋体" w:eastAsia="宋体"/>
                <w:kern w:val="2"/>
                <w:sz w:val="21"/>
                <w:szCs w:val="21"/>
                <w:lang w:val="en-US" w:eastAsia="zh-CN"/>
              </w:rPr>
              <w:t>投标文件</w:t>
            </w:r>
            <w:r>
              <w:rPr>
                <w:rFonts w:hint="eastAsia" w:ascii="宋体" w:hAnsi="宋体" w:eastAsia="宋体"/>
                <w:kern w:val="2"/>
                <w:sz w:val="21"/>
                <w:szCs w:val="21"/>
                <w:lang w:val="en-US" w:eastAsia="zh-CN"/>
              </w:rPr>
              <w:t>未</w:t>
            </w:r>
            <w:r>
              <w:rPr>
                <w:rFonts w:hint="default" w:ascii="宋体" w:hAnsi="宋体" w:eastAsia="宋体"/>
                <w:kern w:val="2"/>
                <w:sz w:val="21"/>
                <w:szCs w:val="21"/>
                <w:lang w:val="en-US" w:eastAsia="zh-CN"/>
              </w:rPr>
              <w:t>附有招标人不能接受的条件。</w:t>
            </w:r>
          </w:p>
          <w:p>
            <w:pPr>
              <w:pStyle w:val="583"/>
              <w:keepNext w:val="0"/>
              <w:keepLines w:val="0"/>
              <w:suppressLineNumbers w:val="0"/>
              <w:shd w:val="clear" w:color="auto" w:fill="auto"/>
              <w:spacing w:before="0" w:beforeAutospacing="0" w:after="0" w:afterAutospacing="0" w:line="360" w:lineRule="auto"/>
              <w:ind w:left="0" w:right="0"/>
              <w:jc w:val="left"/>
              <w:rPr>
                <w:rStyle w:val="653"/>
                <w:rFonts w:hint="default" w:ascii="宋体" w:hAnsi="宋体" w:eastAsia="宋体"/>
                <w:sz w:val="21"/>
                <w:szCs w:val="21"/>
                <w:lang w:val="en-US" w:eastAsia="zh-CN"/>
              </w:rPr>
            </w:pPr>
          </w:p>
          <w:p>
            <w:pPr>
              <w:pStyle w:val="583"/>
              <w:keepNext w:val="0"/>
              <w:keepLines w:val="0"/>
              <w:suppressLineNumbers w:val="0"/>
              <w:shd w:val="clear" w:color="auto" w:fill="auto"/>
              <w:spacing w:before="0" w:beforeAutospacing="0" w:after="0" w:afterAutospacing="0" w:line="360" w:lineRule="auto"/>
              <w:ind w:left="0" w:right="0"/>
              <w:jc w:val="left"/>
              <w:rPr>
                <w:rFonts w:hint="default" w:ascii="宋体" w:hAnsi="宋体" w:eastAsia="宋体" w:cs="MingLiU"/>
                <w:sz w:val="21"/>
                <w:szCs w:val="21"/>
                <w:lang w:val="en-US" w:eastAsia="zh-CN"/>
              </w:rPr>
            </w:pPr>
            <w:r>
              <w:rPr>
                <w:rStyle w:val="653"/>
                <w:rFonts w:hint="eastAsia" w:ascii="宋体" w:hAnsi="宋体" w:eastAsia="宋体"/>
                <w:sz w:val="21"/>
                <w:szCs w:val="21"/>
                <w:lang w:val="zh-CN" w:eastAsia="zh-CN"/>
              </w:rPr>
              <w:t>第二个信封（报价文件）评审标准：</w:t>
            </w:r>
          </w:p>
          <w:p>
            <w:pPr>
              <w:pStyle w:val="219"/>
              <w:keepNext w:val="0"/>
              <w:keepLines w:val="0"/>
              <w:suppressLineNumbers w:val="0"/>
              <w:shd w:val="clear" w:color="auto" w:fill="auto"/>
              <w:spacing w:before="0" w:beforeAutospacing="0" w:after="0" w:afterAutospacing="0" w:line="360" w:lineRule="auto"/>
              <w:ind w:left="0" w:right="0"/>
              <w:rPr>
                <w:rFonts w:hint="default" w:ascii="宋体" w:hAnsi="宋体" w:eastAsia="宋体" w:cs="MingLiU"/>
                <w:sz w:val="21"/>
                <w:szCs w:val="21"/>
                <w:lang w:val="en-US" w:eastAsia="zh-CN"/>
              </w:rPr>
            </w:pPr>
            <w:r>
              <w:rPr>
                <w:rStyle w:val="218"/>
                <w:rFonts w:hint="default" w:ascii="宋体" w:hAnsi="宋体" w:eastAsia="宋体"/>
                <w:sz w:val="21"/>
                <w:szCs w:val="21"/>
                <w:lang w:val="en-US" w:eastAsia="zh-CN"/>
              </w:rPr>
              <w:t>(1)</w:t>
            </w:r>
            <w:r>
              <w:rPr>
                <w:rStyle w:val="218"/>
                <w:rFonts w:hint="eastAsia" w:ascii="宋体" w:hAnsi="宋体" w:eastAsia="宋体"/>
                <w:sz w:val="21"/>
                <w:szCs w:val="21"/>
                <w:lang w:val="zh-CN" w:eastAsia="zh-CN"/>
              </w:rPr>
              <w:t>投标文件按照招标文件规定的格式、内容填写，字迹清晰可</w:t>
            </w:r>
            <w:r>
              <w:rPr>
                <w:rStyle w:val="333"/>
                <w:rFonts w:hint="eastAsia" w:ascii="宋体" w:hAnsi="宋体" w:eastAsia="宋体"/>
                <w:sz w:val="21"/>
                <w:szCs w:val="21"/>
                <w:lang w:val="zh-CN" w:eastAsia="zh-CN"/>
              </w:rPr>
              <w:t>辨：</w:t>
            </w:r>
          </w:p>
          <w:p>
            <w:pPr>
              <w:pStyle w:val="219"/>
              <w:keepNext w:val="0"/>
              <w:keepLines w:val="0"/>
              <w:suppressLineNumbers w:val="0"/>
              <w:shd w:val="clear" w:color="auto" w:fill="auto"/>
              <w:tabs>
                <w:tab w:val="left" w:pos="566"/>
              </w:tabs>
              <w:spacing w:before="0" w:beforeAutospacing="0" w:after="0" w:afterAutospacing="0" w:line="360" w:lineRule="auto"/>
              <w:ind w:left="0" w:right="0" w:firstLine="315" w:firstLineChars="150"/>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a.投标函按招标文件规定填报了项目名称、标段号（如有）、投标总报价（包括大写金额和小写金额</w:t>
            </w:r>
            <w:r>
              <w:rPr>
                <w:rStyle w:val="218"/>
                <w:rFonts w:hint="default" w:ascii="宋体" w:hAnsi="宋体" w:eastAsia="宋体"/>
                <w:sz w:val="21"/>
                <w:szCs w:val="21"/>
                <w:lang w:val="en-US" w:eastAsia="zh-CN"/>
              </w:rPr>
              <w:t>)</w:t>
            </w:r>
            <w:r>
              <w:rPr>
                <w:rStyle w:val="218"/>
                <w:rFonts w:hint="eastAsia" w:ascii="宋体" w:hAnsi="宋体" w:eastAsia="宋体"/>
                <w:sz w:val="21"/>
                <w:szCs w:val="21"/>
                <w:lang w:val="en-US" w:eastAsia="zh-CN"/>
              </w:rPr>
              <w:t>；</w:t>
            </w:r>
          </w:p>
          <w:p>
            <w:pPr>
              <w:pStyle w:val="219"/>
              <w:keepNext w:val="0"/>
              <w:keepLines w:val="0"/>
              <w:suppressLineNumbers w:val="0"/>
              <w:shd w:val="clear" w:color="auto" w:fill="auto"/>
              <w:tabs>
                <w:tab w:val="left" w:pos="602"/>
              </w:tabs>
              <w:spacing w:before="0" w:beforeAutospacing="0" w:after="0" w:afterAutospacing="0" w:line="360" w:lineRule="auto"/>
              <w:ind w:left="0" w:right="0" w:firstLine="315" w:firstLineChars="150"/>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b.已标价清单说明文字与招标文件规定一致，未进行实质性修改和删减；</w:t>
            </w:r>
          </w:p>
          <w:p>
            <w:pPr>
              <w:pStyle w:val="219"/>
              <w:keepNext w:val="0"/>
              <w:keepLines w:val="0"/>
              <w:suppressLineNumbers w:val="0"/>
              <w:shd w:val="clear" w:color="auto" w:fill="auto"/>
              <w:tabs>
                <w:tab w:val="left" w:pos="589"/>
              </w:tabs>
              <w:spacing w:before="0" w:beforeAutospacing="0" w:after="0" w:afterAutospacing="0" w:line="360" w:lineRule="auto"/>
              <w:ind w:left="0" w:right="0" w:firstLine="315" w:firstLineChars="150"/>
              <w:jc w:val="both"/>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c.投标文件组成齐全完整，内容均按规定填写。</w:t>
            </w:r>
          </w:p>
          <w:p>
            <w:pPr>
              <w:pStyle w:val="219"/>
              <w:keepNext w:val="0"/>
              <w:keepLines w:val="0"/>
              <w:suppressLineNumbers w:val="0"/>
              <w:shd w:val="clear" w:color="auto" w:fill="auto"/>
              <w:tabs>
                <w:tab w:val="left" w:pos="950"/>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zh-CN" w:eastAsia="zh-CN"/>
              </w:rPr>
              <w:t>（2）投标文件上法定代表人或其委托代理人的签字、投标人的单位章盖章齐全，符合招标文件规定。</w:t>
            </w:r>
          </w:p>
          <w:p>
            <w:pPr>
              <w:pStyle w:val="219"/>
              <w:keepNext w:val="0"/>
              <w:keepLines w:val="0"/>
              <w:suppressLineNumbers w:val="0"/>
              <w:shd w:val="clear" w:color="auto" w:fill="auto"/>
              <w:tabs>
                <w:tab w:val="left" w:pos="934"/>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（3）</w:t>
            </w:r>
            <w:r>
              <w:rPr>
                <w:rStyle w:val="218"/>
                <w:rFonts w:hint="eastAsia" w:ascii="宋体" w:hAnsi="宋体" w:eastAsia="宋体"/>
                <w:sz w:val="21"/>
                <w:szCs w:val="21"/>
                <w:lang w:val="zh-CN" w:eastAsia="zh-CN"/>
              </w:rPr>
              <w:t>投标报价未超过招标文件设定的最高投标限价（如有</w:t>
            </w:r>
            <w:r>
              <w:rPr>
                <w:rStyle w:val="218"/>
                <w:rFonts w:hint="default" w:ascii="宋体" w:hAnsi="宋体" w:eastAsia="宋体"/>
                <w:sz w:val="21"/>
                <w:szCs w:val="21"/>
                <w:lang w:val="zh-CN" w:eastAsia="zh-CN"/>
              </w:rPr>
              <w:t>)</w:t>
            </w:r>
            <w:r>
              <w:rPr>
                <w:rStyle w:val="218"/>
                <w:rFonts w:hint="eastAsia" w:ascii="宋体" w:hAnsi="宋体" w:eastAsia="宋体"/>
                <w:sz w:val="21"/>
                <w:szCs w:val="21"/>
                <w:lang w:val="zh-CN" w:eastAsia="zh-CN"/>
              </w:rPr>
              <w:t>。</w:t>
            </w:r>
          </w:p>
          <w:p>
            <w:pPr>
              <w:pStyle w:val="219"/>
              <w:keepNext w:val="0"/>
              <w:keepLines w:val="0"/>
              <w:suppressLineNumbers w:val="0"/>
              <w:shd w:val="clear" w:color="auto" w:fill="auto"/>
              <w:tabs>
                <w:tab w:val="left" w:pos="978"/>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（4）</w:t>
            </w:r>
            <w:r>
              <w:rPr>
                <w:rStyle w:val="218"/>
                <w:rFonts w:hint="eastAsia" w:ascii="宋体" w:hAnsi="宋体" w:eastAsia="宋体"/>
                <w:sz w:val="21"/>
                <w:szCs w:val="21"/>
                <w:lang w:val="zh-CN" w:eastAsia="zh-CN"/>
              </w:rPr>
              <w:t>投标报价的大写金额能够确定具体数值。</w:t>
            </w:r>
          </w:p>
          <w:p>
            <w:pPr>
              <w:pStyle w:val="219"/>
              <w:keepNext w:val="0"/>
              <w:keepLines w:val="0"/>
              <w:suppressLineNumbers w:val="0"/>
              <w:shd w:val="clear" w:color="auto" w:fill="auto"/>
              <w:tabs>
                <w:tab w:val="left" w:pos="965"/>
              </w:tabs>
              <w:spacing w:before="0" w:beforeAutospacing="0" w:after="0" w:afterAutospacing="0" w:line="360" w:lineRule="auto"/>
              <w:ind w:left="0" w:right="0"/>
              <w:jc w:val="both"/>
              <w:rPr>
                <w:rFonts w:hint="default" w:ascii="宋体" w:hAnsi="宋体" w:eastAsia="宋体" w:cs="MingLiU"/>
                <w:sz w:val="21"/>
                <w:szCs w:val="21"/>
                <w:lang w:val="en-US" w:eastAsia="zh-CN"/>
              </w:rPr>
            </w:pPr>
            <w:r>
              <w:rPr>
                <w:rStyle w:val="218"/>
                <w:rFonts w:hint="eastAsia" w:ascii="宋体" w:hAnsi="宋体" w:eastAsia="宋体"/>
                <w:sz w:val="21"/>
                <w:szCs w:val="21"/>
                <w:lang w:val="en-US" w:eastAsia="zh-CN"/>
              </w:rPr>
              <w:t>（5）</w:t>
            </w:r>
            <w:r>
              <w:rPr>
                <w:rStyle w:val="218"/>
                <w:rFonts w:hint="eastAsia" w:ascii="宋体" w:hAnsi="宋体" w:eastAsia="宋体"/>
                <w:sz w:val="21"/>
                <w:szCs w:val="21"/>
                <w:lang w:val="zh-CN" w:eastAsia="zh-CN"/>
              </w:rPr>
              <w:t>同一投标人未提交两个以上不同的投标报价，但招标文件要求提交备选投标的除外。</w:t>
            </w:r>
          </w:p>
          <w:p>
            <w:pPr>
              <w:pStyle w:val="215"/>
              <w:keepNext w:val="0"/>
              <w:keepLines w:val="0"/>
              <w:suppressLineNumbers w:val="0"/>
              <w:shd w:val="clear" w:color="auto" w:fill="auto"/>
              <w:tabs>
                <w:tab w:val="left" w:pos="917"/>
              </w:tabs>
              <w:spacing w:before="0" w:beforeAutospacing="0" w:after="0" w:afterAutospacing="0" w:line="360" w:lineRule="auto"/>
              <w:ind w:left="0" w:right="141" w:rightChars="59"/>
              <w:jc w:val="both"/>
              <w:rPr>
                <w:rStyle w:val="333"/>
                <w:rFonts w:hint="default" w:ascii="宋体" w:hAnsi="宋体" w:eastAsia="宋体"/>
                <w:spacing w:val="20"/>
                <w:sz w:val="21"/>
                <w:szCs w:val="21"/>
                <w:lang w:val="en-US" w:eastAsia="zh-CN"/>
              </w:rPr>
            </w:pPr>
            <w:r>
              <w:rPr>
                <w:rStyle w:val="218"/>
                <w:rFonts w:hint="eastAsia" w:ascii="宋体" w:hAnsi="宋体" w:eastAsia="宋体"/>
                <w:spacing w:val="0"/>
                <w:sz w:val="21"/>
                <w:szCs w:val="21"/>
                <w:lang w:val="en-US" w:eastAsia="zh-CN"/>
              </w:rPr>
              <w:t>（6）</w:t>
            </w:r>
            <w:r>
              <w:rPr>
                <w:rStyle w:val="218"/>
                <w:rFonts w:hint="eastAsia" w:ascii="宋体" w:hAnsi="宋体" w:eastAsia="宋体"/>
                <w:spacing w:val="0"/>
                <w:sz w:val="21"/>
                <w:szCs w:val="21"/>
                <w:lang w:val="zh-CN" w:eastAsia="zh-CN"/>
              </w:rPr>
              <w:t>投标文件正、副本份数符合招标文件第二章“投标人须知”第</w:t>
            </w:r>
            <w:r>
              <w:rPr>
                <w:rStyle w:val="218"/>
                <w:rFonts w:hint="eastAsia" w:ascii="宋体" w:hAnsi="宋体" w:eastAsia="宋体"/>
                <w:spacing w:val="0"/>
                <w:lang w:val="zh-CN" w:eastAsia="zh-CN"/>
              </w:rPr>
              <w:t>3.7.4</w:t>
            </w:r>
            <w:r>
              <w:rPr>
                <w:rStyle w:val="218"/>
                <w:rFonts w:hint="default" w:ascii="宋体" w:hAnsi="宋体" w:eastAsia="宋体"/>
                <w:spacing w:val="0"/>
                <w:lang w:val="zh-CN" w:eastAsia="zh-CN"/>
              </w:rPr>
              <w:t>项规定</w:t>
            </w:r>
            <w:r>
              <w:rPr>
                <w:rStyle w:val="274"/>
                <w:rFonts w:hint="eastAsia" w:ascii="宋体" w:hAnsi="宋体" w:eastAsia="宋体"/>
                <w:spacing w:val="0"/>
                <w:sz w:val="21"/>
                <w:szCs w:val="21"/>
                <w:lang w:eastAsia="zh-CN"/>
              </w:rPr>
              <w:t>。</w:t>
            </w:r>
          </w:p>
        </w:tc>
      </w:tr>
      <w:tr>
        <w:trPr>
          <w:cantSplit/>
        </w:trPr>
        <w:tc>
          <w:tcPr>
            <w:tcW w:w="871"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291"/>
                <w:rFonts w:hint="eastAsia" w:ascii="宋体" w:hAnsi="宋体" w:eastAsia="宋体"/>
                <w:sz w:val="21"/>
                <w:szCs w:val="21"/>
                <w:lang w:val="en-US" w:eastAsia="zh-CN"/>
              </w:rPr>
            </w:pPr>
            <w:r>
              <w:rPr>
                <w:rStyle w:val="333"/>
                <w:rFonts w:hint="eastAsia" w:ascii="宋体" w:hAnsi="Times New Roman" w:eastAsia="宋体"/>
                <w:sz w:val="21"/>
                <w:szCs w:val="21"/>
                <w:lang w:val="zh-CN" w:eastAsia="zh-CN"/>
              </w:rPr>
              <w:t>2.1.2</w:t>
            </w:r>
          </w:p>
        </w:tc>
        <w:tc>
          <w:tcPr>
            <w:tcW w:w="1463" w:type="dxa"/>
            <w:tcBorders>
              <w:top w:val="single" w:color="auto" w:sz="4" w:space="0"/>
              <w:left w:val="single" w:color="auto" w:sz="4" w:space="0"/>
              <w:bottom w:val="single" w:color="auto" w:sz="4" w:space="0"/>
              <w:right w:val="nil"/>
            </w:tcBorders>
            <w:shd w:val="clear" w:color="auto" w:fill="FFFFFF"/>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333"/>
                <w:rFonts w:hint="eastAsia" w:ascii="宋体" w:hAnsi="宋体" w:eastAsia="宋体"/>
                <w:sz w:val="21"/>
                <w:szCs w:val="21"/>
                <w:lang w:val="zh-CN" w:eastAsia="zh-CN"/>
              </w:rPr>
            </w:pPr>
            <w:r>
              <w:rPr>
                <w:rStyle w:val="333"/>
                <w:rFonts w:hint="eastAsia" w:ascii="宋体" w:hAnsi="宋体" w:eastAsia="宋体"/>
                <w:sz w:val="21"/>
                <w:szCs w:val="21"/>
                <w:lang w:val="zh-CN" w:eastAsia="zh-CN"/>
              </w:rPr>
              <w:t>资格评审标准</w:t>
            </w:r>
          </w:p>
        </w:tc>
        <w:tc>
          <w:tcPr>
            <w:tcW w:w="663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219"/>
              <w:keepNext w:val="0"/>
              <w:keepLines w:val="0"/>
              <w:suppressLineNumbers w:val="0"/>
              <w:shd w:val="clear" w:color="auto" w:fill="auto"/>
              <w:spacing w:before="0" w:beforeAutospacing="0" w:after="0" w:afterAutospacing="0" w:line="440" w:lineRule="exact"/>
              <w:ind w:left="0" w:right="0"/>
              <w:rPr>
                <w:rStyle w:val="218"/>
                <w:rFonts w:hint="eastAsia" w:ascii="宋体" w:hAnsi="Times New Roman" w:eastAsia="宋体"/>
                <w:sz w:val="21"/>
                <w:szCs w:val="21"/>
                <w:lang w:val="zh-CN" w:eastAsia="zh-CN"/>
              </w:rPr>
            </w:pPr>
            <w:r>
              <w:rPr>
                <w:rStyle w:val="218"/>
                <w:rFonts w:hint="eastAsia" w:ascii="宋体" w:hAnsi="宋体" w:eastAsia="宋体"/>
                <w:sz w:val="21"/>
                <w:szCs w:val="21"/>
                <w:lang w:val="en-US" w:eastAsia="zh-CN"/>
              </w:rPr>
              <w:t>（1）</w:t>
            </w:r>
            <w:r>
              <w:rPr>
                <w:rStyle w:val="218"/>
                <w:rFonts w:hint="eastAsia" w:ascii="宋体" w:hAnsi="宋体" w:eastAsia="宋体"/>
                <w:sz w:val="21"/>
                <w:szCs w:val="21"/>
                <w:lang w:val="zh-CN" w:eastAsia="zh-CN"/>
              </w:rPr>
              <w:t>投标人具备有效的营业执照、</w:t>
            </w:r>
            <w:r>
              <w:rPr>
                <w:rStyle w:val="218"/>
                <w:rFonts w:hint="eastAsia" w:ascii="宋体" w:hAnsi="宋体" w:eastAsia="宋体"/>
                <w:sz w:val="21"/>
                <w:szCs w:val="21"/>
                <w:lang w:val="en-US" w:eastAsia="zh-CN"/>
              </w:rPr>
              <w:t>资质证书</w:t>
            </w:r>
            <w:r>
              <w:rPr>
                <w:rStyle w:val="218"/>
                <w:rFonts w:hint="eastAsia" w:ascii="宋体" w:hAnsi="宋体" w:eastAsia="宋体"/>
                <w:sz w:val="21"/>
                <w:szCs w:val="21"/>
                <w:lang w:val="zh-CN" w:eastAsia="zh-CN"/>
              </w:rPr>
              <w:t>和基本账户开户许可证（如企业所在地已取消企业银行账户许可而无法提供开户许可证的，则需附上开户银行出具的“基本存款账户信息”或“人民银行账户管理系统查询的基本账户信息截图”）；</w:t>
            </w:r>
          </w:p>
          <w:p>
            <w:pPr>
              <w:pStyle w:val="219"/>
              <w:keepNext w:val="0"/>
              <w:keepLines w:val="0"/>
              <w:suppressLineNumbers w:val="0"/>
              <w:shd w:val="clear" w:color="auto" w:fill="auto"/>
              <w:spacing w:before="0" w:beforeAutospacing="0" w:after="0" w:afterAutospacing="0" w:line="440" w:lineRule="exact"/>
              <w:ind w:left="0" w:right="0"/>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（2）投标人的资质等级符合招标文件规定；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（3）投标人的类似项目业绩符合招标文件规定；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default" w:ascii="宋体" w:hAnsi="Times New Roman" w:eastAsia="宋体"/>
                <w:sz w:val="21"/>
                <w:szCs w:val="21"/>
                <w:lang w:val="zh-CN" w:eastAsia="zh-CN"/>
              </w:rPr>
            </w:pPr>
            <w:r>
              <w:rPr>
                <w:rStyle w:val="218"/>
                <w:rFonts w:hint="eastAsia" w:ascii="宋体" w:hAnsi="宋体" w:eastAsia="宋体"/>
                <w:sz w:val="21"/>
                <w:szCs w:val="21"/>
                <w:lang w:val="zh-CN" w:eastAsia="zh-CN"/>
              </w:rPr>
              <w:t>（4）投标人的</w:t>
            </w:r>
            <w:r>
              <w:rPr>
                <w:rStyle w:val="218"/>
                <w:rFonts w:hint="eastAsia" w:ascii="宋体" w:hAnsi="宋体" w:eastAsia="宋体"/>
                <w:sz w:val="21"/>
                <w:szCs w:val="21"/>
                <w:lang w:val="en-US" w:eastAsia="zh-CN"/>
              </w:rPr>
              <w:t>信誉</w:t>
            </w:r>
            <w:r>
              <w:rPr>
                <w:rStyle w:val="218"/>
                <w:rFonts w:hint="eastAsia" w:ascii="宋体" w:hAnsi="宋体" w:eastAsia="宋体"/>
                <w:sz w:val="21"/>
                <w:szCs w:val="21"/>
                <w:lang w:val="zh-CN" w:eastAsia="zh-CN"/>
              </w:rPr>
              <w:t>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eastAsia" w:ascii="宋体" w:hAnsi="宋体" w:eastAsia="宋体"/>
                <w:sz w:val="21"/>
                <w:szCs w:val="21"/>
                <w:lang w:val="zh-CN" w:eastAsia="zh-CN"/>
              </w:rPr>
            </w:pPr>
            <w:r>
              <w:rPr>
                <w:rStyle w:val="218"/>
                <w:rFonts w:hint="eastAsia" w:ascii="宋体" w:hAnsi="宋体" w:eastAsia="宋体"/>
                <w:sz w:val="21"/>
                <w:szCs w:val="21"/>
                <w:lang w:val="zh-CN" w:eastAsia="zh-CN"/>
              </w:rPr>
              <w:t>（5）投标人的</w:t>
            </w:r>
            <w:r>
              <w:rPr>
                <w:rStyle w:val="218"/>
                <w:rFonts w:hint="eastAsia" w:ascii="宋体" w:hAnsi="宋体" w:eastAsia="宋体"/>
                <w:sz w:val="21"/>
                <w:szCs w:val="21"/>
                <w:lang w:val="en-US" w:eastAsia="zh-CN"/>
              </w:rPr>
              <w:t>项目负责人</w:t>
            </w:r>
            <w:r>
              <w:rPr>
                <w:rStyle w:val="218"/>
                <w:rFonts w:hint="eastAsia" w:ascii="宋体" w:hAnsi="宋体" w:eastAsia="宋体"/>
                <w:sz w:val="21"/>
                <w:szCs w:val="21"/>
                <w:lang w:val="zh-CN" w:eastAsia="zh-CN"/>
              </w:rPr>
              <w:t>符合招标文件规定；</w:t>
            </w:r>
          </w:p>
          <w:p>
            <w:pPr>
              <w:pStyle w:val="219"/>
              <w:keepNext w:val="0"/>
              <w:keepLines w:val="0"/>
              <w:suppressLineNumbers w:val="0"/>
              <w:shd w:val="clear" w:color="auto" w:fill="auto"/>
              <w:spacing w:before="0" w:beforeAutospacing="0" w:after="0" w:afterAutospacing="0" w:line="440" w:lineRule="exact"/>
              <w:ind w:left="0" w:right="0"/>
              <w:rPr>
                <w:rStyle w:val="218"/>
                <w:rFonts w:hint="eastAsia" w:ascii="宋体" w:hAnsi="Times New Roman" w:eastAsia="宋体"/>
                <w:sz w:val="21"/>
                <w:szCs w:val="21"/>
                <w:lang w:val="zh-CN" w:eastAsia="zh-CN"/>
              </w:rPr>
            </w:pPr>
            <w:r>
              <w:rPr>
                <w:rStyle w:val="218"/>
                <w:rFonts w:hint="eastAsia" w:ascii="宋体" w:hAnsi="宋体" w:eastAsia="宋体"/>
                <w:sz w:val="21"/>
                <w:szCs w:val="21"/>
                <w:lang w:val="zh-CN" w:eastAsia="zh-CN"/>
              </w:rPr>
              <w:t>（</w:t>
            </w:r>
            <w:r>
              <w:rPr>
                <w:rStyle w:val="218"/>
                <w:rFonts w:hint="eastAsia" w:ascii="宋体" w:hAnsi="宋体" w:eastAsia="宋体"/>
                <w:sz w:val="21"/>
                <w:szCs w:val="21"/>
                <w:lang w:val="en-US" w:eastAsia="zh-CN"/>
              </w:rPr>
              <w:t>6</w:t>
            </w:r>
            <w:r>
              <w:rPr>
                <w:rStyle w:val="218"/>
                <w:rFonts w:hint="eastAsia" w:ascii="宋体" w:hAnsi="宋体" w:eastAsia="宋体"/>
                <w:sz w:val="21"/>
                <w:szCs w:val="21"/>
                <w:lang w:val="zh-CN" w:eastAsia="zh-CN"/>
              </w:rPr>
              <w:t>）投标人的</w:t>
            </w:r>
            <w:r>
              <w:rPr>
                <w:rStyle w:val="218"/>
                <w:rFonts w:hint="eastAsia" w:ascii="宋体" w:hAnsi="宋体" w:eastAsia="宋体"/>
                <w:sz w:val="21"/>
                <w:szCs w:val="21"/>
                <w:lang w:val="en-US" w:eastAsia="zh-CN"/>
              </w:rPr>
              <w:t>其他要求</w:t>
            </w:r>
            <w:r>
              <w:rPr>
                <w:rStyle w:val="218"/>
                <w:rFonts w:hint="eastAsia" w:ascii="宋体" w:hAnsi="宋体" w:eastAsia="宋体"/>
                <w:sz w:val="21"/>
                <w:szCs w:val="21"/>
                <w:lang w:val="zh-CN" w:eastAsia="zh-CN"/>
              </w:rPr>
              <w:t>符合招标文件规定；</w:t>
            </w:r>
            <w:r>
              <w:rPr>
                <w:rStyle w:val="101"/>
                <w:rFonts w:hint="eastAsia" w:ascii="宋体" w:hAnsi="宋体" w:eastAsia="宋体" w:cs="Times New Roman"/>
                <w:color w:val="auto"/>
                <w:spacing w:val="0"/>
                <w:sz w:val="30"/>
                <w:szCs w:val="24"/>
                <w:vertAlign w:val="superscript"/>
                <w:lang w:val="en-US" w:eastAsia="zh-CN" w:bidi="ar-SA"/>
              </w:rPr>
              <w:footnoteReference w:id="85"/>
            </w:r>
          </w:p>
          <w:p>
            <w:pPr>
              <w:pStyle w:val="215"/>
              <w:keepNext w:val="0"/>
              <w:keepLines w:val="0"/>
              <w:suppressLineNumbers w:val="0"/>
              <w:shd w:val="clear" w:color="auto" w:fill="auto"/>
              <w:tabs>
                <w:tab w:val="left" w:pos="943"/>
              </w:tabs>
              <w:spacing w:before="0" w:beforeAutospacing="0" w:after="0" w:afterAutospacing="0" w:line="440" w:lineRule="exact"/>
              <w:ind w:left="0" w:right="0"/>
              <w:jc w:val="both"/>
              <w:rPr>
                <w:rFonts w:hint="default" w:ascii="宋体" w:hAnsi="宋体" w:eastAsia="宋体" w:cs="MingLiU"/>
                <w:sz w:val="21"/>
                <w:szCs w:val="21"/>
                <w:lang w:val="en-US" w:eastAsia="zh-CN"/>
              </w:rPr>
            </w:pPr>
            <w:r>
              <w:rPr>
                <w:rStyle w:val="387"/>
                <w:rFonts w:hint="eastAsia" w:ascii="宋体" w:hAnsi="宋体" w:eastAsia="宋体"/>
                <w:sz w:val="21"/>
                <w:szCs w:val="21"/>
                <w:lang w:val="en-US" w:eastAsia="zh-CN"/>
              </w:rPr>
              <w:t>（7）</w:t>
            </w:r>
            <w:r>
              <w:rPr>
                <w:rStyle w:val="387"/>
                <w:rFonts w:hint="eastAsia" w:ascii="宋体" w:hAnsi="宋体" w:eastAsia="宋体"/>
                <w:sz w:val="21"/>
                <w:szCs w:val="21"/>
                <w:lang w:val="zh-CN" w:eastAsia="zh-CN"/>
              </w:rPr>
              <w:t>投标人不存在第二章“投标人须知”第</w:t>
            </w:r>
            <w:r>
              <w:rPr>
                <w:rStyle w:val="387"/>
                <w:rFonts w:hint="default" w:ascii="宋体" w:hAnsi="宋体" w:eastAsia="宋体"/>
                <w:sz w:val="21"/>
                <w:szCs w:val="21"/>
                <w:lang w:val="en-US" w:eastAsia="zh-CN"/>
              </w:rPr>
              <w:t>1.4.3</w:t>
            </w:r>
            <w:r>
              <w:rPr>
                <w:rStyle w:val="387"/>
                <w:rFonts w:hint="eastAsia" w:ascii="宋体" w:hAnsi="宋体" w:eastAsia="宋体"/>
                <w:sz w:val="21"/>
                <w:szCs w:val="21"/>
                <w:lang w:val="zh-CN" w:eastAsia="zh-CN"/>
              </w:rPr>
              <w:t>项或第</w:t>
            </w:r>
            <w:r>
              <w:rPr>
                <w:rStyle w:val="387"/>
                <w:rFonts w:hint="default" w:ascii="宋体" w:hAnsi="宋体" w:eastAsia="宋体"/>
                <w:sz w:val="21"/>
                <w:szCs w:val="21"/>
                <w:lang w:val="en-US" w:eastAsia="zh-CN"/>
              </w:rPr>
              <w:t>1.4.4</w:t>
            </w:r>
            <w:r>
              <w:rPr>
                <w:rStyle w:val="387"/>
                <w:rFonts w:hint="eastAsia" w:ascii="宋体" w:hAnsi="宋体" w:eastAsia="宋体"/>
                <w:sz w:val="21"/>
                <w:szCs w:val="21"/>
                <w:lang w:val="zh-CN" w:eastAsia="zh-CN"/>
              </w:rPr>
              <w:t>项规定的任何一种情形；</w:t>
            </w:r>
          </w:p>
          <w:p>
            <w:pPr>
              <w:pStyle w:val="215"/>
              <w:keepNext w:val="0"/>
              <w:keepLines w:val="0"/>
              <w:suppressLineNumbers w:val="0"/>
              <w:shd w:val="clear" w:color="auto" w:fill="auto"/>
              <w:spacing w:before="0" w:beforeAutospacing="0" w:after="0" w:afterAutospacing="0" w:line="440" w:lineRule="exact"/>
              <w:ind w:left="0" w:right="141" w:rightChars="59"/>
              <w:jc w:val="both"/>
              <w:rPr>
                <w:rStyle w:val="152"/>
                <w:rFonts w:hint="eastAsia" w:ascii="宋体" w:hAnsi="宋体" w:eastAsia="宋体"/>
                <w:b w:val="0"/>
                <w:sz w:val="21"/>
                <w:szCs w:val="21"/>
                <w:lang w:val="en-US" w:eastAsia="zh-CN"/>
              </w:rPr>
            </w:pPr>
            <w:r>
              <w:rPr>
                <w:rStyle w:val="387"/>
                <w:rFonts w:hint="eastAsia" w:ascii="宋体" w:hAnsi="宋体" w:eastAsia="宋体"/>
                <w:sz w:val="21"/>
                <w:szCs w:val="21"/>
                <w:lang w:val="zh-CN" w:eastAsia="zh-CN"/>
              </w:rPr>
              <w:t>（</w:t>
            </w:r>
            <w:r>
              <w:rPr>
                <w:rStyle w:val="387"/>
                <w:rFonts w:hint="eastAsia" w:ascii="宋体" w:hAnsi="宋体" w:eastAsia="宋体"/>
                <w:sz w:val="21"/>
                <w:szCs w:val="21"/>
                <w:lang w:val="en-US" w:eastAsia="zh-CN"/>
              </w:rPr>
              <w:t>8</w:t>
            </w:r>
            <w:r>
              <w:rPr>
                <w:rStyle w:val="387"/>
                <w:rFonts w:hint="eastAsia" w:ascii="宋体" w:hAnsi="宋体" w:eastAsia="宋体"/>
                <w:sz w:val="21"/>
                <w:szCs w:val="21"/>
                <w:lang w:val="zh-CN" w:eastAsia="zh-CN"/>
              </w:rPr>
              <w:t>）以联合体形式参与投标的，联合体各方均未再以自己名义单独或参加其他联合体在同一标段中投标；独立参与投标的，投标人未同时参加联合体在同一标段中投标</w:t>
            </w:r>
            <w:r>
              <w:rPr>
                <w:rStyle w:val="101"/>
                <w:rFonts w:hint="eastAsia" w:ascii="宋体" w:hAnsi="宋体" w:eastAsia="宋体"/>
                <w:spacing w:val="0"/>
                <w:sz w:val="30"/>
                <w:szCs w:val="24"/>
                <w:lang w:val="en-US" w:eastAsia="zh-CN"/>
              </w:rPr>
              <w:footnoteReference w:id="86"/>
            </w:r>
            <w:r>
              <w:rPr>
                <w:rStyle w:val="387"/>
                <w:rFonts w:hint="eastAsia" w:ascii="宋体" w:hAnsi="宋体" w:eastAsia="宋体"/>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cs="MingLiU"/>
                <w:sz w:val="21"/>
                <w:szCs w:val="21"/>
                <w:lang w:val="en-US" w:eastAsia="zh-CN"/>
              </w:rPr>
            </w:pPr>
            <w:r>
              <w:rPr>
                <w:rStyle w:val="606"/>
                <w:rFonts w:hint="default" w:ascii="宋体" w:hAnsi="宋体" w:eastAsia="宋体"/>
                <w:b w:val="0"/>
                <w:sz w:val="21"/>
                <w:szCs w:val="21"/>
                <w:lang w:val="zh-CN" w:eastAsia="zh-CN"/>
              </w:rPr>
              <w:t>2.2.1</w:t>
            </w:r>
          </w:p>
        </w:tc>
        <w:tc>
          <w:tcPr>
            <w:tcW w:w="1463"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both"/>
              <w:rPr>
                <w:rStyle w:val="387"/>
                <w:rFonts w:hint="eastAsia" w:ascii="宋体" w:hAnsi="宋体" w:eastAsia="宋体"/>
                <w:sz w:val="21"/>
                <w:szCs w:val="21"/>
                <w:lang w:val="zh-CN" w:eastAsia="zh-CN"/>
              </w:rPr>
            </w:pPr>
            <w:r>
              <w:rPr>
                <w:rStyle w:val="387"/>
                <w:rFonts w:hint="eastAsia" w:ascii="宋体" w:hAnsi="宋体" w:eastAsia="宋体"/>
                <w:sz w:val="21"/>
                <w:szCs w:val="21"/>
                <w:lang w:val="zh-CN" w:eastAsia="zh-CN"/>
              </w:rPr>
              <w:t>分值构成</w:t>
            </w:r>
            <w:r>
              <w:rPr>
                <w:rStyle w:val="101"/>
                <w:rFonts w:hint="default" w:ascii="宋体" w:hAnsi="宋体" w:eastAsia="宋体" w:cs="宋体"/>
                <w:szCs w:val="21"/>
                <w:lang w:val="zh-CN" w:eastAsia="zh-CN"/>
              </w:rPr>
              <w:footnoteReference w:id="87"/>
            </w:r>
            <w:r>
              <w:rPr>
                <w:rStyle w:val="387"/>
                <w:rFonts w:hint="default" w:ascii="宋体" w:hAnsi="宋体" w:eastAsia="宋体"/>
                <w:sz w:val="21"/>
                <w:szCs w:val="21"/>
                <w:lang w:val="zh-CN" w:eastAsia="zh-CN"/>
              </w:rPr>
              <w:t>(</w:t>
            </w:r>
            <w:r>
              <w:rPr>
                <w:rStyle w:val="387"/>
                <w:rFonts w:hint="eastAsia" w:ascii="宋体" w:hAnsi="宋体" w:eastAsia="宋体"/>
                <w:sz w:val="21"/>
                <w:szCs w:val="21"/>
                <w:lang w:val="zh-CN" w:eastAsia="zh-CN"/>
              </w:rPr>
              <w:t>总分</w:t>
            </w:r>
            <w:r>
              <w:rPr>
                <w:rStyle w:val="606"/>
                <w:rFonts w:hint="default" w:ascii="宋体" w:hAnsi="宋体" w:eastAsia="宋体"/>
                <w:b w:val="0"/>
                <w:sz w:val="21"/>
                <w:szCs w:val="21"/>
                <w:lang w:val="zh-CN" w:eastAsia="zh-CN"/>
              </w:rPr>
              <w:t>100</w:t>
            </w:r>
            <w:r>
              <w:rPr>
                <w:rStyle w:val="387"/>
                <w:rFonts w:hint="eastAsia" w:ascii="宋体" w:hAnsi="宋体" w:eastAsia="宋体"/>
                <w:sz w:val="21"/>
                <w:szCs w:val="21"/>
                <w:lang w:val="zh-CN" w:eastAsia="zh-CN"/>
              </w:rPr>
              <w:t>分）</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eastAsia="宋体" w:cs="MingLiU"/>
                <w:sz w:val="21"/>
                <w:szCs w:val="21"/>
                <w:lang w:val="en-US" w:eastAsia="zh-CN"/>
              </w:rPr>
            </w:pPr>
          </w:p>
        </w:tc>
        <w:tc>
          <w:tcPr>
            <w:tcW w:w="6637"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both"/>
              <w:rPr>
                <w:rStyle w:val="606"/>
                <w:rFonts w:hint="eastAsia" w:ascii="宋体" w:hAnsi="Times New Roman" w:eastAsia="宋体"/>
                <w:bCs w:val="0"/>
                <w:sz w:val="21"/>
                <w:szCs w:val="21"/>
                <w:lang w:val="zh-CN" w:eastAsia="zh-CN"/>
              </w:rPr>
            </w:pPr>
            <w:r>
              <w:rPr>
                <w:rStyle w:val="606"/>
                <w:rFonts w:hint="eastAsia" w:ascii="宋体" w:hAnsi="Times New Roman" w:eastAsia="宋体"/>
                <w:bCs w:val="0"/>
                <w:sz w:val="21"/>
                <w:szCs w:val="21"/>
                <w:lang w:val="zh-CN" w:eastAsia="zh-CN"/>
              </w:rPr>
              <w:t>第一个信封（商务及技术文件）评分分值构成：</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spacing w:val="0"/>
                <w:kern w:val="2"/>
                <w:sz w:val="21"/>
                <w:szCs w:val="21"/>
                <w:lang w:val="en-US" w:eastAsia="zh-CN"/>
              </w:rPr>
            </w:pPr>
            <w:r>
              <w:rPr>
                <w:rFonts w:hint="eastAsia" w:ascii="宋体" w:hAnsi="宋体" w:eastAsia="宋体"/>
                <w:spacing w:val="0"/>
                <w:kern w:val="2"/>
                <w:sz w:val="21"/>
                <w:szCs w:val="21"/>
                <w:lang w:val="en-US" w:eastAsia="zh-CN"/>
              </w:rPr>
              <w:t>技术建议书</w:t>
            </w:r>
            <w:r>
              <w:rPr>
                <w:rFonts w:hint="default" w:ascii="宋体" w:hAnsi="宋体"/>
                <w:spacing w:val="0"/>
                <w:kern w:val="2"/>
                <w:sz w:val="21"/>
                <w:szCs w:val="21"/>
                <w:lang w:val="en-US" w:eastAsia="zh-CN"/>
              </w:rPr>
              <w:t>：</w:t>
            </w:r>
            <w:r>
              <w:rPr>
                <w:rFonts w:hint="eastAsia" w:ascii="宋体" w:hAnsi="宋体" w:eastAsia="宋体"/>
                <w:spacing w:val="0"/>
                <w:kern w:val="2"/>
                <w:sz w:val="21"/>
                <w:szCs w:val="21"/>
                <w:u w:val="single"/>
                <w:lang w:val="en-US" w:eastAsia="zh-CN"/>
              </w:rPr>
              <w:t>40-50</w:t>
            </w:r>
            <w:r>
              <w:rPr>
                <w:rFonts w:hint="eastAsia" w:ascii="宋体" w:hAnsi="宋体" w:eastAsia="宋体"/>
                <w:spacing w:val="0"/>
                <w:kern w:val="2"/>
                <w:sz w:val="21"/>
                <w:szCs w:val="21"/>
                <w:lang w:val="en-US" w:eastAsia="zh-CN"/>
              </w:rPr>
              <w:t>分</w:t>
            </w:r>
          </w:p>
          <w:p>
            <w:pPr>
              <w:keepNext w:val="0"/>
              <w:keepLines w:val="0"/>
              <w:suppressLineNumbers w:val="0"/>
              <w:spacing w:before="0" w:beforeAutospacing="0" w:after="0" w:afterAutospacing="0" w:line="360" w:lineRule="auto"/>
              <w:ind w:left="0" w:right="0"/>
              <w:jc w:val="both"/>
              <w:rPr>
                <w:rFonts w:hint="default" w:ascii="宋体" w:hAnsi="宋体" w:cs="Times New Roman"/>
                <w:color w:val="auto"/>
                <w:kern w:val="2"/>
                <w:sz w:val="21"/>
                <w:szCs w:val="21"/>
                <w:lang w:val="en-US"/>
              </w:rPr>
            </w:pPr>
            <w:r>
              <w:rPr>
                <w:rFonts w:hint="eastAsia" w:ascii="宋体" w:hAnsi="宋体" w:cs="Times New Roman"/>
                <w:color w:val="auto"/>
                <w:kern w:val="2"/>
                <w:sz w:val="21"/>
                <w:szCs w:val="21"/>
                <w:lang w:val="en-US"/>
              </w:rPr>
              <w:t>主要人员</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u w:val="single"/>
                <w:lang w:val="en-US"/>
              </w:rPr>
              <w:t>5-15</w:t>
            </w:r>
            <w:r>
              <w:rPr>
                <w:rFonts w:hint="eastAsia" w:ascii="宋体" w:hAnsi="宋体" w:cs="Times New Roman"/>
                <w:color w:val="auto"/>
                <w:kern w:val="2"/>
                <w:sz w:val="21"/>
                <w:szCs w:val="21"/>
                <w:lang w:val="en-US"/>
              </w:rPr>
              <w:t>分</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其他因素</w:t>
            </w:r>
            <w:r>
              <w:rPr>
                <w:rFonts w:hint="eastAsia" w:ascii="宋体" w:hAnsi="宋体" w:eastAsia="宋体"/>
                <w:spacing w:val="0"/>
                <w:kern w:val="2"/>
                <w:sz w:val="21"/>
                <w:szCs w:val="21"/>
                <w:u w:val="single"/>
                <w:lang w:val="en-US" w:eastAsia="zh-CN"/>
              </w:rPr>
              <w:t>：20-35分</w:t>
            </w:r>
            <w:r>
              <w:rPr>
                <w:rFonts w:hint="eastAsia" w:ascii="宋体" w:hAnsi="宋体" w:eastAsia="宋体"/>
                <w:spacing w:val="0"/>
                <w:kern w:val="2"/>
                <w:sz w:val="21"/>
                <w:szCs w:val="21"/>
                <w:lang w:val="en-US" w:eastAsia="zh-CN"/>
              </w:rPr>
              <w:t>，其中：</w:t>
            </w:r>
          </w:p>
          <w:p>
            <w:pPr>
              <w:pStyle w:val="215"/>
              <w:keepNext w:val="0"/>
              <w:keepLines w:val="0"/>
              <w:suppressLineNumbers w:val="0"/>
              <w:shd w:val="clear" w:color="auto" w:fill="auto"/>
              <w:spacing w:before="0" w:beforeAutospacing="0" w:after="0" w:afterAutospacing="0" w:line="360" w:lineRule="auto"/>
              <w:ind w:left="0" w:right="0" w:firstLine="210" w:firstLineChars="100"/>
              <w:jc w:val="both"/>
              <w:rPr>
                <w:rFonts w:hint="eastAsia" w:ascii="宋体" w:hAnsi="宋体"/>
                <w:spacing w:val="0"/>
                <w:kern w:val="2"/>
                <w:sz w:val="21"/>
                <w:szCs w:val="21"/>
                <w:lang w:val="en-US" w:eastAsia="zh-CN"/>
              </w:rPr>
            </w:pPr>
            <w:r>
              <w:rPr>
                <w:rFonts w:hint="eastAsia" w:ascii="宋体" w:hAnsi="宋体" w:eastAsia="宋体"/>
                <w:spacing w:val="0"/>
                <w:kern w:val="2"/>
                <w:sz w:val="21"/>
                <w:szCs w:val="21"/>
                <w:lang w:val="en-US" w:eastAsia="zh-CN"/>
              </w:rPr>
              <w:t>企业综合能力：</w:t>
            </w:r>
            <w:r>
              <w:rPr>
                <w:rFonts w:hint="eastAsia" w:ascii="宋体" w:hAnsi="宋体"/>
                <w:spacing w:val="0"/>
                <w:kern w:val="2"/>
                <w:sz w:val="21"/>
                <w:szCs w:val="21"/>
                <w:u w:val="single"/>
                <w:lang w:val="en-US" w:eastAsia="zh-CN"/>
              </w:rPr>
              <w:t>0</w:t>
            </w:r>
            <w:r>
              <w:rPr>
                <w:rFonts w:hint="eastAsia" w:ascii="宋体" w:hAnsi="宋体" w:eastAsia="宋体"/>
                <w:spacing w:val="0"/>
                <w:kern w:val="2"/>
                <w:sz w:val="21"/>
                <w:szCs w:val="21"/>
                <w:u w:val="single"/>
                <w:lang w:val="en-US" w:eastAsia="zh-CN"/>
              </w:rPr>
              <w:t>-5</w:t>
            </w:r>
            <w:r>
              <w:rPr>
                <w:rFonts w:hint="eastAsia" w:ascii="宋体" w:hAnsi="宋体" w:eastAsia="宋体"/>
                <w:spacing w:val="0"/>
                <w:kern w:val="2"/>
                <w:sz w:val="21"/>
                <w:szCs w:val="21"/>
                <w:lang w:val="en-US" w:eastAsia="zh-CN"/>
              </w:rPr>
              <w:t>分</w:t>
            </w:r>
          </w:p>
          <w:p>
            <w:pPr>
              <w:pStyle w:val="215"/>
              <w:keepNext w:val="0"/>
              <w:keepLines w:val="0"/>
              <w:suppressLineNumbers w:val="0"/>
              <w:shd w:val="clear" w:color="auto" w:fill="auto"/>
              <w:spacing w:before="0" w:beforeAutospacing="0" w:after="0" w:afterAutospacing="0" w:line="360" w:lineRule="auto"/>
              <w:ind w:left="0" w:right="0" w:firstLine="210" w:firstLineChars="10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业绩</w:t>
            </w:r>
            <w:r>
              <w:rPr>
                <w:rFonts w:hint="default"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10-20</w:t>
            </w:r>
            <w:r>
              <w:rPr>
                <w:rFonts w:hint="eastAsia" w:ascii="宋体" w:hAnsi="宋体" w:eastAsia="宋体"/>
                <w:spacing w:val="0"/>
                <w:kern w:val="2"/>
                <w:sz w:val="21"/>
                <w:szCs w:val="21"/>
                <w:lang w:val="en-US" w:eastAsia="zh-CN"/>
              </w:rPr>
              <w:t>分</w:t>
            </w:r>
          </w:p>
          <w:p>
            <w:pPr>
              <w:pStyle w:val="215"/>
              <w:keepNext w:val="0"/>
              <w:keepLines w:val="0"/>
              <w:suppressLineNumbers w:val="0"/>
              <w:shd w:val="clear" w:color="auto" w:fill="auto"/>
              <w:spacing w:before="0" w:beforeAutospacing="0" w:after="0" w:afterAutospacing="0" w:line="360" w:lineRule="auto"/>
              <w:ind w:left="0" w:right="0" w:firstLine="210" w:firstLineChars="10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履约信誉</w:t>
            </w:r>
            <w:r>
              <w:rPr>
                <w:rFonts w:hint="default"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w:t>
            </w:r>
            <w:r>
              <w:rPr>
                <w:rFonts w:hint="eastAsia" w:ascii="宋体" w:hAnsi="宋体" w:eastAsia="宋体"/>
                <w:spacing w:val="0"/>
                <w:kern w:val="2"/>
                <w:sz w:val="21"/>
                <w:szCs w:val="21"/>
                <w:lang w:val="en-US" w:eastAsia="zh-CN"/>
              </w:rPr>
              <w:t>分</w:t>
            </w:r>
          </w:p>
          <w:p>
            <w:pPr>
              <w:pStyle w:val="215"/>
              <w:keepNext w:val="0"/>
              <w:keepLines w:val="0"/>
              <w:suppressLineNumbers w:val="0"/>
              <w:shd w:val="clear" w:color="auto" w:fill="auto"/>
              <w:spacing w:before="0" w:beforeAutospacing="0" w:after="0" w:afterAutospacing="0" w:line="360" w:lineRule="auto"/>
              <w:ind w:left="0" w:right="0" w:firstLine="210" w:firstLineChars="10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w:t>
            </w:r>
          </w:p>
          <w:p>
            <w:pPr>
              <w:pStyle w:val="215"/>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b/>
                <w:bCs/>
                <w:spacing w:val="0"/>
                <w:kern w:val="2"/>
                <w:sz w:val="21"/>
                <w:szCs w:val="21"/>
                <w:lang w:val="en-US" w:eastAsia="zh-CN"/>
              </w:rPr>
            </w:pPr>
            <w:r>
              <w:rPr>
                <w:rFonts w:hint="eastAsia" w:ascii="宋体" w:hAnsi="宋体" w:eastAsia="宋体"/>
                <w:b/>
                <w:bCs/>
                <w:spacing w:val="0"/>
                <w:kern w:val="2"/>
                <w:sz w:val="21"/>
                <w:szCs w:val="21"/>
                <w:lang w:val="en-US" w:eastAsia="zh-CN"/>
              </w:rPr>
              <w:t>第二个信封（报价文件）评分分值构成：</w:t>
            </w:r>
          </w:p>
          <w:p>
            <w:pPr>
              <w:pStyle w:val="215"/>
              <w:keepNext w:val="0"/>
              <w:keepLines w:val="0"/>
              <w:suppressLineNumbers w:val="0"/>
              <w:shd w:val="clear" w:color="auto" w:fill="auto"/>
              <w:spacing w:before="0" w:beforeAutospacing="0" w:after="0" w:afterAutospacing="0" w:line="360" w:lineRule="auto"/>
              <w:ind w:left="0" w:right="0"/>
              <w:jc w:val="both"/>
              <w:rPr>
                <w:rFonts w:hint="default" w:ascii="宋体" w:hAnsi="宋体" w:cs="MingLiU"/>
                <w:sz w:val="21"/>
                <w:szCs w:val="21"/>
                <w:lang w:val="en-US" w:eastAsia="zh-CN"/>
              </w:rPr>
            </w:pPr>
            <w:r>
              <w:rPr>
                <w:rFonts w:hint="eastAsia" w:ascii="宋体" w:hAnsi="宋体" w:eastAsia="宋体" w:cs="宋体"/>
                <w:kern w:val="2"/>
                <w:sz w:val="21"/>
                <w:szCs w:val="21"/>
                <w:lang w:val="en-US" w:eastAsia="zh-CN"/>
              </w:rPr>
              <w:t>评标价</w:t>
            </w:r>
            <w:r>
              <w:rPr>
                <w:rFonts w:hint="eastAsia"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10-25</w:t>
            </w:r>
            <w:r>
              <w:rPr>
                <w:rFonts w:hint="eastAsia" w:ascii="宋体" w:hAnsi="宋体" w:eastAsia="宋体"/>
                <w:kern w:val="2"/>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606"/>
                <w:rFonts w:hint="default" w:ascii="宋体" w:hAnsi="宋体" w:eastAsia="宋体"/>
                <w:b w:val="0"/>
                <w:sz w:val="21"/>
                <w:szCs w:val="21"/>
                <w:lang w:val="zh-CN" w:eastAsia="zh-CN"/>
              </w:rPr>
            </w:pPr>
            <w:r>
              <w:rPr>
                <w:rFonts w:hint="default" w:ascii="宋体" w:hAnsi="宋体"/>
                <w:sz w:val="21"/>
                <w:szCs w:val="21"/>
                <w:lang w:val="zh-CN" w:eastAsia="zh-CN"/>
              </w:rPr>
              <w:t>2.2.2</w:t>
            </w:r>
          </w:p>
        </w:tc>
        <w:tc>
          <w:tcPr>
            <w:tcW w:w="1463"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Style w:val="387"/>
                <w:rFonts w:hint="eastAsia" w:ascii="宋体" w:hAnsi="宋体" w:eastAsia="宋体"/>
                <w:sz w:val="21"/>
                <w:szCs w:val="21"/>
                <w:lang w:val="zh-CN" w:eastAsia="zh-CN"/>
              </w:rPr>
            </w:pPr>
            <w:r>
              <w:rPr>
                <w:rFonts w:hint="default" w:ascii="宋体" w:hAnsi="宋体" w:eastAsia="宋体"/>
                <w:sz w:val="21"/>
                <w:szCs w:val="21"/>
                <w:lang w:val="zh-CN" w:eastAsia="zh-CN"/>
              </w:rPr>
              <w:t>评标基准价计算方法</w:t>
            </w:r>
          </w:p>
        </w:tc>
        <w:tc>
          <w:tcPr>
            <w:tcW w:w="6637" w:type="dxa"/>
            <w:noWrap w:val="0"/>
            <w:vAlign w:val="center"/>
          </w:tcPr>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default" w:ascii="宋体" w:hAnsi="宋体" w:cs="Times New Roman"/>
                <w:b/>
                <w:bCs/>
                <w:color w:val="auto"/>
                <w:kern w:val="2"/>
                <w:sz w:val="21"/>
                <w:szCs w:val="21"/>
                <w:lang w:val="en-US"/>
              </w:rPr>
              <w:t>评标基准价的计算：</w:t>
            </w:r>
            <w:r>
              <w:rPr>
                <w:rFonts w:hint="eastAsia" w:ascii="宋体" w:hAnsi="宋体" w:cs="Times New Roman"/>
                <w:b/>
                <w:bCs/>
                <w:color w:val="auto"/>
                <w:kern w:val="2"/>
                <w:sz w:val="21"/>
                <w:szCs w:val="21"/>
                <w:lang w:val="en-US"/>
              </w:rPr>
              <w:t>（方案一）</w:t>
            </w:r>
          </w:p>
          <w:p>
            <w:pPr>
              <w:pStyle w:val="215"/>
              <w:keepNext w:val="0"/>
              <w:keepLines w:val="0"/>
              <w:suppressLineNumbers w:val="0"/>
              <w:shd w:val="clear" w:color="auto" w:fill="auto"/>
              <w:spacing w:before="0" w:beforeAutospacing="0" w:after="0" w:afterAutospacing="0" w:line="360" w:lineRule="auto"/>
              <w:ind w:left="0" w:right="141" w:rightChars="59"/>
              <w:jc w:val="left"/>
              <w:rPr>
                <w:rFonts w:hint="default" w:ascii="宋体" w:hAnsi="宋体" w:eastAsia="宋体"/>
                <w:sz w:val="21"/>
                <w:szCs w:val="21"/>
                <w:lang w:val="zh-CN" w:eastAsia="zh-CN"/>
              </w:rPr>
            </w:pPr>
            <w:r>
              <w:rPr>
                <w:rStyle w:val="387"/>
                <w:rFonts w:hint="eastAsia" w:ascii="宋体" w:hAnsi="宋体" w:eastAsia="宋体"/>
                <w:sz w:val="21"/>
                <w:szCs w:val="21"/>
                <w:lang w:val="zh-CN" w:eastAsia="zh-CN"/>
              </w:rPr>
              <w:t>在开标现场，招标人将当场计算并宣布评标基准价。</w:t>
            </w:r>
          </w:p>
          <w:p>
            <w:pPr>
              <w:pStyle w:val="215"/>
              <w:keepNext w:val="0"/>
              <w:keepLines w:val="0"/>
              <w:suppressLineNumbers w:val="0"/>
              <w:shd w:val="clear" w:color="auto" w:fill="auto"/>
              <w:tabs>
                <w:tab w:val="left" w:pos="413"/>
              </w:tabs>
              <w:spacing w:before="0" w:beforeAutospacing="0" w:after="0" w:afterAutospacing="0" w:line="360" w:lineRule="auto"/>
              <w:ind w:left="0" w:right="141" w:rightChars="59"/>
              <w:jc w:val="both"/>
              <w:rPr>
                <w:rFonts w:hint="default" w:ascii="宋体" w:hAnsi="宋体" w:eastAsia="宋体"/>
                <w:sz w:val="21"/>
                <w:szCs w:val="21"/>
                <w:lang w:val="zh-CN" w:eastAsia="zh-CN"/>
              </w:rPr>
            </w:pPr>
            <w:r>
              <w:rPr>
                <w:rStyle w:val="387"/>
                <w:rFonts w:hint="eastAsia" w:ascii="宋体" w:hAnsi="宋体" w:eastAsia="宋体"/>
                <w:sz w:val="21"/>
                <w:szCs w:val="21"/>
                <w:lang w:val="en-US" w:eastAsia="zh-CN"/>
              </w:rPr>
              <w:t>(1)</w:t>
            </w:r>
            <w:r>
              <w:rPr>
                <w:rStyle w:val="387"/>
                <w:rFonts w:hint="eastAsia" w:ascii="宋体" w:hAnsi="宋体" w:eastAsia="宋体"/>
                <w:sz w:val="21"/>
                <w:szCs w:val="21"/>
                <w:lang w:val="zh-CN" w:eastAsia="zh-CN"/>
              </w:rPr>
              <w:t>评标价的确定：</w:t>
            </w:r>
          </w:p>
          <w:p>
            <w:pPr>
              <w:pStyle w:val="215"/>
              <w:keepNext w:val="0"/>
              <w:keepLines w:val="0"/>
              <w:suppressLineNumbers w:val="0"/>
              <w:shd w:val="clear" w:color="auto" w:fill="auto"/>
              <w:spacing w:before="0" w:beforeAutospacing="0" w:after="0" w:afterAutospacing="0" w:line="360" w:lineRule="auto"/>
              <w:ind w:left="0" w:right="141" w:rightChars="59"/>
              <w:jc w:val="left"/>
              <w:rPr>
                <w:rStyle w:val="387"/>
                <w:rFonts w:hint="default" w:ascii="宋体" w:hAnsi="Times New Roman" w:eastAsia="宋体"/>
                <w:sz w:val="21"/>
                <w:szCs w:val="21"/>
                <w:lang w:val="zh-CN" w:eastAsia="zh-CN"/>
              </w:rPr>
            </w:pPr>
            <w:r>
              <w:rPr>
                <w:rStyle w:val="387"/>
                <w:rFonts w:hint="eastAsia" w:ascii="宋体" w:hAnsi="宋体" w:eastAsia="宋体"/>
                <w:sz w:val="21"/>
                <w:szCs w:val="21"/>
                <w:lang w:val="zh-CN" w:eastAsia="zh-CN"/>
              </w:rPr>
              <w:t>评标价</w:t>
            </w:r>
            <w:r>
              <w:rPr>
                <w:rStyle w:val="387"/>
                <w:rFonts w:hint="default" w:ascii="宋体" w:hAnsi="宋体" w:eastAsia="宋体"/>
                <w:sz w:val="21"/>
                <w:szCs w:val="21"/>
                <w:lang w:val="zh-CN" w:eastAsia="zh-CN"/>
              </w:rPr>
              <w:t>=</w:t>
            </w:r>
            <w:r>
              <w:rPr>
                <w:rStyle w:val="387"/>
                <w:rFonts w:hint="eastAsia" w:ascii="宋体" w:hAnsi="宋体" w:eastAsia="宋体"/>
                <w:sz w:val="21"/>
                <w:szCs w:val="21"/>
                <w:lang w:val="zh-CN" w:eastAsia="zh-CN"/>
              </w:rPr>
              <w:t>投标函文字报价</w:t>
            </w:r>
          </w:p>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2</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确定参与评标基准价计算的评标价平均值计算：</w:t>
            </w:r>
          </w:p>
          <w:p>
            <w:pPr>
              <w:keepNext w:val="0"/>
              <w:keepLines w:val="0"/>
              <w:suppressLineNumbers w:val="0"/>
              <w:spacing w:before="0" w:beforeAutospacing="0" w:after="0" w:afterAutospacing="0" w:line="360" w:lineRule="auto"/>
              <w:ind w:left="16" w:right="141" w:rightChars="59"/>
              <w:jc w:val="both"/>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①参与评标基准价计算的评标价范围：</w:t>
            </w:r>
            <w:r>
              <w:rPr>
                <w:rFonts w:hint="eastAsia" w:ascii="宋体" w:hAnsi="宋体" w:cs="Times New Roman"/>
                <w:color w:val="auto"/>
                <w:kern w:val="2"/>
                <w:sz w:val="21"/>
                <w:szCs w:val="21"/>
                <w:lang w:val="en-US"/>
              </w:rPr>
              <w:t>最高投标限价的85%≤</w:t>
            </w:r>
            <w:r>
              <w:rPr>
                <w:rFonts w:hint="eastAsia" w:ascii="宋体" w:hAnsi="宋体" w:cs="Times New Roman"/>
                <w:snapToGrid w:val="0"/>
                <w:color w:val="auto"/>
                <w:kern w:val="2"/>
                <w:sz w:val="21"/>
                <w:szCs w:val="21"/>
                <w:lang w:val="en-US"/>
              </w:rPr>
              <w:t>参与评标基准价计算的评标价</w:t>
            </w:r>
            <w:r>
              <w:rPr>
                <w:rFonts w:hint="eastAsia" w:ascii="宋体" w:hAnsi="宋体" w:cs="Times New Roman"/>
                <w:color w:val="auto"/>
                <w:kern w:val="2"/>
                <w:sz w:val="21"/>
                <w:szCs w:val="21"/>
                <w:lang w:val="en-US"/>
              </w:rPr>
              <w:t>≤最高投标限价的100%，小于最高投标限价85%</w:t>
            </w:r>
            <w:r>
              <w:rPr>
                <w:rFonts w:hint="eastAsia" w:ascii="宋体" w:hAnsi="宋体" w:cs="Times New Roman"/>
                <w:snapToGrid w:val="0"/>
                <w:color w:val="auto"/>
                <w:kern w:val="2"/>
                <w:sz w:val="21"/>
                <w:szCs w:val="21"/>
                <w:lang w:val="en-US"/>
              </w:rPr>
              <w:t>的评标价不参与评标基准价的计算，但仍参与评标价的得分计算</w:t>
            </w:r>
            <w:r>
              <w:rPr>
                <w:rFonts w:hint="eastAsia" w:ascii="宋体" w:hAnsi="宋体" w:cs="Times New Roman"/>
                <w:color w:val="auto"/>
                <w:kern w:val="2"/>
                <w:sz w:val="21"/>
                <w:szCs w:val="21"/>
                <w:lang w:val="en-US"/>
              </w:rPr>
              <w:t>。</w:t>
            </w:r>
          </w:p>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②参与评标基准价计算的有效评标价的算术平均值：</w:t>
            </w:r>
            <w:r>
              <w:rPr>
                <w:rStyle w:val="387"/>
                <w:rFonts w:hint="eastAsia" w:ascii="宋体" w:hAnsi="宋体" w:eastAsia="宋体"/>
                <w:color w:val="auto"/>
                <w:sz w:val="21"/>
                <w:szCs w:val="21"/>
              </w:rPr>
              <w:t>除按第二章“投标人须知”第</w:t>
            </w:r>
            <w:r>
              <w:rPr>
                <w:rStyle w:val="387"/>
                <w:rFonts w:hint="default" w:ascii="宋体" w:hAnsi="宋体" w:eastAsia="宋体"/>
                <w:color w:val="auto"/>
                <w:sz w:val="21"/>
                <w:szCs w:val="21"/>
              </w:rPr>
              <w:t>5.2.4</w:t>
            </w:r>
            <w:r>
              <w:rPr>
                <w:rStyle w:val="387"/>
                <w:rFonts w:hint="eastAsia" w:ascii="宋体" w:hAnsi="宋体" w:eastAsia="宋体"/>
                <w:color w:val="auto"/>
                <w:sz w:val="21"/>
                <w:szCs w:val="21"/>
              </w:rPr>
              <w:t>项规定开标现场被宣布为不进入评标基准价计算的投标报价之外</w:t>
            </w: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在上述确定的</w:t>
            </w:r>
            <w:r>
              <w:rPr>
                <w:rFonts w:hint="eastAsia" w:ascii="宋体" w:hAnsi="宋体" w:cs="Times New Roman"/>
                <w:snapToGrid w:val="0"/>
                <w:color w:val="auto"/>
                <w:kern w:val="2"/>
                <w:sz w:val="21"/>
                <w:szCs w:val="21"/>
                <w:lang w:val="en-US"/>
              </w:rPr>
              <w:t>参与评标基准价计算的评标价中</w:t>
            </w:r>
            <w:r>
              <w:rPr>
                <w:rFonts w:hint="default" w:ascii="宋体" w:hAnsi="宋体" w:cs="Times New Roman"/>
                <w:color w:val="auto"/>
                <w:kern w:val="2"/>
                <w:sz w:val="21"/>
                <w:szCs w:val="21"/>
                <w:lang w:val="en-US"/>
              </w:rPr>
              <w:t>去掉一个最高值和一个最低值后的算术平均值即为</w:t>
            </w:r>
            <w:r>
              <w:rPr>
                <w:rFonts w:hint="eastAsia" w:ascii="宋体" w:hAnsi="宋体" w:cs="Times New Roman"/>
                <w:snapToGrid w:val="0"/>
                <w:color w:val="auto"/>
                <w:kern w:val="2"/>
                <w:sz w:val="21"/>
                <w:szCs w:val="21"/>
                <w:lang w:val="en-US"/>
              </w:rPr>
              <w:t>参与评标基准价计算的有效评标价的算术平均值</w:t>
            </w:r>
            <w:r>
              <w:rPr>
                <w:rFonts w:hint="default" w:ascii="宋体" w:hAnsi="宋体" w:cs="Times New Roman"/>
                <w:color w:val="auto"/>
                <w:kern w:val="2"/>
                <w:sz w:val="21"/>
                <w:szCs w:val="21"/>
                <w:lang w:val="en-US"/>
              </w:rPr>
              <w:t>(如果参与评标价平均值计算的有效投标人少于</w:t>
            </w:r>
            <w:r>
              <w:rPr>
                <w:rFonts w:hint="eastAsia" w:ascii="宋体" w:hAnsi="宋体" w:cs="Times New Roman"/>
                <w:color w:val="auto"/>
                <w:kern w:val="2"/>
                <w:sz w:val="21"/>
                <w:szCs w:val="21"/>
                <w:lang w:val="en-US"/>
              </w:rPr>
              <w:t>5</w:t>
            </w:r>
            <w:r>
              <w:rPr>
                <w:rFonts w:hint="default" w:ascii="宋体" w:hAnsi="宋体" w:cs="Times New Roman"/>
                <w:color w:val="auto"/>
                <w:kern w:val="2"/>
                <w:sz w:val="21"/>
                <w:szCs w:val="21"/>
                <w:lang w:val="en-US"/>
              </w:rPr>
              <w:t>家时，则计算</w:t>
            </w:r>
            <w:r>
              <w:rPr>
                <w:rFonts w:hint="eastAsia" w:ascii="宋体" w:hAnsi="宋体" w:cs="Times New Roman"/>
                <w:color w:val="auto"/>
                <w:kern w:val="2"/>
                <w:sz w:val="21"/>
                <w:szCs w:val="21"/>
                <w:lang w:val="en-US"/>
              </w:rPr>
              <w:t>上述</w:t>
            </w:r>
            <w:r>
              <w:rPr>
                <w:rFonts w:hint="default" w:ascii="宋体" w:hAnsi="宋体" w:cs="Times New Roman"/>
                <w:color w:val="auto"/>
                <w:kern w:val="2"/>
                <w:sz w:val="21"/>
                <w:szCs w:val="21"/>
                <w:lang w:val="en-US"/>
              </w:rPr>
              <w:t>平均值时不去掉最高值和最低值)；</w:t>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若投标人的评标价均小于最高投标限价的85%时，则以最高投标限价的85%为评标基准价 ，同时可对评标价小于最高投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w:t>
            </w:r>
            <w:r>
              <w:rPr>
                <w:rFonts w:hint="default" w:ascii="宋体" w:hAnsi="宋体" w:cs="Times New Roman"/>
                <w:color w:val="auto"/>
                <w:kern w:val="2"/>
                <w:sz w:val="21"/>
                <w:szCs w:val="21"/>
                <w:lang w:val="en-US"/>
              </w:rPr>
              <w:t>可以否决全部投标</w:t>
            </w:r>
            <w:r>
              <w:rPr>
                <w:rFonts w:hint="eastAsia" w:ascii="宋体" w:hAnsi="宋体" w:cs="Times New Roman"/>
                <w:color w:val="auto"/>
                <w:kern w:val="2"/>
                <w:sz w:val="21"/>
                <w:szCs w:val="21"/>
                <w:lang w:val="en-US"/>
              </w:rPr>
              <w:t>。</w:t>
            </w:r>
            <w:r>
              <w:rPr>
                <w:rFonts w:hint="default" w:ascii="宋体" w:hAnsi="宋体" w:cs="Times New Roman"/>
                <w:color w:val="auto"/>
                <w:kern w:val="2"/>
                <w:sz w:val="21"/>
                <w:szCs w:val="21"/>
                <w:lang w:val="en-US"/>
              </w:rPr>
              <w:t>未否决全部投标的，评标委员会应当在评标报告中阐明理由</w:t>
            </w:r>
            <w:r>
              <w:rPr>
                <w:rFonts w:hint="eastAsia" w:ascii="宋体" w:hAnsi="宋体" w:cs="Times New Roman"/>
                <w:color w:val="auto"/>
                <w:kern w:val="2"/>
                <w:sz w:val="21"/>
                <w:szCs w:val="21"/>
                <w:lang w:val="en-US"/>
              </w:rPr>
              <w:t>并推荐中标候选人。</w:t>
            </w:r>
          </w:p>
          <w:p>
            <w:pPr>
              <w:keepNext w:val="0"/>
              <w:keepLines w:val="0"/>
              <w:suppressLineNumbers w:val="0"/>
              <w:spacing w:before="0" w:beforeAutospacing="0" w:after="0" w:afterAutospacing="0" w:line="360" w:lineRule="auto"/>
              <w:ind w:left="0" w:right="141" w:rightChars="59" w:firstLine="420" w:firstLineChars="200"/>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即使某投标文件第二个信封未通过形式评审与响应性评审,如其报价处于参与评标基准价计算的评标价的有效范围内，其评标价仍应参与有效评标价平均值的计算。</w:t>
            </w:r>
          </w:p>
          <w:p>
            <w:pPr>
              <w:keepNext w:val="0"/>
              <w:keepLines w:val="0"/>
              <w:suppressLineNumbers w:val="0"/>
              <w:spacing w:before="0" w:beforeAutospacing="0" w:after="0" w:afterAutospacing="0" w:line="360" w:lineRule="auto"/>
              <w:ind w:left="0" w:right="141" w:rightChars="59"/>
              <w:jc w:val="both"/>
              <w:rPr>
                <w:rFonts w:hint="eastAsia" w:ascii="宋体" w:hAnsi="宋体" w:cs="Times New Roman"/>
                <w:color w:val="auto"/>
                <w:kern w:val="2"/>
                <w:sz w:val="21"/>
                <w:szCs w:val="21"/>
                <w:lang w:val="en-US"/>
              </w:rPr>
            </w:pPr>
            <w:r>
              <w:rPr>
                <w:rFonts w:hint="default" w:ascii="宋体" w:hAnsi="宋体" w:cs="Times New Roman"/>
                <w:color w:val="auto"/>
                <w:kern w:val="2"/>
                <w:sz w:val="21"/>
                <w:szCs w:val="21"/>
                <w:lang w:val="en-US"/>
              </w:rPr>
              <w:t>(</w:t>
            </w:r>
            <w:r>
              <w:rPr>
                <w:rFonts w:hint="eastAsia" w:ascii="宋体" w:hAnsi="宋体" w:cs="Times New Roman"/>
                <w:color w:val="auto"/>
                <w:kern w:val="2"/>
                <w:sz w:val="21"/>
                <w:szCs w:val="21"/>
                <w:lang w:val="en-US"/>
              </w:rPr>
              <w:t>3</w:t>
            </w:r>
            <w:r>
              <w:rPr>
                <w:rFonts w:hint="default" w:ascii="宋体" w:hAnsi="宋体" w:cs="Times New Roman"/>
                <w:color w:val="auto"/>
                <w:kern w:val="2"/>
                <w:sz w:val="21"/>
                <w:szCs w:val="21"/>
                <w:lang w:val="en-US"/>
              </w:rPr>
              <w:t>)评标基准价的确定</w:t>
            </w:r>
            <w:r>
              <w:rPr>
                <w:rFonts w:hint="eastAsia" w:ascii="宋体" w:hAnsi="宋体" w:cs="Times New Roman"/>
                <w:color w:val="auto"/>
                <w:kern w:val="2"/>
                <w:sz w:val="21"/>
                <w:szCs w:val="21"/>
                <w:lang w:val="en-US"/>
              </w:rPr>
              <w:t>：（选择以下方法之一）</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方法一：将参与评标基准价计算的有效评标价的平均值直接作为评标基准价</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default" w:ascii="宋体" w:hAnsi="宋体" w:cs="Times New Roman"/>
                <w:snapToGrid w:val="0"/>
                <w:color w:val="auto"/>
                <w:kern w:val="2"/>
                <w:sz w:val="21"/>
                <w:szCs w:val="21"/>
                <w:lang w:val="en-US"/>
              </w:rPr>
              <w:t>方法</w:t>
            </w:r>
            <w:r>
              <w:rPr>
                <w:rFonts w:hint="eastAsia" w:ascii="宋体" w:hAnsi="宋体" w:cs="Times New Roman"/>
                <w:snapToGrid w:val="0"/>
                <w:color w:val="auto"/>
                <w:kern w:val="2"/>
                <w:sz w:val="21"/>
                <w:szCs w:val="21"/>
                <w:lang w:val="en-US"/>
              </w:rPr>
              <w:t>二</w:t>
            </w:r>
            <w:r>
              <w:rPr>
                <w:rFonts w:hint="default"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(M×</w:t>
            </w:r>
            <w:r>
              <w:rPr>
                <w:rFonts w:hint="eastAsia" w:ascii="宋体" w:hAnsi="宋体" w:cs="Times New Roman"/>
                <w:color w:val="auto"/>
                <w:kern w:val="2"/>
                <w:sz w:val="21"/>
                <w:szCs w:val="21"/>
                <w:lang w:val="en-US"/>
              </w:rPr>
              <w:t>最高投标限价</w:t>
            </w:r>
            <w:r>
              <w:rPr>
                <w:rFonts w:hint="eastAsia" w:ascii="宋体" w:hAnsi="宋体" w:cs="Times New Roman"/>
                <w:snapToGrid w:val="0"/>
                <w:color w:val="auto"/>
                <w:kern w:val="2"/>
                <w:sz w:val="21"/>
                <w:szCs w:val="21"/>
                <w:lang w:val="en-US"/>
              </w:rPr>
              <w:t>+N×参与评标基准价计算的有效评标价的平均值）</w:t>
            </w:r>
          </w:p>
          <w:p>
            <w:pPr>
              <w:keepNext w:val="0"/>
              <w:keepLines w:val="0"/>
              <w:suppressLineNumbers w:val="0"/>
              <w:spacing w:before="0" w:beforeAutospacing="0" w:after="0" w:afterAutospacing="0" w:line="360" w:lineRule="auto"/>
              <w:ind w:left="0" w:right="141" w:rightChars="59" w:firstLine="420" w:firstLineChars="20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（M可选择</w:t>
            </w:r>
            <w:r>
              <w:rPr>
                <w:rFonts w:hint="eastAsia" w:ascii="宋体" w:hAnsi="宋体" w:cs="Times New Roman"/>
                <w:snapToGrid w:val="0"/>
                <w:color w:val="auto"/>
                <w:kern w:val="2"/>
                <w:sz w:val="21"/>
                <w:szCs w:val="21"/>
                <w:u w:val="single"/>
                <w:lang w:val="en-US"/>
              </w:rPr>
              <w:t>0.7、0.8、0.9、1，N</w:t>
            </w:r>
            <w:r>
              <w:rPr>
                <w:rFonts w:hint="eastAsia" w:ascii="宋体" w:hAnsi="宋体" w:cs="Times New Roman"/>
                <w:snapToGrid w:val="0"/>
                <w:color w:val="auto"/>
                <w:kern w:val="2"/>
                <w:sz w:val="21"/>
                <w:szCs w:val="21"/>
                <w:lang w:val="en-US"/>
              </w:rPr>
              <w:t>可对应选择</w:t>
            </w:r>
            <w:r>
              <w:rPr>
                <w:rFonts w:hint="eastAsia" w:ascii="宋体" w:hAnsi="宋体" w:cs="Times New Roman"/>
                <w:snapToGrid w:val="0"/>
                <w:color w:val="auto"/>
                <w:kern w:val="2"/>
                <w:sz w:val="21"/>
                <w:szCs w:val="21"/>
                <w:u w:val="single"/>
                <w:lang w:val="en-US"/>
              </w:rPr>
              <w:t>0.3、0.2、0.1、0,且M+N=1</w:t>
            </w:r>
            <w:r>
              <w:rPr>
                <w:rFonts w:hint="default" w:ascii="宋体" w:hAnsi="宋体" w:cs="Times New Roman"/>
                <w:snapToGrid w:val="0"/>
                <w:color w:val="auto"/>
                <w:kern w:val="2"/>
                <w:sz w:val="21"/>
                <w:szCs w:val="21"/>
                <w:u w:val="single"/>
                <w:lang w:val="en-US"/>
              </w:rPr>
              <w:t>）</w:t>
            </w:r>
          </w:p>
          <w:p>
            <w:pPr>
              <w:pStyle w:val="34"/>
              <w:keepNext w:val="0"/>
              <w:keepLines w:val="0"/>
              <w:suppressLineNumbers w:val="0"/>
              <w:adjustRightInd w:val="0"/>
              <w:snapToGrid w:val="0"/>
              <w:spacing w:before="0" w:beforeAutospacing="0" w:after="0" w:afterAutospacing="0" w:line="360" w:lineRule="auto"/>
              <w:ind w:left="0" w:right="0" w:firstLine="420" w:firstLineChars="200"/>
              <w:rPr>
                <w:rFonts w:hint="eastAsia" w:ascii="Times New Roman" w:hAnsi="Times New Roman"/>
                <w:lang w:val="en-US" w:eastAsia="zh-CN"/>
              </w:rPr>
            </w:pPr>
            <w:r>
              <w:rPr>
                <w:rFonts w:hint="eastAsia" w:ascii="Times New Roman" w:hAnsi="Times New Roman"/>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Times New Roman" w:hAnsi="Times New Roman" w:cs="Times New Roman"/>
                <w:color w:val="auto"/>
                <w:kern w:val="2"/>
                <w:sz w:val="21"/>
                <w:lang w:val="en-US"/>
              </w:rPr>
            </w:pPr>
            <w:r>
              <w:rPr>
                <w:rFonts w:hint="eastAsia" w:ascii="Times New Roman" w:hAnsi="Times New Roman" w:cs="Times New Roman"/>
                <w:color w:val="auto"/>
                <w:kern w:val="2"/>
                <w:sz w:val="21"/>
                <w:lang w:val="en-US"/>
              </w:rPr>
              <w:t>备注：评标基准价四舍五入至个位整数。</w:t>
            </w:r>
          </w:p>
          <w:p>
            <w:pPr>
              <w:keepNext w:val="0"/>
              <w:keepLines w:val="0"/>
              <w:suppressLineNumbers w:val="0"/>
              <w:spacing w:before="0" w:beforeAutospacing="0" w:after="0" w:afterAutospacing="0" w:line="360" w:lineRule="auto"/>
              <w:ind w:left="0" w:right="141" w:rightChars="59" w:firstLine="316" w:firstLineChars="150"/>
              <w:jc w:val="both"/>
              <w:rPr>
                <w:rFonts w:hint="default" w:ascii="宋体" w:hAnsi="宋体" w:cs="Times New Roman"/>
                <w:b/>
                <w:bCs/>
                <w:snapToGrid w:val="0"/>
                <w:color w:val="auto"/>
                <w:kern w:val="2"/>
                <w:sz w:val="21"/>
                <w:szCs w:val="21"/>
                <w:lang w:val="en-US"/>
              </w:rPr>
            </w:pPr>
          </w:p>
          <w:p>
            <w:pPr>
              <w:keepNext w:val="0"/>
              <w:keepLines w:val="0"/>
              <w:suppressLineNumbers w:val="0"/>
              <w:spacing w:before="0" w:beforeAutospacing="0" w:after="0" w:afterAutospacing="0" w:line="360" w:lineRule="auto"/>
              <w:ind w:left="0" w:right="141" w:rightChars="59" w:firstLine="316" w:firstLineChars="150"/>
              <w:jc w:val="both"/>
              <w:rPr>
                <w:rFonts w:hint="eastAsia" w:ascii="宋体" w:hAnsi="宋体" w:cs="Times New Roman"/>
                <w:snapToGrid w:val="0"/>
                <w:color w:val="auto"/>
                <w:kern w:val="2"/>
                <w:sz w:val="21"/>
                <w:szCs w:val="21"/>
                <w:lang w:val="en-US"/>
              </w:rPr>
            </w:pPr>
            <w:r>
              <w:rPr>
                <w:rFonts w:hint="default" w:ascii="宋体" w:hAnsi="宋体" w:cs="Times New Roman"/>
                <w:b/>
                <w:bCs/>
                <w:snapToGrid w:val="0"/>
                <w:color w:val="auto"/>
                <w:kern w:val="2"/>
                <w:sz w:val="21"/>
                <w:szCs w:val="21"/>
                <w:lang w:val="en-US"/>
              </w:rPr>
              <w:t>评标基准价的计算：</w:t>
            </w:r>
            <w:r>
              <w:rPr>
                <w:rFonts w:hint="eastAsia" w:ascii="宋体" w:hAnsi="宋体" w:cs="Times New Roman"/>
                <w:b/>
                <w:bCs/>
                <w:snapToGrid w:val="0"/>
                <w:color w:val="auto"/>
                <w:kern w:val="2"/>
                <w:sz w:val="21"/>
                <w:szCs w:val="21"/>
                <w:lang w:val="en-US"/>
              </w:rPr>
              <w:t>（方案二）</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在开标现场，招标人将当场计算并宣布评标基准价。</w:t>
            </w:r>
          </w:p>
          <w:p>
            <w:pPr>
              <w:keepNext w:val="0"/>
              <w:keepLines w:val="0"/>
              <w:suppressLineNumbers w:val="0"/>
              <w:spacing w:before="0" w:beforeAutospacing="0" w:after="0" w:afterAutospacing="0" w:line="360" w:lineRule="auto"/>
              <w:ind w:left="0" w:right="141" w:rightChars="59" w:firstLine="315" w:firstLineChars="150"/>
              <w:jc w:val="both"/>
              <w:rPr>
                <w:rFonts w:hint="default"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(1)评标价的确定：</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评标价</w:t>
            </w:r>
            <w:r>
              <w:rPr>
                <w:rFonts w:hint="default"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投标函文字报价</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(2)评标基准价=最高投标限价×（1-下浮率）</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下浮率在开标前在开标现场采取逐标段摇珠方式确定。摇珠操作办法如下：在下浮率摇珠范围内，以0.1%为一档次增序确定摇珠号码，不少于31个球，每个标段各一次性摇出3个球（</w:t>
            </w:r>
            <w:r>
              <w:rPr>
                <w:rFonts w:hint="eastAsia" w:ascii="宋体" w:hAnsi="宋体" w:cs="Times New Roman"/>
                <w:snapToGrid w:val="0"/>
                <w:color w:val="auto"/>
                <w:kern w:val="2"/>
                <w:sz w:val="21"/>
                <w:szCs w:val="21"/>
                <w:lang w:val="en-US" w:eastAsia="zh-CN"/>
              </w:rPr>
              <w:t>摇出的球</w:t>
            </w:r>
            <w:r>
              <w:rPr>
                <w:rFonts w:hint="eastAsia" w:ascii="宋体" w:hAnsi="宋体" w:cs="Times New Roman"/>
                <w:snapToGrid w:val="0"/>
                <w:color w:val="auto"/>
                <w:kern w:val="2"/>
                <w:sz w:val="21"/>
                <w:szCs w:val="21"/>
                <w:lang w:val="en-US"/>
              </w:rPr>
              <w:t>不放回），摇出3个球对应的下浮率的平均值即为本标段招标的下浮率。（注：下浮率摇珠区间差值以3至5个百分点为宜，三个下浮率的平均值四舍五入取整到0.001％）</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最高投标限价、下浮率有效范围可在投标文件递交截止日15天前以书面补遗书的形式通知各投标人。</w:t>
            </w:r>
          </w:p>
          <w:p>
            <w:pPr>
              <w:keepNext w:val="0"/>
              <w:keepLines w:val="0"/>
              <w:suppressLineNumbers w:val="0"/>
              <w:spacing w:before="0" w:beforeAutospacing="0" w:after="0" w:afterAutospacing="0" w:line="360" w:lineRule="auto"/>
              <w:ind w:left="0" w:right="141" w:rightChars="59" w:firstLine="315" w:firstLineChars="150"/>
              <w:jc w:val="both"/>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suppressLineNumbers w:val="0"/>
              <w:spacing w:before="0" w:beforeAutospacing="0" w:after="0" w:afterAutospacing="0"/>
              <w:ind w:left="0" w:right="141" w:rightChars="59" w:firstLine="315" w:firstLineChars="150"/>
              <w:rPr>
                <w:rStyle w:val="606"/>
                <w:rFonts w:hint="eastAsia" w:ascii="宋体" w:hAnsi="Times New Roman" w:eastAsia="等线"/>
                <w:b w:val="0"/>
                <w:sz w:val="21"/>
                <w:szCs w:val="21"/>
              </w:rPr>
            </w:pPr>
            <w:r>
              <w:rPr>
                <w:rFonts w:hint="eastAsia" w:ascii="宋体" w:hAnsi="宋体" w:cs="Times New Roman"/>
                <w:snapToGrid w:val="0"/>
                <w:color w:val="auto"/>
                <w:kern w:val="2"/>
                <w:sz w:val="21"/>
                <w:szCs w:val="21"/>
                <w:lang w:val="en-US"/>
              </w:rPr>
              <w:t>备注：评标基准价四舍五入至个位整数</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sz w:val="21"/>
                <w:szCs w:val="21"/>
                <w:lang w:val="zh-CN" w:eastAsia="zh-CN"/>
              </w:rPr>
            </w:pPr>
            <w:r>
              <w:rPr>
                <w:rFonts w:hint="default" w:ascii="宋体" w:hAnsi="宋体"/>
                <w:sz w:val="21"/>
                <w:szCs w:val="21"/>
                <w:lang w:val="zh-CN" w:eastAsia="zh-CN"/>
              </w:rPr>
              <w:t>2.2.3</w:t>
            </w:r>
          </w:p>
        </w:tc>
        <w:tc>
          <w:tcPr>
            <w:tcW w:w="1463" w:type="dxa"/>
            <w:noWrap w:val="0"/>
            <w:vAlign w:val="center"/>
          </w:tcPr>
          <w:p>
            <w:pPr>
              <w:pStyle w:val="215"/>
              <w:keepNext w:val="0"/>
              <w:keepLines w:val="0"/>
              <w:suppressLineNumbers w:val="0"/>
              <w:shd w:val="clear" w:color="auto" w:fill="auto"/>
              <w:spacing w:before="0" w:beforeAutospacing="0" w:after="0" w:afterAutospacing="0" w:line="360" w:lineRule="auto"/>
              <w:ind w:left="0" w:right="0"/>
              <w:jc w:val="center"/>
              <w:rPr>
                <w:rFonts w:hint="default" w:ascii="宋体" w:hAnsi="宋体" w:eastAsia="宋体"/>
                <w:sz w:val="21"/>
                <w:szCs w:val="21"/>
                <w:lang w:val="zh-CN" w:eastAsia="zh-CN"/>
              </w:rPr>
            </w:pPr>
            <w:r>
              <w:rPr>
                <w:rFonts w:hint="default" w:ascii="宋体" w:hAnsi="宋体" w:eastAsia="宋体"/>
                <w:sz w:val="21"/>
                <w:szCs w:val="21"/>
                <w:lang w:val="zh-CN" w:eastAsia="zh-CN"/>
              </w:rPr>
              <w:t>评标价的偏差率计算公式</w:t>
            </w:r>
          </w:p>
        </w:tc>
        <w:tc>
          <w:tcPr>
            <w:tcW w:w="6637" w:type="dxa"/>
            <w:noWrap w:val="0"/>
            <w:vAlign w:val="center"/>
          </w:tcPr>
          <w:p>
            <w:pPr>
              <w:keepNext w:val="0"/>
              <w:keepLines w:val="0"/>
              <w:suppressLineNumbers w:val="0"/>
              <w:spacing w:before="0" w:beforeAutospacing="0" w:after="0" w:afterAutospacing="0" w:line="360" w:lineRule="auto"/>
              <w:ind w:left="0" w:right="141" w:rightChars="59"/>
              <w:jc w:val="both"/>
              <w:rPr>
                <w:rFonts w:hint="default" w:ascii="宋体" w:hAnsi="宋体" w:cs="Times New Roman"/>
                <w:color w:val="auto"/>
                <w:kern w:val="2"/>
                <w:sz w:val="21"/>
                <w:szCs w:val="21"/>
                <w:lang w:val="en-US"/>
              </w:rPr>
            </w:pPr>
            <w:r>
              <w:rPr>
                <w:rFonts w:hint="default" w:ascii="宋体" w:hAnsi="宋体"/>
                <w:color w:val="auto"/>
                <w:sz w:val="21"/>
                <w:szCs w:val="21"/>
              </w:rPr>
              <w:t>偏差率=100%×(投标人评标价－评标基准价)/评标基准价</w:t>
            </w:r>
          </w:p>
        </w:tc>
      </w:tr>
    </w:tbl>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jc w:val="right"/>
        <w:rPr>
          <w:rStyle w:val="649"/>
          <w:rFonts w:hint="eastAsia" w:ascii="宋体" w:hAnsi="宋体" w:eastAsia="宋体"/>
          <w:b/>
          <w:bCs/>
          <w:color w:val="auto"/>
          <w:sz w:val="24"/>
          <w:szCs w:val="24"/>
        </w:rPr>
        <w:sectPr>
          <w:footnotePr>
            <w:numRestart w:val="eachPage"/>
          </w:footnotePr>
          <w:pgSz w:w="11900" w:h="16838"/>
          <w:pgMar w:top="1803" w:right="1440" w:bottom="1803" w:left="1440" w:header="680" w:footer="680" w:gutter="0"/>
          <w:cols w:space="720" w:num="1"/>
          <w:docGrid w:linePitch="360" w:charSpace="0"/>
        </w:sectPr>
      </w:pPr>
    </w:p>
    <w:p>
      <w:pPr>
        <w:spacing w:line="360" w:lineRule="auto"/>
        <w:jc w:val="right"/>
        <w:rPr>
          <w:rStyle w:val="649"/>
          <w:rFonts w:hint="eastAsia" w:ascii="宋体" w:hAnsi="宋体" w:eastAsia="宋体"/>
          <w:b/>
          <w:bCs/>
          <w:color w:val="auto"/>
          <w:sz w:val="24"/>
          <w:szCs w:val="24"/>
        </w:rPr>
      </w:pPr>
    </w:p>
    <w:tbl>
      <w:tblPr>
        <w:tblStyle w:val="8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641"/>
        <w:gridCol w:w="750"/>
        <w:gridCol w:w="972"/>
        <w:gridCol w:w="2525"/>
        <w:gridCol w:w="1417"/>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6" w:type="dxa"/>
            <w:gridSpan w:val="6"/>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b/>
                <w:bCs/>
                <w:color w:val="auto"/>
                <w:sz w:val="21"/>
                <w:szCs w:val="21"/>
              </w:rPr>
            </w:pPr>
            <w:r>
              <w:rPr>
                <w:rFonts w:hint="default" w:ascii="宋体" w:hAnsi="宋体"/>
                <w:b/>
                <w:bCs/>
                <w:color w:val="auto"/>
                <w:sz w:val="21"/>
                <w:szCs w:val="21"/>
              </w:rPr>
              <w:t>评分因素与权重分值</w:t>
            </w:r>
          </w:p>
        </w:tc>
        <w:tc>
          <w:tcPr>
            <w:tcW w:w="17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lang w:val="en-US"/>
              </w:rPr>
            </w:pPr>
            <w:r>
              <w:rPr>
                <w:rFonts w:hint="eastAsia" w:ascii="宋体" w:hAnsi="宋体"/>
                <w:b/>
                <w:bCs/>
                <w:color w:val="auto"/>
                <w:sz w:val="21"/>
                <w:szCs w:val="21"/>
                <w:lang w:val="en-US"/>
              </w:rPr>
              <w:t>评分标准</w:t>
            </w:r>
            <w:r>
              <w:rPr>
                <w:rStyle w:val="101"/>
                <w:rFonts w:hint="default" w:ascii="宋体" w:hAnsi="宋体"/>
                <w:sz w:val="32"/>
                <w:szCs w:val="32"/>
              </w:rPr>
              <w:footnoteReference w:id="8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条款号</w:t>
            </w:r>
          </w:p>
        </w:tc>
        <w:tc>
          <w:tcPr>
            <w:tcW w:w="1391"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评分因素</w:t>
            </w:r>
          </w:p>
        </w:tc>
        <w:tc>
          <w:tcPr>
            <w:tcW w:w="972"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评分因素权重分值</w:t>
            </w:r>
          </w:p>
        </w:tc>
        <w:tc>
          <w:tcPr>
            <w:tcW w:w="2525"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各评分因素细分项</w:t>
            </w:r>
          </w:p>
        </w:tc>
        <w:tc>
          <w:tcPr>
            <w:tcW w:w="1417" w:type="dxa"/>
            <w:noWrap w:val="0"/>
            <w:vAlign w:val="center"/>
          </w:tcPr>
          <w:p>
            <w:pPr>
              <w:keepNext w:val="0"/>
              <w:keepLines w:val="0"/>
              <w:suppressLineNumbers w:val="0"/>
              <w:spacing w:before="0" w:beforeAutospacing="0" w:after="0" w:afterAutospacing="0"/>
              <w:ind w:left="0" w:right="0"/>
              <w:jc w:val="center"/>
              <w:rPr>
                <w:rFonts w:hint="default" w:ascii="宋体" w:hAnsi="宋体"/>
                <w:b/>
                <w:bCs/>
                <w:color w:val="auto"/>
                <w:sz w:val="21"/>
                <w:szCs w:val="21"/>
              </w:rPr>
            </w:pPr>
            <w:r>
              <w:rPr>
                <w:rFonts w:hint="default" w:ascii="宋体" w:hAnsi="宋体"/>
                <w:b/>
                <w:bCs/>
                <w:color w:val="auto"/>
                <w:sz w:val="21"/>
                <w:szCs w:val="21"/>
              </w:rPr>
              <w:t>分值</w:t>
            </w:r>
          </w:p>
        </w:tc>
        <w:tc>
          <w:tcPr>
            <w:tcW w:w="1758" w:type="dxa"/>
            <w:vMerge w:val="continue"/>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w:t>
            </w:r>
            <w:r>
              <w:rPr>
                <w:rFonts w:hint="eastAsia" w:ascii="宋体" w:hAnsi="宋体"/>
                <w:color w:val="auto"/>
                <w:sz w:val="21"/>
                <w:szCs w:val="21"/>
              </w:rPr>
              <w:t>1</w:t>
            </w:r>
            <w:r>
              <w:rPr>
                <w:rFonts w:hint="default" w:ascii="宋体" w:hAnsi="宋体"/>
                <w:color w:val="auto"/>
                <w:sz w:val="21"/>
                <w:szCs w:val="21"/>
              </w:rPr>
              <w:t>)</w:t>
            </w:r>
          </w:p>
        </w:tc>
        <w:tc>
          <w:tcPr>
            <w:tcW w:w="1391"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技术建议书</w:t>
            </w:r>
          </w:p>
        </w:tc>
        <w:tc>
          <w:tcPr>
            <w:tcW w:w="972"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hint="default" w:ascii="宋体" w:hAnsi="宋体"/>
                <w:color w:val="auto"/>
                <w:sz w:val="21"/>
                <w:szCs w:val="21"/>
              </w:rPr>
              <w:t>分</w:t>
            </w:r>
            <w:r>
              <w:rPr>
                <w:rStyle w:val="101"/>
                <w:rFonts w:hint="eastAsia" w:ascii="宋体" w:hAnsi="宋体" w:cs="Times New Roman"/>
                <w:color w:val="auto"/>
                <w:sz w:val="30"/>
                <w:lang w:val="en-US"/>
              </w:rPr>
              <w:footnoteReference w:id="89"/>
            </w: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lang w:val="en-US"/>
              </w:rPr>
            </w:pPr>
            <w:r>
              <w:rPr>
                <w:rFonts w:hint="eastAsia" w:ascii="宋体" w:hAnsi="宋体"/>
                <w:color w:val="auto"/>
                <w:sz w:val="21"/>
                <w:szCs w:val="21"/>
                <w:lang w:val="en-US"/>
              </w:rPr>
              <w:t>对招标项目勘察设计的理解和总体设计思路</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rPr>
            </w:pPr>
            <w:r>
              <w:rPr>
                <w:rStyle w:val="461"/>
                <w:rFonts w:hint="eastAsia" w:ascii="宋体" w:hAnsi="宋体" w:eastAsia="宋体"/>
                <w:color w:val="auto"/>
                <w:sz w:val="21"/>
                <w:szCs w:val="21"/>
              </w:rPr>
              <w:t>对项目</w:t>
            </w:r>
            <w:r>
              <w:rPr>
                <w:rStyle w:val="461"/>
                <w:rFonts w:hint="eastAsia" w:ascii="宋体" w:hAnsi="宋体" w:eastAsia="宋体"/>
                <w:color w:val="auto"/>
                <w:sz w:val="21"/>
                <w:szCs w:val="21"/>
                <w:lang w:val="en-US"/>
              </w:rPr>
              <w:t>勘察</w:t>
            </w:r>
            <w:r>
              <w:rPr>
                <w:rStyle w:val="461"/>
                <w:rFonts w:hint="eastAsia" w:ascii="宋体" w:hAnsi="宋体" w:eastAsia="宋体"/>
                <w:color w:val="auto"/>
                <w:sz w:val="21"/>
                <w:szCs w:val="21"/>
              </w:rPr>
              <w:t>设计的特点、关键技术问题的认识及其对策措施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rPr>
            </w:pPr>
            <w:r>
              <w:rPr>
                <w:rStyle w:val="461"/>
                <w:rFonts w:hint="eastAsia" w:ascii="宋体" w:hAnsi="宋体" w:eastAsia="宋体"/>
                <w:color w:val="auto"/>
                <w:sz w:val="21"/>
                <w:szCs w:val="21"/>
                <w:lang w:val="en-US"/>
              </w:rPr>
              <w:t>勘察</w:t>
            </w:r>
            <w:r>
              <w:rPr>
                <w:rStyle w:val="461"/>
                <w:rFonts w:hint="eastAsia" w:ascii="宋体" w:hAnsi="宋体" w:eastAsia="宋体"/>
                <w:color w:val="auto"/>
                <w:sz w:val="21"/>
                <w:szCs w:val="21"/>
              </w:rPr>
              <w:t>设计工作内容及计划安排</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21"/>
                <w:szCs w:val="21"/>
                <w:u w:val="single"/>
                <w:lang w:val="en-US"/>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勘察设计的质量保证措施、进度保证措施</w:t>
            </w:r>
          </w:p>
        </w:tc>
        <w:tc>
          <w:tcPr>
            <w:tcW w:w="1417" w:type="dxa"/>
            <w:noWrap w:val="0"/>
            <w:vAlign w:val="center"/>
          </w:tcPr>
          <w:p>
            <w:pPr>
              <w:keepNext w:val="0"/>
              <w:keepLines w:val="0"/>
              <w:suppressLineNumbers w:val="0"/>
              <w:spacing w:before="0" w:beforeAutospacing="0" w:after="0" w:afterAutospacing="0" w:line="360" w:lineRule="auto"/>
              <w:ind w:left="0" w:right="0"/>
              <w:rPr>
                <w:rStyle w:val="461"/>
                <w:rFonts w:hint="eastAsia" w:ascii="宋体" w:hAnsi="宋体" w:eastAsia="宋体"/>
                <w:color w:val="auto"/>
                <w:sz w:val="21"/>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napToGrid w:val="0"/>
              <w:spacing w:before="0" w:beforeAutospacing="0" w:after="0" w:afterAutospacing="0" w:line="260" w:lineRule="exact"/>
              <w:ind w:left="10" w:right="139" w:rightChars="58" w:hanging="10" w:hangingChars="5"/>
              <w:rPr>
                <w:rStyle w:val="461"/>
                <w:rFonts w:hint="eastAsia" w:ascii="宋体" w:hAnsi="宋体" w:eastAsia="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后续服务计划及保证措施</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260" w:lineRule="exact"/>
              <w:ind w:left="10" w:right="139" w:rightChars="58" w:hanging="10" w:hangingChars="5"/>
              <w:jc w:val="both"/>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lang w:val="en-US"/>
              </w:rPr>
            </w:pPr>
            <w:r>
              <w:rPr>
                <w:rFonts w:hint="eastAsia" w:ascii="宋体" w:hAnsi="宋体"/>
                <w:color w:val="auto"/>
                <w:sz w:val="21"/>
                <w:szCs w:val="21"/>
                <w:lang w:val="en-US"/>
              </w:rPr>
              <w:t>……</w:t>
            </w:r>
          </w:p>
        </w:tc>
        <w:tc>
          <w:tcPr>
            <w:tcW w:w="141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p>
        </w:tc>
        <w:tc>
          <w:tcPr>
            <w:tcW w:w="1758" w:type="dxa"/>
            <w:noWrap w:val="0"/>
            <w:vAlign w:val="center"/>
          </w:tcPr>
          <w:p>
            <w:pPr>
              <w:keepNext w:val="0"/>
              <w:keepLines w:val="0"/>
              <w:suppressLineNumbers w:val="0"/>
              <w:spacing w:before="0" w:beforeAutospacing="0" w:after="0" w:afterAutospacing="0" w:line="260" w:lineRule="exact"/>
              <w:ind w:left="10" w:right="139" w:rightChars="58" w:hanging="10" w:hangingChars="5"/>
              <w:jc w:val="both"/>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default" w:ascii="宋体" w:hAnsi="宋体"/>
                <w:color w:val="auto"/>
                <w:sz w:val="21"/>
                <w:szCs w:val="21"/>
              </w:rPr>
              <w:t>(2)</w:t>
            </w:r>
          </w:p>
        </w:tc>
        <w:tc>
          <w:tcPr>
            <w:tcW w:w="1391"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Style w:val="333"/>
                <w:rFonts w:hint="eastAsia" w:ascii="宋体" w:hAnsi="宋体" w:eastAsia="宋体"/>
                <w:color w:val="auto"/>
                <w:sz w:val="21"/>
                <w:szCs w:val="21"/>
                <w:lang w:val="en-US"/>
              </w:rPr>
              <w:t>主要人员</w:t>
            </w:r>
          </w:p>
        </w:tc>
        <w:tc>
          <w:tcPr>
            <w:tcW w:w="972" w:type="dxa"/>
            <w:vMerge w:val="restart"/>
            <w:noWrap w:val="0"/>
            <w:vAlign w:val="center"/>
          </w:tcPr>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hint="default" w:ascii="宋体" w:hAnsi="宋体"/>
                <w:color w:val="auto"/>
                <w:sz w:val="21"/>
                <w:szCs w:val="21"/>
              </w:rPr>
              <w:t>分</w:t>
            </w: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rPr>
              <w:t>项目负责人</w:t>
            </w:r>
            <w:r>
              <w:rPr>
                <w:rFonts w:hint="default" w:ascii="宋体" w:hAnsi="宋体"/>
                <w:color w:val="auto"/>
                <w:sz w:val="21"/>
                <w:szCs w:val="21"/>
              </w:rPr>
              <w:t>任职资格与业绩</w:t>
            </w:r>
          </w:p>
        </w:tc>
        <w:tc>
          <w:tcPr>
            <w:tcW w:w="1417"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各分项</w:t>
            </w:r>
            <w:r>
              <w:rPr>
                <w:rFonts w:hint="eastAsia" w:ascii="宋体" w:hAnsi="宋体"/>
                <w:color w:val="auto"/>
                <w:sz w:val="21"/>
                <w:szCs w:val="21"/>
              </w:rPr>
              <w:t>负责人</w:t>
            </w:r>
            <w:r>
              <w:rPr>
                <w:rFonts w:hint="default" w:ascii="宋体" w:hAnsi="宋体"/>
                <w:color w:val="auto"/>
                <w:sz w:val="21"/>
                <w:szCs w:val="21"/>
              </w:rPr>
              <w:t>任职资格与业绩</w:t>
            </w:r>
          </w:p>
        </w:tc>
        <w:tc>
          <w:tcPr>
            <w:tcW w:w="1417"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1391"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972"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2525"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c>
          <w:tcPr>
            <w:tcW w:w="1417"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u w:val="single"/>
              </w:rPr>
            </w:pPr>
            <w:r>
              <w:rPr>
                <w:rStyle w:val="461"/>
                <w:rFonts w:hint="eastAsia" w:ascii="宋体" w:hAnsi="宋体" w:eastAsia="宋体"/>
                <w:color w:val="auto"/>
                <w:sz w:val="21"/>
                <w:szCs w:val="21"/>
                <w:u w:val="single"/>
              </w:rPr>
              <w:t xml:space="preserve">  </w:t>
            </w:r>
            <w:r>
              <w:rPr>
                <w:rFonts w:hint="eastAsia" w:ascii="宋体" w:hAnsi="宋体"/>
                <w:color w:val="auto"/>
                <w:sz w:val="21"/>
                <w:szCs w:val="21"/>
              </w:rPr>
              <w:t>分</w:t>
            </w:r>
          </w:p>
        </w:tc>
        <w:tc>
          <w:tcPr>
            <w:tcW w:w="175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51"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(3)</w:t>
            </w:r>
          </w:p>
        </w:tc>
        <w:tc>
          <w:tcPr>
            <w:tcW w:w="1391"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Style w:val="333"/>
                <w:rFonts w:hint="default" w:ascii="宋体" w:hAnsi="Times New Roman" w:eastAsia="宋体"/>
                <w:color w:val="auto"/>
                <w:sz w:val="21"/>
                <w:szCs w:val="21"/>
              </w:rPr>
              <w:t>评标价</w:t>
            </w: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eastAsia" w:ascii="宋体" w:hAnsi="宋体"/>
                <w:color w:val="auto"/>
                <w:szCs w:val="21"/>
                <w:u w:val="single"/>
              </w:rPr>
              <w:t xml:space="preserve">   </w:t>
            </w:r>
            <w:r>
              <w:rPr>
                <w:rFonts w:hint="default" w:ascii="宋体" w:hAnsi="宋体"/>
                <w:color w:val="auto"/>
                <w:szCs w:val="21"/>
              </w:rPr>
              <w:t>分</w:t>
            </w:r>
          </w:p>
        </w:tc>
        <w:tc>
          <w:tcPr>
            <w:tcW w:w="5700" w:type="dxa"/>
            <w:gridSpan w:val="3"/>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default" w:ascii="宋体" w:hAnsi="宋体"/>
                <w:color w:val="auto"/>
                <w:sz w:val="21"/>
                <w:szCs w:val="21"/>
              </w:rPr>
              <w:t>评标价得分计算公式示例：</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default" w:ascii="宋体" w:hAnsi="宋体"/>
                <w:color w:val="auto"/>
                <w:sz w:val="21"/>
                <w:szCs w:val="21"/>
              </w:rPr>
              <w:t>(1)如果投标人的评标价&gt;评标基准价，则评标价得分＝F－偏差率×100×</w:t>
            </w:r>
            <w:r>
              <w:rPr>
                <w:rFonts w:hint="eastAsia" w:ascii="宋体" w:hAnsi="宋体"/>
                <w:color w:val="auto"/>
                <w:sz w:val="21"/>
                <w:szCs w:val="21"/>
              </w:rPr>
              <w:t>D1</w:t>
            </w:r>
            <w:r>
              <w:rPr>
                <w:rFonts w:hint="default" w:ascii="宋体" w:hAnsi="宋体"/>
                <w:color w:val="auto"/>
                <w:sz w:val="21"/>
                <w:szCs w:val="21"/>
              </w:rPr>
              <w:t>；</w:t>
            </w:r>
            <w:r>
              <w:rPr>
                <w:rFonts w:hint="eastAsia" w:ascii="宋体" w:hAnsi="宋体"/>
                <w:color w:val="auto"/>
                <w:sz w:val="21"/>
                <w:szCs w:val="21"/>
                <w:lang w:val="en-US"/>
              </w:rPr>
              <w:t>方案一时</w:t>
            </w:r>
            <w:r>
              <w:rPr>
                <w:rFonts w:hint="eastAsia" w:ascii="宋体" w:hAnsi="宋体"/>
                <w:color w:val="auto"/>
                <w:sz w:val="21"/>
                <w:szCs w:val="21"/>
              </w:rPr>
              <w:t>D1</w:t>
            </w:r>
            <w:r>
              <w:rPr>
                <w:rFonts w:hint="eastAsia" w:ascii="宋体" w:hAnsi="宋体"/>
                <w:color w:val="auto"/>
                <w:sz w:val="21"/>
                <w:szCs w:val="21"/>
                <w:lang w:val="en-US"/>
              </w:rPr>
              <w:t>宜</w:t>
            </w:r>
            <w:r>
              <w:rPr>
                <w:rFonts w:hint="eastAsia" w:ascii="宋体" w:hAnsi="宋体"/>
                <w:color w:val="auto"/>
                <w:sz w:val="21"/>
                <w:szCs w:val="21"/>
              </w:rPr>
              <w:t>取</w:t>
            </w:r>
            <w:r>
              <w:rPr>
                <w:rFonts w:hint="eastAsia" w:ascii="宋体" w:hAnsi="宋体"/>
                <w:color w:val="auto"/>
                <w:sz w:val="21"/>
                <w:szCs w:val="21"/>
                <w:lang w:val="en-US"/>
              </w:rPr>
              <w:t>0.2</w:t>
            </w:r>
            <w:r>
              <w:rPr>
                <w:rFonts w:hint="eastAsia" w:ascii="宋体" w:hAnsi="宋体"/>
                <w:color w:val="auto"/>
                <w:sz w:val="21"/>
                <w:szCs w:val="21"/>
              </w:rPr>
              <w:t>～</w:t>
            </w:r>
            <w:r>
              <w:rPr>
                <w:rFonts w:hint="eastAsia" w:ascii="宋体" w:hAnsi="宋体"/>
                <w:color w:val="auto"/>
                <w:sz w:val="21"/>
                <w:szCs w:val="21"/>
                <w:lang w:val="en-US"/>
              </w:rPr>
              <w:t>1.5，方案二时D1宜取1</w:t>
            </w:r>
            <w:r>
              <w:rPr>
                <w:rFonts w:hint="eastAsia" w:ascii="宋体" w:hAnsi="宋体"/>
                <w:color w:val="auto"/>
                <w:sz w:val="21"/>
                <w:szCs w:val="21"/>
              </w:rPr>
              <w:t>～</w:t>
            </w:r>
            <w:r>
              <w:rPr>
                <w:rFonts w:hint="eastAsia" w:ascii="宋体" w:hAnsi="宋体"/>
                <w:color w:val="auto"/>
                <w:sz w:val="21"/>
                <w:szCs w:val="21"/>
                <w:lang w:val="en-US"/>
              </w:rPr>
              <w:t>3</w:t>
            </w:r>
            <w:r>
              <w:rPr>
                <w:rFonts w:hint="eastAsia" w:ascii="宋体" w:hAnsi="宋体"/>
                <w:color w:val="auto"/>
                <w:sz w:val="21"/>
                <w:szCs w:val="21"/>
              </w:rPr>
              <w:t>；</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default" w:ascii="宋体" w:hAnsi="宋体"/>
                <w:color w:val="auto"/>
                <w:sz w:val="21"/>
                <w:szCs w:val="21"/>
              </w:rPr>
              <w:t>(2)如果投标人的评标价≤评标基准价，则评标价得分＝F＋偏差率×100×</w:t>
            </w:r>
            <w:r>
              <w:rPr>
                <w:rFonts w:hint="eastAsia" w:ascii="宋体" w:hAnsi="宋体"/>
                <w:color w:val="auto"/>
                <w:sz w:val="21"/>
                <w:szCs w:val="21"/>
              </w:rPr>
              <w:t>D2；</w:t>
            </w:r>
            <w:r>
              <w:rPr>
                <w:rFonts w:hint="eastAsia" w:ascii="宋体" w:hAnsi="宋体"/>
                <w:color w:val="auto"/>
                <w:sz w:val="21"/>
                <w:szCs w:val="21"/>
                <w:lang w:val="en-US"/>
              </w:rPr>
              <w:t>方案一时</w:t>
            </w:r>
            <w:r>
              <w:rPr>
                <w:rFonts w:hint="eastAsia" w:ascii="宋体" w:hAnsi="宋体"/>
                <w:color w:val="auto"/>
                <w:sz w:val="21"/>
                <w:szCs w:val="21"/>
              </w:rPr>
              <w:t>D2</w:t>
            </w:r>
            <w:r>
              <w:rPr>
                <w:rFonts w:hint="eastAsia" w:ascii="宋体" w:hAnsi="宋体"/>
                <w:color w:val="auto"/>
                <w:sz w:val="21"/>
                <w:szCs w:val="21"/>
                <w:lang w:val="en-US"/>
              </w:rPr>
              <w:t>宜取0.1</w:t>
            </w:r>
            <w:r>
              <w:rPr>
                <w:rFonts w:hint="eastAsia" w:ascii="宋体" w:hAnsi="宋体"/>
                <w:color w:val="auto"/>
                <w:sz w:val="21"/>
                <w:szCs w:val="21"/>
              </w:rPr>
              <w:t>～</w:t>
            </w:r>
            <w:r>
              <w:rPr>
                <w:rFonts w:hint="eastAsia" w:ascii="宋体" w:hAnsi="宋体"/>
                <w:color w:val="auto"/>
                <w:sz w:val="21"/>
                <w:szCs w:val="21"/>
                <w:lang w:val="en-US"/>
              </w:rPr>
              <w:t>0.5，方案二时D2宜取0.5</w:t>
            </w:r>
            <w:r>
              <w:rPr>
                <w:rFonts w:hint="eastAsia" w:ascii="宋体" w:hAnsi="宋体"/>
                <w:color w:val="auto"/>
                <w:sz w:val="21"/>
                <w:szCs w:val="21"/>
              </w:rPr>
              <w:t>～</w:t>
            </w:r>
            <w:r>
              <w:rPr>
                <w:rFonts w:hint="eastAsia" w:ascii="宋体" w:hAnsi="宋体"/>
                <w:color w:val="auto"/>
                <w:sz w:val="21"/>
                <w:szCs w:val="21"/>
                <w:lang w:val="en-US"/>
              </w:rPr>
              <w:t>1</w:t>
            </w:r>
            <w:r>
              <w:rPr>
                <w:rFonts w:hint="default" w:ascii="宋体" w:hAnsi="宋体"/>
                <w:color w:val="auto"/>
                <w:sz w:val="21"/>
                <w:szCs w:val="21"/>
              </w:rPr>
              <w:t>。</w:t>
            </w:r>
          </w:p>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rPr>
              <w:t xml:space="preserve">其中：F 是评标价所占的权重分值， </w:t>
            </w:r>
            <w:r>
              <w:rPr>
                <w:rFonts w:hint="eastAsia" w:ascii="宋体" w:hAnsi="宋体"/>
                <w:color w:val="auto"/>
                <w:sz w:val="21"/>
                <w:szCs w:val="21"/>
                <w:lang w:val="en-US"/>
              </w:rPr>
              <w:t>D</w:t>
            </w:r>
            <w:r>
              <w:rPr>
                <w:rFonts w:hint="eastAsia" w:ascii="宋体" w:hAnsi="宋体"/>
                <w:color w:val="auto"/>
                <w:sz w:val="21"/>
                <w:szCs w:val="21"/>
              </w:rPr>
              <w:t>1是评标价每高于</w:t>
            </w:r>
          </w:p>
          <w:p>
            <w:pPr>
              <w:keepNext w:val="0"/>
              <w:keepLines w:val="0"/>
              <w:suppressLineNumbers w:val="0"/>
              <w:spacing w:before="0" w:beforeAutospacing="0" w:after="0" w:afterAutospacing="0" w:line="360" w:lineRule="auto"/>
              <w:ind w:left="0" w:right="0"/>
              <w:rPr>
                <w:rFonts w:hint="default" w:ascii="宋体" w:hAnsi="宋体"/>
                <w:color w:val="auto"/>
                <w:sz w:val="21"/>
                <w:szCs w:val="21"/>
              </w:rPr>
            </w:pPr>
            <w:r>
              <w:rPr>
                <w:rFonts w:hint="eastAsia" w:ascii="宋体" w:hAnsi="宋体"/>
                <w:color w:val="auto"/>
                <w:sz w:val="21"/>
                <w:szCs w:val="21"/>
              </w:rPr>
              <w:t xml:space="preserve">评标基准价一个百分点的扣分值， </w:t>
            </w:r>
            <w:r>
              <w:rPr>
                <w:rFonts w:hint="eastAsia" w:ascii="宋体" w:hAnsi="宋体"/>
                <w:color w:val="auto"/>
                <w:sz w:val="21"/>
                <w:szCs w:val="21"/>
                <w:lang w:val="en-US"/>
              </w:rPr>
              <w:t>D</w:t>
            </w:r>
            <w:r>
              <w:rPr>
                <w:rFonts w:hint="eastAsia" w:ascii="宋体" w:hAnsi="宋体"/>
                <w:color w:val="auto"/>
                <w:sz w:val="21"/>
                <w:szCs w:val="21"/>
              </w:rPr>
              <w:t>2 是评标价每低于评标基准价一个百分点的扣分值</w:t>
            </w:r>
            <w:r>
              <w:rPr>
                <w:rFonts w:hint="eastAsia" w:ascii="宋体" w:hAnsi="宋体"/>
                <w:color w:val="auto"/>
                <w:sz w:val="21"/>
                <w:szCs w:val="21"/>
                <w:lang w:val="en-US"/>
              </w:rPr>
              <w:t>,</w:t>
            </w:r>
            <w:r>
              <w:rPr>
                <w:rFonts w:hint="eastAsia" w:ascii="宋体" w:hAnsi="宋体"/>
                <w:color w:val="auto"/>
                <w:sz w:val="21"/>
                <w:szCs w:val="21"/>
              </w:rPr>
              <w:t>一般原则上D1是D2的2或3倍。</w:t>
            </w:r>
          </w:p>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1"/>
                <w:szCs w:val="21"/>
              </w:rPr>
              <w:t>注：评标价得分</w:t>
            </w:r>
            <w:r>
              <w:rPr>
                <w:rFonts w:hint="eastAsia" w:ascii="宋体" w:hAnsi="宋体"/>
                <w:color w:val="auto"/>
                <w:kern w:val="2"/>
                <w:sz w:val="21"/>
                <w:szCs w:val="21"/>
                <w:lang w:val="en-US"/>
              </w:rPr>
              <w:t>计算保留小数点后四位，小数点后第五位“</w:t>
            </w:r>
            <w:r>
              <w:rPr>
                <w:rFonts w:hint="default" w:ascii="宋体" w:hAnsi="宋体"/>
                <w:color w:val="auto"/>
                <w:kern w:val="2"/>
                <w:sz w:val="21"/>
                <w:szCs w:val="21"/>
                <w:lang w:val="en-US"/>
              </w:rPr>
              <w:t>四舍五入</w:t>
            </w:r>
            <w:r>
              <w:rPr>
                <w:rFonts w:hint="eastAsia" w:ascii="宋体" w:hAnsi="宋体"/>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5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2.2.4</w:t>
            </w:r>
          </w:p>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(4)</w:t>
            </w:r>
          </w:p>
        </w:tc>
        <w:tc>
          <w:tcPr>
            <w:tcW w:w="64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r>
              <w:rPr>
                <w:rFonts w:hint="default" w:ascii="宋体" w:hAnsi="宋体"/>
                <w:color w:val="auto"/>
                <w:sz w:val="21"/>
                <w:szCs w:val="21"/>
              </w:rPr>
              <w:t>其他因素</w:t>
            </w:r>
            <w:r>
              <w:rPr>
                <w:rStyle w:val="101"/>
                <w:rFonts w:hint="eastAsia" w:ascii="宋体" w:hAnsi="宋体" w:cs="Times New Roman"/>
                <w:color w:val="auto"/>
                <w:sz w:val="30"/>
                <w:lang w:val="en-US"/>
              </w:rPr>
              <w:footnoteReference w:id="90"/>
            </w:r>
          </w:p>
        </w:tc>
        <w:tc>
          <w:tcPr>
            <w:tcW w:w="7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企业综合能力</w:t>
            </w: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pStyle w:val="45"/>
              <w:keepNext w:val="0"/>
              <w:keepLines w:val="0"/>
              <w:suppressLineNumbers w:val="0"/>
              <w:spacing w:before="0" w:beforeAutospacing="0" w:after="0" w:afterAutospacing="0" w:line="300" w:lineRule="exact"/>
              <w:ind w:left="0" w:right="0" w:firstLine="428" w:firstLineChars="204"/>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64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p>
        </w:tc>
        <w:tc>
          <w:tcPr>
            <w:tcW w:w="7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lang w:val="en-US"/>
              </w:rPr>
            </w:pPr>
            <w:r>
              <w:rPr>
                <w:rFonts w:hint="eastAsia" w:ascii="宋体" w:hAnsi="宋体"/>
                <w:color w:val="auto"/>
                <w:sz w:val="21"/>
                <w:szCs w:val="21"/>
                <w:lang w:val="en-US"/>
              </w:rPr>
              <w:t>业绩</w:t>
            </w: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pStyle w:val="45"/>
              <w:keepNext w:val="0"/>
              <w:keepLines w:val="0"/>
              <w:suppressLineNumbers w:val="0"/>
              <w:spacing w:before="0" w:beforeAutospacing="0" w:after="0" w:afterAutospacing="0" w:line="300" w:lineRule="exact"/>
              <w:ind w:left="0" w:right="0" w:firstLine="428" w:firstLineChars="204"/>
              <w:rPr>
                <w:rFonts w:hint="eastAsia"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2"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64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1"/>
                <w:szCs w:val="21"/>
              </w:rPr>
            </w:pPr>
            <w:r>
              <w:rPr>
                <w:rFonts w:hint="default" w:ascii="宋体" w:hAnsi="宋体"/>
                <w:color w:val="auto"/>
                <w:sz w:val="21"/>
                <w:szCs w:val="21"/>
              </w:rPr>
              <w:t>履约信誉</w:t>
            </w:r>
            <w:r>
              <w:rPr>
                <w:rStyle w:val="101"/>
                <w:rFonts w:hint="eastAsia" w:ascii="宋体" w:hAnsi="宋体" w:cs="Times New Roman"/>
                <w:color w:val="auto"/>
                <w:sz w:val="30"/>
                <w:lang w:val="en-US"/>
              </w:rPr>
              <w:footnoteReference w:id="91"/>
            </w: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u w:val="single"/>
                <w:lang w:val="en-US"/>
              </w:rPr>
              <w:t>10</w:t>
            </w:r>
            <w:r>
              <w:rPr>
                <w:rFonts w:hint="eastAsia" w:ascii="宋体" w:hAnsi="宋体"/>
                <w:color w:val="auto"/>
                <w:sz w:val="21"/>
                <w:szCs w:val="21"/>
                <w:lang w:val="en-US"/>
              </w:rPr>
              <w:t>分</w:t>
            </w:r>
          </w:p>
        </w:tc>
        <w:tc>
          <w:tcPr>
            <w:tcW w:w="5700" w:type="dxa"/>
            <w:gridSpan w:val="3"/>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color w:val="auto"/>
                <w:sz w:val="21"/>
                <w:szCs w:val="21"/>
              </w:rPr>
            </w:pPr>
            <w:r>
              <w:rPr>
                <w:rFonts w:hint="eastAsia" w:ascii="宋体" w:hAnsi="宋体"/>
                <w:color w:val="auto"/>
                <w:sz w:val="21"/>
                <w:szCs w:val="21"/>
              </w:rPr>
              <w:t>1. 信用等级分值（</w:t>
            </w:r>
            <w:r>
              <w:rPr>
                <w:rFonts w:hint="eastAsia" w:ascii="宋体" w:hAnsi="宋体"/>
                <w:color w:val="auto"/>
                <w:sz w:val="21"/>
                <w:szCs w:val="21"/>
                <w:u w:val="single"/>
              </w:rPr>
              <w:t>5</w:t>
            </w:r>
            <w:r>
              <w:rPr>
                <w:rFonts w:hint="eastAsia" w:ascii="宋体" w:hAnsi="宋体"/>
                <w:color w:val="auto"/>
                <w:sz w:val="21"/>
                <w:szCs w:val="21"/>
              </w:rPr>
              <w:t>分）</w:t>
            </w:r>
          </w:p>
          <w:p>
            <w:pPr>
              <w:keepNext w:val="0"/>
              <w:keepLines w:val="0"/>
              <w:suppressLineNumbers w:val="0"/>
              <w:spacing w:before="0" w:beforeAutospacing="0" w:after="0" w:afterAutospacing="0" w:line="360" w:lineRule="auto"/>
              <w:ind w:left="0" w:right="0" w:firstLine="525" w:firstLineChars="250"/>
              <w:rPr>
                <w:rFonts w:hint="eastAsia" w:ascii="宋体" w:hAnsi="宋体"/>
                <w:color w:val="auto"/>
                <w:sz w:val="21"/>
                <w:szCs w:val="21"/>
              </w:rPr>
            </w:pPr>
            <w:r>
              <w:rPr>
                <w:rFonts w:hint="eastAsia" w:ascii="宋体" w:hAnsi="宋体"/>
                <w:color w:val="auto"/>
                <w:sz w:val="21"/>
                <w:szCs w:val="21"/>
              </w:rPr>
              <w:t>AA、A、B、C级单位的信用等级分得分分别为5.00、4.75、4.45、3.65分。</w:t>
            </w:r>
          </w:p>
          <w:p>
            <w:pPr>
              <w:keepNext w:val="0"/>
              <w:keepLines w:val="0"/>
              <w:suppressLineNumbers w:val="0"/>
              <w:spacing w:before="0" w:beforeAutospacing="0" w:after="0" w:afterAutospacing="0" w:line="360" w:lineRule="auto"/>
              <w:ind w:left="0" w:right="0"/>
              <w:rPr>
                <w:rFonts w:hint="eastAsia" w:ascii="宋体" w:hAnsi="宋体"/>
                <w:color w:val="auto"/>
                <w:sz w:val="21"/>
                <w:szCs w:val="21"/>
              </w:rPr>
            </w:pPr>
            <w:r>
              <w:rPr>
                <w:rFonts w:hint="eastAsia" w:ascii="宋体" w:hAnsi="宋体" w:cs="宋体"/>
                <w:color w:val="auto"/>
                <w:sz w:val="21"/>
                <w:szCs w:val="21"/>
              </w:rPr>
              <w:t>注：信用等级的确定原则遵循投标人须知前附表10.2款的规定。以联合体形式投标的，按联合体成员中等级较低的计算。</w:t>
            </w:r>
          </w:p>
          <w:p>
            <w:pPr>
              <w:pStyle w:val="45"/>
              <w:keepNext w:val="0"/>
              <w:keepLines w:val="0"/>
              <w:suppressLineNumbers w:val="0"/>
              <w:spacing w:before="0" w:beforeAutospacing="0" w:after="0" w:afterAutospacing="0" w:line="360" w:lineRule="auto"/>
              <w:ind w:left="0" w:right="0"/>
              <w:rPr>
                <w:rFonts w:hint="eastAsia" w:hAnsi="宋体"/>
                <w:szCs w:val="21"/>
                <w:lang w:val="en-US" w:eastAsia="zh-CN"/>
              </w:rPr>
            </w:pPr>
            <w:r>
              <w:rPr>
                <w:rFonts w:hint="eastAsia" w:hAnsi="宋体"/>
                <w:szCs w:val="21"/>
                <w:lang w:val="en-US" w:eastAsia="zh-CN"/>
              </w:rPr>
              <w:t>2. 履约情况（</w:t>
            </w:r>
            <w:r>
              <w:rPr>
                <w:rFonts w:hint="eastAsia" w:hAnsi="宋体"/>
                <w:szCs w:val="21"/>
                <w:u w:val="single"/>
                <w:lang w:val="en-US" w:eastAsia="zh-CN"/>
              </w:rPr>
              <w:t>5</w:t>
            </w:r>
            <w:r>
              <w:rPr>
                <w:rFonts w:hint="eastAsia" w:hAnsi="宋体"/>
                <w:szCs w:val="21"/>
                <w:lang w:val="en-US" w:eastAsia="zh-CN"/>
              </w:rPr>
              <w:t>分）</w:t>
            </w:r>
          </w:p>
          <w:p>
            <w:pPr>
              <w:pStyle w:val="45"/>
              <w:keepNext w:val="0"/>
              <w:keepLines w:val="0"/>
              <w:suppressLineNumbers w:val="0"/>
              <w:spacing w:before="0" w:beforeAutospacing="0" w:after="0" w:afterAutospacing="0" w:line="360" w:lineRule="auto"/>
              <w:ind w:left="0" w:right="0" w:firstLine="420" w:firstLineChars="200"/>
              <w:rPr>
                <w:rFonts w:hint="eastAsia" w:hAnsi="宋体"/>
                <w:szCs w:val="21"/>
                <w:lang w:val="en-US" w:eastAsia="zh-CN"/>
              </w:rPr>
            </w:pPr>
            <w:r>
              <w:rPr>
                <w:rFonts w:hint="eastAsia" w:hAnsi="宋体"/>
                <w:szCs w:val="21"/>
                <w:lang w:val="en-US" w:eastAsia="zh-CN"/>
              </w:rPr>
              <w:t>若没出现下述情形得满分；</w:t>
            </w:r>
          </w:p>
          <w:p>
            <w:pPr>
              <w:pStyle w:val="45"/>
              <w:keepNext w:val="0"/>
              <w:keepLines w:val="0"/>
              <w:suppressLineNumbers w:val="0"/>
              <w:spacing w:before="0" w:beforeAutospacing="0" w:after="0" w:afterAutospacing="0" w:line="360" w:lineRule="auto"/>
              <w:ind w:left="0" w:right="0" w:firstLine="210" w:firstLineChars="100"/>
              <w:rPr>
                <w:rFonts w:hint="eastAsia" w:hAnsi="宋体"/>
                <w:szCs w:val="21"/>
                <w:lang w:val="en-US" w:eastAsia="zh-CN"/>
              </w:rPr>
            </w:pPr>
            <w:r>
              <w:rPr>
                <w:rFonts w:hint="eastAsia" w:hAnsi="宋体"/>
                <w:szCs w:val="21"/>
                <w:lang w:val="en-US" w:eastAsia="zh-CN"/>
              </w:rPr>
              <w:t>投标文件递交截止日前1年内，因水运工程</w:t>
            </w:r>
            <w:r>
              <w:rPr>
                <w:rFonts w:hint="eastAsia" w:hAnsi="宋体"/>
                <w:szCs w:val="21"/>
                <w:lang w:val="zh-CN" w:eastAsia="zh-CN"/>
              </w:rPr>
              <w:t>（含附属设施）</w:t>
            </w:r>
            <w:r>
              <w:rPr>
                <w:rFonts w:hint="eastAsia" w:hAnsi="宋体"/>
                <w:szCs w:val="21"/>
                <w:lang w:val="en-US" w:eastAsia="zh-CN"/>
              </w:rPr>
              <w:t>质量、安全、履约或招标投标问题等原因被：</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（1）交通运输部行政处罚的，扣5分/次；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（2）广东省交通运输厅行政处罚的，扣3分/次；</w:t>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u w:val="single"/>
                <w:lang w:val="en-US" w:eastAsia="zh-CN"/>
              </w:rPr>
            </w:pPr>
            <w:r>
              <w:rPr>
                <w:rFonts w:hint="eastAsia" w:hAnsi="宋体"/>
                <w:szCs w:val="21"/>
                <w:u w:val="single"/>
                <w:lang w:val="en-US" w:eastAsia="zh-CN"/>
              </w:rPr>
              <w:t>（3</w:t>
            </w:r>
            <w:r>
              <w:rPr>
                <w:rFonts w:hint="default" w:hAnsi="宋体"/>
                <w:szCs w:val="21"/>
                <w:u w:val="single"/>
                <w:lang w:val="en-US" w:eastAsia="zh-CN"/>
              </w:rPr>
              <w:t>）</w:t>
            </w:r>
            <w:r>
              <w:rPr>
                <w:rFonts w:hint="default" w:hAnsi="宋体"/>
                <w:u w:val="single"/>
                <w:lang w:val="zh-CN" w:eastAsia="zh-CN"/>
              </w:rPr>
              <w:t>项目所在地</w:t>
            </w:r>
            <w:r>
              <w:rPr>
                <w:rFonts w:hint="eastAsia" w:hAnsi="宋体"/>
                <w:u w:val="single"/>
                <w:lang w:val="zh-CN" w:eastAsia="zh-CN"/>
              </w:rPr>
              <w:t>地级以上市</w:t>
            </w:r>
            <w:r>
              <w:rPr>
                <w:rFonts w:hint="default" w:hAnsi="宋体"/>
                <w:u w:val="single"/>
                <w:lang w:val="zh-CN" w:eastAsia="zh-CN"/>
              </w:rPr>
              <w:t>交通</w:t>
            </w:r>
            <w:r>
              <w:rPr>
                <w:rFonts w:hint="eastAsia" w:hAnsi="宋体"/>
                <w:u w:val="single"/>
                <w:lang w:val="zh-CN" w:eastAsia="zh-CN"/>
              </w:rPr>
              <w:t>运输</w:t>
            </w:r>
            <w:r>
              <w:rPr>
                <w:rFonts w:hint="default" w:hAnsi="宋体"/>
                <w:u w:val="single"/>
                <w:lang w:val="zh-CN" w:eastAsia="zh-CN"/>
              </w:rPr>
              <w:t>局行政处罚的</w:t>
            </w:r>
            <w:r>
              <w:rPr>
                <w:rFonts w:hint="eastAsia" w:hAnsi="宋体"/>
                <w:szCs w:val="21"/>
                <w:u w:val="single"/>
                <w:lang w:val="en-US" w:eastAsia="zh-CN"/>
              </w:rPr>
              <w:t>，扣1.5分/次。</w:t>
            </w:r>
            <w:r>
              <w:rPr>
                <w:rStyle w:val="101"/>
                <w:rFonts w:hint="eastAsia" w:hAnsi="宋体"/>
                <w:kern w:val="0"/>
                <w:sz w:val="30"/>
                <w:szCs w:val="24"/>
                <w:lang w:val="en-US" w:eastAsia="zh-CN"/>
              </w:rPr>
              <w:footnoteReference w:id="92"/>
            </w:r>
          </w:p>
          <w:p>
            <w:pPr>
              <w:pStyle w:val="45"/>
              <w:keepNext w:val="0"/>
              <w:keepLines w:val="0"/>
              <w:suppressLineNumbers w:val="0"/>
              <w:spacing w:before="0" w:beforeAutospacing="0" w:after="0" w:afterAutospacing="0" w:line="360" w:lineRule="auto"/>
              <w:ind w:left="0" w:right="0" w:firstLine="8" w:firstLineChars="4"/>
              <w:rPr>
                <w:rFonts w:hint="eastAsia" w:hAnsi="宋体"/>
                <w:szCs w:val="21"/>
                <w:lang w:val="en-US" w:eastAsia="zh-CN"/>
              </w:rPr>
            </w:pPr>
            <w:r>
              <w:rPr>
                <w:rFonts w:hint="eastAsia" w:hAnsi="宋体"/>
                <w:szCs w:val="21"/>
                <w:lang w:val="en-US" w:eastAsia="zh-CN"/>
              </w:rPr>
              <w:t>（4）广东省交通运输厅正式约谈的，扣 0.1分/次。</w:t>
            </w:r>
          </w:p>
          <w:p>
            <w:pPr>
              <w:pStyle w:val="45"/>
              <w:keepNext w:val="0"/>
              <w:keepLines w:val="0"/>
              <w:suppressLineNumbers w:val="0"/>
              <w:spacing w:before="0" w:beforeAutospacing="0" w:after="0" w:afterAutospacing="0" w:line="360" w:lineRule="auto"/>
              <w:ind w:left="0" w:right="0" w:firstLine="428" w:firstLineChars="204"/>
              <w:rPr>
                <w:rFonts w:hint="eastAsia" w:hAnsi="宋体"/>
                <w:szCs w:val="21"/>
                <w:lang w:val="zh-CN" w:eastAsia="zh-CN"/>
              </w:rPr>
            </w:pPr>
            <w:r>
              <w:rPr>
                <w:rFonts w:hint="eastAsia" w:hAnsi="宋体"/>
                <w:szCs w:val="21"/>
                <w:lang w:val="en-US" w:eastAsia="zh-CN"/>
              </w:rPr>
              <w:t>同一事项同时被多个部门行政处罚或正式约谈只按最高的扣分计算1次</w:t>
            </w:r>
            <w:r>
              <w:rPr>
                <w:rStyle w:val="101"/>
                <w:rFonts w:hint="eastAsia" w:hAnsi="宋体"/>
                <w:kern w:val="0"/>
                <w:sz w:val="30"/>
                <w:szCs w:val="24"/>
                <w:lang w:val="en-US" w:eastAsia="zh-CN"/>
              </w:rPr>
              <w:footnoteReference w:id="93"/>
            </w:r>
            <w:r>
              <w:rPr>
                <w:rFonts w:hint="eastAsia" w:hAnsi="宋体"/>
                <w:szCs w:val="21"/>
                <w:lang w:val="en-US" w:eastAsia="zh-CN"/>
              </w:rPr>
              <w:t>。如果扣完本项分值，可以从投标人总得分中扣除。</w:t>
            </w:r>
            <w:r>
              <w:rPr>
                <w:rFonts w:hint="eastAsia" w:hAnsi="宋体"/>
                <w:szCs w:val="21"/>
                <w:lang w:val="zh-CN" w:eastAsia="zh-CN"/>
              </w:rPr>
              <w:t>以联合体形式投标的，若各联合体成员任何一方或均存在上述情形的，对联合体各成员进行累计扣分。</w:t>
            </w:r>
          </w:p>
          <w:p>
            <w:pPr>
              <w:pStyle w:val="45"/>
              <w:keepNext w:val="0"/>
              <w:keepLines w:val="0"/>
              <w:suppressLineNumbers w:val="0"/>
              <w:spacing w:before="0" w:beforeAutospacing="0" w:after="0" w:afterAutospacing="0" w:line="400" w:lineRule="exact"/>
              <w:ind w:left="0" w:right="0"/>
              <w:rPr>
                <w:rFonts w:hint="eastAsia" w:hAnsi="宋体"/>
                <w:szCs w:val="21"/>
                <w:lang w:val="en-US" w:eastAsia="zh-CN"/>
              </w:rPr>
            </w:pPr>
            <w:r>
              <w:rPr>
                <w:rFonts w:hint="eastAsia" w:hAnsi="宋体"/>
                <w:szCs w:val="21"/>
                <w:u w:val="single"/>
                <w:lang w:val="en-US" w:eastAsia="zh-CN"/>
              </w:rPr>
              <w:t>3、（如有）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64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Cs w:val="21"/>
              </w:rPr>
            </w:pPr>
          </w:p>
        </w:tc>
        <w:tc>
          <w:tcPr>
            <w:tcW w:w="7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rPr>
            </w:pPr>
            <w:r>
              <w:rPr>
                <w:rFonts w:hint="eastAsia" w:ascii="宋体" w:hAnsi="宋体"/>
                <w:color w:val="auto"/>
                <w:sz w:val="21"/>
                <w:szCs w:val="21"/>
                <w:lang w:val="en-US"/>
              </w:rPr>
              <w:t>……</w:t>
            </w: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1"/>
                <w:szCs w:val="21"/>
                <w:lang w:val="en-US"/>
              </w:rPr>
            </w:pPr>
            <w:r>
              <w:rPr>
                <w:rFonts w:hint="eastAsia" w:ascii="宋体" w:hAnsi="宋体"/>
                <w:color w:val="auto"/>
                <w:sz w:val="21"/>
                <w:szCs w:val="21"/>
                <w:u w:val="single"/>
                <w:lang w:val="en-US"/>
              </w:rPr>
              <w:t xml:space="preserve">   </w:t>
            </w:r>
            <w:r>
              <w:rPr>
                <w:rFonts w:hint="eastAsia" w:ascii="宋体" w:hAnsi="宋体"/>
                <w:color w:val="auto"/>
                <w:sz w:val="21"/>
                <w:szCs w:val="21"/>
                <w:lang w:val="en-US"/>
              </w:rPr>
              <w:t>分</w:t>
            </w:r>
          </w:p>
        </w:tc>
        <w:tc>
          <w:tcPr>
            <w:tcW w:w="5700" w:type="dxa"/>
            <w:gridSpan w:val="3"/>
            <w:noWrap w:val="0"/>
            <w:vAlign w:val="top"/>
          </w:tcPr>
          <w:p>
            <w:pPr>
              <w:keepNext w:val="0"/>
              <w:keepLines w:val="0"/>
              <w:suppressLineNumbers w:val="0"/>
              <w:spacing w:before="0" w:beforeAutospacing="0" w:after="0" w:afterAutospacing="0" w:line="300" w:lineRule="exact"/>
              <w:ind w:left="0" w:right="0" w:firstLine="105" w:firstLineChars="50"/>
              <w:rPr>
                <w:rFonts w:hint="eastAsia" w:ascii="宋体" w:hAnsi="宋体"/>
                <w:color w:val="auto"/>
                <w:sz w:val="21"/>
                <w:szCs w:val="21"/>
              </w:rPr>
            </w:pPr>
            <w:r>
              <w:rPr>
                <w:rFonts w:hint="eastAsia" w:ascii="宋体" w:hAnsi="宋体"/>
                <w:color w:val="auto"/>
                <w:sz w:val="21"/>
                <w:szCs w:val="21"/>
                <w:lang w:val="en-US"/>
              </w:rPr>
              <w:t>……</w:t>
            </w:r>
          </w:p>
        </w:tc>
      </w:tr>
    </w:tbl>
    <w:p>
      <w:pPr>
        <w:spacing w:line="360" w:lineRule="auto"/>
        <w:rPr>
          <w:rFonts w:ascii="宋体" w:hAnsi="宋体"/>
          <w:color w:val="auto"/>
        </w:rPr>
        <w:sectPr>
          <w:footnotePr>
            <w:numRestart w:val="eachPage"/>
          </w:footnotePr>
          <w:pgSz w:w="11900" w:h="16838"/>
          <w:pgMar w:top="1803" w:right="1440" w:bottom="1803" w:left="1440" w:header="680" w:footer="680" w:gutter="0"/>
          <w:cols w:space="720" w:num="1"/>
          <w:docGrid w:linePitch="360" w:charSpace="0"/>
        </w:sect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2"/>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条款号</w:t>
            </w:r>
          </w:p>
        </w:tc>
        <w:tc>
          <w:tcPr>
            <w:tcW w:w="73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sz w:val="21"/>
                <w:szCs w:val="21"/>
              </w:rPr>
              <w:t>3.2.2</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将评标办法原文第3.2.2项修改如下：</w:t>
            </w:r>
          </w:p>
          <w:p>
            <w:pPr>
              <w:keepNext w:val="0"/>
              <w:keepLines w:val="0"/>
              <w:suppressLineNumbers w:val="0"/>
              <w:spacing w:before="0" w:beforeAutospacing="0" w:after="0" w:afterAutospacing="0" w:line="360" w:lineRule="auto"/>
              <w:ind w:left="0" w:right="0"/>
              <w:jc w:val="both"/>
              <w:rPr>
                <w:rFonts w:hint="eastAsia" w:ascii="宋体" w:hAnsi="宋体" w:cs="宋体"/>
                <w:color w:val="auto"/>
                <w:kern w:val="2"/>
                <w:sz w:val="21"/>
                <w:szCs w:val="21"/>
                <w:lang w:val="en-US"/>
              </w:rPr>
            </w:pPr>
            <w:r>
              <w:rPr>
                <w:rFonts w:hint="eastAsia" w:ascii="宋体" w:hAnsi="宋体" w:cs="宋体"/>
                <w:color w:val="auto"/>
                <w:sz w:val="21"/>
                <w:szCs w:val="21"/>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3.2.3</w:t>
            </w:r>
          </w:p>
        </w:tc>
        <w:tc>
          <w:tcPr>
            <w:tcW w:w="7380" w:type="dxa"/>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sz w:val="21"/>
                <w:szCs w:val="21"/>
                <w:lang w:val="en-US"/>
              </w:rPr>
            </w:pPr>
            <w:r>
              <w:rPr>
                <w:rFonts w:hint="eastAsia" w:ascii="宋体" w:hAnsi="宋体"/>
                <w:sz w:val="21"/>
                <w:szCs w:val="21"/>
                <w:lang w:val="en-US"/>
              </w:rPr>
              <w:t>将评标办法范本原文第3.2.3</w:t>
            </w:r>
            <w:r>
              <w:rPr>
                <w:rFonts w:hint="eastAsia" w:ascii="宋体" w:hAnsi="宋体"/>
                <w:sz w:val="21"/>
                <w:szCs w:val="21"/>
              </w:rPr>
              <w:t>项</w:t>
            </w:r>
            <w:r>
              <w:rPr>
                <w:rFonts w:hint="eastAsia" w:ascii="宋体" w:hAnsi="宋体"/>
                <w:sz w:val="21"/>
                <w:szCs w:val="21"/>
                <w:lang w:val="en-US"/>
              </w:rPr>
              <w:t>细化如下：</w:t>
            </w:r>
          </w:p>
          <w:p>
            <w:pPr>
              <w:keepNext w:val="0"/>
              <w:keepLines w:val="0"/>
              <w:suppressLineNumbers w:val="0"/>
              <w:spacing w:before="0" w:beforeAutospacing="0" w:after="0" w:afterAutospacing="0" w:line="360" w:lineRule="auto"/>
              <w:ind w:left="0" w:right="0" w:firstLine="420" w:firstLineChars="200"/>
              <w:jc w:val="both"/>
              <w:rPr>
                <w:rFonts w:hint="eastAsia" w:ascii="宋体" w:hAnsi="宋体"/>
                <w:sz w:val="21"/>
                <w:szCs w:val="21"/>
                <w:lang w:val="en-US"/>
              </w:rPr>
            </w:pPr>
            <w:r>
              <w:rPr>
                <w:rFonts w:hint="eastAsia" w:ascii="宋体" w:hAnsi="宋体"/>
                <w:sz w:val="21"/>
                <w:szCs w:val="21"/>
                <w:lang w:val="en-US"/>
              </w:rPr>
              <w:t>投标人的商务和技术得分=A+B+D。</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投标文件评分因素</w:t>
            </w:r>
            <w:r>
              <w:rPr>
                <w:rFonts w:hint="default" w:ascii="宋体" w:hAnsi="宋体"/>
                <w:sz w:val="21"/>
                <w:szCs w:val="21"/>
                <w:lang w:val="en-US"/>
              </w:rPr>
              <w:t>（技术建议书）</w:t>
            </w:r>
            <w:r>
              <w:rPr>
                <w:rFonts w:hint="eastAsia" w:ascii="宋体" w:hAnsi="宋体"/>
                <w:sz w:val="21"/>
                <w:szCs w:val="21"/>
                <w:lang w:val="en-US"/>
              </w:rPr>
              <w:t>细分项得分均不应低于其权重分的60%，评分低于权重分值60%的，评标委员会成员应当在评标报告中作出说明。</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sz w:val="21"/>
                <w:szCs w:val="21"/>
              </w:rPr>
              <w:t>保留小数点后三位，小数点后第四位“四舍五入”</w:t>
            </w:r>
            <w:r>
              <w:rPr>
                <w:rFonts w:hint="eastAsia" w:ascii="宋体" w:hAnsi="宋体"/>
                <w:sz w:val="21"/>
                <w:szCs w:val="21"/>
                <w:lang w:val="en-US"/>
              </w:rPr>
              <w:t>。</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取消其中1名评委评分的办法二：按随机抽取的方式选定取消1名评委评分。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注：如同一评委对5名投标人技术评分总分分别为：50分（最高分）、50分、49分、48分、48分（次低分）、47分、47分（最低分），则其最大差值为3分，次分差为：50分-48分=2分。</w:t>
            </w:r>
          </w:p>
          <w:p>
            <w:pPr>
              <w:keepNext w:val="0"/>
              <w:keepLines w:val="0"/>
              <w:suppressLineNumbers w:val="0"/>
              <w:autoSpaceDE w:val="0"/>
              <w:autoSpaceDN w:val="0"/>
              <w:adjustRightInd w:val="0"/>
              <w:spacing w:before="0" w:beforeAutospacing="0" w:after="0" w:afterAutospacing="0" w:line="360" w:lineRule="auto"/>
              <w:ind w:left="0" w:right="0" w:firstLine="420"/>
              <w:rPr>
                <w:rFonts w:hint="eastAsia" w:ascii="宋体" w:hAnsi="宋体"/>
                <w:sz w:val="21"/>
                <w:szCs w:val="21"/>
                <w:lang w:val="en-US"/>
              </w:rPr>
            </w:pPr>
            <w:r>
              <w:rPr>
                <w:rFonts w:hint="eastAsia" w:ascii="宋体" w:hAnsi="宋体"/>
                <w:sz w:val="21"/>
                <w:szCs w:val="21"/>
                <w:lang w:val="en-US"/>
              </w:rPr>
              <w:t>评标委员会人数为7人时，计算投标人技术得分时:各评分因素细分项中取消一个最高、一个最低分后计算算术平均值的和为投标人的最终技术得分，平均值计算</w:t>
            </w:r>
            <w:r>
              <w:rPr>
                <w:rFonts w:hint="eastAsia" w:ascii="宋体" w:hAnsi="宋体"/>
                <w:sz w:val="21"/>
                <w:szCs w:val="21"/>
              </w:rPr>
              <w:t>保留小数点后三位，小数点后第四位“四舍五入”</w:t>
            </w:r>
            <w:r>
              <w:rPr>
                <w:rFonts w:hint="eastAsia" w:ascii="宋体" w:hAnsi="宋体"/>
                <w:sz w:val="21"/>
                <w:szCs w:val="21"/>
                <w:lang w:val="en-US"/>
              </w:rPr>
              <w:t>。</w:t>
            </w:r>
          </w:p>
          <w:p>
            <w:pPr>
              <w:pStyle w:val="34"/>
              <w:keepNext w:val="0"/>
              <w:keepLines w:val="0"/>
              <w:suppressLineNumbers w:val="0"/>
              <w:spacing w:before="0" w:beforeAutospacing="0" w:afterAutospacing="0"/>
              <w:ind w:left="0" w:right="0" w:firstLine="420" w:firstLineChars="200"/>
              <w:rPr>
                <w:rFonts w:hint="eastAsia" w:ascii="宋体" w:hAnsi="宋体"/>
                <w:szCs w:val="21"/>
                <w:lang w:val="en-US" w:eastAsia="zh-CN"/>
              </w:rPr>
            </w:pPr>
            <w:r>
              <w:rPr>
                <w:rFonts w:hint="eastAsia" w:ascii="宋体" w:hAnsi="宋体" w:cs="MingLiU_HKSCS"/>
                <w:color w:val="000000"/>
                <w:kern w:val="0"/>
                <w:szCs w:val="21"/>
                <w:lang w:val="en-US" w:eastAsia="zh-CN"/>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6" w:hRule="atLeast"/>
        </w:trPr>
        <w:tc>
          <w:tcPr>
            <w:tcW w:w="136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w:t>
            </w:r>
          </w:p>
        </w:tc>
        <w:tc>
          <w:tcPr>
            <w:tcW w:w="7380" w:type="dxa"/>
            <w:noWrap w:val="0"/>
            <w:vAlign w:val="center"/>
          </w:tcPr>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bCs/>
                <w:color w:val="auto"/>
                <w:kern w:val="2"/>
                <w:sz w:val="21"/>
                <w:szCs w:val="21"/>
                <w:lang w:val="en-US"/>
              </w:rPr>
            </w:pPr>
            <w:r>
              <w:rPr>
                <w:rFonts w:hint="eastAsia" w:ascii="宋体" w:hAnsi="宋体" w:cs="宋体"/>
                <w:bCs/>
                <w:color w:val="auto"/>
                <w:kern w:val="2"/>
                <w:sz w:val="21"/>
                <w:szCs w:val="21"/>
                <w:lang w:val="en-US"/>
              </w:rPr>
              <w:t>增加3.9.3-3.9.7</w:t>
            </w:r>
            <w:r>
              <w:rPr>
                <w:rFonts w:hint="eastAsia" w:ascii="宋体" w:hAnsi="宋体" w:cs="宋体"/>
                <w:color w:val="auto"/>
                <w:sz w:val="21"/>
                <w:szCs w:val="21"/>
              </w:rPr>
              <w:t>项</w:t>
            </w:r>
            <w:r>
              <w:rPr>
                <w:rFonts w:hint="eastAsia" w:ascii="宋体" w:hAnsi="宋体" w:cs="宋体"/>
                <w:bCs/>
                <w:color w:val="auto"/>
                <w:kern w:val="2"/>
                <w:sz w:val="21"/>
                <w:szCs w:val="21"/>
                <w:lang w:val="en-US"/>
              </w:rPr>
              <w:t>：</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u w:val="single"/>
                <w:lang w:val="en-US"/>
              </w:rPr>
            </w:pPr>
            <w:r>
              <w:rPr>
                <w:rFonts w:hint="eastAsia" w:ascii="宋体" w:hAnsi="宋体" w:cs="宋体"/>
                <w:color w:val="auto"/>
                <w:kern w:val="2"/>
                <w:sz w:val="21"/>
                <w:szCs w:val="21"/>
                <w:u w:val="single"/>
                <w:lang w:val="en-US"/>
              </w:rPr>
              <w:t>3.9.3推荐中标候选人方式：（1）已被推荐为某一合同段的第一中标候选人，自动失去其在本次招标中其他合同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Style w:val="101"/>
                <w:rFonts w:hint="default" w:ascii="宋体" w:hAnsi="宋体" w:cs="宋体"/>
                <w:szCs w:val="21"/>
              </w:rPr>
              <w:footnoteReference w:id="94"/>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3.9.4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lang w:val="en-US"/>
              </w:rPr>
            </w:pPr>
            <w:r>
              <w:rPr>
                <w:rFonts w:hint="eastAsia" w:ascii="宋体" w:hAnsi="宋体" w:cs="宋体"/>
                <w:color w:val="auto"/>
                <w:kern w:val="2"/>
                <w:sz w:val="21"/>
                <w:szCs w:val="21"/>
                <w:lang w:val="en-US"/>
              </w:rPr>
              <w:t>3.9.6</w:t>
            </w:r>
            <w:r>
              <w:rPr>
                <w:rFonts w:hint="eastAsia" w:ascii="宋体" w:hAnsi="宋体" w:cs="宋体"/>
                <w:color w:val="auto"/>
                <w:sz w:val="21"/>
                <w:szCs w:val="21"/>
                <w:lang w:val="en-US"/>
              </w:rPr>
              <w:t>如果发生无法确定推荐中标候选人的其它意外情况，评标委员会可建议招标人重新招标。</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rPr>
              <w:t>9</w:t>
            </w:r>
            <w:r>
              <w:rPr>
                <w:rFonts w:hint="eastAsia" w:ascii="宋体" w:hAnsi="宋体" w:cs="宋体"/>
                <w:color w:val="auto"/>
                <w:sz w:val="21"/>
                <w:szCs w:val="21"/>
              </w:rPr>
              <w:t>.</w:t>
            </w:r>
            <w:r>
              <w:rPr>
                <w:rFonts w:hint="eastAsia" w:ascii="宋体" w:hAnsi="宋体" w:cs="宋体"/>
                <w:color w:val="auto"/>
                <w:sz w:val="21"/>
                <w:szCs w:val="21"/>
                <w:lang w:val="en-US"/>
              </w:rPr>
              <w:t>7</w:t>
            </w:r>
            <w:r>
              <w:rPr>
                <w:rFonts w:hint="eastAsia" w:ascii="宋体" w:hAnsi="宋体" w:cs="宋体"/>
                <w:color w:val="auto"/>
                <w:sz w:val="21"/>
                <w:szCs w:val="21"/>
              </w:rPr>
              <w:t>本招标文件规定的否决投标条款包含在以下条款：</w:t>
            </w:r>
            <w:r>
              <w:rPr>
                <w:rStyle w:val="101"/>
                <w:rFonts w:hint="eastAsia" w:ascii="宋体" w:hAnsi="宋体" w:cs="Times New Roman"/>
                <w:color w:val="auto"/>
                <w:sz w:val="30"/>
                <w:lang w:val="en-US"/>
              </w:rPr>
              <w:footnoteReference w:id="95"/>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（1）招标公告第3点投标人资格要求；</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rPr>
              <w:t>投标人须知1.4.3项、1.4.4项、1.12</w:t>
            </w:r>
            <w:r>
              <w:rPr>
                <w:rFonts w:hint="eastAsia" w:ascii="宋体" w:hAnsi="宋体" w:cs="宋体"/>
                <w:color w:val="auto"/>
                <w:sz w:val="21"/>
                <w:szCs w:val="21"/>
                <w:u w:val="single"/>
                <w:lang w:val="en-US"/>
              </w:rPr>
              <w:t>.2</w:t>
            </w:r>
            <w:r>
              <w:rPr>
                <w:rFonts w:hint="eastAsia" w:ascii="宋体" w:hAnsi="宋体" w:cs="宋体"/>
                <w:color w:val="auto"/>
                <w:sz w:val="21"/>
                <w:szCs w:val="21"/>
                <w:u w:val="single"/>
              </w:rPr>
              <w:t>项、3.4</w:t>
            </w:r>
            <w:r>
              <w:rPr>
                <w:rFonts w:hint="eastAsia" w:ascii="宋体" w:hAnsi="宋体" w:cs="宋体"/>
                <w:color w:val="auto"/>
                <w:sz w:val="21"/>
                <w:szCs w:val="21"/>
                <w:u w:val="single"/>
                <w:lang w:val="en-US"/>
              </w:rPr>
              <w:t>.2</w:t>
            </w:r>
            <w:r>
              <w:rPr>
                <w:rFonts w:hint="eastAsia" w:ascii="宋体" w:hAnsi="宋体" w:cs="宋体"/>
                <w:color w:val="auto"/>
                <w:sz w:val="21"/>
                <w:szCs w:val="21"/>
                <w:u w:val="single"/>
              </w:rPr>
              <w:t>项、3.5</w:t>
            </w:r>
            <w:r>
              <w:rPr>
                <w:rFonts w:hint="eastAsia" w:ascii="宋体" w:hAnsi="宋体" w:cs="宋体"/>
                <w:color w:val="auto"/>
                <w:sz w:val="21"/>
                <w:szCs w:val="21"/>
                <w:u w:val="single"/>
                <w:lang w:val="en-US"/>
              </w:rPr>
              <w:t>.9</w:t>
            </w:r>
            <w:r>
              <w:rPr>
                <w:rFonts w:hint="eastAsia" w:ascii="宋体" w:hAnsi="宋体" w:cs="宋体"/>
                <w:color w:val="auto"/>
                <w:sz w:val="21"/>
                <w:szCs w:val="21"/>
                <w:u w:val="single"/>
              </w:rPr>
              <w:t>项、3.6</w:t>
            </w:r>
            <w:r>
              <w:rPr>
                <w:rFonts w:hint="eastAsia" w:ascii="宋体" w:hAnsi="宋体" w:cs="宋体"/>
                <w:color w:val="auto"/>
                <w:sz w:val="21"/>
                <w:szCs w:val="21"/>
                <w:u w:val="single"/>
                <w:lang w:val="en-US"/>
              </w:rPr>
              <w:t>.1</w:t>
            </w:r>
            <w:r>
              <w:rPr>
                <w:rFonts w:hint="eastAsia" w:ascii="宋体" w:hAnsi="宋体" w:cs="宋体"/>
                <w:color w:val="auto"/>
                <w:sz w:val="21"/>
                <w:szCs w:val="21"/>
                <w:u w:val="single"/>
              </w:rPr>
              <w:t>项；</w:t>
            </w:r>
          </w:p>
          <w:p>
            <w:pPr>
              <w:keepNext w:val="0"/>
              <w:keepLines w:val="0"/>
              <w:suppressLineNumbers w:val="0"/>
              <w:adjustRightInd w:val="0"/>
              <w:snapToGrid w:val="0"/>
              <w:spacing w:before="0" w:beforeAutospacing="0" w:after="0" w:afterAutospacing="0" w:line="360" w:lineRule="auto"/>
              <w:ind w:left="0" w:right="0" w:firstLine="432" w:firstLineChars="206"/>
              <w:jc w:val="both"/>
              <w:rPr>
                <w:rFonts w:hint="eastAsia" w:ascii="宋体" w:hAnsi="宋体" w:cs="宋体"/>
                <w:color w:val="auto"/>
                <w:sz w:val="21"/>
                <w:szCs w:val="21"/>
              </w:rPr>
            </w:pPr>
            <w:r>
              <w:rPr>
                <w:rFonts w:hint="eastAsia" w:ascii="宋体" w:hAnsi="宋体" w:cs="宋体"/>
                <w:color w:val="auto"/>
                <w:sz w:val="21"/>
                <w:szCs w:val="21"/>
              </w:rPr>
              <w:t>（3）本评标办法的否决条款。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9"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2"/>
                <w:sz w:val="21"/>
                <w:szCs w:val="21"/>
                <w:lang w:val="en-US"/>
              </w:rPr>
            </w:pPr>
            <w:r>
              <w:rPr>
                <w:rFonts w:hint="eastAsia" w:ascii="宋体" w:hAnsi="宋体" w:cs="宋体"/>
                <w:color w:val="auto"/>
                <w:kern w:val="2"/>
                <w:sz w:val="21"/>
                <w:szCs w:val="21"/>
                <w:lang w:val="en-US"/>
              </w:rPr>
              <w:t>…</w:t>
            </w: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bCs/>
                <w:color w:val="auto"/>
                <w:kern w:val="2"/>
                <w:sz w:val="21"/>
                <w:szCs w:val="21"/>
                <w:lang w:val="en-US"/>
              </w:rPr>
            </w:pPr>
            <w:r>
              <w:rPr>
                <w:rFonts w:hint="eastAsia" w:ascii="宋体" w:hAnsi="宋体" w:cs="宋体"/>
                <w:color w:val="auto"/>
                <w:kern w:val="2"/>
                <w:sz w:val="21"/>
                <w:szCs w:val="21"/>
                <w:lang w:val="en-US"/>
              </w:rPr>
              <w:t>…</w:t>
            </w:r>
          </w:p>
        </w:tc>
      </w:tr>
    </w:tbl>
    <w:p>
      <w:pPr>
        <w:pStyle w:val="84"/>
        <w:snapToGrid w:val="0"/>
        <w:spacing w:line="360" w:lineRule="auto"/>
        <w:jc w:val="left"/>
        <w:outlineLvl w:val="1"/>
        <w:rPr>
          <w:rFonts w:hint="eastAsia"/>
          <w:b w:val="0"/>
          <w:sz w:val="24"/>
          <w:szCs w:val="13"/>
        </w:rPr>
      </w:pPr>
      <w:r>
        <w:rPr>
          <w:rFonts w:ascii="宋体" w:hAnsi="宋体"/>
          <w:szCs w:val="21"/>
        </w:rPr>
        <w:br w:type="page"/>
      </w:r>
      <w:r>
        <w:rPr>
          <w:rFonts w:hint="eastAsia"/>
          <w:b w:val="0"/>
          <w:sz w:val="24"/>
          <w:szCs w:val="13"/>
        </w:rPr>
        <w:t>1．评标方法</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1.1评标方法</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1.2评标组织</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1.2.1协助工作组</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招标人可以协助评标委员会开展下列工作并提供相关信息：</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（1）根据招标文件，编制评标使用的相应表格；</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（2）对投标报价进行算术性校核；</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（3）以评标标准和方法为依据，列出投标文件相对于招标文件的所有偏差，并进行归类汇总；</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（4）对投标人的资质、业绩、主要人员资历和目前在岗情况、信用等级进行核实。</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招标人不得对投标文件作出任何评价，不得故意遗漏或者片面摘录，不得在评标委员会对所有偏差定性之前透露存有偏差的投标人名称。</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1.2.2评标委员会</w:t>
      </w:r>
    </w:p>
    <w:p>
      <w:pPr>
        <w:spacing w:line="360" w:lineRule="auto"/>
        <w:ind w:firstLine="566" w:firstLineChars="236"/>
        <w:rPr>
          <w:rFonts w:hint="eastAsia" w:ascii="宋体" w:hAnsi="宋体"/>
          <w:color w:val="auto"/>
          <w:szCs w:val="21"/>
        </w:rPr>
      </w:pPr>
      <w:r>
        <w:rPr>
          <w:rFonts w:hint="eastAsia" w:ascii="宋体" w:hAnsi="宋体"/>
          <w:color w:val="auto"/>
          <w:szCs w:val="21"/>
        </w:rPr>
        <w:t>评标委员会由招标人按国家、广东省等的有关规定依法组建。评标委员人数参见本招标文件“投标人须知前附表第6.1.1款。评标委员会的主要工作内容包括：</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（1）评标委员会开始评标工作之前，首先听取招标人、协助工作组关于工程情况和辅助工作的说明，并认真研读招标文件，获取评标所需的重要信息和数据；</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（2）对协助工作组提供的评标工作用表和评标内容进行核查。</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（3）按照以下1.3款程序进行各项评审工作。</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1.3评审工作程序</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（一）第一个信封（商务及技术文件）：</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l、初步评审：包括形式评审与响应性评审、资格评审；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2、详细评审（评审打分）：评标委员会首先对通过初步评审的投标文件第一个信封（商务及技术文件）进行详细评审，对投标人的技术建议书、主要人员、其他因素等分别评审打分。</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（二）第二个信封（报价文件）：</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1、初步评审：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（1）只有投标文件第一个信封通过详细评审的投标人才能继续参加第二个信封（报价文件）的形式评审与响应性评审；</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（2）报价算术性修正；</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2、详细评审：计算评标基准价、评标价得分及综合得分；</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（三）投标文件相关信息的核查。</w:t>
      </w:r>
    </w:p>
    <w:p>
      <w:pPr>
        <w:spacing w:line="360" w:lineRule="auto"/>
        <w:ind w:firstLine="566" w:firstLineChars="236"/>
        <w:rPr>
          <w:rFonts w:hint="eastAsia" w:ascii="宋体" w:hAnsi="宋体"/>
          <w:color w:val="auto"/>
          <w:szCs w:val="21"/>
          <w:lang w:val="en-US"/>
        </w:rPr>
      </w:pPr>
      <w:r>
        <w:rPr>
          <w:rFonts w:hint="eastAsia" w:ascii="宋体" w:hAnsi="宋体"/>
          <w:color w:val="auto"/>
          <w:szCs w:val="21"/>
          <w:lang w:val="en-US"/>
        </w:rPr>
        <w:t>（四）投标文件的澄清和说明(如有)。</w:t>
      </w:r>
    </w:p>
    <w:p>
      <w:pPr>
        <w:spacing w:line="360" w:lineRule="auto"/>
        <w:ind w:firstLine="566" w:firstLineChars="236"/>
        <w:rPr>
          <w:rFonts w:hint="eastAsia" w:ascii="宋体" w:hAnsi="宋体"/>
          <w:color w:val="auto"/>
          <w:szCs w:val="21"/>
        </w:rPr>
      </w:pPr>
      <w:r>
        <w:rPr>
          <w:rFonts w:hint="eastAsia" w:ascii="宋体" w:hAnsi="宋体"/>
          <w:color w:val="auto"/>
          <w:szCs w:val="21"/>
          <w:lang w:val="en-US"/>
        </w:rPr>
        <w:t>（五）按评标办法规定推荐中标候选人，编写评标报告。</w:t>
      </w:r>
    </w:p>
    <w:p>
      <w:pPr>
        <w:pStyle w:val="84"/>
        <w:snapToGrid w:val="0"/>
        <w:spacing w:line="360" w:lineRule="auto"/>
        <w:jc w:val="left"/>
        <w:outlineLvl w:val="1"/>
        <w:rPr>
          <w:rFonts w:hint="eastAsia"/>
          <w:b w:val="0"/>
          <w:sz w:val="24"/>
          <w:szCs w:val="13"/>
        </w:rPr>
      </w:pPr>
      <w:r>
        <w:rPr>
          <w:rFonts w:hint="eastAsia"/>
          <w:b w:val="0"/>
          <w:sz w:val="24"/>
          <w:szCs w:val="13"/>
        </w:rPr>
        <w:t>2．评审标准</w:t>
      </w:r>
    </w:p>
    <w:p>
      <w:pPr>
        <w:spacing w:line="360" w:lineRule="auto"/>
        <w:ind w:firstLine="480" w:firstLineChars="200"/>
        <w:rPr>
          <w:rFonts w:hint="eastAsia" w:ascii="宋体" w:hAnsi="宋体"/>
          <w:color w:val="auto"/>
          <w:szCs w:val="21"/>
        </w:rPr>
      </w:pPr>
      <w:r>
        <w:rPr>
          <w:rFonts w:hint="eastAsia" w:ascii="宋体" w:hAnsi="宋体"/>
          <w:color w:val="auto"/>
          <w:szCs w:val="21"/>
        </w:rPr>
        <w:t>2.1初步评审标准</w:t>
      </w:r>
    </w:p>
    <w:p>
      <w:pPr>
        <w:spacing w:line="360" w:lineRule="auto"/>
        <w:ind w:firstLine="480" w:firstLineChars="200"/>
        <w:rPr>
          <w:rFonts w:hint="eastAsia" w:ascii="宋体" w:hAnsi="宋体"/>
          <w:color w:val="auto"/>
          <w:szCs w:val="21"/>
        </w:rPr>
      </w:pPr>
      <w:r>
        <w:rPr>
          <w:rFonts w:hint="eastAsia" w:ascii="宋体" w:hAnsi="宋体"/>
          <w:color w:val="auto"/>
          <w:szCs w:val="21"/>
        </w:rPr>
        <w:t>2.1.1形式评审标准：见评标办法前附表。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2.1.2资格评审标准：见评标办法前附表。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2.1.3响应性评审标准：见评标办法前附表。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2.2分值构成与评分标准</w:t>
      </w:r>
    </w:p>
    <w:p>
      <w:pPr>
        <w:spacing w:line="360" w:lineRule="auto"/>
        <w:ind w:firstLine="480" w:firstLineChars="200"/>
        <w:rPr>
          <w:rFonts w:hint="eastAsia" w:ascii="宋体" w:hAnsi="宋体"/>
          <w:color w:val="auto"/>
          <w:szCs w:val="21"/>
        </w:rPr>
      </w:pPr>
      <w:r>
        <w:rPr>
          <w:rFonts w:hint="eastAsia" w:ascii="宋体" w:hAnsi="宋体"/>
          <w:color w:val="auto"/>
          <w:szCs w:val="21"/>
        </w:rPr>
        <w:t>2.2.1分值构成</w:t>
      </w:r>
    </w:p>
    <w:p>
      <w:pPr>
        <w:spacing w:line="360" w:lineRule="auto"/>
        <w:ind w:firstLine="48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rPr>
        <w:t>技术建议书</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（2）主要人员：见评标办法前附表；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（3）投标报价：见评标办法前附表；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（4）其他评分因素：见评标办法前附表。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2.2.2评标基准价计算</w:t>
      </w:r>
    </w:p>
    <w:p>
      <w:pPr>
        <w:spacing w:line="360" w:lineRule="auto"/>
        <w:ind w:firstLine="480" w:firstLineChars="200"/>
        <w:rPr>
          <w:rFonts w:hint="eastAsia" w:ascii="宋体" w:hAnsi="宋体"/>
          <w:color w:val="auto"/>
          <w:szCs w:val="21"/>
        </w:rPr>
      </w:pPr>
      <w:r>
        <w:rPr>
          <w:rFonts w:hint="eastAsia" w:ascii="宋体" w:hAnsi="宋体"/>
          <w:color w:val="auto"/>
          <w:szCs w:val="21"/>
        </w:rPr>
        <w:t>评标基准价计算</w:t>
      </w:r>
      <w:r>
        <w:rPr>
          <w:rFonts w:hint="eastAsia" w:ascii="宋体" w:hAnsi="宋体"/>
          <w:color w:val="auto"/>
          <w:szCs w:val="21"/>
          <w:lang w:val="en-US"/>
        </w:rPr>
        <w:t>方法</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2.2.3</w:t>
      </w:r>
      <w:r>
        <w:rPr>
          <w:rFonts w:hint="eastAsia" w:ascii="宋体" w:hAnsi="宋体"/>
        </w:rPr>
        <w:t>评标价</w:t>
      </w:r>
      <w:r>
        <w:rPr>
          <w:rFonts w:hint="eastAsia" w:ascii="宋体" w:hAnsi="宋体"/>
          <w:color w:val="auto"/>
          <w:szCs w:val="21"/>
        </w:rPr>
        <w:t>的偏差率计算</w:t>
      </w:r>
    </w:p>
    <w:p>
      <w:pPr>
        <w:spacing w:line="360" w:lineRule="auto"/>
        <w:ind w:firstLine="480" w:firstLineChars="200"/>
        <w:rPr>
          <w:rFonts w:hint="eastAsia" w:ascii="宋体" w:hAnsi="宋体"/>
          <w:color w:val="auto"/>
          <w:szCs w:val="21"/>
        </w:rPr>
      </w:pPr>
      <w:r>
        <w:rPr>
          <w:rFonts w:hint="eastAsia" w:ascii="宋体" w:hAnsi="宋体"/>
        </w:rPr>
        <w:t>评标价</w:t>
      </w:r>
      <w:r>
        <w:rPr>
          <w:rFonts w:hint="eastAsia" w:ascii="宋体" w:hAnsi="宋体"/>
          <w:color w:val="auto"/>
          <w:szCs w:val="21"/>
        </w:rPr>
        <w:t>的偏差率计算</w:t>
      </w:r>
      <w:r>
        <w:rPr>
          <w:rFonts w:ascii="宋体" w:hAnsi="宋体"/>
        </w:rPr>
        <w:t>公式</w:t>
      </w:r>
      <w:r>
        <w:rPr>
          <w:rFonts w:hint="eastAsia" w:ascii="宋体" w:hAnsi="宋体"/>
          <w:color w:val="auto"/>
          <w:szCs w:val="21"/>
        </w:rPr>
        <w:t>：见评标办法前附表；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2.2.4评分标准</w:t>
      </w:r>
    </w:p>
    <w:p>
      <w:pPr>
        <w:spacing w:line="360" w:lineRule="auto"/>
        <w:ind w:firstLine="48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rPr>
        <w:t>技术建议书</w:t>
      </w:r>
      <w:r>
        <w:rPr>
          <w:rFonts w:hint="eastAsia" w:ascii="宋体" w:hAnsi="宋体"/>
          <w:color w:val="auto"/>
          <w:szCs w:val="21"/>
        </w:rPr>
        <w:t>评分标准：见评标办法前附表；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（2）主要人员评分标准：见评标办法前附表；</w:t>
      </w:r>
    </w:p>
    <w:p>
      <w:pPr>
        <w:spacing w:line="360" w:lineRule="auto"/>
        <w:ind w:firstLine="480" w:firstLineChars="200"/>
        <w:rPr>
          <w:rFonts w:hint="eastAsia" w:ascii="宋体" w:hAnsi="宋体"/>
          <w:color w:val="auto"/>
          <w:szCs w:val="21"/>
        </w:rPr>
      </w:pPr>
      <w:r>
        <w:rPr>
          <w:rFonts w:hint="eastAsia" w:ascii="宋体" w:hAnsi="宋体"/>
          <w:color w:val="auto"/>
          <w:szCs w:val="21"/>
        </w:rPr>
        <w:t>（3）投标报价评分标准：见评标办法前附表；</w:t>
      </w:r>
    </w:p>
    <w:p>
      <w:pPr>
        <w:spacing w:line="360" w:lineRule="auto"/>
        <w:ind w:firstLine="48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）其他因素评分标准：见评标办法前附表；</w:t>
      </w:r>
      <w:r>
        <w:rPr>
          <w:rFonts w:ascii="宋体" w:hAnsi="宋体"/>
          <w:color w:val="auto"/>
          <w:szCs w:val="21"/>
        </w:rPr>
        <w:t> </w:t>
      </w:r>
    </w:p>
    <w:p>
      <w:pPr>
        <w:pStyle w:val="84"/>
        <w:snapToGrid w:val="0"/>
        <w:spacing w:line="360" w:lineRule="auto"/>
        <w:jc w:val="left"/>
        <w:outlineLvl w:val="1"/>
        <w:rPr>
          <w:rFonts w:hint="eastAsia"/>
          <w:b w:val="0"/>
          <w:sz w:val="24"/>
          <w:szCs w:val="13"/>
        </w:rPr>
      </w:pPr>
      <w:r>
        <w:rPr>
          <w:rFonts w:hint="eastAsia"/>
          <w:b w:val="0"/>
          <w:sz w:val="24"/>
          <w:szCs w:val="13"/>
        </w:rPr>
        <w:t>3．评标程序</w:t>
      </w:r>
    </w:p>
    <w:p>
      <w:pPr>
        <w:spacing w:line="360" w:lineRule="auto"/>
        <w:ind w:firstLine="480" w:firstLineChars="200"/>
        <w:rPr>
          <w:rFonts w:hint="eastAsia" w:ascii="宋体" w:hAnsi="宋体"/>
          <w:color w:val="auto"/>
          <w:szCs w:val="21"/>
        </w:rPr>
      </w:pPr>
      <w:r>
        <w:rPr>
          <w:rFonts w:hint="eastAsia" w:ascii="宋体" w:hAnsi="宋体"/>
          <w:color w:val="auto"/>
          <w:szCs w:val="21"/>
        </w:rPr>
        <w:t>3.1第一个信封初步评审</w:t>
      </w:r>
    </w:p>
    <w:p>
      <w:pPr>
        <w:spacing w:line="360" w:lineRule="auto"/>
        <w:ind w:firstLine="480" w:firstLineChars="200"/>
        <w:rPr>
          <w:rFonts w:hint="eastAsia" w:ascii="宋体" w:hAnsi="宋体"/>
          <w:color w:val="auto"/>
          <w:szCs w:val="21"/>
        </w:rPr>
      </w:pPr>
      <w:r>
        <w:rPr>
          <w:rFonts w:hint="eastAsia" w:ascii="宋体" w:hAnsi="宋体"/>
          <w:color w:val="auto"/>
          <w:szCs w:val="21"/>
        </w:rPr>
        <w:t>3.1.1 评标委员会可以要求投标人提交第二章“投标人须知”第3.5.1项至第3.5.</w:t>
      </w:r>
      <w:r>
        <w:rPr>
          <w:rFonts w:hint="eastAsia" w:ascii="宋体" w:hAnsi="宋体"/>
          <w:color w:val="auto"/>
          <w:szCs w:val="21"/>
          <w:lang w:val="en-US"/>
        </w:rPr>
        <w:t>5</w:t>
      </w:r>
      <w:r>
        <w:rPr>
          <w:rFonts w:hint="eastAsia" w:ascii="宋体" w:hAnsi="宋体"/>
          <w:color w:val="auto"/>
          <w:szCs w:val="21"/>
        </w:rPr>
        <w:t>项规定的有关证明和证件的原件，以便核验。评标委员会依据本章第2.1款规定的标准对投标文件第一个信封（商务及技术文件）进行初步评审。有一项不符合评审标准的，评标委员会应否决其投标。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3.2第一个信封详细评审</w:t>
      </w:r>
    </w:p>
    <w:p>
      <w:pPr>
        <w:spacing w:line="360" w:lineRule="auto"/>
        <w:ind w:firstLine="480" w:firstLineChars="200"/>
        <w:rPr>
          <w:rFonts w:hint="eastAsia" w:ascii="宋体" w:hAnsi="宋体"/>
          <w:color w:val="auto"/>
          <w:szCs w:val="21"/>
        </w:rPr>
      </w:pPr>
      <w:r>
        <w:rPr>
          <w:rFonts w:hint="eastAsia" w:ascii="宋体" w:hAnsi="宋体"/>
          <w:color w:val="auto"/>
          <w:szCs w:val="21"/>
        </w:rPr>
        <w:t>3.2.1评标委员会按本章第2.2款规定的量化因素和分值进行打分，并计算出各投标人的商务和技术得分。</w:t>
      </w:r>
    </w:p>
    <w:p>
      <w:pPr>
        <w:spacing w:line="360" w:lineRule="auto"/>
        <w:ind w:firstLine="480" w:firstLineChars="200"/>
        <w:rPr>
          <w:rFonts w:hint="eastAsia" w:ascii="宋体" w:hAnsi="宋体"/>
          <w:color w:val="auto"/>
          <w:szCs w:val="21"/>
        </w:rPr>
      </w:pPr>
      <w:r>
        <w:rPr>
          <w:rFonts w:hint="eastAsia" w:ascii="宋体" w:hAnsi="宋体"/>
          <w:color w:val="auto"/>
          <w:szCs w:val="21"/>
        </w:rPr>
        <w:t>（1）按本章第2.2.4（1）目规定的评审因素和分值对</w:t>
      </w:r>
      <w:r>
        <w:rPr>
          <w:rFonts w:hint="eastAsia" w:ascii="宋体" w:hAnsi="宋体"/>
          <w:color w:val="auto"/>
          <w:szCs w:val="21"/>
          <w:lang w:val="en-US"/>
        </w:rPr>
        <w:t>技术建议书</w:t>
      </w:r>
      <w:r>
        <w:rPr>
          <w:rFonts w:hint="eastAsia" w:ascii="宋体" w:hAnsi="宋体"/>
          <w:color w:val="auto"/>
          <w:szCs w:val="21"/>
        </w:rPr>
        <w:t>部分计算出得分A；</w:t>
      </w:r>
    </w:p>
    <w:p>
      <w:pPr>
        <w:spacing w:line="360" w:lineRule="auto"/>
        <w:ind w:firstLine="480" w:firstLineChars="200"/>
        <w:rPr>
          <w:rFonts w:hint="eastAsia" w:ascii="宋体" w:hAnsi="宋体"/>
          <w:color w:val="auto"/>
          <w:szCs w:val="21"/>
        </w:rPr>
      </w:pPr>
      <w:r>
        <w:rPr>
          <w:rFonts w:hint="eastAsia" w:ascii="宋体" w:hAnsi="宋体"/>
          <w:color w:val="auto"/>
          <w:szCs w:val="21"/>
        </w:rPr>
        <w:t>（2）按本章第2.2.4（2）目规定的评审因素和分值对主要人员部分计算出得分B；</w:t>
      </w:r>
    </w:p>
    <w:p>
      <w:pPr>
        <w:spacing w:line="360" w:lineRule="auto"/>
        <w:ind w:firstLine="480" w:firstLineChars="200"/>
        <w:rPr>
          <w:rFonts w:hint="eastAsia" w:ascii="宋体" w:hAnsi="宋体"/>
          <w:color w:val="auto"/>
          <w:szCs w:val="21"/>
        </w:rPr>
      </w:pPr>
      <w:r>
        <w:rPr>
          <w:rFonts w:hint="eastAsia" w:ascii="宋体" w:hAnsi="宋体"/>
          <w:color w:val="auto"/>
          <w:szCs w:val="21"/>
        </w:rPr>
        <w:t>（3）按本章第2.2.4（4）目规定的评审因素和分值对其他部分计算出得分D。</w:t>
      </w:r>
    </w:p>
    <w:p>
      <w:pPr>
        <w:spacing w:line="360" w:lineRule="auto"/>
        <w:ind w:firstLine="480" w:firstLineChars="200"/>
        <w:rPr>
          <w:rFonts w:hint="eastAsia" w:ascii="宋体" w:hAnsi="宋体"/>
          <w:color w:val="auto"/>
          <w:szCs w:val="21"/>
        </w:rPr>
      </w:pPr>
      <w:r>
        <w:rPr>
          <w:rFonts w:hint="eastAsia" w:ascii="宋体" w:hAnsi="宋体"/>
          <w:color w:val="auto"/>
          <w:szCs w:val="21"/>
        </w:rPr>
        <w:t>3.2.2投标人的商务和技术得分分值计算保留小数点后两位，小数点后第三位“四舍五入”。</w:t>
      </w:r>
    </w:p>
    <w:p>
      <w:pPr>
        <w:spacing w:line="360" w:lineRule="auto"/>
        <w:ind w:firstLine="480" w:firstLineChars="200"/>
        <w:rPr>
          <w:rFonts w:hint="eastAsia" w:ascii="宋体" w:hAnsi="宋体"/>
          <w:color w:val="auto"/>
          <w:szCs w:val="21"/>
        </w:rPr>
      </w:pPr>
      <w:r>
        <w:rPr>
          <w:rFonts w:hint="eastAsia" w:ascii="宋体" w:hAnsi="宋体"/>
          <w:color w:val="auto"/>
          <w:szCs w:val="21"/>
        </w:rPr>
        <w:t>3.2.3投标人的商务和技术得分=A+B+D。</w:t>
      </w:r>
    </w:p>
    <w:p>
      <w:pPr>
        <w:spacing w:line="360" w:lineRule="auto"/>
        <w:ind w:firstLine="480" w:firstLineChars="200"/>
        <w:rPr>
          <w:rFonts w:hint="eastAsia" w:ascii="宋体" w:hAnsi="宋体"/>
          <w:color w:val="auto"/>
          <w:szCs w:val="21"/>
        </w:rPr>
      </w:pPr>
      <w:r>
        <w:rPr>
          <w:rFonts w:hint="eastAsia" w:ascii="宋体" w:hAnsi="宋体"/>
          <w:color w:val="auto"/>
          <w:szCs w:val="21"/>
        </w:rPr>
        <w:t>3.3第二个信封开标</w:t>
      </w:r>
    </w:p>
    <w:p>
      <w:pPr>
        <w:spacing w:line="360" w:lineRule="auto"/>
        <w:ind w:firstLine="480" w:firstLineChars="200"/>
        <w:rPr>
          <w:rFonts w:hint="eastAsia" w:ascii="宋体" w:hAnsi="宋体"/>
          <w:color w:val="auto"/>
          <w:szCs w:val="21"/>
        </w:rPr>
      </w:pPr>
      <w:r>
        <w:rPr>
          <w:rFonts w:hint="eastAsia" w:ascii="宋体" w:hAnsi="宋体"/>
          <w:color w:val="auto"/>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pacing w:line="360" w:lineRule="auto"/>
        <w:ind w:firstLine="480" w:firstLineChars="200"/>
        <w:rPr>
          <w:rFonts w:hint="eastAsia" w:ascii="宋体" w:hAnsi="宋体"/>
          <w:color w:val="auto"/>
          <w:szCs w:val="21"/>
        </w:rPr>
      </w:pPr>
      <w:r>
        <w:rPr>
          <w:rFonts w:hint="eastAsia" w:ascii="宋体" w:hAnsi="宋体"/>
          <w:color w:val="auto"/>
          <w:szCs w:val="21"/>
        </w:rPr>
        <w:t>3.4第二个信封初步评审</w:t>
      </w:r>
    </w:p>
    <w:p>
      <w:pPr>
        <w:spacing w:line="360" w:lineRule="auto"/>
        <w:ind w:firstLine="480" w:firstLineChars="200"/>
        <w:rPr>
          <w:rFonts w:hint="eastAsia" w:ascii="宋体" w:hAnsi="宋体"/>
          <w:color w:val="auto"/>
          <w:szCs w:val="21"/>
        </w:rPr>
      </w:pPr>
      <w:r>
        <w:rPr>
          <w:rFonts w:hint="eastAsia" w:ascii="宋体" w:hAnsi="宋体"/>
          <w:color w:val="auto"/>
          <w:szCs w:val="21"/>
        </w:rPr>
        <w:t>3.4.1评标委员会依据本章第2.1.1项、第2.1.3项规定的评审标准对投标文件第二个信封（报价文件）进行初步评审。有一项不符合评审标准的，评标委员会应否决其投标。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3.4.2投标报价有算术错误的，评标委员会按以下原则对投标报价进行修正，修正的价格经投标人书面确认后具有约束力。投标人不接受修正价格的，评标委员会应否决其投标。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(1)投标文件中的大写金额与小写金额不一致的，以大写金额为准；</w:t>
      </w:r>
    </w:p>
    <w:p>
      <w:pPr>
        <w:spacing w:line="360" w:lineRule="auto"/>
        <w:ind w:firstLine="480" w:firstLineChars="200"/>
        <w:rPr>
          <w:rFonts w:hint="eastAsia" w:ascii="宋体" w:hAnsi="宋体"/>
          <w:color w:val="auto"/>
          <w:szCs w:val="21"/>
        </w:rPr>
      </w:pPr>
      <w:r>
        <w:rPr>
          <w:rFonts w:hint="eastAsia" w:ascii="宋体" w:hAnsi="宋体"/>
          <w:color w:val="auto"/>
          <w:szCs w:val="21"/>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color w:val="auto"/>
          <w:szCs w:val="21"/>
        </w:rPr>
      </w:pPr>
      <w:r>
        <w:rPr>
          <w:rFonts w:hint="eastAsia" w:ascii="宋体" w:hAnsi="宋体"/>
          <w:color w:val="auto"/>
          <w:szCs w:val="21"/>
        </w:rPr>
        <w:t>(3)当单价与数量相乘不等于合价时，以单价计算为准，如果单价有明显的小数点位置差错，应以标出的合价为准，同时对单价予以修正；</w:t>
      </w:r>
    </w:p>
    <w:p>
      <w:pPr>
        <w:spacing w:line="360" w:lineRule="auto"/>
        <w:ind w:firstLine="480" w:firstLineChars="200"/>
        <w:rPr>
          <w:rFonts w:hint="eastAsia" w:ascii="宋体" w:hAnsi="宋体"/>
          <w:color w:val="auto"/>
          <w:szCs w:val="21"/>
        </w:rPr>
      </w:pPr>
      <w:r>
        <w:rPr>
          <w:rFonts w:hint="eastAsia" w:ascii="宋体" w:hAnsi="宋体"/>
          <w:color w:val="auto"/>
          <w:szCs w:val="21"/>
        </w:rPr>
        <w:t>(4)当各子目的合价累计不等于总价时，应以各子目合价累计数为准，修正总价。</w:t>
      </w:r>
    </w:p>
    <w:p>
      <w:pPr>
        <w:spacing w:line="360" w:lineRule="auto"/>
        <w:ind w:firstLine="480" w:firstLineChars="200"/>
        <w:rPr>
          <w:rFonts w:hint="eastAsia" w:ascii="宋体" w:hAnsi="宋体"/>
          <w:color w:val="auto"/>
          <w:szCs w:val="21"/>
        </w:rPr>
      </w:pPr>
      <w:r>
        <w:rPr>
          <w:rFonts w:hint="eastAsia" w:ascii="宋体" w:hAnsi="宋体"/>
          <w:color w:val="auto"/>
          <w:szCs w:val="21"/>
        </w:rPr>
        <w:t>3.4.3修正后的最终投标报价若超过最高投标限价(如有)，评标委员会应否决其投标。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3.4.5修正后的最终投标报价仅作为签订合同的一个依据，不参与评标价得分的计算。</w:t>
      </w:r>
    </w:p>
    <w:p>
      <w:pPr>
        <w:spacing w:line="360" w:lineRule="auto"/>
        <w:ind w:firstLine="480" w:firstLineChars="200"/>
        <w:rPr>
          <w:rFonts w:hint="eastAsia" w:ascii="宋体" w:hAnsi="宋体"/>
          <w:color w:val="auto"/>
          <w:szCs w:val="21"/>
        </w:rPr>
      </w:pPr>
      <w:r>
        <w:rPr>
          <w:rFonts w:hint="eastAsia" w:ascii="宋体" w:hAnsi="宋体"/>
          <w:color w:val="auto"/>
          <w:szCs w:val="21"/>
        </w:rPr>
        <w:t>3.5第二个信封详细评审</w:t>
      </w:r>
    </w:p>
    <w:p>
      <w:pPr>
        <w:spacing w:line="360" w:lineRule="auto"/>
        <w:ind w:firstLine="480" w:firstLineChars="200"/>
        <w:rPr>
          <w:rFonts w:hint="eastAsia" w:ascii="宋体" w:hAnsi="宋体"/>
          <w:color w:val="auto"/>
          <w:szCs w:val="21"/>
        </w:rPr>
      </w:pPr>
      <w:r>
        <w:rPr>
          <w:rFonts w:hint="eastAsia" w:ascii="宋体" w:hAnsi="宋体"/>
          <w:color w:val="auto"/>
          <w:szCs w:val="21"/>
        </w:rPr>
        <w:t>3.5.1评标委员会按本章第2.2.4（3）目规定的评审因素和分值对投标报价计算出得分C。投标报价得分分值计算保留小数点后两位，小数点后第三位“四舍五入”。</w:t>
      </w:r>
    </w:p>
    <w:p>
      <w:pPr>
        <w:spacing w:line="360" w:lineRule="auto"/>
        <w:ind w:firstLine="480" w:firstLineChars="200"/>
        <w:rPr>
          <w:rFonts w:hint="eastAsia" w:ascii="宋体" w:hAnsi="宋体"/>
          <w:color w:val="auto"/>
          <w:szCs w:val="21"/>
        </w:rPr>
      </w:pPr>
      <w:r>
        <w:rPr>
          <w:rFonts w:hint="eastAsia" w:ascii="宋体" w:hAnsi="宋体"/>
          <w:color w:val="auto"/>
          <w:szCs w:val="21"/>
        </w:rPr>
        <w:t>3.5.2投标人得分=投标人的商务和技术得分+C</w:t>
      </w:r>
    </w:p>
    <w:p>
      <w:pPr>
        <w:spacing w:line="360" w:lineRule="auto"/>
        <w:ind w:firstLine="480" w:firstLineChars="200"/>
        <w:rPr>
          <w:rFonts w:hint="eastAsia" w:ascii="宋体" w:hAnsi="宋体"/>
          <w:color w:val="auto"/>
          <w:szCs w:val="21"/>
        </w:rPr>
      </w:pPr>
      <w:r>
        <w:rPr>
          <w:rFonts w:hint="eastAsia" w:ascii="宋体" w:hAnsi="宋体"/>
          <w:color w:val="auto"/>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3.6投标文件相关信息的核查</w:t>
      </w:r>
    </w:p>
    <w:p>
      <w:pPr>
        <w:spacing w:line="360" w:lineRule="auto"/>
        <w:ind w:firstLine="480" w:firstLineChars="200"/>
        <w:rPr>
          <w:rFonts w:hint="eastAsia" w:ascii="宋体" w:hAnsi="宋体"/>
          <w:color w:val="auto"/>
          <w:szCs w:val="21"/>
        </w:rPr>
      </w:pPr>
      <w:r>
        <w:rPr>
          <w:rFonts w:hint="eastAsia" w:ascii="宋体" w:hAnsi="宋体"/>
          <w:color w:val="auto"/>
          <w:szCs w:val="21"/>
        </w:rPr>
        <w:t>3.6.</w:t>
      </w:r>
      <w:r>
        <w:rPr>
          <w:rFonts w:hint="eastAsia" w:ascii="宋体" w:hAnsi="宋体"/>
          <w:color w:val="auto"/>
          <w:szCs w:val="21"/>
          <w:lang w:val="en-US"/>
        </w:rPr>
        <w:t>1</w:t>
      </w:r>
      <w:r>
        <w:rPr>
          <w:rStyle w:val="101"/>
          <w:rFonts w:hint="eastAsia" w:ascii="宋体" w:hAnsi="宋体" w:cs="Times New Roman"/>
          <w:color w:val="auto"/>
          <w:sz w:val="30"/>
          <w:lang w:val="en-US"/>
        </w:rPr>
        <w:footnoteReference w:id="96"/>
      </w:r>
      <w:r>
        <w:rPr>
          <w:rFonts w:hint="eastAsia" w:ascii="宋体" w:hAnsi="宋体"/>
          <w:color w:val="auto"/>
          <w:szCs w:val="21"/>
        </w:rPr>
        <w:t>在评标过程中，评标委员会应查询交通运输</w:t>
      </w:r>
      <w:r>
        <w:rPr>
          <w:rFonts w:hint="eastAsia" w:ascii="宋体" w:hAnsi="宋体"/>
          <w:color w:val="auto"/>
          <w:szCs w:val="21"/>
          <w:lang w:val="en-US"/>
        </w:rPr>
        <w:t>部</w:t>
      </w:r>
      <w:r>
        <w:rPr>
          <w:rFonts w:hint="eastAsia" w:ascii="宋体" w:hAnsi="宋体"/>
          <w:color w:val="auto"/>
          <w:szCs w:val="21"/>
        </w:rPr>
        <w:t>“</w:t>
      </w:r>
      <w:r>
        <w:rPr>
          <w:rFonts w:hint="eastAsia" w:cs="Times New Roman"/>
        </w:rPr>
        <w:t>全国</w:t>
      </w:r>
      <w:r>
        <w:rPr>
          <w:rFonts w:hint="eastAsia" w:ascii="宋体" w:hAnsi="宋体"/>
          <w:color w:val="auto"/>
          <w:szCs w:val="21"/>
        </w:rPr>
        <w:t>水运建设市场信用信息管理系统”，对投标人的资质、业绩、主要人员资历和目前在岗情况、信用等级等信息进行核实。若投标文件载明的信息与交通运输</w:t>
      </w:r>
      <w:r>
        <w:rPr>
          <w:rFonts w:hint="eastAsia" w:ascii="宋体" w:hAnsi="宋体"/>
          <w:color w:val="auto"/>
          <w:szCs w:val="21"/>
          <w:lang w:val="en-US"/>
        </w:rPr>
        <w:t>部</w:t>
      </w:r>
      <w:r>
        <w:rPr>
          <w:rFonts w:hint="eastAsia" w:ascii="宋体" w:hAnsi="宋体"/>
          <w:color w:val="auto"/>
          <w:szCs w:val="21"/>
        </w:rPr>
        <w:t>“</w:t>
      </w:r>
      <w:r>
        <w:rPr>
          <w:rFonts w:hint="eastAsia" w:cs="Times New Roman"/>
        </w:rPr>
        <w:t>全国</w:t>
      </w:r>
      <w:r>
        <w:rPr>
          <w:rFonts w:hint="eastAsia" w:ascii="宋体" w:hAnsi="宋体"/>
          <w:color w:val="auto"/>
          <w:szCs w:val="21"/>
        </w:rPr>
        <w:t>水运建设市场信用信息管理系统”发布的信息不符，使得投标人的资格条件不符合招标文件规定的，评标委员会应否决其投标。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3.6.</w:t>
      </w:r>
      <w:r>
        <w:rPr>
          <w:rFonts w:hint="eastAsia" w:ascii="宋体" w:hAnsi="宋体"/>
          <w:color w:val="auto"/>
          <w:szCs w:val="21"/>
          <w:lang w:val="en-US"/>
        </w:rPr>
        <w:t>2</w:t>
      </w:r>
      <w:r>
        <w:rPr>
          <w:rFonts w:hint="eastAsia" w:ascii="宋体" w:hAnsi="宋体"/>
          <w:color w:val="auto"/>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（1）有下列情形之一的，属于投标人相互串通投标：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a.投标人之间协商投标报价等投标文件的实质性内容；</w:t>
      </w:r>
    </w:p>
    <w:p>
      <w:pPr>
        <w:spacing w:line="360" w:lineRule="auto"/>
        <w:ind w:firstLine="480" w:firstLineChars="200"/>
        <w:rPr>
          <w:rFonts w:hint="eastAsia" w:ascii="宋体" w:hAnsi="宋体"/>
          <w:color w:val="auto"/>
          <w:szCs w:val="21"/>
        </w:rPr>
      </w:pPr>
      <w:r>
        <w:rPr>
          <w:rFonts w:hint="eastAsia" w:ascii="宋体" w:hAnsi="宋体"/>
          <w:color w:val="auto"/>
          <w:szCs w:val="21"/>
        </w:rPr>
        <w:t>b.投标人之间约定中标人；</w:t>
      </w:r>
    </w:p>
    <w:p>
      <w:pPr>
        <w:spacing w:line="360" w:lineRule="auto"/>
        <w:ind w:firstLine="480" w:firstLineChars="200"/>
        <w:rPr>
          <w:rFonts w:hint="eastAsia" w:ascii="宋体" w:hAnsi="宋体"/>
          <w:color w:val="auto"/>
          <w:szCs w:val="21"/>
        </w:rPr>
      </w:pPr>
      <w:r>
        <w:rPr>
          <w:rFonts w:hint="eastAsia" w:ascii="宋体" w:hAnsi="宋体"/>
          <w:color w:val="auto"/>
          <w:szCs w:val="21"/>
        </w:rPr>
        <w:t>c.投标人之间约定部分投标人放弃投标或中标；</w:t>
      </w:r>
    </w:p>
    <w:p>
      <w:pPr>
        <w:spacing w:line="360" w:lineRule="auto"/>
        <w:ind w:firstLine="480" w:firstLineChars="200"/>
        <w:rPr>
          <w:rFonts w:hint="eastAsia" w:ascii="宋体" w:hAnsi="宋体"/>
          <w:color w:val="auto"/>
          <w:szCs w:val="21"/>
        </w:rPr>
      </w:pPr>
      <w:r>
        <w:rPr>
          <w:rFonts w:hint="eastAsia" w:ascii="宋体" w:hAnsi="宋体"/>
          <w:color w:val="auto"/>
          <w:szCs w:val="21"/>
        </w:rPr>
        <w:t>d.属于同一集团、协会、商会等组织成员的投标人按照该组织要求协同投标；</w:t>
      </w:r>
    </w:p>
    <w:p>
      <w:pPr>
        <w:spacing w:line="360" w:lineRule="auto"/>
        <w:ind w:firstLine="480" w:firstLineChars="200"/>
        <w:rPr>
          <w:rFonts w:hint="eastAsia" w:ascii="宋体" w:hAnsi="宋体"/>
          <w:color w:val="auto"/>
          <w:szCs w:val="21"/>
        </w:rPr>
      </w:pPr>
      <w:r>
        <w:rPr>
          <w:rFonts w:hint="eastAsia" w:ascii="宋体" w:hAnsi="宋体"/>
          <w:color w:val="auto"/>
          <w:szCs w:val="21"/>
        </w:rPr>
        <w:t>e.投标人之间为谋取中标或排斥特定投标人而采取的其他联合行动。</w:t>
      </w:r>
    </w:p>
    <w:p>
      <w:pPr>
        <w:spacing w:line="360" w:lineRule="auto"/>
        <w:ind w:firstLine="480" w:firstLineChars="200"/>
        <w:rPr>
          <w:rFonts w:hint="eastAsia" w:ascii="宋体" w:hAnsi="宋体"/>
          <w:color w:val="auto"/>
          <w:szCs w:val="21"/>
        </w:rPr>
      </w:pPr>
      <w:r>
        <w:rPr>
          <w:rFonts w:hint="eastAsia" w:ascii="宋体" w:hAnsi="宋体"/>
          <w:color w:val="auto"/>
          <w:szCs w:val="21"/>
        </w:rPr>
        <w:t>（2）有下列情形之一的，视为投标人相互串通投标：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a.不同投标人的投标文件由同一单位或个人编制；</w:t>
      </w:r>
    </w:p>
    <w:p>
      <w:pPr>
        <w:spacing w:line="360" w:lineRule="auto"/>
        <w:ind w:firstLine="480" w:firstLineChars="200"/>
        <w:rPr>
          <w:rFonts w:hint="eastAsia" w:ascii="宋体" w:hAnsi="宋体"/>
          <w:color w:val="auto"/>
          <w:szCs w:val="21"/>
        </w:rPr>
      </w:pPr>
      <w:r>
        <w:rPr>
          <w:rFonts w:hint="eastAsia" w:ascii="宋体" w:hAnsi="宋体"/>
          <w:color w:val="auto"/>
          <w:szCs w:val="21"/>
        </w:rPr>
        <w:t>b.不同投标人委托同一单位或个人办理投标事宜；</w:t>
      </w:r>
    </w:p>
    <w:p>
      <w:pPr>
        <w:spacing w:line="360" w:lineRule="auto"/>
        <w:ind w:firstLine="480" w:firstLineChars="200"/>
        <w:rPr>
          <w:rFonts w:hint="eastAsia" w:ascii="宋体" w:hAnsi="宋体"/>
          <w:color w:val="auto"/>
          <w:szCs w:val="21"/>
        </w:rPr>
      </w:pPr>
      <w:r>
        <w:rPr>
          <w:rFonts w:hint="eastAsia" w:ascii="宋体" w:hAnsi="宋体"/>
          <w:color w:val="auto"/>
          <w:szCs w:val="21"/>
        </w:rPr>
        <w:t>c.不同投标人的投标文件载明的项目管理成员为同一人；</w:t>
      </w:r>
    </w:p>
    <w:p>
      <w:pPr>
        <w:spacing w:line="360" w:lineRule="auto"/>
        <w:ind w:firstLine="480" w:firstLineChars="200"/>
        <w:rPr>
          <w:rFonts w:hint="eastAsia" w:ascii="宋体" w:hAnsi="宋体"/>
          <w:color w:val="auto"/>
          <w:szCs w:val="21"/>
        </w:rPr>
      </w:pPr>
      <w:r>
        <w:rPr>
          <w:rFonts w:hint="eastAsia" w:ascii="宋体" w:hAnsi="宋体"/>
          <w:color w:val="auto"/>
          <w:szCs w:val="21"/>
        </w:rPr>
        <w:t>d.不同投标人的投标文件异常一致或投标报价呈规律性差异；</w:t>
      </w:r>
    </w:p>
    <w:p>
      <w:pPr>
        <w:spacing w:line="360" w:lineRule="auto"/>
        <w:ind w:firstLine="480" w:firstLineChars="200"/>
        <w:rPr>
          <w:rFonts w:hint="eastAsia" w:ascii="宋体" w:hAnsi="宋体"/>
          <w:color w:val="auto"/>
          <w:szCs w:val="21"/>
        </w:rPr>
      </w:pPr>
      <w:r>
        <w:rPr>
          <w:rFonts w:hint="eastAsia" w:ascii="宋体" w:hAnsi="宋体"/>
          <w:color w:val="auto"/>
          <w:szCs w:val="21"/>
        </w:rPr>
        <w:t>e.不同投标人的投标文件相互混装；</w:t>
      </w:r>
    </w:p>
    <w:p>
      <w:pPr>
        <w:spacing w:line="360" w:lineRule="auto"/>
        <w:ind w:firstLine="480" w:firstLineChars="200"/>
        <w:rPr>
          <w:rFonts w:hint="eastAsia" w:ascii="宋体" w:hAnsi="宋体"/>
          <w:color w:val="auto"/>
          <w:szCs w:val="21"/>
        </w:rPr>
      </w:pPr>
      <w:r>
        <w:rPr>
          <w:rFonts w:hint="eastAsia" w:ascii="宋体" w:hAnsi="宋体"/>
          <w:color w:val="auto"/>
          <w:szCs w:val="21"/>
        </w:rPr>
        <w:t>f.不同投标人的投标保证金从同一单位或个人的账户转出。</w:t>
      </w:r>
    </w:p>
    <w:p>
      <w:pPr>
        <w:spacing w:line="360" w:lineRule="auto"/>
        <w:ind w:firstLine="480" w:firstLineChars="200"/>
        <w:rPr>
          <w:rFonts w:hint="eastAsia" w:ascii="宋体" w:hAnsi="宋体"/>
          <w:color w:val="auto"/>
          <w:szCs w:val="21"/>
        </w:rPr>
      </w:pPr>
      <w:r>
        <w:rPr>
          <w:rFonts w:hint="eastAsia" w:ascii="宋体" w:hAnsi="宋体"/>
          <w:color w:val="auto"/>
          <w:szCs w:val="21"/>
        </w:rPr>
        <w:t>g.广东省实施《中华人民共和国招标投标法》办法第十六条规定的情形。</w:t>
      </w:r>
    </w:p>
    <w:p>
      <w:pPr>
        <w:spacing w:line="360" w:lineRule="auto"/>
        <w:ind w:firstLine="480" w:firstLineChars="200"/>
        <w:rPr>
          <w:rFonts w:hint="eastAsia" w:ascii="宋体" w:hAnsi="宋体"/>
          <w:color w:val="auto"/>
          <w:szCs w:val="21"/>
        </w:rPr>
      </w:pPr>
      <w:r>
        <w:rPr>
          <w:rFonts w:hint="eastAsia" w:ascii="宋体" w:hAnsi="宋体"/>
          <w:color w:val="auto"/>
          <w:szCs w:val="21"/>
        </w:rPr>
        <w:t>（3）有下列情形之一的，属于招标人与投标人串通投标：</w:t>
      </w:r>
    </w:p>
    <w:p>
      <w:pPr>
        <w:spacing w:line="360" w:lineRule="auto"/>
        <w:ind w:firstLine="480" w:firstLineChars="200"/>
        <w:rPr>
          <w:rFonts w:hint="eastAsia" w:ascii="宋体" w:hAnsi="宋体"/>
          <w:color w:val="auto"/>
          <w:szCs w:val="21"/>
        </w:rPr>
      </w:pPr>
      <w:r>
        <w:rPr>
          <w:rFonts w:hint="eastAsia" w:ascii="宋体" w:hAnsi="宋体"/>
          <w:color w:val="auto"/>
          <w:szCs w:val="21"/>
        </w:rPr>
        <w:t>a.招标人在开标前开启投标文件并将有关信息泄露给其他投标人;</w:t>
      </w:r>
    </w:p>
    <w:p>
      <w:pPr>
        <w:spacing w:line="360" w:lineRule="auto"/>
        <w:ind w:firstLine="480" w:firstLineChars="200"/>
        <w:rPr>
          <w:rFonts w:hint="eastAsia" w:ascii="宋体" w:hAnsi="宋体"/>
          <w:color w:val="auto"/>
          <w:szCs w:val="21"/>
        </w:rPr>
      </w:pPr>
      <w:r>
        <w:rPr>
          <w:rFonts w:hint="eastAsia" w:ascii="宋体" w:hAnsi="宋体"/>
          <w:color w:val="auto"/>
          <w:szCs w:val="21"/>
        </w:rPr>
        <w:t>b.招标人直接或间接向投标人泄露标底、评标委员会成员等信息；</w:t>
      </w:r>
    </w:p>
    <w:p>
      <w:pPr>
        <w:spacing w:line="360" w:lineRule="auto"/>
        <w:ind w:firstLine="480" w:firstLineChars="200"/>
        <w:rPr>
          <w:rFonts w:hint="eastAsia" w:ascii="宋体" w:hAnsi="宋体"/>
          <w:color w:val="auto"/>
          <w:szCs w:val="21"/>
        </w:rPr>
      </w:pPr>
      <w:r>
        <w:rPr>
          <w:rFonts w:hint="eastAsia" w:ascii="宋体" w:hAnsi="宋体"/>
          <w:color w:val="auto"/>
          <w:szCs w:val="21"/>
        </w:rPr>
        <w:t>c.招标人明示或暗示投标人压低或抬高投标报价；</w:t>
      </w:r>
    </w:p>
    <w:p>
      <w:pPr>
        <w:spacing w:line="360" w:lineRule="auto"/>
        <w:ind w:firstLine="480" w:firstLineChars="200"/>
        <w:rPr>
          <w:rFonts w:hint="eastAsia" w:ascii="宋体" w:hAnsi="宋体"/>
          <w:color w:val="auto"/>
          <w:szCs w:val="21"/>
        </w:rPr>
      </w:pPr>
      <w:r>
        <w:rPr>
          <w:rFonts w:hint="eastAsia" w:ascii="宋体" w:hAnsi="宋体"/>
          <w:color w:val="auto"/>
          <w:szCs w:val="21"/>
        </w:rPr>
        <w:t>d.招标人授意投标人撤换、修改投标文件；</w:t>
      </w:r>
    </w:p>
    <w:p>
      <w:pPr>
        <w:spacing w:line="360" w:lineRule="auto"/>
        <w:ind w:firstLine="480" w:firstLineChars="200"/>
        <w:rPr>
          <w:rFonts w:hint="eastAsia" w:ascii="宋体" w:hAnsi="宋体"/>
          <w:color w:val="auto"/>
          <w:szCs w:val="21"/>
        </w:rPr>
      </w:pPr>
      <w:r>
        <w:rPr>
          <w:rFonts w:hint="eastAsia" w:ascii="宋体" w:hAnsi="宋体"/>
          <w:color w:val="auto"/>
          <w:szCs w:val="21"/>
        </w:rPr>
        <w:t>e.招标人明示或暗示投标人为特定投标人中标提供方便；</w:t>
      </w:r>
    </w:p>
    <w:p>
      <w:pPr>
        <w:spacing w:line="360" w:lineRule="auto"/>
        <w:ind w:firstLine="480" w:firstLineChars="200"/>
        <w:rPr>
          <w:rFonts w:hint="eastAsia" w:ascii="宋体" w:hAnsi="宋体"/>
          <w:color w:val="auto"/>
          <w:szCs w:val="21"/>
        </w:rPr>
      </w:pPr>
      <w:r>
        <w:rPr>
          <w:rFonts w:hint="eastAsia" w:ascii="宋体" w:hAnsi="宋体"/>
          <w:color w:val="auto"/>
          <w:szCs w:val="21"/>
        </w:rPr>
        <w:t>f.招标人与投标人为谋求特定投标人中标而采取的其他串通行为。</w:t>
      </w:r>
    </w:p>
    <w:p>
      <w:pPr>
        <w:spacing w:line="360" w:lineRule="auto"/>
        <w:ind w:firstLine="480" w:firstLineChars="200"/>
        <w:rPr>
          <w:rFonts w:hint="eastAsia" w:ascii="宋体" w:hAnsi="宋体"/>
          <w:color w:val="auto"/>
          <w:szCs w:val="21"/>
        </w:rPr>
      </w:pPr>
      <w:r>
        <w:rPr>
          <w:rFonts w:hint="eastAsia" w:ascii="宋体" w:hAnsi="宋体"/>
          <w:color w:val="auto"/>
          <w:szCs w:val="21"/>
        </w:rPr>
        <w:t>（4）投标人有下列情形之一的，属于弄虚作假的行为：</w:t>
      </w:r>
    </w:p>
    <w:p>
      <w:pPr>
        <w:spacing w:line="360" w:lineRule="auto"/>
        <w:ind w:firstLine="480" w:firstLineChars="200"/>
        <w:rPr>
          <w:rFonts w:hint="eastAsia" w:ascii="宋体" w:hAnsi="宋体"/>
          <w:color w:val="auto"/>
          <w:szCs w:val="21"/>
        </w:rPr>
      </w:pPr>
      <w:r>
        <w:rPr>
          <w:rFonts w:hint="eastAsia" w:ascii="宋体" w:hAnsi="宋体"/>
          <w:color w:val="auto"/>
          <w:szCs w:val="21"/>
        </w:rPr>
        <w:t>a.使用通过受让或租借等方式获取的资格、资质证书投标；</w:t>
      </w:r>
    </w:p>
    <w:p>
      <w:pPr>
        <w:spacing w:line="360" w:lineRule="auto"/>
        <w:ind w:firstLine="480" w:firstLineChars="200"/>
        <w:rPr>
          <w:rFonts w:hint="eastAsia" w:ascii="宋体" w:hAnsi="宋体"/>
          <w:color w:val="auto"/>
          <w:szCs w:val="21"/>
        </w:rPr>
      </w:pPr>
      <w:r>
        <w:rPr>
          <w:rFonts w:hint="eastAsia" w:ascii="宋体" w:hAnsi="宋体"/>
          <w:color w:val="auto"/>
          <w:szCs w:val="21"/>
        </w:rPr>
        <w:t>b.使用伪造、变造的许可证件；</w:t>
      </w:r>
    </w:p>
    <w:p>
      <w:pPr>
        <w:spacing w:line="360" w:lineRule="auto"/>
        <w:ind w:firstLine="480" w:firstLineChars="200"/>
        <w:rPr>
          <w:rFonts w:hint="eastAsia" w:ascii="宋体" w:hAnsi="宋体"/>
          <w:color w:val="auto"/>
          <w:szCs w:val="21"/>
        </w:rPr>
      </w:pPr>
      <w:r>
        <w:rPr>
          <w:rFonts w:hint="eastAsia" w:ascii="宋体" w:hAnsi="宋体"/>
          <w:color w:val="auto"/>
          <w:szCs w:val="21"/>
        </w:rPr>
        <w:t>c.提供虚假的财务状况或业绩；</w:t>
      </w:r>
    </w:p>
    <w:p>
      <w:pPr>
        <w:spacing w:line="360" w:lineRule="auto"/>
        <w:ind w:firstLine="480" w:firstLineChars="200"/>
        <w:rPr>
          <w:rFonts w:hint="eastAsia" w:ascii="宋体" w:hAnsi="宋体"/>
          <w:color w:val="auto"/>
          <w:szCs w:val="21"/>
        </w:rPr>
      </w:pPr>
      <w:r>
        <w:rPr>
          <w:rFonts w:hint="eastAsia" w:ascii="宋体" w:hAnsi="宋体"/>
          <w:color w:val="auto"/>
          <w:szCs w:val="21"/>
        </w:rPr>
        <w:t>d.提供虚假的项目负责人或主要技术人员简历、劳动关系证明；</w:t>
      </w:r>
    </w:p>
    <w:p>
      <w:pPr>
        <w:spacing w:line="360" w:lineRule="auto"/>
        <w:ind w:firstLine="480" w:firstLineChars="200"/>
        <w:rPr>
          <w:rFonts w:hint="eastAsia" w:ascii="宋体" w:hAnsi="宋体"/>
          <w:color w:val="auto"/>
          <w:szCs w:val="21"/>
        </w:rPr>
      </w:pPr>
      <w:r>
        <w:rPr>
          <w:rFonts w:hint="eastAsia" w:ascii="宋体" w:hAnsi="宋体"/>
          <w:color w:val="auto"/>
          <w:szCs w:val="21"/>
        </w:rPr>
        <w:t>e.提供虚假的信用状况；</w:t>
      </w:r>
    </w:p>
    <w:p>
      <w:pPr>
        <w:spacing w:line="360" w:lineRule="auto"/>
        <w:ind w:firstLine="480" w:firstLineChars="200"/>
        <w:rPr>
          <w:rFonts w:hint="eastAsia" w:ascii="宋体" w:hAnsi="宋体"/>
          <w:color w:val="auto"/>
          <w:szCs w:val="21"/>
        </w:rPr>
      </w:pPr>
      <w:r>
        <w:rPr>
          <w:rFonts w:hint="eastAsia" w:ascii="宋体" w:hAnsi="宋体"/>
          <w:color w:val="auto"/>
          <w:szCs w:val="21"/>
        </w:rPr>
        <w:t>f.其他弄虚作假的行为。</w:t>
      </w:r>
    </w:p>
    <w:p>
      <w:pPr>
        <w:spacing w:line="360" w:lineRule="auto"/>
        <w:ind w:firstLine="480" w:firstLineChars="200"/>
        <w:rPr>
          <w:rFonts w:hint="eastAsia" w:ascii="宋体" w:hAnsi="宋体"/>
          <w:color w:val="auto"/>
          <w:szCs w:val="21"/>
        </w:rPr>
      </w:pPr>
      <w:r>
        <w:rPr>
          <w:rFonts w:hint="eastAsia" w:ascii="宋体" w:hAnsi="宋体"/>
          <w:color w:val="auto"/>
          <w:szCs w:val="21"/>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pPr>
        <w:spacing w:line="360" w:lineRule="auto"/>
        <w:ind w:firstLine="480" w:firstLineChars="200"/>
        <w:rPr>
          <w:rFonts w:hint="eastAsia" w:ascii="宋体" w:hAnsi="宋体"/>
          <w:color w:val="auto"/>
          <w:szCs w:val="21"/>
        </w:rPr>
      </w:pPr>
      <w:r>
        <w:rPr>
          <w:rFonts w:hint="eastAsia" w:ascii="宋体" w:hAnsi="宋体"/>
          <w:color w:val="auto"/>
          <w:szCs w:val="21"/>
        </w:rPr>
        <w:t>3.7投标文件的澄清和说明</w:t>
      </w:r>
    </w:p>
    <w:p>
      <w:pPr>
        <w:spacing w:line="360" w:lineRule="auto"/>
        <w:ind w:firstLine="480" w:firstLineChars="200"/>
        <w:rPr>
          <w:rFonts w:hint="eastAsia" w:ascii="宋体" w:hAnsi="宋体"/>
          <w:color w:val="auto"/>
          <w:szCs w:val="21"/>
        </w:rPr>
      </w:pPr>
      <w:r>
        <w:rPr>
          <w:rFonts w:hint="eastAsia" w:ascii="宋体" w:hAnsi="宋体"/>
          <w:color w:val="auto"/>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hint="eastAsia" w:ascii="宋体" w:hAnsi="宋体"/>
          <w:color w:val="auto"/>
          <w:szCs w:val="21"/>
        </w:rPr>
      </w:pPr>
      <w:r>
        <w:rPr>
          <w:rFonts w:hint="eastAsia" w:ascii="宋体" w:hAnsi="宋体"/>
          <w:color w:val="auto"/>
          <w:szCs w:val="21"/>
        </w:rPr>
        <w:t>3.7.2 澄清和说明不得超出投标文件的范围或改变投标文件的实质性内容（算术性错误的修正除外）。投标人的书面澄清、说明属于投标文件的组成部分。</w:t>
      </w:r>
    </w:p>
    <w:p>
      <w:pPr>
        <w:spacing w:line="360" w:lineRule="auto"/>
        <w:ind w:firstLine="480" w:firstLineChars="200"/>
        <w:rPr>
          <w:rFonts w:hint="eastAsia" w:ascii="宋体" w:hAnsi="宋体"/>
          <w:color w:val="auto"/>
          <w:szCs w:val="21"/>
        </w:rPr>
      </w:pPr>
      <w:r>
        <w:rPr>
          <w:rFonts w:hint="eastAsia" w:ascii="宋体" w:hAnsi="宋体"/>
          <w:color w:val="auto"/>
          <w:szCs w:val="21"/>
        </w:rPr>
        <w:t>3.7.3 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rPr>
        <w:t>7</w:t>
      </w:r>
      <w:r>
        <w:rPr>
          <w:rFonts w:hint="eastAsia" w:ascii="宋体" w:hAnsi="宋体"/>
          <w:color w:val="auto"/>
          <w:szCs w:val="21"/>
        </w:rPr>
        <w:t>.4 凡超出招标文件规定的或给招标人带来未曾要求的利益的变化、偏差或其他因素在评标时不予考虑。</w:t>
      </w:r>
    </w:p>
    <w:p>
      <w:pPr>
        <w:spacing w:line="360" w:lineRule="auto"/>
        <w:ind w:firstLine="480" w:firstLineChars="200"/>
        <w:rPr>
          <w:rFonts w:hint="eastAsia" w:ascii="宋体" w:hAnsi="宋体"/>
          <w:color w:val="auto"/>
          <w:szCs w:val="21"/>
        </w:rPr>
      </w:pPr>
      <w:r>
        <w:rPr>
          <w:rFonts w:hint="eastAsia" w:ascii="宋体" w:hAnsi="宋体"/>
          <w:color w:val="auto"/>
          <w:szCs w:val="21"/>
        </w:rPr>
        <w:t>3.8不得否决投标的情形</w:t>
      </w:r>
    </w:p>
    <w:p>
      <w:pPr>
        <w:spacing w:line="360" w:lineRule="auto"/>
        <w:ind w:firstLine="480" w:firstLineChars="200"/>
        <w:rPr>
          <w:rFonts w:hint="eastAsia" w:ascii="宋体" w:hAnsi="宋体"/>
          <w:color w:val="auto"/>
          <w:szCs w:val="21"/>
        </w:rPr>
      </w:pPr>
      <w:r>
        <w:rPr>
          <w:rFonts w:hint="eastAsia" w:ascii="宋体" w:hAnsi="宋体"/>
          <w:color w:val="auto"/>
          <w:szCs w:val="21"/>
        </w:rPr>
        <w:t>投标文件存在第二章“投标人须知”第1.12.3项所列情形的，均视为细微偏差，评标委员会不得否决投标人的投标，应按照第二章“投标人须知”第1.12.4项规定的原则处理。</w:t>
      </w:r>
    </w:p>
    <w:p>
      <w:pPr>
        <w:spacing w:line="360" w:lineRule="auto"/>
        <w:ind w:firstLine="480" w:firstLineChars="200"/>
        <w:rPr>
          <w:rFonts w:hint="eastAsia" w:ascii="宋体" w:hAnsi="宋体"/>
          <w:color w:val="auto"/>
          <w:szCs w:val="21"/>
        </w:rPr>
      </w:pPr>
      <w:r>
        <w:rPr>
          <w:rFonts w:hint="eastAsia" w:ascii="宋体" w:hAnsi="宋体"/>
          <w:color w:val="auto"/>
          <w:szCs w:val="21"/>
        </w:rPr>
        <w:t>3.9评标结果</w:t>
      </w:r>
    </w:p>
    <w:p>
      <w:pPr>
        <w:spacing w:line="360" w:lineRule="auto"/>
        <w:ind w:firstLine="480" w:firstLineChars="200"/>
        <w:rPr>
          <w:rFonts w:hint="eastAsia" w:ascii="宋体" w:hAnsi="宋体"/>
          <w:color w:val="auto"/>
          <w:szCs w:val="21"/>
        </w:rPr>
      </w:pPr>
      <w:r>
        <w:rPr>
          <w:rFonts w:hint="eastAsia" w:ascii="宋体" w:hAnsi="宋体"/>
          <w:color w:val="auto"/>
          <w:szCs w:val="21"/>
        </w:rPr>
        <w:t>3.9.1 除第二章“投标人须知”前附表授权直接确定中标人外，评标委员会按照得分由高到低的顺序推荐中标候选人，并标明排序。</w:t>
      </w:r>
    </w:p>
    <w:p>
      <w:pPr>
        <w:spacing w:line="360" w:lineRule="auto"/>
        <w:ind w:firstLine="566" w:firstLineChars="236"/>
        <w:rPr>
          <w:rStyle w:val="164"/>
          <w:rFonts w:hint="eastAsia" w:ascii="宋体" w:hAnsi="宋体" w:eastAsia="宋体"/>
          <w:color w:val="auto"/>
        </w:rPr>
      </w:pPr>
      <w:r>
        <w:rPr>
          <w:rFonts w:hint="eastAsia" w:ascii="宋体" w:hAnsi="宋体"/>
          <w:color w:val="auto"/>
          <w:szCs w:val="21"/>
        </w:rPr>
        <w:t>3.9.2 评标委员会完成评标后，应向招标人提交书面评标报告。</w:t>
      </w:r>
      <w:r>
        <w:rPr>
          <w:rFonts w:hint="eastAsia" w:ascii="宋体" w:hAnsi="宋体"/>
          <w:color w:val="auto"/>
          <w:szCs w:val="21"/>
          <w:lang w:val="en-US"/>
        </w:rPr>
        <w:br w:type="page"/>
      </w:r>
    </w:p>
    <w:p>
      <w:pPr>
        <w:pStyle w:val="620"/>
        <w:framePr w:w="8717" w:h="611" w:hRule="exact" w:wrap="around" w:vAnchor="page" w:hAnchor="page" w:x="1621" w:y="6720"/>
        <w:shd w:val="clear" w:color="auto" w:fill="auto"/>
        <w:spacing w:line="360" w:lineRule="auto"/>
        <w:jc w:val="center"/>
        <w:rPr>
          <w:rFonts w:ascii="宋体" w:hAnsi="宋体" w:eastAsia="宋体"/>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rPr>
      </w:pPr>
    </w:p>
    <w:p>
      <w:pPr>
        <w:rPr>
          <w:color w:val="auto"/>
        </w:rPr>
      </w:pPr>
    </w:p>
    <w:p>
      <w:pPr>
        <w:rPr>
          <w:color w:val="auto"/>
        </w:rPr>
      </w:pPr>
    </w:p>
    <w:p>
      <w:pPr>
        <w:rPr>
          <w:rFonts w:hint="eastAsia"/>
          <w:color w:val="auto"/>
        </w:rPr>
      </w:pPr>
    </w:p>
    <w:p>
      <w:pPr>
        <w:rPr>
          <w:color w:val="auto"/>
        </w:rPr>
      </w:pPr>
    </w:p>
    <w:p>
      <w:pPr>
        <w:rPr>
          <w:color w:val="auto"/>
        </w:rPr>
      </w:pPr>
    </w:p>
    <w:p>
      <w:pPr>
        <w:pStyle w:val="3"/>
        <w:spacing w:after="0" w:line="360" w:lineRule="auto"/>
        <w:jc w:val="center"/>
        <w:rPr>
          <w:rStyle w:val="442"/>
          <w:rFonts w:ascii="宋体" w:eastAsia="宋体"/>
          <w:sz w:val="48"/>
          <w:szCs w:val="48"/>
        </w:rPr>
        <w:sectPr>
          <w:footnotePr>
            <w:numRestart w:val="eachPage"/>
          </w:footnotePr>
          <w:pgSz w:w="11900" w:h="16838"/>
          <w:pgMar w:top="1803" w:right="1440" w:bottom="1803" w:left="1440" w:header="680" w:footer="680" w:gutter="0"/>
          <w:cols w:space="720" w:num="1"/>
          <w:docGrid w:linePitch="360" w:charSpace="0"/>
        </w:sectPr>
      </w:pPr>
      <w:r>
        <w:rPr>
          <w:rStyle w:val="529"/>
          <w:rFonts w:hint="eastAsia" w:ascii="宋体" w:hAnsi="宋体" w:eastAsia="宋体"/>
          <w:sz w:val="48"/>
          <w:szCs w:val="48"/>
        </w:rPr>
        <w:t>第四章 合同条款及格式</w:t>
      </w:r>
    </w:p>
    <w:p>
      <w:pPr>
        <w:widowControl/>
        <w:jc w:val="center"/>
        <w:rPr>
          <w:rFonts w:hint="eastAsia" w:ascii="宋体" w:hAnsi="宋体" w:cs="宋体"/>
          <w:color w:val="auto"/>
          <w:sz w:val="32"/>
          <w:szCs w:val="32"/>
          <w:lang w:val="en-US" w:bidi="ar"/>
        </w:rPr>
      </w:pPr>
      <w:r>
        <w:rPr>
          <w:rFonts w:hint="eastAsia" w:ascii="宋体" w:hAnsi="宋体" w:cs="宋体"/>
          <w:b/>
          <w:bCs/>
          <w:color w:val="auto"/>
          <w:sz w:val="32"/>
          <w:szCs w:val="32"/>
          <w:lang w:val="en-US" w:bidi="ar"/>
        </w:rPr>
        <w:t>第一节 通用合同条款</w:t>
      </w:r>
    </w:p>
    <w:p>
      <w:pPr>
        <w:widowControl/>
        <w:spacing w:line="360" w:lineRule="auto"/>
        <w:ind w:left="843" w:hanging="843" w:hangingChars="300"/>
        <w:rPr>
          <w:rFonts w:hint="eastAsia" w:ascii="宋体" w:hAnsi="宋体" w:cs="宋体"/>
          <w:color w:val="auto"/>
          <w:sz w:val="28"/>
          <w:szCs w:val="28"/>
          <w:lang w:val="en-US" w:bidi="ar"/>
        </w:rPr>
      </w:pPr>
      <w:r>
        <w:rPr>
          <w:rFonts w:hint="eastAsia" w:ascii="宋体" w:hAnsi="宋体" w:cs="宋体"/>
          <w:b/>
          <w:bCs/>
          <w:color w:val="auto"/>
          <w:sz w:val="28"/>
          <w:szCs w:val="28"/>
          <w:lang w:val="en-US" w:bidi="ar"/>
        </w:rPr>
        <w:t>1.一般约定</w:t>
      </w:r>
    </w:p>
    <w:p>
      <w:pPr>
        <w:widowControl/>
        <w:spacing w:line="360" w:lineRule="auto"/>
        <w:ind w:left="720" w:leftChars="200" w:hanging="240" w:hangingChars="100"/>
        <w:rPr>
          <w:rStyle w:val="302"/>
          <w:rFonts w:hint="default"/>
          <w:color w:val="auto"/>
          <w:lang w:val="en-US" w:bidi="ar"/>
        </w:rPr>
      </w:pPr>
      <w:r>
        <w:rPr>
          <w:rStyle w:val="409"/>
          <w:rFonts w:hint="eastAsia" w:ascii="宋体" w:hAnsi="宋体" w:cs="宋体"/>
          <w:b w:val="0"/>
          <w:bCs w:val="0"/>
          <w:color w:val="auto"/>
          <w:sz w:val="24"/>
          <w:szCs w:val="24"/>
          <w:lang w:val="en-US" w:bidi="ar"/>
        </w:rPr>
        <w:t xml:space="preserve">1.1 </w:t>
      </w:r>
      <w:r>
        <w:rPr>
          <w:rStyle w:val="302"/>
          <w:rFonts w:hint="default"/>
          <w:color w:val="auto"/>
          <w:lang w:val="en-US" w:bidi="ar"/>
        </w:rPr>
        <w:t>词语定义</w:t>
      </w:r>
    </w:p>
    <w:p>
      <w:pPr>
        <w:widowControl/>
        <w:spacing w:line="360" w:lineRule="auto"/>
        <w:ind w:left="240" w:leftChars="100" w:firstLine="240" w:firstLineChars="100"/>
        <w:rPr>
          <w:rStyle w:val="302"/>
          <w:rFonts w:hint="default"/>
          <w:color w:val="auto"/>
          <w:lang w:val="en-US" w:bidi="ar"/>
        </w:rPr>
      </w:pPr>
      <w:r>
        <w:rPr>
          <w:rStyle w:val="302"/>
          <w:rFonts w:hint="default"/>
          <w:color w:val="auto"/>
          <w:lang w:val="en-US" w:bidi="ar"/>
        </w:rPr>
        <w:t>通用合同条款、专用合同条款中的下列词语应具有本款所赋予的含义。</w:t>
      </w:r>
    </w:p>
    <w:p>
      <w:pPr>
        <w:widowControl/>
        <w:spacing w:line="360" w:lineRule="auto"/>
        <w:ind w:left="240" w:leftChars="100" w:firstLine="240" w:firstLineChars="100"/>
        <w:rPr>
          <w:rStyle w:val="302"/>
          <w:rFonts w:hint="default"/>
          <w:color w:val="auto"/>
          <w:lang w:val="en-US" w:bidi="ar"/>
        </w:rPr>
      </w:pPr>
      <w:r>
        <w:rPr>
          <w:rStyle w:val="168"/>
          <w:rFonts w:hint="eastAsia" w:ascii="宋体" w:hAnsi="宋体" w:cs="宋体"/>
          <w:color w:val="auto"/>
          <w:lang w:val="en-US" w:bidi="ar"/>
        </w:rPr>
        <w:t xml:space="preserve">1.1.1 </w:t>
      </w:r>
      <w:r>
        <w:rPr>
          <w:rStyle w:val="302"/>
          <w:rFonts w:hint="default"/>
          <w:color w:val="auto"/>
          <w:lang w:val="en-US" w:bidi="ar"/>
        </w:rPr>
        <w:t>合同</w:t>
      </w:r>
    </w:p>
    <w:p>
      <w:pPr>
        <w:widowControl/>
        <w:spacing w:line="360" w:lineRule="auto"/>
        <w:ind w:left="240" w:leftChars="100" w:firstLine="240" w:firstLineChars="100"/>
        <w:rPr>
          <w:rStyle w:val="302"/>
          <w:rFonts w:hint="default"/>
          <w:color w:val="auto"/>
          <w:lang w:val="en-US" w:bidi="ar"/>
        </w:rPr>
      </w:pPr>
      <w:r>
        <w:rPr>
          <w:rStyle w:val="168"/>
          <w:rFonts w:hint="eastAsia" w:ascii="宋体" w:hAnsi="宋体" w:cs="宋体"/>
          <w:color w:val="auto"/>
          <w:lang w:val="en-US" w:bidi="ar"/>
        </w:rPr>
        <w:t xml:space="preserve">1.1.1.1 </w:t>
      </w:r>
      <w:r>
        <w:rPr>
          <w:rStyle w:val="302"/>
          <w:rFonts w:hint="default"/>
          <w:color w:val="auto"/>
          <w:lang w:val="en-US" w:bidi="ar"/>
        </w:rPr>
        <w:t>合同文件（或称合同）：指合同协议书及各种合同附件、中标通知</w:t>
      </w:r>
    </w:p>
    <w:p>
      <w:pPr>
        <w:widowControl/>
        <w:spacing w:line="360" w:lineRule="auto"/>
        <w:ind w:left="240" w:hanging="240" w:hangingChars="100"/>
        <w:rPr>
          <w:rStyle w:val="302"/>
          <w:rFonts w:hint="default"/>
          <w:color w:val="auto"/>
          <w:lang w:val="en-US" w:bidi="ar"/>
        </w:rPr>
      </w:pPr>
      <w:r>
        <w:rPr>
          <w:rStyle w:val="302"/>
          <w:rFonts w:hint="default"/>
          <w:color w:val="auto"/>
          <w:lang w:val="en-US" w:bidi="ar"/>
        </w:rPr>
        <w:t>书、投标函、专用合同条款、通用合同条款、发包人要求、勘察设计费用清单，</w:t>
      </w:r>
    </w:p>
    <w:p>
      <w:pPr>
        <w:widowControl/>
        <w:spacing w:line="360" w:lineRule="auto"/>
        <w:ind w:left="240" w:hanging="240" w:hangingChars="100"/>
        <w:rPr>
          <w:rStyle w:val="302"/>
          <w:rFonts w:hint="default"/>
          <w:color w:val="auto"/>
          <w:lang w:val="en-US" w:bidi="ar"/>
        </w:rPr>
      </w:pPr>
      <w:r>
        <w:rPr>
          <w:rStyle w:val="302"/>
          <w:rFonts w:hint="default"/>
          <w:color w:val="auto"/>
          <w:lang w:val="en-US" w:bidi="ar"/>
        </w:rPr>
        <w:t>设计方案，以及其他构成合同组成部分的文件。</w:t>
      </w:r>
    </w:p>
    <w:p>
      <w:pPr>
        <w:widowControl/>
        <w:spacing w:line="360" w:lineRule="auto"/>
        <w:ind w:left="240" w:leftChars="100" w:firstLine="240" w:firstLineChars="100"/>
        <w:rPr>
          <w:rStyle w:val="302"/>
          <w:rFonts w:hint="default"/>
          <w:color w:val="auto"/>
          <w:lang w:val="en-US" w:bidi="ar"/>
        </w:rPr>
      </w:pPr>
      <w:r>
        <w:rPr>
          <w:rStyle w:val="168"/>
          <w:rFonts w:hint="eastAsia" w:ascii="宋体" w:hAnsi="宋体" w:cs="宋体"/>
          <w:color w:val="auto"/>
          <w:lang w:val="en-US" w:bidi="ar"/>
        </w:rPr>
        <w:t xml:space="preserve">1.1.1.2 </w:t>
      </w:r>
      <w:r>
        <w:rPr>
          <w:rStyle w:val="302"/>
          <w:rFonts w:hint="default"/>
          <w:color w:val="auto"/>
          <w:lang w:val="en-US" w:bidi="ar"/>
        </w:rPr>
        <w:t>合同协议书：指发包人和设计人共同签署的合同协议书。</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1.1.1.3 </w:t>
      </w:r>
      <w:r>
        <w:rPr>
          <w:rStyle w:val="302"/>
          <w:rFonts w:hint="default"/>
          <w:color w:val="auto"/>
          <w:lang w:val="en-US" w:bidi="ar"/>
        </w:rPr>
        <w:t>中标通知书：指发包人通知设计人中标的函件。</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1.1.1.4 </w:t>
      </w:r>
      <w:r>
        <w:rPr>
          <w:rStyle w:val="302"/>
          <w:rFonts w:hint="default"/>
          <w:color w:val="auto"/>
          <w:lang w:val="en-US" w:bidi="ar"/>
        </w:rPr>
        <w:t>投标函：指由设计人填写并签署的，名为</w:t>
      </w:r>
      <w:r>
        <w:rPr>
          <w:rStyle w:val="168"/>
          <w:rFonts w:hint="eastAsia" w:ascii="宋体" w:hAnsi="宋体" w:cs="宋体"/>
          <w:color w:val="auto"/>
          <w:lang w:val="en-US" w:bidi="ar"/>
        </w:rPr>
        <w:t>“</w:t>
      </w:r>
      <w:r>
        <w:rPr>
          <w:rStyle w:val="302"/>
          <w:rFonts w:hint="default"/>
          <w:color w:val="auto"/>
          <w:lang w:val="en-US" w:bidi="ar"/>
        </w:rPr>
        <w:t>投标函</w:t>
      </w:r>
      <w:r>
        <w:rPr>
          <w:rStyle w:val="168"/>
          <w:rFonts w:hint="eastAsia" w:ascii="宋体" w:hAnsi="宋体" w:cs="宋体"/>
          <w:color w:val="auto"/>
          <w:lang w:val="en-US" w:bidi="ar"/>
        </w:rPr>
        <w:t>”</w:t>
      </w:r>
      <w:r>
        <w:rPr>
          <w:rStyle w:val="302"/>
          <w:rFonts w:hint="default"/>
          <w:color w:val="auto"/>
          <w:lang w:val="en-US" w:bidi="ar"/>
        </w:rPr>
        <w:t>的函件。</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1.1.1.5 </w:t>
      </w:r>
      <w:r>
        <w:rPr>
          <w:rStyle w:val="302"/>
          <w:rFonts w:hint="default"/>
          <w:color w:val="auto"/>
          <w:lang w:val="en-US" w:bidi="ar"/>
        </w:rPr>
        <w:t>发包人要求：指合同文件中名为</w:t>
      </w:r>
      <w:r>
        <w:rPr>
          <w:rStyle w:val="168"/>
          <w:rFonts w:hint="eastAsia" w:ascii="宋体" w:hAnsi="宋体" w:cs="宋体"/>
          <w:color w:val="auto"/>
          <w:lang w:val="en-US" w:bidi="ar"/>
        </w:rPr>
        <w:t>“</w:t>
      </w:r>
      <w:r>
        <w:rPr>
          <w:rStyle w:val="302"/>
          <w:rFonts w:hint="default"/>
          <w:color w:val="auto"/>
          <w:lang w:val="en-US" w:bidi="ar"/>
        </w:rPr>
        <w:t>发包人要求</w:t>
      </w:r>
      <w:r>
        <w:rPr>
          <w:rStyle w:val="168"/>
          <w:rFonts w:hint="eastAsia" w:ascii="宋体" w:hAnsi="宋体" w:cs="宋体"/>
          <w:color w:val="auto"/>
          <w:lang w:val="en-US" w:bidi="ar"/>
        </w:rPr>
        <w:t>”</w:t>
      </w:r>
      <w:r>
        <w:rPr>
          <w:rStyle w:val="302"/>
          <w:rFonts w:hint="default"/>
          <w:color w:val="auto"/>
          <w:lang w:val="en-US" w:bidi="ar"/>
        </w:rPr>
        <w:t>的文件。</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1.1.1.6 </w:t>
      </w:r>
      <w:r>
        <w:rPr>
          <w:rStyle w:val="302"/>
          <w:rFonts w:hint="default"/>
          <w:color w:val="auto"/>
          <w:lang w:val="en-US" w:bidi="ar"/>
        </w:rPr>
        <w:t>技术建议书：指设计人投标文件中的技术建议书。</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1.1.1.7 </w:t>
      </w:r>
      <w:r>
        <w:rPr>
          <w:rStyle w:val="302"/>
          <w:rFonts w:hint="default"/>
          <w:color w:val="auto"/>
          <w:lang w:val="en-US" w:bidi="ar"/>
        </w:rPr>
        <w:t>勘察设计费用清单：指设计人投标文件中的勘察设计费用清。</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1.1.1.8 </w:t>
      </w:r>
      <w:r>
        <w:rPr>
          <w:rStyle w:val="302"/>
          <w:rFonts w:hint="default"/>
          <w:color w:val="auto"/>
          <w:lang w:val="en-US" w:bidi="ar"/>
        </w:rPr>
        <w:t>其他合同文件：指经合同双方当事人确认构成合同文件的其他文件。</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1.1.2 </w:t>
      </w:r>
      <w:r>
        <w:rPr>
          <w:rStyle w:val="302"/>
          <w:rFonts w:hint="default"/>
          <w:color w:val="auto"/>
          <w:lang w:val="en-US" w:bidi="ar"/>
        </w:rPr>
        <w:t>合同当事人和人员</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1.1.2.1 </w:t>
      </w:r>
      <w:r>
        <w:rPr>
          <w:rStyle w:val="302"/>
          <w:rFonts w:hint="default"/>
          <w:color w:val="auto"/>
          <w:lang w:val="en-US" w:bidi="ar"/>
        </w:rPr>
        <w:t>合同当事人：指发包人和（或）设计人。</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1.1.2.2 </w:t>
      </w:r>
      <w:r>
        <w:rPr>
          <w:rStyle w:val="302"/>
          <w:rFonts w:hint="default"/>
          <w:color w:val="auto"/>
          <w:lang w:val="en-US" w:bidi="ar"/>
        </w:rPr>
        <w:t>发包人：指与设计人签订合同协议书的当事人，以及取得该当事人资格的合法继承人。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1.1.2.3 设计人：指与发包人签订合同协议书的当事人，以及取得该当事人资格的合法继承人。若设计人为联合体，则设计人包括联合体所有成员单位。</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1.1.2.4 发包人代表：指由发包人任命，并在授权范围和期限内代表发包人行使权利和履行义务的全权负责人。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1.1.2.5 项目负责人：指由设计人任命，代表设计人行使权利和履行义务的全权负责人。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1.1.2.6 分项负责人：指由设计人任命，并经过发包人认可的各专业负责人。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1.1.2.7 分包人：指从设计人处分包合同中某一部分工作，并与其签订分包合同的单位。</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1.1.2.8 咨询单位：指受发包人委托对本工程勘察设计文件进行审查或提供咨询意见的咨询机构。</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1.1.3工程和勘察设计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1.1.3.1工程：指专用合同条款中指明进行勘察设计招标的工程。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1.1.3.2 勘察设计服务：指设计人按照合同约定履行的服务，包括制订勘察设计工作大纲，进行测绘、勘探、取样和试验等，查明、分析和评估地质特征和工程条件，编制勘察报告；编制设计文件和设计概算、预算，提供技术交底、招标与施工配合，参加交工验收、参加竣工验收或发包人委托的其他服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1.1.3.3 勘察设备：指为完成合同约定的各项工作所需的设备、器具和其他物品，不包括临时工程和材料。</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1.1.3.4 勘探场地：指用于工程勘探的场所，以及在合同中指定作为勘探场地组成的其他场所。</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1.1.3.5 勘察设计资料：指发包人按合同约定向设计人提供的、用于完成勘察设计服务范围与内容所需的资料。</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1.1.3.6 </w:t>
      </w:r>
      <w:r>
        <w:rPr>
          <w:rStyle w:val="302"/>
          <w:rFonts w:hint="default"/>
          <w:color w:val="auto"/>
          <w:lang w:val="en-US" w:bidi="ar"/>
        </w:rPr>
        <w:t>勘察设计文件：指设计人按合同约定向发包人提交的工程勘察报告、服务大纲、勘察方案、外业指导书、进度计划，设计说明、图纸、图板、模型、计算书、软件和其他文件等，包括阶段性文件和最终文件，且应采用合同中双方约定的格式和载体。</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 </w:t>
      </w:r>
      <w:r>
        <w:rPr>
          <w:rStyle w:val="302"/>
          <w:rFonts w:hint="default"/>
          <w:color w:val="auto"/>
          <w:lang w:val="en-US" w:bidi="ar"/>
        </w:rPr>
        <w:t>日期</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1.1.4.1 </w:t>
      </w:r>
      <w:r>
        <w:rPr>
          <w:rStyle w:val="302"/>
          <w:rFonts w:hint="default"/>
          <w:color w:val="auto"/>
          <w:lang w:val="en-US" w:bidi="ar"/>
        </w:rPr>
        <w:t>开始勘察设计通知：指发包人按第</w:t>
      </w:r>
      <w:r>
        <w:rPr>
          <w:rStyle w:val="168"/>
          <w:rFonts w:hint="eastAsia" w:ascii="宋体" w:hAnsi="宋体" w:cs="宋体"/>
          <w:color w:val="auto"/>
          <w:lang w:val="en-US" w:bidi="ar"/>
        </w:rPr>
        <w:t>6.1</w:t>
      </w:r>
      <w:r>
        <w:rPr>
          <w:rStyle w:val="302"/>
          <w:rFonts w:hint="default"/>
          <w:color w:val="auto"/>
          <w:lang w:val="en-US" w:bidi="ar"/>
        </w:rPr>
        <w:t>款通知设计人开始勘察设计的函件。</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1.1.4.2 </w:t>
      </w:r>
      <w:r>
        <w:rPr>
          <w:rStyle w:val="302"/>
          <w:rFonts w:hint="default"/>
          <w:color w:val="auto"/>
          <w:lang w:val="en-US" w:bidi="ar"/>
        </w:rPr>
        <w:t>开始勘察设计日期：指发包人按第</w:t>
      </w:r>
      <w:r>
        <w:rPr>
          <w:rStyle w:val="168"/>
          <w:rFonts w:hint="eastAsia" w:ascii="宋体" w:hAnsi="宋体" w:cs="宋体"/>
          <w:color w:val="auto"/>
          <w:lang w:val="en-US" w:bidi="ar"/>
        </w:rPr>
        <w:t>6.1</w:t>
      </w:r>
      <w:r>
        <w:rPr>
          <w:rStyle w:val="302"/>
          <w:rFonts w:hint="default"/>
          <w:color w:val="auto"/>
          <w:lang w:val="en-US" w:bidi="ar"/>
        </w:rPr>
        <w:t>款发出的开始勘察设计通知中写明的开始勘察设计日期。</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1.1.4.3 </w:t>
      </w:r>
      <w:r>
        <w:rPr>
          <w:rStyle w:val="302"/>
          <w:rFonts w:hint="default"/>
          <w:color w:val="auto"/>
          <w:lang w:val="en-US" w:bidi="ar"/>
        </w:rPr>
        <w:t>勘察设计服务期限：指设计人在投标函中承诺的完成合同勘察设计服务所需的期限，包括按第</w:t>
      </w:r>
      <w:r>
        <w:rPr>
          <w:rStyle w:val="168"/>
          <w:rFonts w:hint="eastAsia" w:ascii="宋体" w:hAnsi="宋体" w:cs="宋体"/>
          <w:color w:val="auto"/>
          <w:lang w:val="en-US" w:bidi="ar"/>
        </w:rPr>
        <w:t>6.2</w:t>
      </w:r>
      <w:r>
        <w:rPr>
          <w:rStyle w:val="302"/>
          <w:rFonts w:hint="default"/>
          <w:color w:val="auto"/>
          <w:lang w:val="en-US" w:bidi="ar"/>
        </w:rPr>
        <w:t>款、第</w:t>
      </w:r>
      <w:r>
        <w:rPr>
          <w:rStyle w:val="168"/>
          <w:rFonts w:hint="eastAsia" w:ascii="宋体" w:hAnsi="宋体" w:cs="宋体"/>
          <w:color w:val="auto"/>
          <w:lang w:val="en-US" w:bidi="ar"/>
        </w:rPr>
        <w:t>6.4</w:t>
      </w:r>
      <w:r>
        <w:rPr>
          <w:rStyle w:val="302"/>
          <w:rFonts w:hint="default"/>
          <w:color w:val="auto"/>
          <w:lang w:val="en-US" w:bidi="ar"/>
        </w:rPr>
        <w:t>款、第</w:t>
      </w:r>
      <w:r>
        <w:rPr>
          <w:rStyle w:val="168"/>
          <w:rFonts w:hint="eastAsia" w:ascii="宋体" w:hAnsi="宋体" w:cs="宋体"/>
          <w:color w:val="auto"/>
          <w:lang w:val="en-US" w:bidi="ar"/>
        </w:rPr>
        <w:t>6.5</w:t>
      </w:r>
      <w:r>
        <w:rPr>
          <w:rStyle w:val="302"/>
          <w:rFonts w:hint="default"/>
          <w:color w:val="auto"/>
          <w:lang w:val="en-US" w:bidi="ar"/>
        </w:rPr>
        <w:t>款和第</w:t>
      </w:r>
      <w:r>
        <w:rPr>
          <w:rStyle w:val="168"/>
          <w:rFonts w:hint="eastAsia" w:ascii="宋体" w:hAnsi="宋体" w:cs="宋体"/>
          <w:color w:val="auto"/>
          <w:lang w:val="en-US" w:bidi="ar"/>
        </w:rPr>
        <w:t>6.7</w:t>
      </w:r>
      <w:r>
        <w:rPr>
          <w:rStyle w:val="302"/>
          <w:rFonts w:hint="default"/>
          <w:color w:val="auto"/>
          <w:lang w:val="en-US" w:bidi="ar"/>
        </w:rPr>
        <w:t>款约定所作的调整。</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1.1.4.4 </w:t>
      </w:r>
      <w:r>
        <w:rPr>
          <w:rStyle w:val="302"/>
          <w:rFonts w:hint="default"/>
          <w:color w:val="auto"/>
          <w:lang w:val="en-US" w:bidi="ar"/>
        </w:rPr>
        <w:t>完成勘察设计日期：指第</w:t>
      </w:r>
      <w:r>
        <w:rPr>
          <w:rStyle w:val="168"/>
          <w:rFonts w:hint="eastAsia" w:ascii="宋体" w:hAnsi="宋体" w:cs="宋体"/>
          <w:color w:val="auto"/>
          <w:lang w:val="en-US" w:bidi="ar"/>
        </w:rPr>
        <w:t>1.1.4.3</w:t>
      </w:r>
      <w:r>
        <w:rPr>
          <w:rStyle w:val="302"/>
          <w:rFonts w:hint="default"/>
          <w:color w:val="auto"/>
          <w:lang w:val="en-US" w:bidi="ar"/>
        </w:rPr>
        <w:t>目约定勘察设计服务期限届满时的日期。</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1.1.4.5 </w:t>
      </w:r>
      <w:r>
        <w:rPr>
          <w:rStyle w:val="302"/>
          <w:rFonts w:hint="default"/>
          <w:color w:val="auto"/>
          <w:lang w:val="en-US" w:bidi="ar"/>
        </w:rPr>
        <w:t>基准日：指投标截止时间前</w:t>
      </w:r>
      <w:r>
        <w:rPr>
          <w:rStyle w:val="168"/>
          <w:rFonts w:hint="eastAsia" w:ascii="宋体" w:hAnsi="宋体" w:cs="宋体"/>
          <w:color w:val="auto"/>
          <w:lang w:val="en-US" w:bidi="ar"/>
        </w:rPr>
        <w:t>28</w:t>
      </w:r>
      <w:r>
        <w:rPr>
          <w:rStyle w:val="302"/>
          <w:rFonts w:hint="default"/>
          <w:color w:val="auto"/>
          <w:lang w:val="en-US" w:bidi="ar"/>
        </w:rPr>
        <w:t>天的日期。</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1.1.4.6 </w:t>
      </w:r>
      <w:r>
        <w:rPr>
          <w:rStyle w:val="302"/>
          <w:rFonts w:hint="default"/>
          <w:color w:val="auto"/>
          <w:lang w:val="en-US" w:bidi="ar"/>
        </w:rPr>
        <w:t>天：除特别指明外，指日历天。合同中按天计算时间的，开始当天不计入，从次日开始计算。期限最后一天的截止时间为当天</w:t>
      </w:r>
      <w:r>
        <w:rPr>
          <w:rStyle w:val="168"/>
          <w:rFonts w:hint="eastAsia" w:ascii="宋体" w:hAnsi="宋体" w:cs="宋体"/>
          <w:color w:val="auto"/>
          <w:lang w:val="en-US" w:bidi="ar"/>
        </w:rPr>
        <w:t>24:00</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1.1.5 </w:t>
      </w:r>
      <w:r>
        <w:rPr>
          <w:rStyle w:val="302"/>
          <w:rFonts w:hint="default"/>
          <w:color w:val="auto"/>
          <w:lang w:val="en-US" w:bidi="ar"/>
        </w:rPr>
        <w:t>合同价格和费用</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1.1.5.1 </w:t>
      </w:r>
      <w:r>
        <w:rPr>
          <w:rStyle w:val="302"/>
          <w:rFonts w:hint="default"/>
          <w:color w:val="auto"/>
          <w:lang w:val="en-US" w:bidi="ar"/>
        </w:rPr>
        <w:t>签约合同价：指签订合同时合同协议书中写明的、包括暂列金额在内的勘察设计费用总金额。</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1.1.5.2 </w:t>
      </w:r>
      <w:r>
        <w:rPr>
          <w:rStyle w:val="302"/>
          <w:rFonts w:hint="default"/>
          <w:color w:val="auto"/>
          <w:lang w:val="en-US" w:bidi="ar"/>
        </w:rPr>
        <w:t>合同价格：指设计人按合同约定完成了全部勘察设计工作后，发包人应付给设计人的金额，包括在履行合同过程中按合同约定进行的变更和调整。</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1.1.5.3 </w:t>
      </w:r>
      <w:r>
        <w:rPr>
          <w:rStyle w:val="302"/>
          <w:rFonts w:hint="default"/>
          <w:color w:val="auto"/>
          <w:lang w:val="en-US" w:bidi="ar"/>
        </w:rPr>
        <w:t>费用：指为履行合同所发生的或将要发生的所有合理开支，包括管理费和应分摊的其他费用，但不包括利润。</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1.1.5.4 </w:t>
      </w:r>
      <w:r>
        <w:rPr>
          <w:rStyle w:val="302"/>
          <w:rFonts w:hint="default"/>
          <w:color w:val="auto"/>
          <w:lang w:val="en-US" w:bidi="ar"/>
        </w:rPr>
        <w:t>暂列金额：指暂时未定的，包括在合同中，并在报价清单汇总表中以此名称标明的金额，用于进行本工程可能发生的额外勘察设计工作或作为不可预见费用，按照合同条款第12.5款的规定使用。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1.1.6 其他</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1.1.6.1 书面形式：指合同文件、信件和数据电文（包括电报、电传、传真、电子数据交换和电子邮件）等可以有形地表现所载内容的形式。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1.1.6.2 勘察设计质量事故：指在缺陷责任期结束前，由于勘察设计原因使工程不满足技术标准及设计要求，并造成结构损毁或一定直接经济损失的事故。</w:t>
      </w:r>
      <w:r>
        <w:rPr>
          <w:rStyle w:val="302"/>
          <w:rFonts w:hint="default"/>
          <w:color w:val="auto"/>
          <w:lang w:val="en-US" w:bidi="ar"/>
        </w:rPr>
        <w:br w:type="textWrapping"/>
      </w:r>
      <w:r>
        <w:rPr>
          <w:rStyle w:val="302"/>
          <w:rFonts w:hint="default"/>
          <w:color w:val="auto"/>
          <w:lang w:val="en-US" w:bidi="ar"/>
        </w:rPr>
        <w:t xml:space="preserve">    根据直接经济损失或工程结构损毁情况（自然灾害所致除外），勘察设计质量事故分为特别重大质量事故、重大质量事故、较大质量事故和一般质量事故四个等级，上述质量事故的界定按交通运输部《公路水运建设工程质量事故等级划分和报告制度》规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 语言文字</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合同使用的语言文字为中文。专用术语使用外文的，应附有中文注释。</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 适用法律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适用于合同的法律包括中华人民共和国法律、行政法规、部门规章，以及工程所在地的地方法规、自治条例、单行条例和地方政府规章。</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本合同适用的其他规范性文件，可在专用合同条款中约定。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 合同文件的优先顺序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组成合同的各项文件应互相解释，互为说明。除专用合同条款另有约定外，解释合同文件的优先顺序如下：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（1）合同协议书及各种合同附件（含评标期间和合同谈判过程中的澄清文件和补充资料；设计人提交的经发包人审核通过的勘察设计详细工作大纲及进度计划、专题研究详细工作大纲等）；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（2）中标通知书；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（3）投标函；</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（4）专用合同条款；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（5）通用合同条款；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（6）发包人要求；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（7）勘察设计费用清单；</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（8）设计人有关人员投入的承诺；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（9）其他合同文件。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合同当事人针对各类合同文件所作出的补充和修改亦属于合同文件的组成部分，属于同一类内容的文件，应以最新签署的为准。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1.5 合同协议书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设计人按中标通知书规定的时间与发包人签订合同协议书。除法律另有规定或合同另有约定外，发包人和设计人的法定代表人或其委托代理人在合同协议书上签字并盖单位章后，合同生效。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1.6 文件的提供和照管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1.6.1 勘察设计文件的提供</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除专用合同条款另有约定外，设计人应在合理的期限内按照合同约定的数量向发包人提供勘察设计文件。合同约定勘察设计文件应经发包人批复的，发包人应在合同约定的期限内批复或提出修改意见。</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1.6.2 发包人提供的文件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按专用合同条款约定由发包人提供的文件，包括基础资料、勘察设计任务书等，发包人应按约定的数量和期限交给设计人。由于发包人未按时提供文件造成勘察设计服务期限延误的，按第6.2款约定执行。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1.6.3 文件错误的通知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任何一方当事人发现文件中存在的明显错误或疏忽，均应及时通知对方当事人，并应立即采取适当的措施防止损失扩大。</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1.7 联络</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1.7.1 与合同有关的通知、批准、证明、证书、指示、要求、请求、同意、意见、确定和决定等，均应采用书面形式。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1.7.2 上述通知、批准、证明、证书、指示、要求、请求、同意、意见、确定和决定等来往函件，均应在合同约定的期限内送达指定的地点和指定的接收人，并办理签收手续。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1.8 转让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除专用合同条款另有约定外，未经对方当事人同意，一方当事人不得将合同权利全部或部分转让给第三人，也不得全部或部分转移合同义务。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1.9 严禁贿赂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合同双方当事人不得以贿赂或变相贿赂的方式，谋取不当利益或损害对方权益。因贿赂造成对方当事人损失的，行为人应赔偿损失，并承担相应的法律责任。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1.10 知识产权</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1.10.1 除专用合同条款另有约定外，设计人因受发包人委托进行的本项目勘察设计及专题研究而产生的成果均为双方所共同享有，其中任何一方向第三方转让时须经另一方同意，但若发包人因推进本项目的需要向第三者透露研究成果，则无须经过设计人的同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1.10.2 设计人在从事勘察设计活动时，不得侵犯他人的知识产权。因侵犯专利权或其他知识产权所引起的责任，由设计人自行承担。因发包人提供的勘察设计资料导致侵权的，由发包人承担责任。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1.10.3 设计人在投标文件中采用专利技术、专有技术的，相应的使用费视为已包含在投标报价之中。</w:t>
      </w:r>
    </w:p>
    <w:p>
      <w:pPr>
        <w:widowControl/>
        <w:spacing w:line="360" w:lineRule="auto"/>
        <w:ind w:left="240" w:leftChars="100" w:firstLine="240" w:firstLineChars="100"/>
        <w:rPr>
          <w:rStyle w:val="302"/>
          <w:rFonts w:hint="default"/>
          <w:color w:val="auto"/>
          <w:lang w:val="en-US" w:bidi="ar"/>
        </w:rPr>
      </w:pPr>
      <w:r>
        <w:rPr>
          <w:rStyle w:val="302"/>
          <w:rFonts w:hint="default"/>
          <w:color w:val="auto"/>
          <w:lang w:val="en-US" w:bidi="ar"/>
        </w:rPr>
        <w:t>1.11 文件及信息的保密</w:t>
      </w:r>
    </w:p>
    <w:p>
      <w:pPr>
        <w:widowControl/>
        <w:spacing w:line="360" w:lineRule="auto"/>
        <w:ind w:left="240" w:leftChars="100" w:firstLine="240" w:firstLineChars="100"/>
        <w:rPr>
          <w:rStyle w:val="302"/>
          <w:rFonts w:hint="default"/>
          <w:color w:val="auto"/>
          <w:lang w:val="en-US" w:bidi="ar"/>
        </w:rPr>
      </w:pPr>
      <w:r>
        <w:rPr>
          <w:rStyle w:val="302"/>
          <w:rFonts w:hint="default"/>
          <w:color w:val="auto"/>
          <w:lang w:val="en-US" w:bidi="ar"/>
        </w:rPr>
        <w:t>未经对方同意，任何一方当事人不得将有关文件、技术秘密、需要保密的资</w:t>
      </w:r>
    </w:p>
    <w:p>
      <w:pPr>
        <w:widowControl/>
        <w:spacing w:line="360" w:lineRule="auto"/>
        <w:rPr>
          <w:rStyle w:val="302"/>
          <w:rFonts w:hint="default"/>
          <w:color w:val="auto"/>
          <w:lang w:val="en-US" w:bidi="ar"/>
        </w:rPr>
      </w:pPr>
      <w:r>
        <w:rPr>
          <w:rStyle w:val="302"/>
          <w:rFonts w:hint="default"/>
          <w:color w:val="auto"/>
          <w:lang w:val="en-US" w:bidi="ar"/>
        </w:rPr>
        <w:t>料和信息泄露给他人或公开发表与引用。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 发包人要求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1.12.1 设计人应认真阅读、复核发包人要求，发现错误的，应及时书面通知发包人。无论是否存在错误，发包人均有权修改发包人要求，并在修改后3天内通知设计人。除专用合同条款另有约定外，由此导致设计人费用增加和（或）周期延误的，发包人应当相应地增加费用和（或）延长周期。</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1.12.3 发包人要求采用国外规范和标准进行勘察设计时，应由发包人负责提供该规范和标准的外国文本和中文译本，提供的时间、份数和其他要求在专用合同条款中约定。</w:t>
      </w:r>
      <w:r>
        <w:rPr>
          <w:rStyle w:val="302"/>
          <w:rFonts w:hint="default"/>
          <w:color w:val="auto"/>
          <w:lang w:val="en-US" w:bidi="ar"/>
        </w:rPr>
        <w:br w:type="textWrapping"/>
      </w:r>
      <w:r>
        <w:rPr>
          <w:rStyle w:val="302"/>
          <w:rFonts w:hint="default"/>
          <w:b/>
          <w:bCs/>
          <w:color w:val="auto"/>
          <w:sz w:val="28"/>
          <w:szCs w:val="28"/>
          <w:lang w:val="en-US" w:bidi="ar"/>
        </w:rPr>
        <w:t>2.发包人义务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2.1 遵守法律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发包人在履行合同过程中应遵守法律，并保证设计人免于承担因发包人违反法律而引起的任何责任。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2.2 发出开始勘察设计通知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发包人应按第6.1款的约定向设计人发出开始勘察设计通知。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2.3 办理证件和批件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法律规定和（或）合同约定由发包人负责办理的工程建设项目必须履行的各类审批、核准或备案手续，发包人应按时办理，设计人应给予必要的协助。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法律规定和（或）合同约定由设计人负责办理的勘察设计所需的证件和批件，</w:t>
      </w:r>
      <w:r>
        <w:rPr>
          <w:rStyle w:val="302"/>
          <w:rFonts w:hint="default"/>
          <w:color w:val="auto"/>
          <w:lang w:val="en-US" w:bidi="ar"/>
        </w:rPr>
        <w:br w:type="textWrapping"/>
      </w:r>
      <w:r>
        <w:rPr>
          <w:rStyle w:val="302"/>
          <w:rFonts w:hint="default"/>
          <w:color w:val="auto"/>
          <w:lang w:val="en-US" w:bidi="ar"/>
        </w:rPr>
        <w:t>发包人应给予必要的协助。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2.4 支付合同价款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发包人应按合同约定向设计人及时支付合同价款。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2.5 提供勘察设计资料</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发包人应按第1.6.2项的约定向设计人提供勘察设计资料。</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2.6 其他义务</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发包人应履行专用合同条款约定的其他义务。</w:t>
      </w:r>
      <w:r>
        <w:rPr>
          <w:rStyle w:val="302"/>
          <w:rFonts w:hint="default"/>
          <w:color w:val="auto"/>
          <w:lang w:val="en-US" w:bidi="ar"/>
        </w:rPr>
        <w:br w:type="textWrapping"/>
      </w:r>
      <w:r>
        <w:rPr>
          <w:rStyle w:val="302"/>
          <w:rFonts w:hint="default"/>
          <w:b/>
          <w:bCs/>
          <w:color w:val="auto"/>
          <w:sz w:val="28"/>
          <w:szCs w:val="28"/>
          <w:lang w:val="en-US" w:bidi="ar"/>
        </w:rPr>
        <w:t>3. 发包人管理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3.1 发包人代表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3.1.2 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3.1.3 发包人更换发包人代表的，应提前14天将更换人员的姓名、职务、联系方式、授权范围和授权期限书面通知设计人。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3.2 监理人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3.2.2 合同约定应由设计人承担的义务和责任，不因监理人对设计文件的审查或批准，以及为实施监理作出的指示等职务行为而减轻或解除。</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3.3 发包人的指示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3.3.1 发包人应按合同约定向设计人发出指示，发包人的指示应盖有发包人单位章，并由发包人代表签字确认。</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3.3.2 设计人收到发包人作出的指示后应遵照执行。指示构成变更的，应按第11条执行。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3.3.4 除专用合同条款另有约定外，设计人只从发包人代表或按第3.1.4项约定的被授权人员处取得指示。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3.3.5 由于发包人未能按合同约定发出指示、指示延误或指示错误而导致设计人费用增加和（或）周期延误的，发包人应承担由此增加的费用和（或）周期延误。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3.4 决定或答复</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3.4.1 发包人在法律允许的范围内有权对设计人的勘察设计工作和（或）勘察设计文件作出处理决定，设计人应按照发包人的决定执行，涉及勘察设计服务期限或勘察设计费用等问题按第11条的约定处理。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3.4.2 发包人应在专用合同条款约定的时间之内，对设计人书面提出的事项作出书面答复；逾期没有作出答复的，视为已获得发包人的批准。</w:t>
      </w:r>
    </w:p>
    <w:p>
      <w:pPr>
        <w:widowControl/>
        <w:spacing w:line="360" w:lineRule="auto"/>
        <w:rPr>
          <w:rStyle w:val="302"/>
          <w:rFonts w:hint="default"/>
          <w:b/>
          <w:bCs/>
          <w:color w:val="auto"/>
          <w:sz w:val="28"/>
          <w:szCs w:val="28"/>
          <w:lang w:val="en-US" w:bidi="ar"/>
        </w:rPr>
      </w:pPr>
      <w:r>
        <w:rPr>
          <w:rStyle w:val="302"/>
          <w:rFonts w:hint="default"/>
          <w:b/>
          <w:bCs/>
          <w:color w:val="auto"/>
          <w:sz w:val="28"/>
          <w:szCs w:val="28"/>
          <w:lang w:val="en-US" w:bidi="ar"/>
        </w:rPr>
        <w:t>4. 设计人义务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 设计人的一般义务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4.1.1 遵守法律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计人在履行合同过程中应遵守法律，并保证发包人免于承担因设计人违反法</w:t>
      </w:r>
      <w:r>
        <w:rPr>
          <w:rStyle w:val="302"/>
          <w:rFonts w:hint="default"/>
          <w:color w:val="auto"/>
          <w:lang w:val="en-US" w:bidi="ar"/>
        </w:rPr>
        <w:br w:type="textWrapping"/>
      </w:r>
      <w:r>
        <w:rPr>
          <w:rStyle w:val="302"/>
          <w:rFonts w:hint="default"/>
          <w:color w:val="auto"/>
          <w:lang w:val="en-US" w:bidi="ar"/>
        </w:rPr>
        <w:t>律而引起的任何责任。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4.1.2 依法纳税</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设计人应按有关法律规定纳税，应缴纳的税金（含增值税）包括在合同价格之中。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4.1.3 完成全部勘察设计工作</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试验设施等，并应自行承担勘探场地临时设施的搭设、维护、管理和拆除。</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4.1.4 保证勘察作业规范、安全和环保</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对于设计人在勘察设计过程中发生的人员伤亡或财产损失，或造成第三方的人员伤亡、财产损失，或由此而引起的其他一切损害和损失，发包人均不承担责任。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4.1.5 避免勘探对公众与他人的利益造成损害</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 其他义务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设计人应履行专用合同约定的其他义务。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4.2 履约保证金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 分包和不得转包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4.3.1 设计人不得将其勘察设计的全部工作转包给第三人。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4.3.3 发包人同意设计人分包工作的，设计人应在分包合同签订之日起7天内向发包人提交1份分包合同副本，并对分包工作质量承担连带责任。除专用合同条款另有约定外，分包人的勘察设计费用由设计人向分包人自行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4.3.4 分包人的资格能力应与其分包工作的标准和规模相适应，包括必要的企业资质、人员、设备和类似业绩等。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 联合体</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4.4.1联合体各方应共同与发包人签订合同。联合体各方应为履行合同承担连带责任。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4.4.2 联合体协议经发包人确认后作为合同附件。在履行合同过程中，未经发包人同意，不得修改联合体协议。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4.4.3 联合体牵头人负责与发包人联系并接受指示，负责组织联合体各成员全面履行合同。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4.5 项目负责人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4.5.1 设计人应按合同协议书的约定指派项目负责人，并在约定的期限内到职。设计人更换项目负责人应事先征得发包人同意，并应在更换14天前将拟更换的项目负责人姓名和详细资料提交发包人，拟更换的项目负责人资历应不低于原项目负责人。项目负责人2天内不能履行职责的，应事先征得发包人同意，并委派代表代行其职责。</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4.5.3 设计人为履行合同发出的一切函件均应盖有设计人单位章，并由设计人的项目负责人签字确认。</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4.5.4 按照专用合同条款约定，项目负责人可以授权其下属人员履行其某项职责，但事先应将这些人员的姓名和授权范围书面通知发包人。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4.6 勘察设计人员的管理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4.6.1 设计人应在接到开始勘察设计通知之日起7天内，向发包人提交勘察设计项目机构以及人员安排的报告，其内容应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4.6.2 除专用合同条款另有约定外，主要勘察设计人员包括项目负责人、专业负责人、审核人、审定人等；其他人员包括勘察作业人员、各专业的设计人员、管理人员等。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4.6.3设计人应保证其主要勘察设计人员（含分包人）在合同期限内的任何时候，都能按时参加发包人组织的工作会议。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4.6.4 国家规定应当持证上岗的工作人员均应持有相应的资格证明，发包人有权随时检查。发包人认为有必要时，可以进行现场考核。</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4.7 撤换项目负责人和其他人员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设计人应对其项目负责人和其他人员进行有效管理。发包人要求撤换不能胜任本职工作、行为不端或玩忽职守的项目负责人和其他人员的，设计人应予以撤换。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4.8 保障人员的合法权益</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4.8.1 设计人应与其雇用的人员签订劳动合同，并按时发放工资。</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4.8.2 设计人应按劳动法的规定安排工作时间，保证其雇用人员享有休息和休假的权利。因勘察设计需要占用休假日或延长工作时间的，应不超过法律规定的限度，并按法律规定给予补休或付酬。</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4.8.3 设计人应为其现场人员提供必要的食宿条件，以及符合环境保护和卫生要求的生活环境，在远离城镇的勘探场地，还应配备必要的伤病防治和急救设施。</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4.8.4 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4.8.5 设计人应按有关法律规定和合同约定，为其雇用人员办理保险。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4.9 合同价款应专款专用</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发包人按合同约定支付给设计人的各项价款，应专用于合同勘察设计工作。</w:t>
      </w:r>
      <w:r>
        <w:rPr>
          <w:rStyle w:val="302"/>
          <w:rFonts w:hint="default"/>
          <w:color w:val="auto"/>
          <w:lang w:val="en-US" w:bidi="ar"/>
        </w:rPr>
        <w:br w:type="textWrapping"/>
      </w:r>
      <w:r>
        <w:rPr>
          <w:rStyle w:val="302"/>
          <w:rFonts w:hint="default"/>
          <w:b/>
          <w:bCs/>
          <w:color w:val="auto"/>
          <w:sz w:val="28"/>
          <w:szCs w:val="28"/>
          <w:lang w:val="en-US" w:bidi="ar"/>
        </w:rPr>
        <w:t>5. 勘察设计要求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 一般要求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5.1.1 发包人应遵守法律和规范标准，不得以任何理由要求设计人违反法律和工程质量、安全标准进行勘察设计服务，降低工程质量。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5.1.2 设计人应按照法律规定，以及国家、行业和地方的规范和标准完成勘察设计工作，并应符合发包人要求。各项规范、标准和发包人要求之间如对同一内容的描述不一致时，应以描述更为严格的内容为准。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5.1.3 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5.1.4 设计人在勘察设计服务中选用的材料、设备，应注明其规格、型号、性能等技术指标及适应性，满足质量、安全、节能、环保等要求，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5.2 勘察设计依据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除专用合同条款另有约定外，本工程的勘察设计依据如下：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（1）适用的法律、行政法规及部门规章；</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（2）与工程有关的规范、标准、规程；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（3）工程基础资料及其他文件；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（4）本勘察设计服务合同及补充合同；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（5）本工程施工需求；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（6）合同履行中与勘察设计服务有关的来往函件；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（7）其他勘察设计依据。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5.3 勘察设计范围</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5.3.1 本合同的勘察设计范围包括工程范围、阶段范围和工作范围，具体勘察设计范围应根据三者之间的关联内容进行确定。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5.3.2 工程范围指勘察设计工程的建设内容，具体范围在专用合同条款中约定。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5.3.3 阶段范围指工程建设程序中的可行性研究勘察、初步勘察、详细勘察、施工勘察、方案设计、初步设计、技术设计（如有）、施工图设计等阶段中的一个或多个阶段，具体范围在专用合同条款中约定。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5.3.4 工作范围指工程测量、岩土工程勘察、岩土工程设计（如有），编制设计文件，编制设计概算、预算，提供技术交底、招标与施工配合，编制竣工图，参加交工验收参加竣工验收和发包人委托的其他服务中的一项或多项工作，具体范围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 勘察作业要求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5.4.1 测绘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除专用合同条款另有约定外，发包人应在开始勘察前7天内，向设计人提供测量基准点、水准点和书面资料等；设计人应根据国家测绘基准、测绘系统和工程测量技术规范，按发包人要求的基准点以及合同工程精度要求，进行测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（2）设计人测绘之前，应认真核对测绘数据，保证引用数据和原始数据准确无误。测绘工作应由测量人员如实记录，不得补记、涂改或损坏。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（3）工程勘探之前，设计人应严格按照勘察方案的孔位坐标，进行测量放线并在实地位置定位，埋设带有编号且不易移动的标志桩进行定位控制。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5.4.2 勘探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设计人应根据水运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（3）设计人应在标定的孔位处进行勘探，不得随意改动位置。勘探方法、勘探机具、勘探记录、取样编录与描述，孔位标记、孔位封闭等事项，应严格执行规范标准，按实填写勘探报表和勘探日志。</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5.4.3 取样</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（1）设计人应针对不同的岩土地质，按照勘探取样规范规程中的相关规定，根据地层特征、取样深度、设备条件和试验项目的不同，合理选用取样方法和取样工具进行取样，包括并不限于土样、水样、岩芯等。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取样后的样品应根据其类别、性质和特点等进行封装、贮存和运输。样品搬运之前，宜用数码相机进行现场拍照；运输途中应采用柔软材料充填、尽量避免震动和阳光曝晒；装卸之时尽量轻拿轻放，以免样品损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（3）取样后的样品应填写和粘贴标签，标签内容包括并不限于工程名称、孔号、样品编号、取样深度、样品名称、取样日期、取样人姓名、施工机组等。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5.4.4 试验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（1）设计人应根据岩土条件、设计要求、勘察经验和测试方法特点，选用合适的原位测试方法和勘察设备进行原位测试。原位测试成果应与室内试验数据进行对比分析，检验其可靠性。</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（2）设计人的试验室应通过行业管理部门认可的CMA计量认证，具有相应的资格证书、试验人员和试验条件，否则应委托第三方试验室进行室内试验。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（4）试验报告的格式应符合CMA计量认证体系要求，加盖CMA章并由试验负责人签字确认；试验负责人应通过计量认证考核，并由项目负责人授权许可。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5.5 勘察设备要求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5.5.1 设计人应按合同进度计划的要求，及时配置勘察设备进行作业。设计人更换合同约定的勘察设备的，应报发包人批准。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5.5.2 设计人应按照规范要求，及时维修、保养或更换勘察设备，包括并不限于钻机、触探仪、全站仪、水准仪、探测仪、测井平台、天平、固结仪、振筛机、干燥箱、直剪仪、收缩仪、膨胀仪、渗透仪等，保证勘察设备能够随时进场使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5.5.3 设计人使用的勘察设备不能满足合同进度计划和（或）质量要求时，发包人有权要求设计人增加或更换勘察设备，设计人应及时增加或更换，由此增加的费用和（或）周期延误由设计人自行承担。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5.6 临时占地和设施要求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5.6.1 设计人应根据勘察设计服务方案制订临时占地计划，报请发包人批准。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5.6.2 位于本工程区域内的临时占地，由发包人协调提供。位于道路、绿化或者其他市政设施内的临时占地，由设计人向行政管理部门报建申请，按照要求制订占地施工方案，并据此实施。</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5.6.3 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5.6.4 设计人应配备或搭设足够的临时设施，保证勘探工作能够正常开展。临时设施包括并不限于施工围挡、交通疏导设施、安全防范设施、钻机防护设施、安全文明施工设施、办公生活用房、取样存放场所等。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5.6.5 临时设施应满足规范标准、发包人要求和行政管理部门的规定等。除专用合同条款另有约定外，临时设施的修建、拆除和恢复费用由设计人自行承担。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 安全作业要求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5.7.1 设计人应按合同约定履行安全职责，执行发包人有关安全工作的指示，并在专用合同条款约定的期限内，按合同约定的安全工作内容，编制安全措施计划报送发包人批准。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5.7.2 设计人应严格执行操作规程，采取有效措施保证道路、桥梁、交通安全设施、建构筑物、地下管线、架空线和其他周边设施等安全正常地运行。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5.7.3 设计人应按照法律、法规和工程建设强制性标准进行勘察，加强勘察作业安全管理，特别加强易燃、易爆材料、火工器材、有毒与腐蚀性材料和其他危险品的管理。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5.7.4 设计人应严格按照国家安全标准制定施工安全操作规程，配备必要的安全生产和劳动保护设施，加强对设计人人员的安全教育，并且发放安全工作手册和劳动保护用具。</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5.7.5 设计人应按发包人的指示制订应对灾害的紧急预案，报送发包人批准。设计人还应按预案做好安全检查，配置必要的救助物资和器材，切实保护好有关人员的人身和财产安全。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5.7.6 设计人应对其履行合同所雇用的全部人员，包括分包人人员的工伤事故承担责任，但由于发包人原因造成设计人人员工伤事故的，应由发包人承担责任。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5.7.7 由于设计人原因在施工场地内及其毗邻地带造成的第三者人员伤亡和财产损失，由设计人负责赔偿。</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5.8 环境保护要求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5.8.1 设计人在履行合同过程中，应遵守有关环境保护的法律，履行合同约定的环境保护义务，并对违反法律和合同约定义务所造成的环境破坏、人身伤害和财产损失负责。</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5.8.2 设计人应按合同约定的环保工作内容，编制环保措施计划，报送发包人批准。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5.8.3 设计人应确保勘探过程中产生的气体排放物、粉尘、噪声、地面排水及排污等，符合法律规定和发包人要求。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5.9 事故处理要求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5.9.1 合同履行过程中发生事故的，设计人应立即通知发包人。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5.9.2 发包人和设计人应立即组织人员和设备进行紧急抢救和抢修，减少人员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 勘察设计文件要求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5.10.1 勘察设计文件的编制应符合法律法规、规范标准的强制性规定和发包人要求，相关勘察设计依据应完整、准确、可靠，勘察设计方案论证充分，计算成果规范可靠，并能够实施。</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5.10.2 勘察设计服务应根据法律、规范标准和发包人要求，保证工程的合理使用寿命年限，并在设计文件中予以注明。</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5.10.3 勘察设计文件的深度应满足本合同相应勘察设计阶段的规定要求，满足发包人的下步工作需要，并应符合国家和行业现行规定。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5.10.4 勘察设计文件必须保证工程质量和施工安全等方面的要求，按照有关法律法规规定在勘察设计文件中提出保障施工作业人员安全和预防生产安全事故的措施建议。</w:t>
      </w:r>
    </w:p>
    <w:p>
      <w:pPr>
        <w:widowControl/>
        <w:spacing w:line="360" w:lineRule="auto"/>
        <w:rPr>
          <w:rStyle w:val="302"/>
          <w:rFonts w:hint="default"/>
          <w:b/>
          <w:bCs/>
          <w:color w:val="auto"/>
          <w:sz w:val="28"/>
          <w:szCs w:val="28"/>
          <w:lang w:val="en-US" w:bidi="ar"/>
        </w:rPr>
      </w:pPr>
      <w:r>
        <w:rPr>
          <w:rStyle w:val="302"/>
          <w:rFonts w:hint="default"/>
          <w:b/>
          <w:bCs/>
          <w:color w:val="auto"/>
          <w:sz w:val="28"/>
          <w:szCs w:val="28"/>
          <w:lang w:val="en-US" w:bidi="ar"/>
        </w:rPr>
        <w:t>6.开始勘察设计和完成勘察设计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6.1 开始勘察设计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6.1.1 符合专用合同条款约定的开始勘察设计条件的，发包人应提前7天向设计人发出开始勘察设计通知。勘察设计服务期限自开始勘察设计通知中载明的开始勘察设计日期起计算。勘察设计服务周期安排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6.1.2 除专用合同条款另有约定外，因发包人原因造成合同签订之日起90天内未能发出开始勘察设计通知的，设计人有权提出价格调整要求，或者解除合同。发包人应承担由此增加的费用和（或）周期延误。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6.2 发包人引起的周期延误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在履行合同过程中，由于发包人的下列原因造成勘察设计服务期限延误的，发包人应延长勘察设计服务期限并增加勘察设计费用，具体方法在专用合同条款中约定。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（1）合同变更；</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（2）未按合同约定期限及时答复勘察设计事项；</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（3）因发包人原因导致的暂停勘察设计；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（4）未按合同约定及时支付勘察设计费用；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（5）发包人提供的基准资料错误；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（6）未及时履行合同约定的相关义务；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（7）未能按照合同约定期限对勘察设计文件进行审查；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（8）发包人造成周期延误的其他原因。</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6.3 设计人引起的周期延误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由于设计人原因造成周期延误，设计人应支付逾期违约金。逾期违约金的计算方法和最高限额在专用合同条款中约定。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6.4 第三人引起的周期延误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由于行政管理部门审查或其他第三人原因造成原因造成费用增加和（或）周期延误的，由发包人承担。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6.5 非人为因素引起的周期延误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6.5.1 由于出现专用合同条款规定的异常恶劣气候条件、不利物质条件等因素导致周期延误的，设计人有权要求发包人延长周期和（或）增加费用。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6.5.2 设计人发现地下文物或化石时，应按规定及时报告发包人和文物保护部门，并采取有效措施进行保护；设计人有权要求发包人延长周期和（或）增加费用。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6.6 完成勘察设计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6.6.1 设计人完成勘察设计服务之后，应根据法律、规范标准、合同约定和发包人要求编制勘察设计文件。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6.6.2 勘察设计文件是工程勘察设计的最终成果和施工的重要依据，应根据本工程的勘察设计内容和不同阶段的勘察设计任务、目的和要求等进行编制。勘察设计文件的内容和深度应满足对应阶段的规范要求。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6.6.3 除专用合同条款另有约定外，勘察设计文件包括纸质文件和电子文件两种形式，两者若有不一致时，应以纸质文件为准。纸质文件一式八份，应加盖单位章和项目负责人注册执业印章；电子文件中的文字为WORD格式、图形为CAD格式，并应使用光盘和U盘分别贮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6.7 提前完成勘察设计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6.7.1 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6.7.2 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6.7.3 由于设计人提前完成勘察设计而给发包人带来经济效益的，发包人可以在专用合同条款中约定设计人因此获得的奖励内容。</w:t>
      </w:r>
    </w:p>
    <w:p>
      <w:pPr>
        <w:widowControl/>
        <w:spacing w:line="360" w:lineRule="auto"/>
        <w:rPr>
          <w:rStyle w:val="302"/>
          <w:rFonts w:hint="default"/>
          <w:color w:val="auto"/>
          <w:lang w:val="en-US" w:bidi="ar"/>
        </w:rPr>
      </w:pPr>
      <w:r>
        <w:rPr>
          <w:rStyle w:val="302"/>
          <w:rFonts w:hint="default"/>
          <w:b/>
          <w:bCs/>
          <w:color w:val="auto"/>
          <w:sz w:val="28"/>
          <w:szCs w:val="28"/>
          <w:lang w:val="en-US" w:bidi="ar"/>
        </w:rPr>
        <w:t>7. 暂停勘察设计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7.1 发包人原因暂停勘察设计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合同履行中发生下列情形之一的，设计人可向发包人发出通知，要求发包人采取有效措施予以纠正。发包人收到设计人通知后的28天内仍不履行合同义务时，设计人有权暂停勘察设计并通知发包人；发包人应承担由此导致的费用增加和（或）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（1）发包人违约；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（2）发包人确定暂停勘察设计；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（3）合同约定由发包人承担责任的其他情形。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7.2 设计人原因暂停勘察设计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合同履行中发生下列情形之一的，发包人可向设计人发出通知暂停勘察设计，由此造成费用的增加和（或）周期延误由设计人承担：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（1）设计人违约；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（2）设计人擅自暂停勘察设计；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（3）合同约定由设计人承担责任的其他情形。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7.3 暂停期间的文件照管</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不论由于何种原因引起暂停勘察设计的，暂停期间设计人应负责妥善保护已完部分的勘察设计文件，由此增加的费用由责任方承担。</w:t>
      </w:r>
      <w:r>
        <w:rPr>
          <w:rStyle w:val="302"/>
          <w:rFonts w:hint="default"/>
          <w:color w:val="auto"/>
          <w:lang w:val="en-US" w:bidi="ar"/>
        </w:rPr>
        <w:br w:type="textWrapping"/>
      </w:r>
      <w:r>
        <w:rPr>
          <w:rStyle w:val="302"/>
          <w:rFonts w:hint="default"/>
          <w:b/>
          <w:bCs/>
          <w:color w:val="auto"/>
          <w:sz w:val="28"/>
          <w:szCs w:val="28"/>
          <w:lang w:val="en-US" w:bidi="ar"/>
        </w:rPr>
        <w:t>8. 勘察设计文件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8.1 勘察设计文件接收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8.1.1 发包人应及时接收设计人提交的勘察设计文件。如无正当理由拒收的，视为发包人已经接收勘察设计文件。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8.1.2 发包人接收勘察设计文件时，应向设计人出具文件签收凭证，凭证内容包括文件名称、文件内容、文件形式、份数、提交和接收日期、提交人与接收人的亲笔签名等。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8.1.3 勘察设计文件提交的份数、内容、纸幅、装订格式、电子文件、展板、模型、沙盘、动画等要求，在专用合同条款中约定。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8.2 发包人审查勘察设计文件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8.2.1 发包人接收勘察设计文件之后，可以自行或者组织专家会进行审查，设计人应给予配合。审查标准应符合法律、规范标准、合同约定和发包人要求等；审查的具体范围、明细内容和费用分担原则，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8.2.2 除专用合同条款另有约定外，发包人对于勘察设计文件的审查期限，自文件接收之日起不应超过14天。发包人逾期未作出审查结论且未提出异议的，视为设计人的勘察设计文件已经通过发包人审查。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8.2.3 发包人审查后不同意勘察设计文件的，应以书面形式通知设计人，说明审查不通过的理由及其具体内容。设计人应根据发包人的审查意见修改完善勘察设计文件，并重新报送发包人审查，审查期限重新起算。</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8.3 审查机构审查勘察设计文件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8.3.1 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8.3.2 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8.3.3 由于自身原因造成勘察设计文件未通过审查机构审查的，设计人应承担违约责任，采取补救措施直至达到合同约定的质量标准，并自行承担由此导致的费用增加和（或）周期延误。</w:t>
      </w:r>
      <w:r>
        <w:rPr>
          <w:rStyle w:val="302"/>
          <w:rFonts w:hint="default"/>
          <w:color w:val="auto"/>
          <w:lang w:val="en-US" w:bidi="ar"/>
        </w:rPr>
        <w:br w:type="textWrapping"/>
      </w:r>
      <w:r>
        <w:rPr>
          <w:rStyle w:val="302"/>
          <w:rFonts w:hint="default"/>
          <w:b/>
          <w:bCs/>
          <w:color w:val="auto"/>
          <w:sz w:val="28"/>
          <w:szCs w:val="28"/>
          <w:lang w:val="en-US" w:bidi="ar"/>
        </w:rPr>
        <w:t>9. 勘察设计责任与保险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9.1 工作质量责任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9.1.1 勘察设计工作质量应满足法律规定、规范标准、合同约定和发包人要求等。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9.1.2 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9.1.3 设计人应强化现场作业质量和试验工作管理，保证原始记录和试验数据的可靠性、真实性和完整性，严禁离开现场进行追记、补记和修改记录。</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9.1.4 设计人应按合同约定对勘察设计服务进行全过程的质量检查和检验，并作详细记录，编制勘察设计工作质量报表，报送发包人审查。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9.1.5 发包人有权对勘察设计工作质量进行检查和审核。设计人应为发包人的检查和检验提供方便，包括发包人到勘察设计场地、试验室或合同约定的其他地方进行察看，查阅、审核勘察设计的原始记录和其他文件。发包人的检查和审核，不免除设计人按合同约定应负的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9.2 勘察设计文件错误责任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9.2.1 勘察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9.2.2 因设计人原因造成勘察设计文件不合格的，发包人有权要求设计人采取补救措施，直至达到合同要求的质量标准，并按第14.1款的约定承担责任。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9.2.3 因发包人原因造成勘察设计文件不合格的，设计人应当采取补救措施，直至达到合同要求的质量标准，由此造成的勘察设计费用增加和（或）勘察设计服务期限延误由发包人承担。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9.3 勘察设计责任主体</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9.3.1 设计人应运用一切合理的专业技术、知识技能和项目经验，按照职业道德准则和行业公认标准尽其全部职责，勤勉、谨慎、公正地履行其在本合同项下的责任和义务。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9.3.2 本工程施行质量责任终身制。设计人应书面明确相应的项目负责人和质量负责人。设计人的相关人员按照国家法律法规和有关规定在工程合理使用年限内承担相应的质量责任。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9.4 勘察设计责任保险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9.4.1 除专用合同条款另有约定外，设计人应具有发包人认可的、履行本合同所需要的工程勘察设计责任险，于合同签订后28天内向发包人提交工程勘察设计责任险的保险单副本或者其他有效证明，并在合同履行期间保持足额、有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9.4.2 工程勘察设计责任险的保险范围，应当包括由于设计人的疏忽或过失而造成的工程质量事故损失，以及由于事故引发的第三者人身伤亡、财产损失或费用赔偿等。</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9.4.3 发生工程勘察设计保险事故后，设计人应按保险人要求进行报告，并负责办理保险理赔业务；保险金不足以补偿损失的，由设计人自行补偿。</w:t>
      </w:r>
      <w:r>
        <w:rPr>
          <w:rStyle w:val="302"/>
          <w:rFonts w:hint="default"/>
          <w:color w:val="auto"/>
          <w:lang w:val="en-US" w:bidi="ar"/>
        </w:rPr>
        <w:br w:type="textWrapping"/>
      </w:r>
      <w:r>
        <w:rPr>
          <w:rStyle w:val="302"/>
          <w:rFonts w:hint="default"/>
          <w:b/>
          <w:bCs/>
          <w:color w:val="auto"/>
          <w:sz w:val="28"/>
          <w:szCs w:val="28"/>
          <w:lang w:val="en-US" w:bidi="ar"/>
        </w:rPr>
        <w:t>10. 招标和施工期间配合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10.1 招标期间配合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10.1.1 招标配合指设计人配合发包人进行各项招标工作。</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10.1.2 招标人应按发包人规定的时间提供各标段施工招标资格预审所需的工程数量和工程说明；按发包人规定的时间提供各标段的施工招标图纸、工程量清单和参考资料；按发包人要求安排相关人员参加标前会，就有关设计问题进行答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 施工期间配合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10.2.1 施工配合指设计人配合施工承包人，在施工期间提供的补充勘察、设计服务或其他配合工作，直至工程通过竣工验收为止。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10.2.2 除专用合同条款另有约定外，发包人应为设计人派赴施工现场的工作人员，在施工期间提供办公房间、办公桌椅、互联网接口、冷暖设施、生活设施、进出现场交通服务和其他便利条件。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10.2.3 设计人应在本工程的施工期间，积极提供勘察设计配合服务，包括并不限于设计技术交底、施工现场服务、参与施工过程验收、参与工程交工验收、参与工程竣工验收等工作。</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10.2.4 发包人应当组织设计技术交底会，由设计人向发包人、监理人和施工承包人等进行设计交底，对本工程的设计意图、设计文件和施工要求等进行系统的说明和解释。</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10.2.5 工程施工完毕后，发包人应当按有关规定组织工程交工验收和工程竣工验收，设计人参加验收并出具本单位的验收结论。如因勘察设计原因致使工程不合格的，设计人应当承担违约责任，免费修改勘察设计文件和赔偿发包人由此产生的经济损失。</w:t>
      </w:r>
    </w:p>
    <w:p>
      <w:pPr>
        <w:widowControl/>
        <w:spacing w:line="360" w:lineRule="auto"/>
        <w:rPr>
          <w:rStyle w:val="302"/>
          <w:rFonts w:hint="default"/>
          <w:b/>
          <w:bCs/>
          <w:color w:val="auto"/>
          <w:sz w:val="28"/>
          <w:szCs w:val="28"/>
          <w:lang w:val="en-US" w:bidi="ar"/>
        </w:rPr>
      </w:pPr>
      <w:r>
        <w:rPr>
          <w:rStyle w:val="302"/>
          <w:rFonts w:hint="default"/>
          <w:b/>
          <w:bCs/>
          <w:color w:val="auto"/>
          <w:sz w:val="28"/>
          <w:szCs w:val="28"/>
          <w:lang w:val="en-US" w:bidi="ar"/>
        </w:rPr>
        <w:t>11. 合同变更</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11.1 变更情形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11.1.1 合同履行中发生下述情形时，合同一方均可向对方提出变更请求，经双方协商一致后进行变更，勘察设计服务期限和勘察设计费用的调整方法在专用合同条款中约定。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（1）勘察设计范围发生变化；</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（2）除不可抗力外，非设计人的原因引起的周期延误；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（3）非设计人的原因，对工程同一部分重复进行勘察设计；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（4）非设计人的原因，对工程暂停勘察设计及恢复勘察设计。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11.1.2 基准日后，因颁布新的或修订原有法律、法规、规范和标准等引发合同变更情形的，按照上述约定进行调整。</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 合理化建议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11.2.1 合同履行中，设计人可对发包人要求提出合理化建议。合理化建议应以书面形式提交发包人，被发包人采纳并构成变更的，执行第11.1款约定。</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11.2.2 设计人提出的合理化建议降低了工程投资、缩短了施工期限或者提高了工程经济效益的，发包人应按专用合同条款中的约定给予奖励。</w:t>
      </w:r>
      <w:r>
        <w:rPr>
          <w:rStyle w:val="302"/>
          <w:rFonts w:hint="default"/>
          <w:color w:val="auto"/>
          <w:lang w:val="en-US" w:bidi="ar"/>
        </w:rPr>
        <w:br w:type="textWrapping"/>
      </w:r>
      <w:r>
        <w:rPr>
          <w:rStyle w:val="302"/>
          <w:rFonts w:hint="default"/>
          <w:b/>
          <w:bCs/>
          <w:color w:val="auto"/>
          <w:sz w:val="28"/>
          <w:szCs w:val="28"/>
          <w:lang w:val="en-US" w:bidi="ar"/>
        </w:rPr>
        <w:t>12. 合同价格与支付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12.1 合同价格</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12.1.1 本合同的价款确定方式、调整方式和风险范围划分，在专用合同条款中约定。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12.1.2 勘察设计费用实行发包人签证制度，即设计人完成勘察设计项目后通知发包人进行验收，通过验收后由发包人代表对实施的勘察设计项目、数量、质量和实施时间签字确认，以此作为计算勘察设计费用的依据之一。</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12.1.3 除专用合同条款另有约定外，合同价格应当包括收集资料，踏勘现场，制订纲要，进行测绘、勘探、取样、试验、测试、分析、设计、评估、审查等，编制勘察设计文件，招标与施工配合等全部费用和国家规定的各项税费。</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12.1.4 发包人要求设计人进行外出考察、试验检测、专项咨询或专家评审时，相应费用不含在合同价格之中，由发包人另行支付。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12.2 预付款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12.2.1 预付款应专用于本工程的勘察设计。预付款的额度、支付方式在专用合同条款中约定。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12.2.2 发包人应在收到预付款支付申请后28天内，将预付款支付给设计人；设计人应当提供等额的增值税专用发票。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12.3 中期支付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12.3.1 设计人应按发包人批准或专用合同条款约定的格式及份数，向发包人提交中期支付申请，并附相应的支持性证明文件。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12.3.2 发包人应在收到中期支付申请后的28天内，将应付款项支付给设计人；设计人应当提供等额的增值税专用发票。发包人未能在前述时间内完成审批或不予答复的，视为发包人同意中期支付申请。发包人不按期支付的，按专用合同条款的约定支付逾期付款违约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12.3.3 中期支付涉及政府投资资金的，按照国库集中支付等国家相关规定和专用合同条款的约定执行。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12.4 费用结算</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12.4.1 合同工作完成后，设计人应按专用合同条款约定的份数和期限，向发包人提交勘察设计费用结算申请，并提供相关证明材料。</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12.4.2 发包人应在收到费用结算申请后的28天内，将应付款项支付给设计人；设计人应当提供等额的增值税专用发票。发包人未能在前述时间内完成审批或不予答复的，视为发包人同意费用结算申请。发包人不按期支付的，按专用合同条款的约定支付逾期付款违约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12.4.3 发包人对费用结算申请内容有异议的，有权要求设计人进行修正和提供补充资料，由设计人重新提交。设计人对此有异议的，按第15条的约定执行。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12.4.4 最终结清付款涉及政府投资资金的，按第12.3.3项的约定执行。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12.5 暂列金额</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12.5.1 本合同的暂列金额在专用合同条款中约定。暂列金额应按发包人的书面指示全部或部分地使用，或根本不予动用。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12.5.2 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12.6 质量保证金</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为保证设计人的设计质量和设计服务，最后一批勘察设计成果文件经上级主管部门批复之后28天内，设计人应向发包人缴纳质量保证金。质量保证金可采用银行保函或现金、支票形式，金额应符合专用合同条款的规定。采用银行保函时，出具保函的银行须具有相应担保能力，且按照发包人批准的格式出具，所需费用由设计人承担，待项目交工证书签发后28天内返还给设计人。</w:t>
      </w:r>
      <w:r>
        <w:rPr>
          <w:rStyle w:val="302"/>
          <w:rFonts w:hint="default"/>
          <w:color w:val="auto"/>
          <w:lang w:val="en-US" w:bidi="ar"/>
        </w:rPr>
        <w:br w:type="textWrapping"/>
      </w:r>
      <w:r>
        <w:rPr>
          <w:rStyle w:val="302"/>
          <w:rFonts w:hint="default"/>
          <w:b/>
          <w:bCs/>
          <w:color w:val="auto"/>
          <w:sz w:val="28"/>
          <w:szCs w:val="28"/>
          <w:lang w:val="en-US" w:bidi="ar"/>
        </w:rPr>
        <w:t>13. 不可抗力</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13.1 不可抗力的确认</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13.1.1 不可抗力是指设计人和发包人在订立合同时不可预见，在履行合同过程中不可避免发生并不能克服的自然灾害和社会性突发事件，如地震、海啸、瘟疫、水灾、骚乱、暴动、战争和专用合同条款约定的其他情形。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13.1.2 不可抗力发生后，发包人和设计人应及时认真统计所造成的损失，收集不可抗力造成损失的证据。合同双方对是否属于不可抗力或其损失的意见不一致的，由合同双方协商确定。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13.2 不可抗力的通知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13.2.1 合同一方当事人遇到不可抗力事件，使其履行合同义务受到阻碍时，应立即通知合同另一方当事人，书面说明不可抗力和受阻碍的详细情况，并提供必要的证明。</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13.2.2 如不可抗力持续发生，合同一方当事人应及时向合同另一方当事人提交中间报告，说明不可抗力和履行合同受阻的情况，并于不可抗力事件结束后28天内提交最终报告及有关资料。</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13.3 不可抗力后果及其处理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13.3.1 不可抗力引起的后果及其损失，应由合同当事人依据法律规定各自承担。不可抗力发生前已完成的勘察设计工作，应当按照合同约定进行支付。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13.3.2 不可抗力发生后，合同当事人应当采取有效措施避免损失进一步扩大，如未采取有效措施致使损失扩大的，应当自行承担扩大部分的损失。</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13.3.3 因一方当事人迟延履行合同义务，致使迟延履行期间遭遇不可抗力的，应由该当事人承担全部损失。</w:t>
      </w:r>
      <w:r>
        <w:rPr>
          <w:rStyle w:val="302"/>
          <w:rFonts w:hint="default"/>
          <w:color w:val="auto"/>
          <w:lang w:val="en-US" w:bidi="ar"/>
        </w:rPr>
        <w:br w:type="textWrapping"/>
      </w:r>
      <w:r>
        <w:rPr>
          <w:rStyle w:val="302"/>
          <w:rFonts w:hint="default"/>
          <w:b/>
          <w:bCs/>
          <w:color w:val="auto"/>
          <w:sz w:val="28"/>
          <w:szCs w:val="28"/>
          <w:lang w:val="en-US" w:bidi="ar"/>
        </w:rPr>
        <w:t>14. 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14.1 设计人违约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14.1.1 合同履行中发生下列情况之一的，属设计人违约：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（1）勘察设计文件不符合法律以及合同约定；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（2）设计人转包、违法分包或者未经发包人同意擅自分包；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（3）设计人未按合同计划完成勘察设计（发包人同意延期的除外）；</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（4）设计人无法履行或停止履行合同；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（5）设计人不履行合同约定的其他义务。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14.2 发包人违约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14.2.1 合同履行中发生下列情况之一的，属发包人违约：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（1）发包人未按合同约定支付勘察设计费用；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（2）发包人原因造成勘察设计停止；</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（3）发包人无法履行或停止履行合同；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（4）发包人不履行合同约定的其他义务。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14.2.2 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14.3 第三人造成的违约</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在履行合同过程中，一方当事人因第三人的原因造成违约的，应当向对方当事人承担违约责任。一方当事人和第三人之间的纠纷，依照法律规定或者按照约定解决。</w:t>
      </w:r>
      <w:r>
        <w:rPr>
          <w:rStyle w:val="302"/>
          <w:rFonts w:hint="default"/>
          <w:color w:val="auto"/>
          <w:lang w:val="en-US" w:bidi="ar"/>
        </w:rPr>
        <w:br w:type="textWrapping"/>
      </w:r>
      <w:r>
        <w:rPr>
          <w:rStyle w:val="302"/>
          <w:rFonts w:hint="default"/>
          <w:b/>
          <w:bCs/>
          <w:color w:val="auto"/>
          <w:sz w:val="28"/>
          <w:szCs w:val="28"/>
          <w:lang w:val="en-US" w:bidi="ar"/>
        </w:rPr>
        <w:t>15. 争议的解决</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15.1 发包人和设计人在履行合同中发生争议的，可以友好协商解决。合同当事人友好协商解决不成的，可在专用合同条款中约定按下列一种方式解决：</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（1）向约定的仲裁委员会申请仲裁；</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（2）向有管辖权的人民法院提起诉讼。</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br w:type="textWrapping"/>
      </w:r>
    </w:p>
    <w:p>
      <w:pPr>
        <w:widowControl/>
        <w:spacing w:line="360" w:lineRule="auto"/>
        <w:ind w:left="80" w:leftChars="-100" w:hanging="320" w:hangingChars="100"/>
        <w:rPr>
          <w:rFonts w:hint="eastAsia" w:ascii="宋体" w:hAnsi="宋体" w:cs="宋体"/>
          <w:color w:val="auto"/>
          <w:sz w:val="32"/>
          <w:szCs w:val="32"/>
          <w:lang w:val="en-US" w:bidi="ar"/>
        </w:rPr>
        <w:sectPr>
          <w:footnotePr>
            <w:numRestart w:val="eachPage"/>
          </w:footnotePr>
          <w:pgSz w:w="11900" w:h="16838"/>
          <w:pgMar w:top="1803" w:right="1440" w:bottom="1803" w:left="1440" w:header="680" w:footer="680" w:gutter="0"/>
          <w:cols w:space="720" w:num="1"/>
        </w:sectPr>
      </w:pPr>
    </w:p>
    <w:p>
      <w:pPr>
        <w:widowControl/>
        <w:spacing w:line="360" w:lineRule="auto"/>
        <w:ind w:left="81" w:leftChars="-100" w:hanging="321" w:hangingChars="100"/>
        <w:jc w:val="center"/>
        <w:rPr>
          <w:rFonts w:hint="eastAsia" w:ascii="宋体" w:hAnsi="宋体" w:cs="宋体"/>
          <w:color w:val="auto"/>
          <w:sz w:val="14"/>
          <w:szCs w:val="14"/>
          <w:lang w:val="en-US" w:bidi="ar"/>
        </w:rPr>
      </w:pPr>
      <w:r>
        <w:rPr>
          <w:rFonts w:hint="eastAsia" w:ascii="宋体" w:hAnsi="宋体" w:cs="宋体"/>
          <w:b/>
          <w:bCs/>
          <w:color w:val="auto"/>
          <w:sz w:val="32"/>
          <w:szCs w:val="32"/>
          <w:lang w:val="en-US" w:bidi="ar"/>
        </w:rPr>
        <w:t>第二节 专用合同条款</w:t>
      </w:r>
      <w:r>
        <w:rPr>
          <w:rStyle w:val="101"/>
          <w:rFonts w:hint="eastAsia" w:ascii="宋体" w:hAnsi="宋体" w:cs="Times New Roman"/>
          <w:color w:val="auto"/>
          <w:sz w:val="30"/>
          <w:lang w:val="en-US"/>
        </w:rPr>
        <w:footnoteReference w:id="97"/>
      </w:r>
    </w:p>
    <w:p>
      <w:pPr>
        <w:widowControl/>
        <w:spacing w:line="360" w:lineRule="auto"/>
        <w:ind w:left="-100" w:leftChars="-100" w:hanging="140" w:hangingChars="100"/>
        <w:rPr>
          <w:rStyle w:val="302"/>
          <w:rFonts w:hint="default"/>
          <w:color w:val="auto"/>
          <w:lang w:val="en-US" w:bidi="ar"/>
        </w:rPr>
      </w:pPr>
      <w:r>
        <w:rPr>
          <w:rFonts w:hint="eastAsia" w:ascii="宋体" w:hAnsi="宋体" w:cs="宋体"/>
          <w:color w:val="auto"/>
          <w:sz w:val="14"/>
          <w:szCs w:val="14"/>
          <w:lang w:val="en-US" w:bidi="ar"/>
        </w:rPr>
        <w:br w:type="textWrapping"/>
      </w:r>
      <w:r>
        <w:rPr>
          <w:rStyle w:val="302"/>
          <w:rFonts w:hint="default"/>
          <w:color w:val="auto"/>
          <w:lang w:val="en-US" w:bidi="ar"/>
        </w:rPr>
        <w:t>说 明：</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1.</w:t>
      </w:r>
      <w:r>
        <w:rPr>
          <w:rStyle w:val="302"/>
          <w:rFonts w:hint="default"/>
          <w:color w:val="auto"/>
          <w:lang w:val="en-US" w:bidi="ar"/>
        </w:rPr>
        <w:t>招标人在根据《广东省水运工程勘察设计招标文件范本》编制项目招标文件中</w:t>
      </w:r>
      <w:r>
        <w:rPr>
          <w:rStyle w:val="302"/>
          <w:rFonts w:hint="default"/>
          <w:color w:val="auto"/>
          <w:lang w:val="en-US" w:bidi="ar"/>
        </w:rPr>
        <w:br w:type="textWrapping"/>
      </w:r>
      <w:r>
        <w:rPr>
          <w:rStyle w:val="302"/>
          <w:rFonts w:hint="default"/>
          <w:color w:val="auto"/>
          <w:lang w:val="en-US" w:bidi="ar"/>
        </w:rPr>
        <w:t>的</w:t>
      </w:r>
      <w:r>
        <w:rPr>
          <w:rStyle w:val="168"/>
          <w:rFonts w:hint="eastAsia" w:ascii="宋体" w:hAnsi="宋体" w:cs="宋体"/>
          <w:color w:val="auto"/>
          <w:lang w:val="en-US" w:bidi="ar"/>
        </w:rPr>
        <w:t>“</w:t>
      </w:r>
      <w:r>
        <w:rPr>
          <w:rStyle w:val="302"/>
          <w:rFonts w:hint="default"/>
          <w:color w:val="auto"/>
          <w:lang w:val="en-US" w:bidi="ar"/>
        </w:rPr>
        <w:t>专用合同条款</w:t>
      </w:r>
      <w:r>
        <w:rPr>
          <w:rStyle w:val="168"/>
          <w:rFonts w:hint="eastAsia" w:ascii="宋体" w:hAnsi="宋体" w:cs="宋体"/>
          <w:color w:val="auto"/>
          <w:lang w:val="en-US" w:bidi="ar"/>
        </w:rPr>
        <w:t>”</w:t>
      </w:r>
      <w:r>
        <w:rPr>
          <w:rStyle w:val="302"/>
          <w:rFonts w:hint="default"/>
          <w:color w:val="auto"/>
          <w:lang w:val="en-US" w:bidi="ar"/>
        </w:rPr>
        <w:t>时，可根据招标项目的具体特点和实际需要，对</w:t>
      </w:r>
      <w:r>
        <w:rPr>
          <w:rStyle w:val="168"/>
          <w:rFonts w:hint="eastAsia" w:ascii="宋体" w:hAnsi="宋体" w:cs="宋体"/>
          <w:color w:val="auto"/>
          <w:lang w:val="en-US" w:bidi="ar"/>
        </w:rPr>
        <w:t>“</w:t>
      </w:r>
      <w:r>
        <w:rPr>
          <w:rStyle w:val="302"/>
          <w:rFonts w:hint="default"/>
          <w:color w:val="auto"/>
          <w:lang w:val="en-US" w:bidi="ar"/>
        </w:rPr>
        <w:t>通用合同条</w:t>
      </w:r>
      <w:r>
        <w:rPr>
          <w:rStyle w:val="302"/>
          <w:rFonts w:hint="default"/>
          <w:color w:val="auto"/>
          <w:lang w:val="en-US" w:bidi="ar"/>
        </w:rPr>
        <w:br w:type="textWrapping"/>
      </w:r>
      <w:r>
        <w:rPr>
          <w:rStyle w:val="302"/>
          <w:rFonts w:hint="default"/>
          <w:color w:val="auto"/>
          <w:lang w:val="en-US" w:bidi="ar"/>
        </w:rPr>
        <w:t>款</w:t>
      </w:r>
      <w:r>
        <w:rPr>
          <w:rStyle w:val="168"/>
          <w:rFonts w:hint="eastAsia" w:ascii="宋体" w:hAnsi="宋体" w:cs="宋体"/>
          <w:color w:val="auto"/>
          <w:lang w:val="en-US" w:bidi="ar"/>
        </w:rPr>
        <w:t>”</w:t>
      </w:r>
      <w:r>
        <w:rPr>
          <w:rStyle w:val="302"/>
          <w:rFonts w:hint="default"/>
          <w:color w:val="auto"/>
          <w:lang w:val="en-US" w:bidi="ar"/>
        </w:rPr>
        <w:t>进行补充、细化。在</w:t>
      </w:r>
      <w:r>
        <w:rPr>
          <w:rStyle w:val="168"/>
          <w:rFonts w:hint="eastAsia" w:ascii="宋体" w:hAnsi="宋体" w:cs="宋体"/>
          <w:color w:val="auto"/>
          <w:lang w:val="en-US" w:bidi="ar"/>
        </w:rPr>
        <w:t>“</w:t>
      </w:r>
      <w:r>
        <w:rPr>
          <w:rStyle w:val="302"/>
          <w:rFonts w:hint="default"/>
          <w:color w:val="auto"/>
          <w:lang w:val="en-US" w:bidi="ar"/>
        </w:rPr>
        <w:t>专用合同条款</w:t>
      </w:r>
      <w:r>
        <w:rPr>
          <w:rStyle w:val="168"/>
          <w:rFonts w:hint="eastAsia" w:ascii="宋体" w:hAnsi="宋体" w:cs="宋体"/>
          <w:color w:val="auto"/>
          <w:lang w:val="en-US" w:bidi="ar"/>
        </w:rPr>
        <w:t>”</w:t>
      </w:r>
      <w:r>
        <w:rPr>
          <w:rStyle w:val="302"/>
          <w:rFonts w:hint="default"/>
          <w:color w:val="auto"/>
          <w:lang w:val="en-US" w:bidi="ar"/>
        </w:rPr>
        <w:t>中补充或细化的内容，不得违反法律、</w:t>
      </w:r>
      <w:r>
        <w:rPr>
          <w:rStyle w:val="302"/>
          <w:rFonts w:hint="default"/>
          <w:color w:val="auto"/>
          <w:lang w:val="en-US" w:bidi="ar"/>
        </w:rPr>
        <w:br w:type="textWrapping"/>
      </w:r>
      <w:r>
        <w:rPr>
          <w:rStyle w:val="302"/>
          <w:rFonts w:hint="default"/>
          <w:color w:val="auto"/>
          <w:lang w:val="en-US" w:bidi="ar"/>
        </w:rPr>
        <w:t>行政法规的强制性规定和平等、自愿、公平和诚实信用原则。</w:t>
      </w:r>
    </w:p>
    <w:p>
      <w:pPr>
        <w:widowControl/>
        <w:spacing w:line="360" w:lineRule="auto"/>
        <w:ind w:firstLine="480" w:firstLineChars="200"/>
        <w:rPr>
          <w:rFonts w:hint="eastAsia" w:ascii="宋体" w:hAnsi="宋体" w:cs="宋体"/>
          <w:color w:val="auto"/>
          <w:lang w:val="en-US" w:bidi="ar"/>
        </w:rPr>
        <w:sectPr>
          <w:footnotePr>
            <w:numRestart w:val="eachPage"/>
          </w:footnotePr>
          <w:pgSz w:w="11900" w:h="16838"/>
          <w:pgMar w:top="1803" w:right="1440" w:bottom="1803" w:left="1440" w:header="680" w:footer="680" w:gutter="0"/>
          <w:cols w:space="720" w:num="1"/>
        </w:sectPr>
      </w:pPr>
      <w:r>
        <w:rPr>
          <w:rStyle w:val="168"/>
          <w:rFonts w:hint="eastAsia" w:ascii="宋体" w:hAnsi="宋体" w:cs="宋体"/>
          <w:color w:val="auto"/>
          <w:lang w:val="en-US" w:bidi="ar"/>
        </w:rPr>
        <w:t>2.</w:t>
      </w:r>
      <w:r>
        <w:rPr>
          <w:rStyle w:val="302"/>
          <w:rFonts w:hint="default"/>
          <w:color w:val="auto"/>
          <w:lang w:val="en-US" w:bidi="ar"/>
        </w:rPr>
        <w:t>专用合同条款的编号应与通用合同条款一致。</w:t>
      </w:r>
      <w:r>
        <w:rPr>
          <w:rStyle w:val="302"/>
          <w:rFonts w:hint="default"/>
          <w:color w:val="auto"/>
          <w:lang w:val="en-US" w:bidi="ar"/>
        </w:rPr>
        <w:br w:type="textWrapping"/>
      </w:r>
      <w:r>
        <w:rPr>
          <w:rFonts w:hint="eastAsia" w:ascii="宋体" w:hAnsi="宋体" w:cs="宋体"/>
          <w:color w:val="auto"/>
          <w:lang w:val="en-US" w:bidi="ar"/>
        </w:rPr>
        <w:br w:type="textWrapping"/>
      </w:r>
    </w:p>
    <w:p>
      <w:pPr>
        <w:widowControl/>
        <w:spacing w:line="360" w:lineRule="auto"/>
        <w:rPr>
          <w:rStyle w:val="302"/>
          <w:rFonts w:hint="default"/>
          <w:b/>
          <w:bCs/>
          <w:color w:val="auto"/>
          <w:sz w:val="28"/>
          <w:szCs w:val="28"/>
          <w:lang w:val="en-US" w:bidi="ar"/>
        </w:rPr>
      </w:pPr>
      <w:r>
        <w:rPr>
          <w:rStyle w:val="302"/>
          <w:rFonts w:hint="default"/>
          <w:color w:val="auto"/>
          <w:lang w:val="en-US" w:bidi="ar"/>
        </w:rPr>
        <w:t>根据本项目的具体情况，对通用合同条款的内容作如下补充、细化：</w:t>
      </w:r>
      <w:r>
        <w:rPr>
          <w:rStyle w:val="302"/>
          <w:rFonts w:hint="default"/>
          <w:color w:val="auto"/>
          <w:lang w:val="en-US" w:bidi="ar"/>
        </w:rPr>
        <w:br w:type="textWrapping"/>
      </w:r>
      <w:r>
        <w:rPr>
          <w:rStyle w:val="302"/>
          <w:rFonts w:hint="default"/>
          <w:b/>
          <w:bCs/>
          <w:color w:val="auto"/>
          <w:sz w:val="28"/>
          <w:szCs w:val="28"/>
          <w:lang w:val="en-US" w:bidi="ar"/>
        </w:rPr>
        <w:t>1. 一般约定</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1.1 </w:t>
      </w:r>
      <w:r>
        <w:rPr>
          <w:rStyle w:val="302"/>
          <w:rFonts w:hint="default"/>
          <w:color w:val="auto"/>
          <w:lang w:val="en-US" w:bidi="ar"/>
        </w:rPr>
        <w:t>词语定义</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1.1.2.2 </w:t>
      </w:r>
      <w:r>
        <w:rPr>
          <w:rStyle w:val="302"/>
          <w:rFonts w:hint="default"/>
          <w:color w:val="auto"/>
          <w:lang w:val="en-US" w:bidi="ar"/>
        </w:rPr>
        <w:t>发包人：</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1.1.3.1 </w:t>
      </w:r>
      <w:r>
        <w:rPr>
          <w:rStyle w:val="302"/>
          <w:rFonts w:hint="default"/>
          <w:color w:val="auto"/>
          <w:lang w:val="en-US" w:bidi="ar"/>
        </w:rPr>
        <w:t>本次进行勘察设计招标的项目为</w:t>
      </w:r>
      <w:r>
        <w:rPr>
          <w:rStyle w:val="302"/>
          <w:rFonts w:hint="default"/>
          <w:color w:val="auto"/>
          <w:u w:val="single"/>
          <w:lang w:val="en-US" w:bidi="ar"/>
        </w:rPr>
        <w:t xml:space="preserve">                </w:t>
      </w:r>
      <w:r>
        <w:rPr>
          <w:rStyle w:val="302"/>
          <w:rFonts w:hint="default"/>
          <w:color w:val="auto"/>
          <w:lang w:val="en-US" w:bidi="ar"/>
        </w:rPr>
        <w:t>水运工程。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1.1.3.2本合同包括的具体勘察设计服务内容：</w:t>
      </w:r>
      <w:r>
        <w:rPr>
          <w:rStyle w:val="302"/>
          <w:rFonts w:hint="default"/>
          <w:color w:val="auto"/>
          <w:u w:val="single"/>
          <w:lang w:val="en-US" w:bidi="ar"/>
        </w:rPr>
        <w:t xml:space="preserve">   详见招标公告     </w:t>
      </w:r>
      <w:r>
        <w:rPr>
          <w:rStyle w:val="302"/>
          <w:rFonts w:hint="default"/>
          <w:color w:val="auto"/>
          <w:lang w:val="en-US" w:bidi="ar"/>
        </w:rPr>
        <w:t>。</w:t>
      </w:r>
    </w:p>
    <w:p>
      <w:pPr>
        <w:widowControl/>
        <w:spacing w:line="360" w:lineRule="auto"/>
        <w:ind w:firstLine="480" w:firstLineChars="200"/>
        <w:rPr>
          <w:rStyle w:val="302"/>
          <w:rFonts w:hint="default"/>
          <w:color w:val="auto"/>
          <w:u w:val="single"/>
          <w:lang w:val="en-US" w:bidi="ar"/>
        </w:rPr>
      </w:pPr>
      <w:r>
        <w:rPr>
          <w:rStyle w:val="302"/>
          <w:rFonts w:hint="default"/>
          <w:color w:val="auto"/>
          <w:lang w:val="en-US" w:bidi="ar"/>
        </w:rPr>
        <w:t>1.1.3.6本合同包括的具体勘察设计文件：</w:t>
      </w:r>
      <w:r>
        <w:rPr>
          <w:rStyle w:val="302"/>
          <w:rFonts w:hint="default"/>
          <w:color w:val="auto"/>
          <w:u w:val="single"/>
          <w:lang w:val="en-US" w:bidi="ar"/>
        </w:rPr>
        <w:t xml:space="preserve">   详见招标公告     </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1.6 </w:t>
      </w:r>
      <w:r>
        <w:rPr>
          <w:rStyle w:val="302"/>
          <w:rFonts w:hint="default"/>
          <w:color w:val="auto"/>
          <w:lang w:val="en-US" w:bidi="ar"/>
        </w:rPr>
        <w:t>文件的提供和照管</w:t>
      </w:r>
    </w:p>
    <w:p>
      <w:pPr>
        <w:widowControl/>
        <w:spacing w:line="360" w:lineRule="auto"/>
        <w:ind w:firstLine="480" w:firstLineChars="200"/>
        <w:rPr>
          <w:rFonts w:hint="eastAsia" w:ascii="宋体" w:hAnsi="宋体" w:cs="宋体"/>
          <w:color w:val="auto"/>
        </w:rPr>
      </w:pPr>
      <w:r>
        <w:rPr>
          <w:rStyle w:val="168"/>
          <w:rFonts w:hint="eastAsia" w:ascii="宋体" w:hAnsi="宋体" w:cs="宋体"/>
          <w:color w:val="auto"/>
          <w:lang w:val="en-US" w:bidi="ar"/>
        </w:rPr>
        <w:t xml:space="preserve">1.6.2 </w:t>
      </w:r>
      <w:r>
        <w:rPr>
          <w:rStyle w:val="302"/>
          <w:rFonts w:hint="default"/>
          <w:color w:val="auto"/>
          <w:lang w:val="en-US" w:bidi="ar"/>
        </w:rPr>
        <w:t>发包人负责提供的文件包括：</w:t>
      </w:r>
      <w:r>
        <w:rPr>
          <w:rStyle w:val="302"/>
          <w:rFonts w:hint="default"/>
          <w:color w:val="auto"/>
          <w:u w:val="single"/>
          <w:lang w:val="en-US" w:bidi="ar"/>
        </w:rPr>
        <w:t xml:space="preserve">                        </w:t>
      </w:r>
      <w:r>
        <w:rPr>
          <w:rStyle w:val="302"/>
          <w:rFonts w:hint="default"/>
          <w:color w:val="auto"/>
          <w:lang w:val="en-US" w:bidi="ar"/>
        </w:rPr>
        <w:t xml:space="preserve"> ，提供数量：</w:t>
      </w:r>
      <w:r>
        <w:rPr>
          <w:rStyle w:val="302"/>
          <w:rFonts w:hint="default"/>
          <w:color w:val="auto"/>
          <w:u w:val="single"/>
          <w:lang w:val="en-US" w:bidi="ar"/>
        </w:rPr>
        <w:t xml:space="preserve">                        </w:t>
      </w:r>
      <w:r>
        <w:rPr>
          <w:rStyle w:val="302"/>
          <w:rFonts w:hint="default"/>
          <w:color w:val="auto"/>
          <w:lang w:val="en-US" w:bidi="ar"/>
        </w:rPr>
        <w:t>，提供期限：</w:t>
      </w:r>
      <w:r>
        <w:rPr>
          <w:rStyle w:val="302"/>
          <w:rFonts w:hint="default"/>
          <w:color w:val="auto"/>
          <w:u w:val="single"/>
          <w:lang w:val="en-US" w:bidi="ar"/>
        </w:rPr>
        <w:t xml:space="preserve">                        </w:t>
      </w:r>
      <w:r>
        <w:rPr>
          <w:rStyle w:val="302"/>
          <w:rFonts w:hint="default"/>
          <w:color w:val="auto"/>
          <w:lang w:val="en-US" w:bidi="ar"/>
        </w:rPr>
        <w:t xml:space="preserve">。 </w:t>
      </w:r>
    </w:p>
    <w:p>
      <w:pPr>
        <w:widowControl/>
        <w:spacing w:line="360" w:lineRule="auto"/>
        <w:rPr>
          <w:rStyle w:val="302"/>
          <w:rFonts w:hint="default"/>
          <w:b/>
          <w:bCs/>
          <w:color w:val="auto"/>
          <w:sz w:val="28"/>
          <w:szCs w:val="28"/>
          <w:lang w:val="en-US" w:bidi="ar"/>
        </w:rPr>
      </w:pPr>
      <w:r>
        <w:rPr>
          <w:rStyle w:val="302"/>
          <w:rFonts w:hint="default"/>
          <w:b/>
          <w:bCs/>
          <w:color w:val="auto"/>
          <w:sz w:val="28"/>
          <w:szCs w:val="28"/>
          <w:lang w:val="en-US" w:bidi="ar"/>
        </w:rPr>
        <w:t>2. 发包人义务</w:t>
      </w:r>
    </w:p>
    <w:p>
      <w:pPr>
        <w:widowControl/>
        <w:spacing w:line="360" w:lineRule="auto"/>
        <w:ind w:firstLine="482" w:firstLineChars="200"/>
        <w:rPr>
          <w:rStyle w:val="409"/>
          <w:rFonts w:hint="eastAsia" w:ascii="宋体" w:hAnsi="宋体" w:cs="宋体"/>
          <w:b w:val="0"/>
          <w:bCs w:val="0"/>
          <w:color w:val="auto"/>
          <w:sz w:val="24"/>
          <w:szCs w:val="24"/>
          <w:lang w:val="en-US" w:bidi="ar"/>
        </w:rPr>
      </w:pPr>
      <w:r>
        <w:rPr>
          <w:rStyle w:val="409"/>
          <w:rFonts w:hint="eastAsia" w:ascii="宋体" w:hAnsi="宋体" w:cs="宋体"/>
          <w:color w:val="auto"/>
          <w:sz w:val="24"/>
          <w:szCs w:val="24"/>
          <w:lang w:val="en-US" w:bidi="ar"/>
        </w:rPr>
        <w:t>2.6</w:t>
      </w:r>
      <w:r>
        <w:rPr>
          <w:rStyle w:val="409"/>
          <w:rFonts w:hint="eastAsia" w:ascii="宋体" w:hAnsi="宋体" w:cs="宋体"/>
          <w:b w:val="0"/>
          <w:bCs w:val="0"/>
          <w:color w:val="auto"/>
          <w:sz w:val="24"/>
          <w:szCs w:val="24"/>
          <w:lang w:val="en-US" w:bidi="ar"/>
        </w:rPr>
        <w:t>发包人应履行的其他义务：</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2.6.1 发包人应严格履行基本建设程序，根据本工程的具体情况和技术要求，确</w:t>
      </w:r>
    </w:p>
    <w:p>
      <w:pPr>
        <w:widowControl/>
        <w:spacing w:line="360" w:lineRule="auto"/>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定合理的勘察设计工作量及合理的勘察设计服务期限。</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2.6.2 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2.6.3按合同约定的勘察进度和阶段及时将设计人提交的所有勘察文件转送相关部门审批，并根据时间表的规定将必要的审批件交付设计人。</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2.6.4按合同约定的设计进度和阶段及时将设计人提交的所有设计文件转送相关部门审批，并根据时间表的规定将必要的审批件交付设计人。</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2.6.5工程勘察前,若发包人负责提供材料的，应根据设计人提出的工程用料计划，按时提供各种材料及其产品合格证明，派人与设计人的人员一起验收。</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2.6.6发包人要求设计人比合同约定时间提前交付设计文件时,须征得设计人同意，不得严重背离合理设计周期。</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2.6.7发包人及设计咨询单位在收到设计人有关设计问题及确认问题的函件后，应在5个工作日内给予书面答复。</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2.6.8发包人不应向设计人提出不符合工程安全生产法律、法规和工程建设强制性标准规定的要求。</w:t>
      </w:r>
    </w:p>
    <w:p>
      <w:pPr>
        <w:widowControl/>
        <w:spacing w:line="360" w:lineRule="auto"/>
        <w:ind w:firstLine="480" w:firstLineChars="200"/>
        <w:rPr>
          <w:rStyle w:val="302"/>
          <w:rFonts w:hint="default"/>
          <w:b/>
          <w:bCs/>
          <w:color w:val="auto"/>
          <w:sz w:val="28"/>
          <w:szCs w:val="28"/>
          <w:u w:val="single"/>
          <w:lang w:val="en-US" w:bidi="ar"/>
        </w:rPr>
      </w:pPr>
      <w:r>
        <w:rPr>
          <w:rStyle w:val="409"/>
          <w:rFonts w:hint="eastAsia" w:ascii="宋体" w:hAnsi="宋体" w:cs="宋体"/>
          <w:b w:val="0"/>
          <w:bCs w:val="0"/>
          <w:color w:val="auto"/>
          <w:sz w:val="24"/>
          <w:szCs w:val="24"/>
          <w:lang w:val="en-US" w:bidi="ar"/>
        </w:rPr>
        <w:t>2.6.9 由于执行发包人的书面指令而造成的勘察设计质量事故应由发包人承担责任。</w:t>
      </w:r>
    </w:p>
    <w:p>
      <w:pPr>
        <w:widowControl/>
        <w:spacing w:line="360" w:lineRule="auto"/>
        <w:rPr>
          <w:rStyle w:val="302"/>
          <w:rFonts w:hint="default"/>
          <w:b/>
          <w:bCs/>
          <w:color w:val="auto"/>
          <w:sz w:val="28"/>
          <w:szCs w:val="28"/>
          <w:lang w:val="en-US" w:bidi="ar"/>
        </w:rPr>
      </w:pPr>
      <w:r>
        <w:rPr>
          <w:rStyle w:val="302"/>
          <w:rFonts w:hint="default"/>
          <w:b/>
          <w:bCs/>
          <w:color w:val="auto"/>
          <w:sz w:val="28"/>
          <w:szCs w:val="28"/>
          <w:lang w:val="en-US" w:bidi="ar"/>
        </w:rPr>
        <w:t>3. 发包人管理</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3.2 </w:t>
      </w:r>
      <w:r>
        <w:rPr>
          <w:rStyle w:val="302"/>
          <w:rFonts w:hint="default"/>
          <w:color w:val="auto"/>
          <w:lang w:val="en-US" w:bidi="ar"/>
        </w:rPr>
        <w:t>监理人</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3.2.1 </w:t>
      </w:r>
      <w:r>
        <w:rPr>
          <w:rStyle w:val="302"/>
          <w:rFonts w:hint="default"/>
          <w:color w:val="auto"/>
          <w:lang w:val="en-US" w:bidi="ar"/>
        </w:rPr>
        <w:t>本工程是否委托监理人进行勘察设计监理：</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如进行勘察设计监理，监理人的监理范围包括：</w:t>
      </w:r>
      <w:r>
        <w:rPr>
          <w:rStyle w:val="302"/>
          <w:rFonts w:hint="default"/>
          <w:color w:val="auto"/>
          <w:u w:val="single"/>
          <w:lang w:val="en-US" w:bidi="ar"/>
        </w:rPr>
        <w:t xml:space="preserve">                </w:t>
      </w:r>
      <w:r>
        <w:rPr>
          <w:rStyle w:val="302"/>
          <w:rFonts w:hint="default"/>
          <w:color w:val="auto"/>
          <w:lang w:val="en-US" w:bidi="ar"/>
        </w:rPr>
        <w:t>； 职责</w:t>
      </w:r>
      <w:r>
        <w:rPr>
          <w:rStyle w:val="302"/>
          <w:rFonts w:hint="default"/>
          <w:color w:val="auto"/>
          <w:lang w:val="en-US" w:bidi="ar"/>
        </w:rPr>
        <w:br w:type="textWrapping"/>
      </w:r>
      <w:r>
        <w:rPr>
          <w:rStyle w:val="302"/>
          <w:rFonts w:hint="default"/>
          <w:color w:val="auto"/>
          <w:lang w:val="en-US" w:bidi="ar"/>
        </w:rPr>
        <w:t>权限：</w:t>
      </w:r>
      <w:r>
        <w:rPr>
          <w:rStyle w:val="302"/>
          <w:rFonts w:hint="default"/>
          <w:color w:val="auto"/>
          <w:u w:val="single"/>
          <w:lang w:val="en-US" w:bidi="ar"/>
        </w:rPr>
        <w:t xml:space="preserve">                        </w:t>
      </w:r>
      <w:r>
        <w:rPr>
          <w:rStyle w:val="302"/>
          <w:rFonts w:hint="default"/>
          <w:color w:val="auto"/>
          <w:lang w:val="en-US" w:bidi="ar"/>
        </w:rPr>
        <w:t>； 总监理工程师：</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3.4 </w:t>
      </w:r>
      <w:r>
        <w:rPr>
          <w:rStyle w:val="302"/>
          <w:rFonts w:hint="default"/>
          <w:color w:val="auto"/>
          <w:lang w:val="en-US" w:bidi="ar"/>
        </w:rPr>
        <w:t>决定或答复</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3.4.2 </w:t>
      </w:r>
      <w:r>
        <w:rPr>
          <w:rStyle w:val="302"/>
          <w:rFonts w:hint="default"/>
          <w:color w:val="auto"/>
          <w:lang w:val="en-US" w:bidi="ar"/>
        </w:rPr>
        <w:t>发包人应在收到设计人书面提出的事项后</w:t>
      </w:r>
      <w:r>
        <w:rPr>
          <w:rStyle w:val="302"/>
          <w:rFonts w:hint="default"/>
          <w:color w:val="auto"/>
          <w:u w:val="single"/>
          <w:lang w:val="en-US" w:bidi="ar"/>
        </w:rPr>
        <w:t xml:space="preserve">        </w:t>
      </w:r>
      <w:r>
        <w:rPr>
          <w:rStyle w:val="302"/>
          <w:rFonts w:hint="default"/>
          <w:color w:val="auto"/>
          <w:lang w:val="en-US" w:bidi="ar"/>
        </w:rPr>
        <w:t>天内作出书面答复。</w:t>
      </w:r>
      <w:r>
        <w:rPr>
          <w:rStyle w:val="302"/>
          <w:rFonts w:hint="default"/>
          <w:color w:val="auto"/>
          <w:lang w:val="en-US" w:bidi="ar"/>
        </w:rPr>
        <w:br w:type="textWrapping"/>
      </w:r>
      <w:r>
        <w:rPr>
          <w:rStyle w:val="302"/>
          <w:rFonts w:hint="default"/>
          <w:b/>
          <w:bCs/>
          <w:color w:val="auto"/>
          <w:sz w:val="28"/>
          <w:szCs w:val="28"/>
          <w:lang w:val="en-US" w:bidi="ar"/>
        </w:rPr>
        <w:t>4.设计人义务</w:t>
      </w:r>
    </w:p>
    <w:p>
      <w:pPr>
        <w:widowControl/>
        <w:spacing w:line="360" w:lineRule="auto"/>
        <w:ind w:firstLine="482" w:firstLineChars="200"/>
        <w:rPr>
          <w:rStyle w:val="302"/>
          <w:rFonts w:hint="default"/>
          <w:color w:val="auto"/>
          <w:lang w:val="en-US" w:bidi="ar"/>
        </w:rPr>
      </w:pPr>
      <w:r>
        <w:rPr>
          <w:rStyle w:val="302"/>
          <w:rFonts w:hint="default"/>
          <w:b/>
          <w:bCs/>
          <w:color w:val="auto"/>
          <w:lang w:val="en-US" w:bidi="ar"/>
        </w:rPr>
        <w:t>4.1</w:t>
      </w:r>
      <w:r>
        <w:rPr>
          <w:rStyle w:val="302"/>
          <w:rFonts w:hint="default"/>
          <w:color w:val="auto"/>
          <w:lang w:val="en-US" w:bidi="ar"/>
        </w:rPr>
        <w:t>设计人的一般义务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4.1.6设计人应履行的其他义务：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4.1.6.1设计人对本合同工程勘察设计质量承担设计使用年限内的终身责任。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 设计人的勘察设计文件应接受发包人、咨询单位及发包人的上级主管部门的审查，凡审查意见中提出的问题，设计人应逐条给予认真贯彻落实，提交书面的反馈意见并免费修改勘察设计文件。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4.1.6.3 设计人应按发包人要求的数量（符合规范要求）提供所有为完成勘察设计所必需的研究试验阶段性或成果性报告，接受发包人或上级主管部门的审查，并对相关问题作出澄清和解答。</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4.1.6.4 设计人应根据设计需要开展专题研究工作，提交相应专题研究报告，并通过发包人或上级主管部门的审查。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4.1.6.5 设计人应遵守国家安全生产及环境保护相关法规，在现场作业时严格按照有关的安全技术标准、船机设备安全技术规程进行作业，制定并落实水上通航安全保障方案。同时要采取措施保持作业水域或场地的环境整洁，不得影响水上交通、道路交通安全，不得造成公共设施破坏、环境噪音污染、水土流失、影响公共卫生等情况。</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4.1.6.6 设计人勘察作业完成后， 务必按照规范要求及时封孔，并将封孔记录整理存档，采取措施确保勘探场地应地面平整、清洁卫生，并通知发包人、咨询单位等相关单位进行现场验收。验收通过之后如果发生沉陷，设计人应及时采取措施进行二次封孔和现场验收。</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4.1.6.7 设计人开展勘察设计等合同约定的各项工作时，须负责协调相关部门办理勘察设计所涉及的航道、海事、水利、道路交通等现场作业或临时占地等许可手续， 不得侵害发包人与他人使用公用道路、水源、市政管网等公共设施的权利，避免对邻近的公共设施产生干扰，保证勘察场地周边设施、建构筑物、地下管线、架空线和其他物体的安全运行。设计人负责协调勘察设计所涉及的各类社会关系、居（村）民关系，因现场作业导致社会纠纷、 居（村） 民纠纷等均由设计人负责处置，因占用或使用他人的施工场地， 影响他人作业或生活的，应承担相应责任。上述工作所需的费用由设计人自行承担并已包含在合同价格中。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4.1.6.8 在勘察设计过程中，设计人应与本项目相衔接、相干扰的交通、水利（务） 、管线、电力、电信、消防及其他相关建筑设施或特殊保护区域的主管部门或权属部门等进行沟通协商，获得相衔接、相干扰有关部门对工程设计的认同意见、协议、批准文件或纪要等，以确保项目设计方案能顺利实施。设计方案应严格对在上述衔接或干扰部位（区域）施工所须采取的工程措施、设施或各类临时工程进行设计，并将相关费用纳入设计概算、 预算和工程量清单中，避免设计施工方案与费用脱节。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4.1.6.9 设计人应根据招标文件、合同文件约定编制勘察设计工作大纲（含总体进度计划），工作大纲应符合本项目实际及国家相关技术标准、规范要求，并应包括拟实施的工程勘察工作量，工作大纲须经发包人批准后实施，经发包人批准同意的工作大纲将作为发包人对设计人工作检查、考核的依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4.1.6.10 设计人提供的勘察设计成果应符合合同约定和发包人要求，设计方案与施工方案必须充分吸纳前一阶段的勘察设计成果和相关专题研究成果，确保设计方案和施工方案技术先进、安全可靠、经济合理和并能达到指导施工生产的技术深度，尽量减少设计变更。</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4.1.6.11 设计人负责提供施工招标标段（合同段）划分方案，并提供每标段（合同段）用于施工招标的资料，包含但不限于招标图纸、技术规格文件、工程量清单及清单预算、设备和材料清单、最高投标限价等。如发包人需要选择某一部分工程作为先行工程或单独工程进行施工实施的，设计人必须按发包人要求单独提交上述工程的设计文件及招标资料。</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4.1.6.12发包人应当遵守法律和规范标准，不得以任何理由要求设计人违反法律和工程质量、 安全标准进行设计服务，降低工程质量。设计人在设计服务中选用的材料、构配件、设备等均应当注明其规格、型号、性能等技术指标及适应性，满足质量、安全、节能、环保等要求。在合同履行过程中，如果国家或有关部门颁布了新的标准或规范，设计人必须严格执行，相关费用已经包含在合同价格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4.1.6.13对于勘察设计工作范围内的专项（业）设计工作，</w:t>
      </w:r>
      <w:r>
        <w:rPr>
          <w:rStyle w:val="302"/>
          <w:rFonts w:hint="eastAsia" w:eastAsia="宋体"/>
          <w:color w:val="auto"/>
          <w:lang w:val="en-US" w:eastAsia="zh-CN" w:bidi="ar"/>
        </w:rPr>
        <w:t>例如</w:t>
      </w:r>
      <w:r>
        <w:rPr>
          <w:rStyle w:val="302"/>
          <w:rFonts w:hint="default"/>
          <w:color w:val="auto"/>
          <w:lang w:val="en-US" w:bidi="ar"/>
        </w:rPr>
        <w:t>：外供电、景观绿化、房建工程、专题研究等。发包人出于确保技术标准统一，确保工作质量和便于设计方案获得相关部门认可等工作需要，在符合合同分包管理约定的前提下，有权要求设计人将该专项（业）设计工作分包给具备相应资质的单位实施，设计人必须无条件执行， 分包单位须经发包人批准。设计人须按合同约定对该项专项（业）设计工作实施管理并承担连带责任，按时足额支付费用。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4.1.6.14 设计人应做好地质勘察作业过程中的钻孔、原位试验等隐蔽工程记录， 留存相关作业、 验收影相资料，隐蔽工程记录和影像留存方案须经发包人批准同意；无条件接受并配合发包人或发包人委托的咨询单位对上述隐蔽工程的检查、验收。未经发包人或咨询单位确认的隐蔽工程不予计量结算，隐蔽工程记录和影像留存不符合发包人要求的，发包人有权不予计量结算。</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4.1.6.15 为完成勘察设计及相关工作所需的一切生产设备设施、仪器、工属具、办公场所、办公用品、临时占地和临时设施（搭设、维护、管理和拆除）及工作人员的食宿、交通差旅等费用均由设计人自行负责，且已包含在合同价格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4.1.6.16 设计人应按发包人要求，在设计文件中对各种可能的方案进行深入比选， 各种比选方案均应进行同等深度的论证和比较，并向发包人推荐最为经济、合理、可行的方案。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4.1.6.17 勘察设计文件通过审查或经行业主管部门批复后，如发包人认为有部分工程仍需要进一步优化时，设计人应无条件按照发包人要求进行优化设计，发包人不再另行支付费用。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4.1.6.18 设计人负责提供相关的技术配合服务至工程竣工验收，包括但不限于按合同约定和发包人要求提供施工招标配合服务、施工至竣工验收期间的设计技术配合服务（设计交底、设计代表驻场技术服务、补充勘察、设计变更处理、工程验收等）等， 相关技术</w:t>
      </w:r>
      <w:bookmarkStart w:id="97" w:name="_GoBack"/>
      <w:bookmarkEnd w:id="97"/>
      <w:r>
        <w:rPr>
          <w:rStyle w:val="302"/>
          <w:rFonts w:hint="default"/>
          <w:color w:val="auto"/>
          <w:lang w:val="en-US" w:bidi="ar"/>
        </w:rPr>
        <w:t>服务费已包含在勘察设计合同价格中。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4.1.6.19 设计人应与其雇佣的人员签订劳动合同，并按时足额发放工资。 设计人应按劳动法等相关法规要求，合理安排工作时间， 保证其雇佣人员享有法定的休息、 休假的权利。因工作需要占用休息、休假或延长工作时间的，应不超过法律规定的限度， 并按法律规定给予补休或付酬。设计人应按有关法律规定和合同约定，为其雇佣人员办理社会保险、商业保险。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4.1.6.20 设计人在履行本合同过程中所获知的与发包人相关的信息以及本合同项下的工作成果均为保密资料，设计人除在履行本合同项下义务时可向受雇于设计人的相关人员透露外，不得擅自向第三者泄露、转让、交换、赠与或用作其他目的。否则，由设计人承担相应法律责任并赔偿发包人损失。</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4.1.6.21 发包人及咨询单位、行业主管部门对勘察设计的审查、认可或批复并不免除设计人的法定责任，设计人应依法对勘察设计成果负责。</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4.1.6.22 合同价格应专款专用， 发包人按合同约定支付给设计人的各项价款，设计人应专用于本合同勘察设计工作，不得违法违规挪作他用。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4.1.6.23 设计人负责协助发包人组织各类勘察设计审查、评审会、咨询会（包括工作大纲评审会、中间或最终成果评审会、专项方案审查（评审）会、成果专家审查会及发包人要求的与勘察设计工作相关的会议）。</w:t>
      </w:r>
    </w:p>
    <w:p>
      <w:pPr>
        <w:widowControl/>
        <w:spacing w:line="360" w:lineRule="auto"/>
        <w:ind w:firstLine="480" w:firstLineChars="200"/>
        <w:rPr>
          <w:rStyle w:val="302"/>
          <w:rFonts w:hint="default"/>
          <w:color w:val="auto"/>
          <w:u w:val="single"/>
          <w:lang w:val="en-US" w:bidi="ar"/>
        </w:rPr>
      </w:pPr>
      <w:r>
        <w:rPr>
          <w:rStyle w:val="302"/>
          <w:rFonts w:hint="default"/>
          <w:color w:val="auto"/>
          <w:lang w:val="en-US" w:bidi="ar"/>
        </w:rPr>
        <w:t>4.1.6.24 工程建设进入施工阶段后， 因工作需要须对工程地质情况进行补充勘察的，发包人有权要求设计人负责补充勘察，设计人应无条件接受并及时安排船机设备进行补充勘察并提交工作成果， 如补充勘察属于设计人责任导致的，补充勘察费用由设计人自行承担，非设计人责任导致的，补充勘察费用由发包人负责。</w:t>
      </w:r>
    </w:p>
    <w:p>
      <w:pPr>
        <w:widowControl/>
        <w:spacing w:line="360" w:lineRule="auto"/>
        <w:ind w:firstLine="480" w:firstLineChars="200"/>
        <w:rPr>
          <w:rStyle w:val="302"/>
          <w:rFonts w:hint="default"/>
          <w:color w:val="auto"/>
          <w:u w:val="single"/>
          <w:lang w:val="en-US" w:bidi="ar"/>
        </w:rPr>
      </w:pPr>
      <w:r>
        <w:rPr>
          <w:rStyle w:val="302"/>
          <w:rFonts w:hint="default"/>
          <w:color w:val="auto"/>
          <w:lang w:val="en-US" w:bidi="ar"/>
        </w:rPr>
        <w:t>4.1.6.25设计人应及时完成发包人可能提出的设计变更及设计增加。若发包人提出的设计变更及设计增加累计增加的工程费用在总工程费用的</w:t>
      </w:r>
      <w:r>
        <w:rPr>
          <w:rStyle w:val="302"/>
          <w:rFonts w:hint="default"/>
          <w:color w:val="auto"/>
          <w:u w:val="single"/>
          <w:lang w:val="en-US" w:bidi="ar"/>
        </w:rPr>
        <w:t xml:space="preserve">  %以内（含  %）</w:t>
      </w:r>
      <w:r>
        <w:rPr>
          <w:rStyle w:val="302"/>
          <w:rFonts w:hint="default"/>
          <w:color w:val="auto"/>
          <w:lang w:val="en-US" w:bidi="ar"/>
        </w:rPr>
        <w:t>，不予另行增加设计费用。若发包人提出的设计变更及设计增加累计增加的工程费用超过总工程费用</w:t>
      </w:r>
      <w:r>
        <w:rPr>
          <w:rStyle w:val="302"/>
          <w:rFonts w:hint="default"/>
          <w:color w:val="auto"/>
          <w:u w:val="single"/>
          <w:lang w:val="en-US" w:bidi="ar"/>
        </w:rPr>
        <w:t xml:space="preserve">   %的</w:t>
      </w:r>
      <w:r>
        <w:rPr>
          <w:rStyle w:val="302"/>
          <w:rFonts w:hint="default"/>
          <w:color w:val="auto"/>
          <w:lang w:val="en-US" w:bidi="ar"/>
        </w:rPr>
        <w:t>，超过部分另行协商确定。设计变更的工程费用以施工图预算单价计算， 总工程费为批复的预算总工程费。</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4.1.6.26设计人应保证辅助建筑物施工图符合当地规划报建相关规定及要求，若设计人需委托咨询机构进行技术咨询的，所产生的的费用由设计人自行承担。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4.1.6.27 设计人应加强廉政建设，做好廉洁自律工作，为预防和遏制腐败现象的产生，发包人和设计人在签订勘察设计合同的同时，需按照本招标文件规定的格式和要求签订廉政合同，明确双方在廉政建设方面的权利、义务以及应承担的违约责任。</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 xml:space="preserve">4.1.6.28设计人应遵守《水运工程建设市场管理办法》、部省级规定以及发包人印发的勘察设计管理方面的相关规定，接受并配合发包人根据上述办法、规定进行的检查、 考核。对于设计人的违约、违规等行为，发包人有权视情况上报交通运输主管部门并按规定在信用评价中扣分处理。 </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4.2履约保证金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增加4.2.2款</w:t>
      </w:r>
      <w:r>
        <w:rPr>
          <w:rStyle w:val="302"/>
          <w:rFonts w:hint="default" w:ascii="华文中宋" w:hAnsi="华文中宋" w:eastAsia="华文中宋" w:cs="华文中宋"/>
          <w:color w:val="auto"/>
          <w:lang w:val="en-US" w:bidi="ar"/>
        </w:rPr>
        <w:t>~</w:t>
      </w:r>
      <w:r>
        <w:rPr>
          <w:rStyle w:val="302"/>
          <w:rFonts w:hint="default"/>
          <w:color w:val="auto"/>
          <w:lang w:val="en-US" w:bidi="ar"/>
        </w:rPr>
        <w:t>4.2.3款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4.2.2 发包人应在收到设计人缴纳的质量保证金后28天内将履约保证金退还给设计人。设计人拒绝按照本合同约定缴纳质量保证金的，发包人有权从勘察设计费中扣留相应金额作为质量保证金。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4.2.3 发包人对履约保证金提出的任何索赔要求，均应在履约保证金有效期内提出。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 分包和不得转包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内容修改如下：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4.3.1 设计人不得将其勘察设计的全部工作转包给第三人。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4.3.2 设计人不得将勘察设计的主体、关键性工作分包给第三人。除专用合同条款另有约定外，经发包人同意，设计人可将工程设计中跨专业或有特殊要求的勘察、设计工作进行分包。未列入投标文件的勘察设计工作，设计人不得分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4.3.3 发包人同意设计人分包工作的，设计人应在分包合同签订之日起7天内向发包人提交1份分包合同副本，并对分包工作质量承担连带责任。除专用合同条款另有约定外，分包人的勘察设计费用由设计人向分包人自行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4.3.4 分包人的资格能力应与其分包工作的标准和规模相适应，包括必要的企业资质、人员、设备和类似业绩等。分包人不得将分包项目再次分包或转包。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4.3.5 发包人对设计人与各分包人之间的法律和经济纠纷不承担任何责任和义务。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4.4联合体</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4.4.3 款细化如下：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4.4.3 联合体牵头人负责与发包人联系并接受指示，负责组织联合体各成员全面履行合同。发包人就本合同工程向联合体牵头人发布的任何指令、指示、通知等均对联合体其他成员具有同等效力。</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增加4.4.4款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4.4.4 未经发包人同意，联合体的组成、结构与业务分工均不得变动。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4.6 勘察设计人员的管理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增加4.6.5款</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lang w:val="en-US" w:bidi="ar"/>
        </w:rPr>
        <w:t>4.6.5 设计人的工作进度未达到设计人投标文件中承诺的进度计划时，发包人有权要求设计人增加勘察设计人员，设计人应立即安排，其费用视为已包含在合同价格中。</w:t>
      </w:r>
    </w:p>
    <w:p>
      <w:pPr>
        <w:widowControl/>
        <w:spacing w:line="360" w:lineRule="auto"/>
        <w:rPr>
          <w:rFonts w:hint="eastAsia" w:ascii="宋体" w:hAnsi="宋体" w:cs="宋体"/>
          <w:color w:val="auto"/>
          <w:sz w:val="28"/>
          <w:szCs w:val="28"/>
          <w:lang w:val="en-US" w:bidi="ar"/>
        </w:rPr>
      </w:pPr>
      <w:r>
        <w:rPr>
          <w:rStyle w:val="302"/>
          <w:rFonts w:hint="default"/>
          <w:b/>
          <w:bCs/>
          <w:color w:val="auto"/>
          <w:sz w:val="28"/>
          <w:szCs w:val="28"/>
          <w:lang w:val="en-US" w:bidi="ar"/>
        </w:rPr>
        <w:t>5. 勘察设计要求</w:t>
      </w:r>
    </w:p>
    <w:p>
      <w:pPr>
        <w:widowControl/>
        <w:spacing w:line="360" w:lineRule="auto"/>
        <w:ind w:firstLine="482" w:firstLineChars="200"/>
        <w:rPr>
          <w:rStyle w:val="302"/>
          <w:rFonts w:hint="default"/>
          <w:color w:val="auto"/>
          <w:lang w:val="en-US" w:bidi="ar"/>
        </w:rPr>
      </w:pPr>
      <w:r>
        <w:rPr>
          <w:rStyle w:val="302"/>
          <w:rFonts w:hint="default"/>
          <w:b/>
          <w:bCs/>
          <w:color w:val="auto"/>
          <w:lang w:val="en-US" w:bidi="ar"/>
        </w:rPr>
        <w:t xml:space="preserve">5.1 </w:t>
      </w:r>
      <w:r>
        <w:rPr>
          <w:rStyle w:val="302"/>
          <w:rFonts w:hint="default"/>
          <w:color w:val="auto"/>
          <w:lang w:val="en-US" w:bidi="ar"/>
        </w:rPr>
        <w:t>一般要求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5.1.1 款和5.1.4款细化如下：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5.1.1 发包人应遵守法律、规范标准以及发包人颁发的勘察设计实施方案、细则、标准图及通用图等，不得以任何理由要求设计人违反法律和工程质量、安全标准进行勘察设计服务，降低工程质量。</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5.1.4 设计人在勘察设计服务中选用的材料、设备，应注明其规格、型号、性能等技术指标及适应性，满足质量、安全、节能、环保等要求，但不得指定生产厂、供应商和产品品牌。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 5.1.5款</w:t>
      </w:r>
      <w:r>
        <w:rPr>
          <w:rStyle w:val="302"/>
          <w:rFonts w:hint="default" w:ascii="华文中宋" w:hAnsi="华文中宋" w:eastAsia="华文中宋" w:cs="华文中宋"/>
          <w:color w:val="auto"/>
          <w:lang w:val="en-US" w:bidi="ar"/>
        </w:rPr>
        <w:t>~</w:t>
      </w:r>
      <w:r>
        <w:rPr>
          <w:rStyle w:val="302"/>
          <w:rFonts w:hint="default"/>
          <w:color w:val="auto"/>
          <w:lang w:val="en-US" w:bidi="ar"/>
        </w:rPr>
        <w:t>5.1.8款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5.1.5 设计人必须贯彻“技术先进、安全可靠、适用耐久、经济合理” 的基本原则，加强总体设计，重视与城镇建设总体规划、土地开发利用规划、农田水利、森林植被、水土保持、生态环境、特殊设施保护区、其他运输方式和其他建设工程的总体协调和配合，节约资源、保护环境、合理选用技术指标、 树立全寿命周期成本的理念，充分发挥工程建设项目经济、社会和环境的综合效益。</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5.1.6 设计人提供的勘察设计成果必须满足工程施工的需要，若由于设计人勘察深度不足（包括勘察不准确、地形不符等）、设计调查不全面或设计方案欠妥等设计人原因造成需要补勘、完善、修改或变更设计的，设计人在收到发包人的通知后必须3天内到达现场开展补勘或加密勘探，否则发包人有权委托其他有资质的单位完成本项工作而无须设计人同意，其实际发生地质勘探费用与设计合同中相关费用的差额及变更的设计费由设计人承担，并按合同条款课以违约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5.1.7 设计人应结合项目是否穿越或邻近水源保护区、森林公园、石油天然气管道、铁路，公路等，在进行相关设计方案时，应充分考虑施工可行性，并对上述工程的临时工程和设施进行专项设计，临时工程和设施包括但不限于邻近水源保护区、森林公园、石油天然气管道、铁路，公路的防护设计、重要工点的临时措施方案设计，并将费用纳入概算中。</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5.1.8 设计人在编制项目概算时，应对项目建设所需主要材料价格、征地拆迁政策、新技术应用等主要造价影响因素进行调查分析，并充分考虑拆迁的政策性调整、工期延长、方案变更等影响，计算合理的费用。</w:t>
      </w:r>
    </w:p>
    <w:p>
      <w:pPr>
        <w:widowControl/>
        <w:spacing w:line="360" w:lineRule="auto"/>
        <w:ind w:firstLine="482" w:firstLineChars="200"/>
        <w:rPr>
          <w:rStyle w:val="302"/>
          <w:rFonts w:hint="default"/>
          <w:color w:val="auto"/>
          <w:lang w:val="en-US" w:bidi="ar"/>
        </w:rPr>
      </w:pPr>
      <w:r>
        <w:rPr>
          <w:rStyle w:val="302"/>
          <w:rFonts w:hint="default"/>
          <w:b/>
          <w:bCs/>
          <w:color w:val="auto"/>
          <w:lang w:val="en-US" w:bidi="ar"/>
        </w:rPr>
        <w:t>5.3</w:t>
      </w:r>
      <w:r>
        <w:rPr>
          <w:rStyle w:val="302"/>
          <w:rFonts w:hint="default"/>
          <w:color w:val="auto"/>
          <w:lang w:val="en-US" w:bidi="ar"/>
        </w:rPr>
        <w:t>勘察设计范围</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5.3.2 </w:t>
      </w:r>
      <w:r>
        <w:rPr>
          <w:rStyle w:val="302"/>
          <w:rFonts w:hint="default"/>
          <w:color w:val="auto"/>
          <w:lang w:val="en-US" w:bidi="ar"/>
        </w:rPr>
        <w:t>工程范围包括：</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5.3.3 </w:t>
      </w:r>
      <w:r>
        <w:rPr>
          <w:rStyle w:val="302"/>
          <w:rFonts w:hint="default"/>
          <w:color w:val="auto"/>
          <w:lang w:val="en-US" w:bidi="ar"/>
        </w:rPr>
        <w:t>阶段范围包括：</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5.3.4 </w:t>
      </w:r>
      <w:r>
        <w:rPr>
          <w:rStyle w:val="302"/>
          <w:rFonts w:hint="default"/>
          <w:color w:val="auto"/>
          <w:lang w:val="en-US" w:bidi="ar"/>
        </w:rPr>
        <w:t>工作范围包括：</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302"/>
          <w:rFonts w:hint="default"/>
          <w:b/>
          <w:bCs/>
          <w:color w:val="auto"/>
          <w:lang w:val="en-US" w:bidi="ar"/>
        </w:rPr>
        <w:t>5.4</w:t>
      </w:r>
      <w:r>
        <w:rPr>
          <w:rStyle w:val="302"/>
          <w:rFonts w:hint="default"/>
          <w:color w:val="auto"/>
          <w:lang w:val="en-US" w:bidi="ar"/>
        </w:rPr>
        <w:t xml:space="preserve"> 勘察作业要求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5.4.2 勘探增加以下内容：</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（5）设计人应设立勘测、勘察现场机构，负责现场勘测、勘察工作及发包人管理工作。具体要求如下：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①设计人开展地质勘察前，需将该阶段的工作内容、实施方案、详细的计划进度表、及投入的机械和人员上报给发包人；发包人将组织对设计人上报内容进行审查。且设计人须得到发包人以书面的形式允许后方可实施。否则发包人可视为设计人的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②若设计人根据现场情况需变更地质勘察的方案，需经发包人签字确认后方可实施；</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③设计人的地质勘察报告必须经发包人审查确认后，才能作为设计依据，且作为发包人该阶段计量支付的依据。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增加5.4.5款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5.4.5 其他要求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（1）设计人应在勘察过程中重视地质环境对安全的影响，提交的勘察报告应真实、准确、可靠，满足工程安全生产的需要，并对勘察结论负责。</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（2）工程勘察布点应参考发包人提供的资料。勘探点的数量、深度和位置可根据地质情况和现场条件依据规范进行调整，但应经发包人同意和批准。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（3）勘探过程中应认真记录每日工作内容，保存原始记录资料与数据，以供发包人检查和分析。</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（4）在钻探过程中，如发包人根据规范需要更改取样间距与现场试验的要求，或更改钻孔深度，设计人应积极配合并安排实施。</w:t>
      </w:r>
    </w:p>
    <w:p>
      <w:pPr>
        <w:widowControl/>
        <w:spacing w:line="360" w:lineRule="auto"/>
        <w:ind w:firstLine="480" w:firstLineChars="200"/>
        <w:rPr>
          <w:rStyle w:val="409"/>
          <w:rFonts w:hint="eastAsia" w:ascii="宋体" w:hAnsi="宋体" w:cs="宋体"/>
          <w:color w:val="auto"/>
          <w:sz w:val="24"/>
          <w:szCs w:val="24"/>
          <w:lang w:val="en-US" w:bidi="ar"/>
        </w:rPr>
      </w:pPr>
      <w:r>
        <w:rPr>
          <w:rStyle w:val="302"/>
          <w:rFonts w:hint="default"/>
          <w:color w:val="auto"/>
          <w:lang w:val="en-US" w:bidi="ar"/>
        </w:rPr>
        <w:t>（5）设计人在钻探过程中应对地下管线和构筑物进行相应保护，遇到地下文物时应及时向发包人和文物保护部门汇报并妥善保护。设计人在钻探过程中应采取有效的环境保护措施，避免对周围环境造成破坏或污染。</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5.7 </w:t>
      </w:r>
      <w:r>
        <w:rPr>
          <w:rStyle w:val="302"/>
          <w:rFonts w:hint="default"/>
          <w:color w:val="auto"/>
          <w:lang w:val="en-US" w:bidi="ar"/>
        </w:rPr>
        <w:t>安全作业要求</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5.7.1 </w:t>
      </w:r>
      <w:r>
        <w:rPr>
          <w:rStyle w:val="302"/>
          <w:rFonts w:hint="default"/>
          <w:color w:val="auto"/>
          <w:lang w:val="en-US" w:bidi="ar"/>
        </w:rPr>
        <w:t>设计人编制安全措施计划的期限：</w:t>
      </w:r>
      <w:r>
        <w:rPr>
          <w:rStyle w:val="302"/>
          <w:rFonts w:hint="default"/>
          <w:color w:val="auto"/>
          <w:u w:val="single"/>
          <w:lang w:val="en-US" w:bidi="ar"/>
        </w:rPr>
        <w:t xml:space="preserve">  签订合同协议书后  天之内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 勘察设计文件要求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增加5.10.5款</w:t>
      </w:r>
      <w:r>
        <w:rPr>
          <w:rStyle w:val="302"/>
          <w:rFonts w:hint="default" w:ascii="华文中宋" w:hAnsi="华文中宋" w:eastAsia="华文中宋" w:cs="华文中宋"/>
          <w:color w:val="auto"/>
          <w:lang w:val="en-US" w:bidi="ar"/>
        </w:rPr>
        <w:t>~</w:t>
      </w:r>
      <w:r>
        <w:rPr>
          <w:rStyle w:val="302"/>
          <w:rFonts w:hint="default"/>
          <w:color w:val="auto"/>
          <w:lang w:val="en-US" w:bidi="ar"/>
        </w:rPr>
        <w:t>5.10.9款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5.10.5 勘察设计文件必须符合下列要求：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（1）勘察设计文件的编制必须严格执行国家基本建设程序、工程建设标准强制性条文及有关水运工程建设的法律、法规、规章、规范、标准、规程、定额和合同的要求。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（3）勘察设计文件必须保证工程质量和安全的要求，符合安全、适用、耐久、经济、美观的综合要求；并应特别注意沿线景观及沿线设施的协调性和符合环境保护、水土保持的要求。</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5.10.6 设计人应根据批复的可行性研究报告和相关规定的设计深度完成初步设计工作。初步设计文件经审查批复后，作为编制施工图设计文件和控制建设项目投资的依据。</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5.10.7 若发包人或发包人上级主管部门认为需要进行技术设计，设计人应根据发包人要求，按有关规定编制技术设计文件和修正概算，并通过发包人上级主管部门的审查。如果发包人在招标阶段已明确本项目包括技术设计并且在报价清单中已列有相应报价子目，则按设计人在报价清单中所报的相应费用支付；否则，对于发包人在项目实施过程中提出的技术设计，发包人应另行支付费用。</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5.10.8 设计人应按批准的初步设计完成施工图设计工作，并接受发包人、咨询单位及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为编制施工招标文件的依据。</w:t>
      </w:r>
    </w:p>
    <w:p>
      <w:pPr>
        <w:widowControl/>
        <w:spacing w:line="360" w:lineRule="auto"/>
        <w:ind w:firstLine="480" w:firstLineChars="200"/>
        <w:rPr>
          <w:rFonts w:hint="eastAsia" w:ascii="宋体" w:hAnsi="宋体" w:cs="宋体"/>
          <w:color w:val="auto"/>
          <w:sz w:val="28"/>
          <w:szCs w:val="28"/>
          <w:lang w:val="en-US" w:bidi="ar"/>
        </w:rPr>
      </w:pPr>
      <w:r>
        <w:rPr>
          <w:rStyle w:val="302"/>
          <w:rFonts w:hint="default"/>
          <w:color w:val="auto"/>
          <w:lang w:val="en-US" w:bidi="ar"/>
        </w:rPr>
        <w:t>5.10.9 当发包人、咨询单位或上级主管部门认为需调用设计人的设计计算书时，设计人必须及时提供。</w:t>
      </w:r>
      <w:r>
        <w:rPr>
          <w:rStyle w:val="302"/>
          <w:rFonts w:hint="default"/>
          <w:color w:val="auto"/>
          <w:lang w:val="en-US" w:bidi="ar"/>
        </w:rPr>
        <w:br w:type="textWrapping"/>
      </w:r>
      <w:r>
        <w:rPr>
          <w:rStyle w:val="302"/>
          <w:rFonts w:hint="default"/>
          <w:b/>
          <w:bCs/>
          <w:color w:val="auto"/>
          <w:sz w:val="28"/>
          <w:szCs w:val="28"/>
          <w:lang w:val="en-US" w:bidi="ar"/>
        </w:rPr>
        <w:t>6. 开始勘察设计和完成勘察设计</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6.1 </w:t>
      </w:r>
      <w:r>
        <w:rPr>
          <w:rStyle w:val="302"/>
          <w:rFonts w:hint="default"/>
          <w:color w:val="auto"/>
          <w:lang w:val="en-US" w:bidi="ar"/>
        </w:rPr>
        <w:t>开始勘察设计</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6.1.1 </w:t>
      </w:r>
      <w:r>
        <w:rPr>
          <w:rStyle w:val="302"/>
          <w:rFonts w:hint="default"/>
          <w:color w:val="auto"/>
          <w:lang w:val="en-US" w:bidi="ar"/>
        </w:rPr>
        <w:t>满足以下条件时，设计人应开始勘察设计通知：</w:t>
      </w:r>
      <w:r>
        <w:rPr>
          <w:rStyle w:val="302"/>
          <w:rFonts w:hint="default"/>
          <w:color w:val="auto"/>
          <w:u w:val="single"/>
          <w:lang w:val="en-US" w:bidi="ar"/>
        </w:rPr>
        <w:t xml:space="preserve"> 签订合同后  </w:t>
      </w:r>
      <w:r>
        <w:rPr>
          <w:rStyle w:val="302"/>
          <w:rFonts w:hint="default"/>
          <w:color w:val="auto"/>
          <w:lang w:val="en-US" w:bidi="ar"/>
        </w:rPr>
        <w:t>。</w:t>
      </w:r>
    </w:p>
    <w:p>
      <w:pPr>
        <w:widowControl/>
        <w:spacing w:line="360" w:lineRule="auto"/>
        <w:ind w:left="480" w:leftChars="200"/>
        <w:rPr>
          <w:rStyle w:val="302"/>
          <w:rFonts w:hint="default"/>
          <w:color w:val="auto"/>
          <w:lang w:val="en-US" w:bidi="ar"/>
        </w:rPr>
      </w:pPr>
      <w:r>
        <w:rPr>
          <w:rStyle w:val="302"/>
          <w:rFonts w:hint="default"/>
          <w:color w:val="auto"/>
          <w:lang w:val="en-US" w:bidi="ar"/>
        </w:rPr>
        <w:t>勘察设计服务周期安排：</w:t>
      </w:r>
      <w:r>
        <w:rPr>
          <w:rStyle w:val="302"/>
          <w:rFonts w:hint="default"/>
          <w:color w:val="auto"/>
          <w:u w:val="single"/>
          <w:lang w:val="en-US" w:bidi="ar"/>
        </w:rPr>
        <w:t xml:space="preserve"> 详见专用合同条款8.1.3款的时间要求   </w:t>
      </w:r>
      <w:r>
        <w:rPr>
          <w:rStyle w:val="302"/>
          <w:rFonts w:hint="default"/>
          <w:color w:val="auto"/>
          <w:lang w:val="en-US" w:bidi="ar"/>
        </w:rPr>
        <w:t xml:space="preserve">。 </w:t>
      </w:r>
      <w:r>
        <w:rPr>
          <w:rStyle w:val="302"/>
          <w:rFonts w:hint="default"/>
          <w:color w:val="auto"/>
          <w:lang w:val="en-US" w:bidi="ar"/>
        </w:rPr>
        <w:br w:type="textWrapping"/>
      </w:r>
      <w:r>
        <w:rPr>
          <w:rStyle w:val="302"/>
          <w:rFonts w:hint="default"/>
          <w:color w:val="auto"/>
          <w:lang w:val="en-US" w:bidi="ar"/>
        </w:rPr>
        <w:t>增加6.1.3款</w:t>
      </w:r>
      <w:r>
        <w:rPr>
          <w:rStyle w:val="302"/>
          <w:rFonts w:hint="default" w:ascii="华文中宋" w:hAnsi="华文中宋" w:eastAsia="华文中宋" w:cs="华文中宋"/>
          <w:color w:val="auto"/>
          <w:lang w:val="en-US" w:bidi="ar"/>
        </w:rPr>
        <w:t>~</w:t>
      </w:r>
      <w:r>
        <w:rPr>
          <w:rStyle w:val="302"/>
          <w:rFonts w:hint="default"/>
          <w:color w:val="auto"/>
          <w:lang w:val="en-US" w:bidi="ar"/>
        </w:rPr>
        <w:t>6.1.6款</w:t>
      </w:r>
    </w:p>
    <w:p>
      <w:pPr>
        <w:widowControl/>
        <w:spacing w:line="360" w:lineRule="auto"/>
        <w:ind w:left="480" w:leftChars="200"/>
        <w:rPr>
          <w:rStyle w:val="302"/>
          <w:rFonts w:hint="default"/>
          <w:color w:val="auto"/>
          <w:lang w:val="en-US" w:bidi="ar"/>
        </w:rPr>
      </w:pPr>
      <w:r>
        <w:rPr>
          <w:rStyle w:val="302"/>
          <w:rFonts w:hint="default"/>
          <w:color w:val="auto"/>
          <w:lang w:val="en-US" w:bidi="ar"/>
        </w:rPr>
        <w:t>6.1.3 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6.1.4 设计人在开展专题研究之前，应针对专题研究的具体内容提交详细的工作大纲（含电子文件一份），报发包人审核后实施，并作为勘察设计合同文件的组成部分。</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6.1.5 发包人对设计人勘察设计详细工作大纲及进度计划、专题研究详细工作大纲的审查，并不免除设计人对本项目勘察设计（含专题研究）应承担的责任。</w:t>
      </w:r>
    </w:p>
    <w:p>
      <w:pPr>
        <w:widowControl/>
        <w:spacing w:line="360" w:lineRule="auto"/>
        <w:ind w:left="480" w:leftChars="200"/>
        <w:rPr>
          <w:rStyle w:val="302"/>
          <w:rFonts w:hint="default"/>
          <w:color w:val="auto"/>
          <w:lang w:val="en-US" w:bidi="ar"/>
        </w:rPr>
      </w:pPr>
      <w:r>
        <w:rPr>
          <w:rStyle w:val="302"/>
          <w:rFonts w:hint="default"/>
          <w:color w:val="auto"/>
          <w:lang w:val="en-US" w:bidi="ar"/>
        </w:rPr>
        <w:t>6.1.6 设计人应在每月月底向发包人提供进度报告，说明该月工作进展情况及下月计划安排，并根据发包人要求，参加发包人组织的月度工作例会。</w:t>
      </w:r>
    </w:p>
    <w:p>
      <w:pPr>
        <w:widowControl/>
        <w:spacing w:line="360" w:lineRule="auto"/>
        <w:ind w:left="480" w:leftChars="200"/>
        <w:rPr>
          <w:rFonts w:hint="eastAsia" w:ascii="宋体" w:hAnsi="宋体" w:cs="宋体"/>
          <w:color w:val="auto"/>
        </w:rPr>
      </w:pPr>
      <w:r>
        <w:rPr>
          <w:rStyle w:val="409"/>
          <w:rFonts w:hint="eastAsia" w:ascii="宋体" w:hAnsi="宋体" w:cs="宋体"/>
          <w:color w:val="auto"/>
          <w:sz w:val="24"/>
          <w:szCs w:val="24"/>
          <w:lang w:val="en-US" w:bidi="ar"/>
        </w:rPr>
        <w:t xml:space="preserve">6.2 </w:t>
      </w:r>
      <w:r>
        <w:rPr>
          <w:rStyle w:val="302"/>
          <w:rFonts w:hint="default"/>
          <w:color w:val="auto"/>
          <w:lang w:val="en-US" w:bidi="ar"/>
        </w:rPr>
        <w:t>发包人引起的周期延误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由于发包人原因造成勘察设计服务期限延误的，延长勘察设计服务期限的计算方法：</w:t>
      </w:r>
      <w:r>
        <w:rPr>
          <w:rStyle w:val="302"/>
          <w:rFonts w:hint="default"/>
          <w:color w:val="auto"/>
          <w:u w:val="single"/>
          <w:lang w:val="en-US" w:bidi="ar"/>
        </w:rPr>
        <w:t xml:space="preserve">  根据具体延误原因由发包人与设计人协商确定延长的服务期限   </w:t>
      </w:r>
      <w:r>
        <w:rPr>
          <w:rStyle w:val="302"/>
          <w:rFonts w:hint="default"/>
          <w:color w:val="auto"/>
          <w:lang w:val="en-US" w:bidi="ar"/>
        </w:rPr>
        <w:t>；增加勘察设计费用的计算方法：</w:t>
      </w:r>
      <w:r>
        <w:rPr>
          <w:rStyle w:val="302"/>
          <w:rFonts w:hint="default"/>
          <w:color w:val="auto"/>
          <w:u w:val="single"/>
          <w:lang w:val="en-US" w:bidi="ar"/>
        </w:rPr>
        <w:t xml:space="preserve">  按照对应合同段勘察设计最高投标限价的计算依据和取值参数并结合设计人增加的工作量及投标人中标价下浮率进行计算，或由发包人与设计人协商确定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6.3 </w:t>
      </w:r>
      <w:r>
        <w:rPr>
          <w:rStyle w:val="302"/>
          <w:rFonts w:hint="default"/>
          <w:color w:val="auto"/>
          <w:lang w:val="en-US" w:bidi="ar"/>
        </w:rPr>
        <w:t>设计人引起的周期延误</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逾期违约金的计算方法：</w:t>
      </w:r>
      <w:r>
        <w:rPr>
          <w:rStyle w:val="302"/>
          <w:rFonts w:hint="default"/>
          <w:color w:val="auto"/>
          <w:u w:val="single"/>
          <w:lang w:val="en-US" w:bidi="ar"/>
        </w:rPr>
        <w:t xml:space="preserve">      元/天</w:t>
      </w:r>
      <w:r>
        <w:rPr>
          <w:rStyle w:val="302"/>
          <w:rFonts w:hint="default"/>
          <w:color w:val="auto"/>
          <w:lang w:val="en-US" w:bidi="ar"/>
        </w:rPr>
        <w:t>；逾期违约金的最高限额：</w:t>
      </w:r>
      <w:r>
        <w:rPr>
          <w:rStyle w:val="302"/>
          <w:rFonts w:hint="default"/>
          <w:color w:val="auto"/>
          <w:u w:val="single"/>
          <w:lang w:val="en-US" w:bidi="ar"/>
        </w:rPr>
        <w:t xml:space="preserve">  10%签约合同价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6.5 </w:t>
      </w:r>
      <w:r>
        <w:rPr>
          <w:rStyle w:val="302"/>
          <w:rFonts w:hint="default"/>
          <w:color w:val="auto"/>
          <w:lang w:val="en-US" w:bidi="ar"/>
        </w:rPr>
        <w:t>非人为因素引起的周期延误</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6.5.1 </w:t>
      </w:r>
      <w:r>
        <w:rPr>
          <w:rStyle w:val="302"/>
          <w:rFonts w:hint="default"/>
          <w:color w:val="auto"/>
          <w:lang w:val="en-US" w:bidi="ar"/>
        </w:rPr>
        <w:t>异常恶劣气候条件包括：</w:t>
      </w:r>
      <w:r>
        <w:rPr>
          <w:rStyle w:val="302"/>
          <w:rFonts w:hint="default"/>
          <w:color w:val="auto"/>
          <w:u w:val="single"/>
          <w:lang w:val="en-US" w:bidi="ar"/>
        </w:rPr>
        <w:t xml:space="preserve"> 六级以上地震、七级以上强风暴、龙卷风或五十年一遇以上洪水造成重大破坏等情况无法勘察或设计持续 7天以上者等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不利物质条件包括：</w:t>
      </w:r>
      <w:r>
        <w:rPr>
          <w:rStyle w:val="302"/>
          <w:rFonts w:hint="default"/>
          <w:color w:val="auto"/>
          <w:u w:val="single"/>
          <w:lang w:val="en-US" w:bidi="ar"/>
        </w:rPr>
        <w:t xml:space="preserve"> 设计人在勘察场地遇到的不可预见的自然物质条件、非自然的物质障碍和污染物，包括地下和水文条件，如遇见废弃的地下管道、隧道掘进遇瓦斯突出等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6.7 </w:t>
      </w:r>
      <w:r>
        <w:rPr>
          <w:rStyle w:val="302"/>
          <w:rFonts w:hint="default"/>
          <w:color w:val="auto"/>
          <w:lang w:val="en-US" w:bidi="ar"/>
        </w:rPr>
        <w:t>提前完成勘察设计</w:t>
      </w:r>
    </w:p>
    <w:p>
      <w:pPr>
        <w:widowControl/>
        <w:spacing w:line="360" w:lineRule="auto"/>
        <w:ind w:firstLine="480" w:firstLineChars="200"/>
        <w:rPr>
          <w:rStyle w:val="302"/>
          <w:rFonts w:hint="default"/>
          <w:b/>
          <w:bCs/>
          <w:color w:val="auto"/>
          <w:sz w:val="28"/>
          <w:szCs w:val="28"/>
          <w:lang w:val="en-US" w:bidi="ar"/>
        </w:rPr>
      </w:pPr>
      <w:r>
        <w:rPr>
          <w:rStyle w:val="168"/>
          <w:rFonts w:hint="eastAsia" w:ascii="宋体" w:hAnsi="宋体" w:cs="宋体"/>
          <w:color w:val="auto"/>
          <w:lang w:val="en-US" w:bidi="ar"/>
        </w:rPr>
        <w:t xml:space="preserve">6.7.3 </w:t>
      </w:r>
      <w:r>
        <w:rPr>
          <w:rStyle w:val="302"/>
          <w:rFonts w:hint="default"/>
          <w:color w:val="auto"/>
          <w:lang w:val="en-US" w:bidi="ar"/>
        </w:rPr>
        <w:t>由于设计人提前完成勘察设计而给发包人带来经济效益的，发包人给予设计人如下奖励：</w:t>
      </w:r>
      <w:r>
        <w:rPr>
          <w:rStyle w:val="302"/>
          <w:rFonts w:hint="default"/>
          <w:color w:val="auto"/>
          <w:u w:val="single"/>
          <w:lang w:val="en-US" w:bidi="ar"/>
        </w:rPr>
        <w:t xml:space="preserve">   由发包人视情况进行设置   </w:t>
      </w:r>
      <w:r>
        <w:rPr>
          <w:rStyle w:val="302"/>
          <w:rFonts w:hint="default"/>
          <w:color w:val="auto"/>
          <w:lang w:val="en-US" w:bidi="ar"/>
        </w:rPr>
        <w:t>。</w:t>
      </w:r>
      <w:r>
        <w:rPr>
          <w:rStyle w:val="302"/>
          <w:rFonts w:hint="default"/>
          <w:color w:val="auto"/>
          <w:lang w:val="en-US" w:bidi="ar"/>
        </w:rPr>
        <w:br w:type="textWrapping"/>
      </w:r>
      <w:r>
        <w:rPr>
          <w:rStyle w:val="302"/>
          <w:rFonts w:hint="default"/>
          <w:b/>
          <w:bCs/>
          <w:color w:val="auto"/>
          <w:sz w:val="28"/>
          <w:szCs w:val="28"/>
          <w:lang w:val="en-US" w:bidi="ar"/>
        </w:rPr>
        <w:t>8. 勘察设计文件</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8.1 </w:t>
      </w:r>
      <w:r>
        <w:rPr>
          <w:rStyle w:val="302"/>
          <w:rFonts w:hint="default"/>
          <w:color w:val="auto"/>
          <w:lang w:val="en-US" w:bidi="ar"/>
        </w:rPr>
        <w:t>勘察设计文件接收</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8.1.3 </w:t>
      </w:r>
      <w:r>
        <w:rPr>
          <w:rStyle w:val="302"/>
          <w:rFonts w:hint="default"/>
          <w:color w:val="auto"/>
          <w:lang w:val="en-US" w:bidi="ar"/>
        </w:rPr>
        <w:t>勘察设计文件提交要求</w:t>
      </w:r>
      <w:r>
        <w:rPr>
          <w:rStyle w:val="101"/>
          <w:rFonts w:hint="eastAsia" w:ascii="宋体" w:hAnsi="宋体" w:cs="Times New Roman"/>
          <w:color w:val="auto"/>
          <w:sz w:val="30"/>
          <w:lang w:val="en-US"/>
        </w:rPr>
        <w:footnoteReference w:id="98"/>
      </w:r>
      <w:r>
        <w:rPr>
          <w:rStyle w:val="302"/>
          <w:rFonts w:hint="default"/>
          <w:color w:val="auto"/>
          <w:lang w:val="en-US" w:bidi="ar"/>
        </w:rPr>
        <w:t>：</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（1）勘察设计文件提交要求：</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①合同签订后  天内，通过初步设计阶段勘察外业验收并提交初步设计阶段勘察报告送审稿    份；</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②初步设计阶段勘察外业验收后   天内，提交初步设计文件送审稿   份，初步设计审查完毕后  天内按上级主管部门审查要求提交修改后的正式初步设计文件   份；</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③初步设计文件批复后  天内，通过施工图阶段勘察外业验收并提交施工图阶段勘察报告送审稿  份；</w:t>
      </w:r>
    </w:p>
    <w:p>
      <w:pPr>
        <w:widowControl/>
        <w:spacing w:line="360" w:lineRule="auto"/>
        <w:ind w:firstLine="480" w:firstLineChars="200"/>
        <w:rPr>
          <w:rStyle w:val="302"/>
          <w:rFonts w:hint="default"/>
          <w:color w:val="auto"/>
          <w:lang w:val="en-US" w:bidi="ar"/>
        </w:rPr>
      </w:pPr>
      <w:r>
        <w:rPr>
          <w:rStyle w:val="302"/>
          <w:rFonts w:hint="default"/>
          <w:color w:val="auto"/>
          <w:u w:val="single"/>
          <w:lang w:val="en-US" w:bidi="ar"/>
        </w:rPr>
        <w:t>④施工图设计阶段勘察外业验收后   天内，根据发包人招标工作进度的需要，分批提交开展使用招标工作所需的图纸、工程量清单、参考资料、设备技术规格书等资料  份</w:t>
      </w:r>
      <w:r>
        <w:rPr>
          <w:rStyle w:val="302"/>
          <w:rFonts w:hint="default"/>
          <w:color w:val="auto"/>
          <w:lang w:val="en-US" w:bidi="ar"/>
        </w:rPr>
        <w:t>；</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⑥施工现场配合服务：从项目开工至项目竣工验收，施工期暂定为   个月；缺陷责任期   个月。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w:t>
      </w:r>
      <w:r>
        <w:rPr>
          <w:rStyle w:val="168"/>
          <w:rFonts w:hint="eastAsia" w:ascii="宋体" w:hAnsi="宋体" w:cs="宋体"/>
          <w:color w:val="auto"/>
          <w:lang w:val="en-US" w:bidi="ar"/>
        </w:rPr>
        <w:t>2</w:t>
      </w:r>
      <w:r>
        <w:rPr>
          <w:rStyle w:val="302"/>
          <w:rFonts w:hint="default"/>
          <w:color w:val="auto"/>
          <w:lang w:val="en-US" w:bidi="ar"/>
        </w:rPr>
        <w:t>）其他文件的提交要求：</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8.2 </w:t>
      </w:r>
      <w:r>
        <w:rPr>
          <w:rStyle w:val="302"/>
          <w:rFonts w:hint="default"/>
          <w:color w:val="auto"/>
          <w:lang w:val="en-US" w:bidi="ar"/>
        </w:rPr>
        <w:t>发包人审查勘察设计文件</w:t>
      </w:r>
    </w:p>
    <w:p>
      <w:pPr>
        <w:widowControl/>
        <w:spacing w:line="360" w:lineRule="auto"/>
        <w:ind w:firstLine="480" w:firstLineChars="200"/>
        <w:rPr>
          <w:rStyle w:val="302"/>
          <w:rFonts w:hint="default"/>
          <w:color w:val="auto"/>
          <w:u w:val="single"/>
          <w:lang w:val="en-US" w:bidi="ar"/>
        </w:rPr>
      </w:pPr>
      <w:r>
        <w:rPr>
          <w:rStyle w:val="168"/>
          <w:rFonts w:hint="eastAsia" w:ascii="宋体" w:hAnsi="宋体" w:cs="宋体"/>
          <w:color w:val="auto"/>
          <w:lang w:val="en-US" w:bidi="ar"/>
        </w:rPr>
        <w:t xml:space="preserve">8.2.1 </w:t>
      </w:r>
      <w:r>
        <w:rPr>
          <w:rStyle w:val="302"/>
          <w:rFonts w:hint="default"/>
          <w:color w:val="auto"/>
          <w:lang w:val="en-US" w:bidi="ar"/>
        </w:rPr>
        <w:t>发包人审查勘察设计文件的具体范围：</w:t>
      </w:r>
      <w:r>
        <w:rPr>
          <w:rStyle w:val="302"/>
          <w:rFonts w:hint="default"/>
          <w:color w:val="auto"/>
          <w:u w:val="single"/>
          <w:lang w:val="en-US" w:bidi="ar"/>
        </w:rPr>
        <w:t xml:space="preserve">  招标范围内各专业工程的勘察</w:t>
      </w:r>
    </w:p>
    <w:p>
      <w:pPr>
        <w:widowControl/>
        <w:spacing w:line="360" w:lineRule="auto"/>
        <w:rPr>
          <w:rStyle w:val="302"/>
          <w:rFonts w:hint="default"/>
          <w:color w:val="auto"/>
          <w:lang w:val="en-US" w:bidi="ar"/>
        </w:rPr>
      </w:pPr>
      <w:r>
        <w:rPr>
          <w:rStyle w:val="302"/>
          <w:rFonts w:hint="default"/>
          <w:color w:val="auto"/>
          <w:u w:val="single"/>
          <w:lang w:val="en-US" w:bidi="ar"/>
        </w:rPr>
        <w:t xml:space="preserve">成果、设计文件和为了满足勘察设计需要而进行的各种研究试验成果（如需要） </w:t>
      </w:r>
      <w:r>
        <w:rPr>
          <w:rStyle w:val="302"/>
          <w:rFonts w:hint="default"/>
          <w:color w:val="auto"/>
          <w:lang w:val="en-US" w:bidi="ar"/>
        </w:rPr>
        <w:t>；明细内容：</w:t>
      </w:r>
      <w:r>
        <w:rPr>
          <w:rStyle w:val="302"/>
          <w:rFonts w:hint="default"/>
          <w:color w:val="auto"/>
          <w:u w:val="single"/>
          <w:lang w:val="en-US" w:bidi="ar"/>
        </w:rPr>
        <w:t xml:space="preserve"> 初步设计阶段勘察、测量、初步设计、施工图阶段勘察、测量、施工图设计、概预算、工程量清单、参考资料、设备技术规格书等   </w:t>
      </w:r>
      <w:r>
        <w:rPr>
          <w:rStyle w:val="302"/>
          <w:rFonts w:hint="default"/>
          <w:color w:val="auto"/>
          <w:lang w:val="en-US" w:bidi="ar"/>
        </w:rPr>
        <w:t xml:space="preserve"> ；费用分担原则：</w:t>
      </w:r>
      <w:r>
        <w:rPr>
          <w:rStyle w:val="302"/>
          <w:rFonts w:hint="default"/>
          <w:color w:val="auto"/>
          <w:u w:val="single"/>
          <w:lang w:val="en-US" w:bidi="ar"/>
        </w:rPr>
        <w:t xml:space="preserve">   设计范围内的由设计人支付 </w:t>
      </w:r>
      <w:r>
        <w:rPr>
          <w:rStyle w:val="302"/>
          <w:rFonts w:hint="default"/>
          <w:color w:val="auto"/>
          <w:lang w:val="en-US" w:bidi="ar"/>
        </w:rPr>
        <w:t xml:space="preserve">。 </w:t>
      </w:r>
    </w:p>
    <w:p>
      <w:pPr>
        <w:widowControl/>
        <w:spacing w:line="360" w:lineRule="auto"/>
        <w:rPr>
          <w:rStyle w:val="302"/>
          <w:rFonts w:hint="default"/>
          <w:color w:val="auto"/>
          <w:lang w:val="en-US" w:bidi="ar"/>
        </w:rPr>
      </w:pPr>
      <w:r>
        <w:rPr>
          <w:rStyle w:val="302"/>
          <w:rFonts w:hint="default"/>
          <w:b/>
          <w:bCs/>
          <w:color w:val="auto"/>
          <w:sz w:val="28"/>
          <w:szCs w:val="28"/>
          <w:lang w:val="en-US" w:bidi="ar"/>
        </w:rPr>
        <w:t>9. 勘察设计责任与保险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9.3 勘察设计责任主体</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增加9.3.3款</w:t>
      </w:r>
      <w:r>
        <w:rPr>
          <w:rStyle w:val="302"/>
          <w:rFonts w:hint="default" w:ascii="华文中宋" w:hAnsi="华文中宋" w:eastAsia="华文中宋" w:cs="华文中宋"/>
          <w:color w:val="auto"/>
          <w:lang w:val="en-US" w:bidi="ar"/>
        </w:rPr>
        <w:t>~</w:t>
      </w:r>
      <w:r>
        <w:rPr>
          <w:rStyle w:val="302"/>
          <w:rFonts w:hint="default"/>
          <w:color w:val="auto"/>
          <w:lang w:val="en-US" w:bidi="ar"/>
        </w:rPr>
        <w:t>9.3.5款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9.3.3 设计人应按照相关规定，做好设计交底、设计变更和后续服务工作，保障设计意图在施工中得以贯彻落实，及时处理施工中与设计相关的质量技术问题。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9.3.4 本工程交工验收前，设计人应对工程建设内容是否满足设计要求、是否达到使用功能等方面进行综合检查和分析评价，向发包人出具工程设计符合性评价意见。</w:t>
      </w:r>
    </w:p>
    <w:p>
      <w:pPr>
        <w:widowControl/>
        <w:spacing w:line="360" w:lineRule="auto"/>
        <w:ind w:firstLine="480" w:firstLineChars="200"/>
        <w:rPr>
          <w:rFonts w:hint="eastAsia" w:ascii="宋体" w:hAnsi="宋体" w:cs="宋体"/>
          <w:color w:val="auto"/>
        </w:rPr>
      </w:pPr>
      <w:r>
        <w:rPr>
          <w:rStyle w:val="302"/>
          <w:rFonts w:hint="default"/>
          <w:color w:val="auto"/>
          <w:lang w:val="en-US" w:bidi="ar"/>
        </w:rPr>
        <w:t>9.3.5 设计人应依法规范分包行为，并对承担的工程质量负总责，分包单位对分包合同范围内的工程质量负责。</w:t>
      </w:r>
    </w:p>
    <w:p>
      <w:pPr>
        <w:widowControl/>
        <w:spacing w:line="360" w:lineRule="auto"/>
        <w:ind w:left="562" w:hanging="562" w:hangingChars="200"/>
        <w:rPr>
          <w:rFonts w:hint="eastAsia" w:ascii="宋体" w:hAnsi="宋体" w:cs="宋体"/>
          <w:color w:val="auto"/>
          <w:sz w:val="28"/>
          <w:szCs w:val="28"/>
          <w:lang w:val="en-US" w:bidi="ar"/>
        </w:rPr>
      </w:pPr>
      <w:r>
        <w:rPr>
          <w:rStyle w:val="302"/>
          <w:rFonts w:hint="default"/>
          <w:b/>
          <w:bCs/>
          <w:color w:val="auto"/>
          <w:sz w:val="28"/>
          <w:szCs w:val="28"/>
          <w:lang w:val="en-US" w:bidi="ar"/>
        </w:rPr>
        <w:t>10. 招标和施工期间配合</w:t>
      </w:r>
    </w:p>
    <w:p>
      <w:pPr>
        <w:widowControl/>
        <w:spacing w:line="360" w:lineRule="auto"/>
        <w:ind w:left="480" w:leftChars="200"/>
        <w:rPr>
          <w:rStyle w:val="409"/>
          <w:rFonts w:hint="eastAsia" w:ascii="宋体" w:hAnsi="宋体" w:cs="宋体"/>
          <w:b w:val="0"/>
          <w:bCs w:val="0"/>
          <w:color w:val="auto"/>
          <w:sz w:val="24"/>
          <w:szCs w:val="24"/>
          <w:lang w:val="en-US" w:bidi="ar"/>
        </w:rPr>
      </w:pPr>
      <w:r>
        <w:rPr>
          <w:rStyle w:val="409"/>
          <w:rFonts w:hint="eastAsia" w:ascii="宋体" w:hAnsi="宋体" w:cs="宋体"/>
          <w:color w:val="auto"/>
          <w:sz w:val="24"/>
          <w:szCs w:val="24"/>
          <w:lang w:val="en-US" w:bidi="ar"/>
        </w:rPr>
        <w:t xml:space="preserve">10.1.2 </w:t>
      </w:r>
      <w:r>
        <w:rPr>
          <w:rStyle w:val="409"/>
          <w:rFonts w:hint="eastAsia" w:ascii="宋体" w:hAnsi="宋体" w:cs="宋体"/>
          <w:b w:val="0"/>
          <w:bCs w:val="0"/>
          <w:color w:val="auto"/>
          <w:sz w:val="24"/>
          <w:szCs w:val="24"/>
          <w:lang w:val="en-US" w:bidi="ar"/>
        </w:rPr>
        <w:t>款末增加以下内容：设计应保证工程量清单的编制质量，在施工招标完成</w:t>
      </w:r>
    </w:p>
    <w:p>
      <w:pPr>
        <w:widowControl/>
        <w:spacing w:line="360" w:lineRule="auto"/>
        <w:rPr>
          <w:rStyle w:val="409"/>
          <w:rFonts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后，发包人将组织对工程量清单进行复核，出现明显差、错、漏的，按设计人违约处理。</w:t>
      </w:r>
    </w:p>
    <w:p>
      <w:pPr>
        <w:widowControl/>
        <w:spacing w:line="360" w:lineRule="auto"/>
        <w:ind w:left="480" w:leftChars="200"/>
        <w:rPr>
          <w:rStyle w:val="302"/>
          <w:rFonts w:hint="default"/>
          <w:color w:val="auto"/>
          <w:lang w:val="en-US" w:bidi="ar"/>
        </w:rPr>
      </w:pPr>
      <w:r>
        <w:rPr>
          <w:rStyle w:val="409"/>
          <w:rFonts w:hint="eastAsia" w:ascii="宋体" w:hAnsi="宋体" w:cs="宋体"/>
          <w:color w:val="auto"/>
          <w:sz w:val="24"/>
          <w:szCs w:val="24"/>
          <w:lang w:val="en-US" w:bidi="ar"/>
        </w:rPr>
        <w:t xml:space="preserve">10.2 </w:t>
      </w:r>
      <w:r>
        <w:rPr>
          <w:rStyle w:val="302"/>
          <w:rFonts w:hint="default"/>
          <w:color w:val="auto"/>
          <w:lang w:val="en-US" w:bidi="ar"/>
        </w:rPr>
        <w:t>施工期间配合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增加10.2.6款</w:t>
      </w:r>
      <w:r>
        <w:rPr>
          <w:rStyle w:val="302"/>
          <w:rFonts w:hint="default" w:ascii="华文中宋" w:hAnsi="华文中宋" w:eastAsia="华文中宋" w:cs="华文中宋"/>
          <w:color w:val="auto"/>
          <w:lang w:val="en-US" w:bidi="ar"/>
        </w:rPr>
        <w:t>~</w:t>
      </w:r>
      <w:r>
        <w:rPr>
          <w:rStyle w:val="302"/>
          <w:rFonts w:hint="default"/>
          <w:color w:val="auto"/>
          <w:lang w:val="en-US" w:bidi="ar"/>
        </w:rPr>
        <w:t>10.2.7款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10.2.6 设计人应在施工现场设立代表处或派驻经验丰富的设计代表常驻施工现场，做好施工现场服务，并负责解决施工过程中出现的设计问题：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（1）开工前在发包人指定的时间内，做好设计文件的技术交底工作和现场控制点的交接工作（交桩）；</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（2）在发包人规定的时间内，及时处理与解决施工中与设计有关的问题；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（3）在发包人规定的时间内，积极配合发包人对施工及设计方案进行优化设计；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（4）参与工程质量事故分析，并对因设计造成的质量事故，提出相应的技术处理方案；</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（5）参加本工程的交工、竣工验收，提交设计工作报告，并配合质量监督部门校核工程是否按施工图设计施工。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本项目对设计代表的数量和资历条件要求：</w:t>
      </w:r>
      <w:r>
        <w:rPr>
          <w:rStyle w:val="302"/>
          <w:rFonts w:hint="default"/>
          <w:color w:val="auto"/>
          <w:u w:val="single"/>
          <w:lang w:val="en-US" w:bidi="ar"/>
        </w:rPr>
        <w:t>常驻施工现场的设计代表应不少于   名，其中至少有   专业   名，   专业   名，</w:t>
      </w:r>
      <w:r>
        <w:rPr>
          <w:rStyle w:val="168"/>
          <w:rFonts w:hint="eastAsia" w:ascii="宋体" w:hAnsi="宋体" w:cs="宋体"/>
          <w:color w:val="auto"/>
          <w:u w:val="single"/>
          <w:lang w:val="en-US" w:bidi="ar"/>
        </w:rPr>
        <w:t>……</w:t>
      </w:r>
      <w:r>
        <w:rPr>
          <w:rStyle w:val="302"/>
          <w:rFonts w:hint="default"/>
          <w:color w:val="auto"/>
          <w:u w:val="single"/>
          <w:lang w:val="en-US" w:bidi="ar"/>
        </w:rPr>
        <w:t>；设计代表应由负责本勘察设计项目的上述专业分项负责人或项目负责人担任。</w:t>
      </w:r>
    </w:p>
    <w:p>
      <w:pPr>
        <w:widowControl/>
        <w:spacing w:line="360" w:lineRule="auto"/>
        <w:ind w:firstLine="480" w:firstLineChars="200"/>
        <w:rPr>
          <w:rStyle w:val="302"/>
          <w:rFonts w:hint="default"/>
          <w:color w:val="auto"/>
          <w:lang w:val="en-US" w:bidi="ar"/>
        </w:rPr>
      </w:pPr>
      <w:r>
        <w:rPr>
          <w:rStyle w:val="302"/>
          <w:rFonts w:hint="default"/>
          <w:color w:val="auto"/>
          <w:u w:val="single"/>
          <w:lang w:val="en-US" w:bidi="ar"/>
        </w:rPr>
        <w:t>驻场设计代表原则上不能离开施工现场驻地。若离开施工现场驻地必须书面申请并得到发包人批准。未经发包人批准，擅自离开驻地的，按一般违约处理；驻场设计代表未经发包人批准，擅自离开驻地一次3天以上，按严重违约处理。每月请假累计5天以上7天以内的，按一般违约处理；每月请假累计7天以上的，按严重违约处理。</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10.2.7 本项目设计变更的勘察设计由设计人承担，设计人应及时完成勘察设计，提交设计变更文件，并对设计变更文件承担相应责任。除本合同第11条规定之外的设计变更，其勘察设计费用应视为已含入合同价格中，发包人不再另行支付。所有设计变更必须提供预算金额并由设计代表签字确认。</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对于发包人或其上级主管部门提出的工程技术变更或优化设计变更，若不违背相关的现行技术标准、规范，则设计人必须组织技术人员完善相关设计，在发包人要求的时间内提交变更设计图纸；若因设计人未及时提交相关变更图纸严重影响工程实施进展的，发包人将委托满足相应资质要求的设计单位完善变更图纸，由此发生的费用在设计人的设计费中扣除。</w:t>
      </w:r>
    </w:p>
    <w:p>
      <w:pPr>
        <w:widowControl/>
        <w:spacing w:line="360" w:lineRule="auto"/>
        <w:ind w:firstLine="480" w:firstLineChars="200"/>
        <w:rPr>
          <w:rStyle w:val="168"/>
          <w:rFonts w:hint="eastAsia" w:ascii="宋体" w:hAnsi="宋体" w:cs="宋体"/>
          <w:color w:val="auto"/>
          <w:lang w:val="en-US" w:bidi="ar"/>
        </w:rPr>
      </w:pPr>
      <w:r>
        <w:rPr>
          <w:rStyle w:val="302"/>
          <w:rFonts w:hint="default"/>
          <w:color w:val="auto"/>
          <w:u w:val="single"/>
          <w:lang w:val="en-US" w:bidi="ar"/>
        </w:rPr>
        <w:t>所有变更应在发包人规定的时间内提供变更设计文件且应由设计人签字、盖章。较大、重大设计变更概预算由设计人按交通运输主管部门规定格式编制。其他变更概预算如需要亦由设计人按发包人要求提供，费用不另行支付。</w:t>
      </w:r>
    </w:p>
    <w:p>
      <w:pPr>
        <w:widowControl/>
        <w:spacing w:line="360" w:lineRule="auto"/>
        <w:rPr>
          <w:rFonts w:hint="eastAsia" w:ascii="宋体" w:hAnsi="宋体" w:cs="宋体"/>
          <w:color w:val="auto"/>
          <w:sz w:val="28"/>
          <w:szCs w:val="28"/>
          <w:lang w:val="en-US" w:bidi="ar"/>
        </w:rPr>
      </w:pPr>
      <w:r>
        <w:rPr>
          <w:rStyle w:val="302"/>
          <w:rFonts w:hint="default"/>
          <w:b/>
          <w:bCs/>
          <w:color w:val="auto"/>
          <w:sz w:val="28"/>
          <w:szCs w:val="28"/>
          <w:lang w:val="en-US" w:bidi="ar"/>
        </w:rPr>
        <w:t>11.合同变更</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11.1 </w:t>
      </w:r>
      <w:r>
        <w:rPr>
          <w:rStyle w:val="302"/>
          <w:rFonts w:hint="default"/>
          <w:color w:val="auto"/>
          <w:lang w:val="en-US" w:bidi="ar"/>
        </w:rPr>
        <w:t>变更情形</w:t>
      </w:r>
    </w:p>
    <w:p>
      <w:pPr>
        <w:widowControl/>
        <w:spacing w:line="360" w:lineRule="auto"/>
        <w:ind w:firstLine="480" w:firstLineChars="200"/>
        <w:rPr>
          <w:rStyle w:val="302"/>
          <w:rFonts w:hint="default"/>
          <w:color w:val="auto"/>
          <w:u w:val="single"/>
          <w:lang w:val="en-US" w:bidi="ar"/>
        </w:rPr>
      </w:pPr>
      <w:r>
        <w:rPr>
          <w:rStyle w:val="168"/>
          <w:rFonts w:hint="eastAsia" w:ascii="宋体" w:hAnsi="宋体" w:cs="宋体"/>
          <w:color w:val="auto"/>
          <w:lang w:val="en-US" w:bidi="ar"/>
        </w:rPr>
        <w:t xml:space="preserve">11.1.1 </w:t>
      </w:r>
      <w:r>
        <w:rPr>
          <w:rStyle w:val="302"/>
          <w:rFonts w:hint="default"/>
          <w:color w:val="auto"/>
          <w:lang w:val="en-US" w:bidi="ar"/>
        </w:rPr>
        <w:t>合同变更时，勘察设计服务期限的调整方法：</w:t>
      </w:r>
      <w:r>
        <w:rPr>
          <w:rStyle w:val="302"/>
          <w:rFonts w:hint="default"/>
          <w:color w:val="auto"/>
          <w:u w:val="single"/>
          <w:lang w:val="en-US" w:bidi="ar"/>
        </w:rPr>
        <w:t xml:space="preserve"> 根据具体延误原因由发包人与设计人协商确定延长的服务期限  </w:t>
      </w:r>
      <w:r>
        <w:rPr>
          <w:rStyle w:val="302"/>
          <w:rFonts w:hint="default"/>
          <w:color w:val="auto"/>
          <w:lang w:val="en-US" w:bidi="ar"/>
        </w:rPr>
        <w:t>； 勘察设计费用的调整方法：</w:t>
      </w:r>
      <w:r>
        <w:rPr>
          <w:rStyle w:val="302"/>
          <w:rFonts w:hint="default"/>
          <w:color w:val="auto"/>
          <w:u w:val="single"/>
          <w:lang w:val="en-US" w:bidi="ar"/>
        </w:rPr>
        <w:t xml:space="preserve"> 按照对应合同段勘察设计最高投标限价的计算依据和取值参数并结合设计人增加的工作量及投标人中标价下浮率进行计算，或由发包人与设计人协商确定；设计人应按有关合同条款及现行规范的规定， 编制设计变更方案设计过程中需要的地质钻探和测量工程量， 报发包人审批后方可实施，否则不予确认。 勘察设计过程中按发包人确认的实际完成数量及中标合同单价， 根据合同条款的相关规定予以计量支付。</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在11.1.1（4）目后增加（5）</w:t>
      </w:r>
    </w:p>
    <w:p>
      <w:pPr>
        <w:widowControl/>
        <w:spacing w:line="360" w:lineRule="auto"/>
        <w:ind w:firstLine="480" w:firstLineChars="200"/>
        <w:rPr>
          <w:rStyle w:val="409"/>
          <w:rFonts w:hint="eastAsia" w:ascii="宋体" w:hAnsi="宋体" w:cs="宋体"/>
          <w:color w:val="auto"/>
          <w:sz w:val="24"/>
          <w:szCs w:val="24"/>
          <w:lang w:val="en-US" w:bidi="ar"/>
        </w:rPr>
      </w:pPr>
      <w:r>
        <w:rPr>
          <w:rStyle w:val="302"/>
          <w:rFonts w:hint="default"/>
          <w:color w:val="auto"/>
          <w:lang w:val="en-US" w:bidi="ar"/>
        </w:rPr>
        <w:t>（5）发生重大设计变更及较大设计变更，其划分标准参照交通运输部及广东省相关的规定执行。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11.1.2 项修改为：</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基准日后，因颁布新的或修订原有法律、法规、规范和标准等引发合同变更情形的（即 11.1.1（1）目的情形），按照上述约定进行调整，否则不作调整。</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11.2 合理化建议</w:t>
      </w:r>
    </w:p>
    <w:p>
      <w:pPr>
        <w:widowControl/>
        <w:spacing w:line="360" w:lineRule="auto"/>
        <w:ind w:firstLine="480" w:firstLineChars="200"/>
        <w:rPr>
          <w:rFonts w:hint="eastAsia" w:ascii="宋体" w:hAnsi="宋体" w:cs="宋体"/>
          <w:color w:val="auto"/>
          <w:sz w:val="28"/>
          <w:szCs w:val="28"/>
          <w:lang w:val="en-US" w:bidi="ar"/>
        </w:rPr>
      </w:pPr>
      <w:r>
        <w:rPr>
          <w:rStyle w:val="168"/>
          <w:rFonts w:hint="eastAsia" w:ascii="宋体" w:hAnsi="宋体" w:cs="宋体"/>
          <w:color w:val="auto"/>
          <w:lang w:val="en-US" w:bidi="ar"/>
        </w:rPr>
        <w:t xml:space="preserve">11.2.2 </w:t>
      </w:r>
      <w:r>
        <w:rPr>
          <w:rStyle w:val="302"/>
          <w:rFonts w:hint="default"/>
          <w:color w:val="auto"/>
          <w:lang w:val="en-US" w:bidi="ar"/>
        </w:rPr>
        <w:t>设计人提出的合理化建议降低了工程投资、缩短了施工期限或者提高了工程经济效益的，发包人给予设计人如下奖励：</w:t>
      </w:r>
      <w:r>
        <w:rPr>
          <w:rStyle w:val="302"/>
          <w:rFonts w:hint="default"/>
          <w:color w:val="auto"/>
          <w:u w:val="single"/>
          <w:lang w:val="en-US" w:bidi="ar"/>
        </w:rPr>
        <w:t xml:space="preserve">              </w:t>
      </w:r>
      <w:r>
        <w:rPr>
          <w:rStyle w:val="302"/>
          <w:rFonts w:hint="default"/>
          <w:color w:val="auto"/>
          <w:lang w:val="en-US" w:bidi="ar"/>
        </w:rPr>
        <w:t>。</w:t>
      </w:r>
      <w:r>
        <w:rPr>
          <w:rFonts w:hint="eastAsia" w:ascii="宋体" w:hAnsi="宋体" w:cs="宋体"/>
          <w:color w:val="auto"/>
          <w:lang w:val="en-US" w:bidi="ar"/>
        </w:rPr>
        <w:br w:type="textWrapping"/>
      </w:r>
      <w:r>
        <w:rPr>
          <w:rStyle w:val="302"/>
          <w:rFonts w:hint="default"/>
          <w:b/>
          <w:bCs/>
          <w:color w:val="auto"/>
          <w:sz w:val="28"/>
          <w:szCs w:val="28"/>
          <w:lang w:val="en-US" w:bidi="ar"/>
        </w:rPr>
        <w:t>12. 合同价格与支付</w:t>
      </w:r>
    </w:p>
    <w:p>
      <w:pPr>
        <w:widowControl/>
        <w:spacing w:line="360" w:lineRule="auto"/>
        <w:ind w:firstLine="482" w:firstLineChars="200"/>
        <w:rPr>
          <w:rStyle w:val="409"/>
          <w:rFonts w:ascii="宋体" w:hAnsi="宋体" w:cs="宋体"/>
          <w:color w:val="auto"/>
          <w:sz w:val="24"/>
          <w:szCs w:val="24"/>
          <w:lang w:val="en-US" w:bidi="ar"/>
        </w:rPr>
      </w:pPr>
      <w:r>
        <w:rPr>
          <w:rStyle w:val="409"/>
          <w:rFonts w:hint="eastAsia" w:ascii="宋体" w:hAnsi="宋体" w:cs="宋体"/>
          <w:color w:val="auto"/>
          <w:sz w:val="24"/>
          <w:szCs w:val="24"/>
          <w:lang w:val="en-US" w:bidi="ar"/>
        </w:rPr>
        <w:t>12.1 合同价格</w:t>
      </w:r>
    </w:p>
    <w:p>
      <w:pPr>
        <w:widowControl/>
        <w:spacing w:line="360" w:lineRule="auto"/>
        <w:ind w:firstLine="480" w:firstLineChars="200"/>
        <w:rPr>
          <w:rStyle w:val="302"/>
          <w:rFonts w:hint="default"/>
          <w:color w:val="auto"/>
          <w:lang w:val="en-US" w:bidi="ar"/>
        </w:rPr>
      </w:pPr>
      <w:r>
        <w:rPr>
          <w:rStyle w:val="409"/>
          <w:rFonts w:hint="eastAsia" w:ascii="宋体" w:hAnsi="宋体" w:cs="宋体"/>
          <w:b w:val="0"/>
          <w:bCs w:val="0"/>
          <w:color w:val="auto"/>
          <w:sz w:val="24"/>
          <w:szCs w:val="24"/>
          <w:lang w:val="en-US" w:bidi="ar"/>
        </w:rPr>
        <w:t>12.1.1</w:t>
      </w:r>
      <w:r>
        <w:rPr>
          <w:rStyle w:val="409"/>
          <w:rFonts w:hint="eastAsia" w:ascii="宋体" w:hAnsi="宋体" w:cs="宋体"/>
          <w:color w:val="auto"/>
          <w:sz w:val="24"/>
          <w:szCs w:val="24"/>
          <w:lang w:val="en-US" w:bidi="ar"/>
        </w:rPr>
        <w:t xml:space="preserve"> </w:t>
      </w:r>
      <w:r>
        <w:rPr>
          <w:rStyle w:val="302"/>
          <w:rFonts w:hint="default"/>
          <w:color w:val="auto"/>
          <w:lang w:val="en-US" w:bidi="ar"/>
        </w:rPr>
        <w:t>合同价格价款确定方式：</w:t>
      </w:r>
      <w:r>
        <w:rPr>
          <w:rStyle w:val="302"/>
          <w:rFonts w:hint="default"/>
          <w:color w:val="auto"/>
          <w:u w:val="single"/>
          <w:lang w:val="en-US" w:bidi="ar"/>
        </w:rPr>
        <w:t xml:space="preserve">  总价合同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在合同实施期间，由于人工、材料、设备等因素的市场价格变化导致本项目勘察设计费用变化，合同价格的调整方式和风险范围划分：</w:t>
      </w:r>
      <w:r>
        <w:rPr>
          <w:rStyle w:val="302"/>
          <w:rFonts w:hint="default"/>
          <w:color w:val="auto"/>
          <w:u w:val="single"/>
          <w:lang w:val="en-US" w:bidi="ar"/>
        </w:rPr>
        <w:t xml:space="preserve">    /    </w:t>
      </w:r>
      <w:r>
        <w:rPr>
          <w:rStyle w:val="302"/>
          <w:rFonts w:hint="default"/>
          <w:color w:val="auto"/>
          <w:lang w:val="en-US" w:bidi="ar"/>
        </w:rPr>
        <w:t xml:space="preserve">。 </w:t>
      </w:r>
    </w:p>
    <w:p>
      <w:pPr>
        <w:widowControl/>
        <w:spacing w:line="360" w:lineRule="auto"/>
        <w:ind w:firstLine="480" w:firstLineChars="200"/>
        <w:rPr>
          <w:rStyle w:val="409"/>
          <w:rFonts w:hint="eastAsia" w:ascii="宋体" w:hAnsi="宋体" w:cs="宋体"/>
          <w:b w:val="0"/>
          <w:bCs w:val="0"/>
          <w:color w:val="auto"/>
          <w:sz w:val="24"/>
          <w:szCs w:val="24"/>
          <w:lang w:val="en-US" w:bidi="ar"/>
        </w:rPr>
      </w:pPr>
      <w:r>
        <w:rPr>
          <w:rStyle w:val="409"/>
          <w:rFonts w:hint="eastAsia" w:ascii="宋体" w:hAnsi="宋体" w:cs="宋体"/>
          <w:b w:val="0"/>
          <w:bCs w:val="0"/>
          <w:color w:val="auto"/>
          <w:sz w:val="24"/>
          <w:szCs w:val="24"/>
          <w:lang w:val="en-US" w:bidi="ar"/>
        </w:rPr>
        <w:t>勘察设计费支付阶段如下</w:t>
      </w:r>
      <w:r>
        <w:rPr>
          <w:rStyle w:val="101"/>
          <w:rFonts w:hint="eastAsia" w:ascii="宋体" w:hAnsi="宋体" w:cs="Times New Roman"/>
          <w:color w:val="auto"/>
          <w:sz w:val="30"/>
          <w:lang w:val="en-US"/>
        </w:rPr>
        <w:footnoteReference w:id="99"/>
      </w:r>
      <w:r>
        <w:rPr>
          <w:rStyle w:val="409"/>
          <w:rFonts w:hint="eastAsia" w:ascii="宋体" w:hAnsi="宋体" w:cs="宋体"/>
          <w:b w:val="0"/>
          <w:bCs w:val="0"/>
          <w:color w:val="auto"/>
          <w:sz w:val="24"/>
          <w:szCs w:val="24"/>
          <w:lang w:val="en-US" w:bidi="ar"/>
        </w:rPr>
        <w:t xml:space="preserve">：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本合同签署后  天内，发包人向设计人支付勘察设计费的   %作为预付款（本合同履行后，预付款抵作勘察设计费，不再扣回）；</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（2）勘察、测量外业结束并经发包人认可后，发包人支付勘察费用的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（3）勘察、测量报告提交并经发包人认可后，发包人支付勘察费用的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（4）完成勘察、测量报告并经发包人审核通过后，发包人向设计人支付设计费用的   %作为设计预付款，预付款抵作设计费，不再扣回；</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（5）初步设计文件按期完成，通过评审并获得主管部门批复后，发包人支付设计费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（6）若发包人一次性完成项目建设任务，施工图设计文件按期完成，通过评审并获得主管部门批复后，发包人支付设计费用的  %。若发包人需要对本项目进行分期建设，该部分施工图设计文件按期完成，通过评审并获得主管部门批复后，发包人将按照分期建设的投资比例支付该分期建设部分设计费用的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（7）若发包人需要对本项目进行分期建设，在完成该部分工程的交工验收且具备试运行条件后，将按照分期建设的投资比例支付已交工验收部分的设计费用的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（8）整体工程交工验收且具备试运行条件后，发包人向设计人支付至设计费用的  %。</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（9）整体工程竣工验收后，发包人向设计人支付剩余费用（含勘察费（含测量费）和设计费）。</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增加12.1.5款</w:t>
      </w:r>
      <w:r>
        <w:rPr>
          <w:rStyle w:val="302"/>
          <w:rFonts w:hint="default" w:ascii="华文中宋" w:hAnsi="华文中宋" w:eastAsia="华文中宋" w:cs="华文中宋"/>
          <w:color w:val="auto"/>
          <w:lang w:val="en-US" w:bidi="ar"/>
        </w:rPr>
        <w:t>~</w:t>
      </w:r>
      <w:r>
        <w:rPr>
          <w:rStyle w:val="302"/>
          <w:rFonts w:hint="default"/>
          <w:color w:val="auto"/>
          <w:lang w:val="en-US" w:bidi="ar"/>
        </w:rPr>
        <w:t>12.1.6款</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12.1.5 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包人也可直接向联合体各成员支付合同价款。</w:t>
      </w:r>
    </w:p>
    <w:p>
      <w:pPr>
        <w:widowControl/>
        <w:spacing w:line="360" w:lineRule="auto"/>
        <w:ind w:firstLine="480" w:firstLineChars="200"/>
        <w:rPr>
          <w:rStyle w:val="409"/>
          <w:rFonts w:ascii="宋体" w:hAnsi="宋体" w:cs="宋体"/>
          <w:b w:val="0"/>
          <w:bCs w:val="0"/>
          <w:color w:val="auto"/>
          <w:sz w:val="24"/>
          <w:szCs w:val="24"/>
          <w:lang w:val="en-US" w:bidi="ar"/>
        </w:rPr>
      </w:pPr>
      <w:r>
        <w:rPr>
          <w:rStyle w:val="302"/>
          <w:rFonts w:hint="default"/>
          <w:color w:val="auto"/>
          <w:lang w:val="en-US" w:bidi="ar"/>
        </w:rPr>
        <w:t>12.1.6 发包人向设计人实际支付的勘察设计费，将不高于初步设计审批概算中相应勘察设计费的审批额，除非勘察设计费审批额依法予以调整。勘察设计费超出审批额部分发包人将予以扣除，合同价格相应变更，不足部分发包人将不另行支付。</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12.2 </w:t>
      </w:r>
      <w:r>
        <w:rPr>
          <w:rStyle w:val="302"/>
          <w:rFonts w:hint="default"/>
          <w:color w:val="auto"/>
          <w:lang w:val="en-US" w:bidi="ar"/>
        </w:rPr>
        <w:t>预付款</w:t>
      </w:r>
    </w:p>
    <w:p>
      <w:pPr>
        <w:widowControl/>
        <w:spacing w:line="360" w:lineRule="auto"/>
        <w:ind w:firstLine="480" w:firstLineChars="200"/>
        <w:rPr>
          <w:rStyle w:val="168"/>
          <w:rFonts w:hint="eastAsia" w:ascii="宋体" w:hAnsi="宋体" w:cs="宋体"/>
          <w:color w:val="auto"/>
          <w:lang w:val="en-US" w:bidi="ar"/>
        </w:rPr>
      </w:pPr>
      <w:r>
        <w:rPr>
          <w:rStyle w:val="168"/>
          <w:rFonts w:hint="eastAsia" w:ascii="宋体" w:hAnsi="宋体" w:cs="宋体"/>
          <w:color w:val="auto"/>
          <w:lang w:val="en-US" w:bidi="ar"/>
        </w:rPr>
        <w:t>12.2.1款细化为:</w:t>
      </w:r>
    </w:p>
    <w:p>
      <w:pPr>
        <w:widowControl/>
        <w:spacing w:line="360" w:lineRule="auto"/>
        <w:ind w:firstLine="480" w:firstLineChars="200"/>
        <w:rPr>
          <w:rStyle w:val="168"/>
          <w:rFonts w:ascii="宋体" w:hAnsi="宋体" w:cs="宋体"/>
          <w:color w:val="auto"/>
          <w:lang w:val="en-US" w:bidi="ar"/>
        </w:rPr>
      </w:pPr>
      <w:r>
        <w:rPr>
          <w:rStyle w:val="302"/>
          <w:rFonts w:hint="default"/>
          <w:color w:val="auto"/>
          <w:lang w:val="en-US" w:bidi="ar"/>
        </w:rPr>
        <w:t>12.2.1 预付款应专用于本工程的勘察设计。预付款的额度、支付方式在专用合同条款中约定。设计人无须向发包人提交预付款保函，但设计人提交的履约保证金对预付款的正常使用承担保证责任。</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预付款的额度、支付方式：</w:t>
      </w:r>
      <w:r>
        <w:rPr>
          <w:rStyle w:val="302"/>
          <w:rFonts w:hint="default"/>
          <w:color w:val="auto"/>
          <w:u w:val="single"/>
          <w:lang w:val="en-US" w:bidi="ar"/>
        </w:rPr>
        <w:t xml:space="preserve"> 详见12.1.1项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12.3 </w:t>
      </w:r>
      <w:r>
        <w:rPr>
          <w:rStyle w:val="302"/>
          <w:rFonts w:hint="default"/>
          <w:color w:val="auto"/>
          <w:lang w:val="en-US" w:bidi="ar"/>
        </w:rPr>
        <w:t>中期支付</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12.3.1 </w:t>
      </w:r>
      <w:r>
        <w:rPr>
          <w:rStyle w:val="302"/>
          <w:rFonts w:hint="default"/>
          <w:color w:val="auto"/>
          <w:lang w:val="en-US" w:bidi="ar"/>
        </w:rPr>
        <w:t>中期支付申请的格式及份数：</w:t>
      </w:r>
      <w:r>
        <w:rPr>
          <w:rStyle w:val="302"/>
          <w:rFonts w:hint="default"/>
          <w:color w:val="auto"/>
          <w:u w:val="single"/>
          <w:lang w:val="en-US" w:bidi="ar"/>
        </w:rPr>
        <w:t xml:space="preserve">  发包人批准的格式；4份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12.3.2 </w:t>
      </w:r>
      <w:r>
        <w:rPr>
          <w:rStyle w:val="302"/>
          <w:rFonts w:hint="default"/>
          <w:color w:val="auto"/>
          <w:lang w:val="en-US" w:bidi="ar"/>
        </w:rPr>
        <w:t>逾期付款违约金：每延期支付</w:t>
      </w:r>
      <w:r>
        <w:rPr>
          <w:rStyle w:val="168"/>
          <w:rFonts w:hint="eastAsia" w:ascii="宋体" w:hAnsi="宋体" w:cs="宋体"/>
          <w:color w:val="auto"/>
          <w:lang w:val="en-US" w:bidi="ar"/>
        </w:rPr>
        <w:t>1</w:t>
      </w:r>
      <w:r>
        <w:rPr>
          <w:rStyle w:val="302"/>
          <w:rFonts w:hint="default"/>
          <w:color w:val="auto"/>
          <w:lang w:val="en-US" w:bidi="ar"/>
        </w:rPr>
        <w:t>天</w:t>
      </w:r>
      <w:r>
        <w:rPr>
          <w:rStyle w:val="168"/>
          <w:rFonts w:hint="eastAsia" w:ascii="宋体" w:hAnsi="宋体" w:cs="宋体"/>
          <w:color w:val="auto"/>
          <w:lang w:val="en-US" w:bidi="ar"/>
        </w:rPr>
        <w:t>,</w:t>
      </w:r>
      <w:r>
        <w:rPr>
          <w:rStyle w:val="302"/>
          <w:rFonts w:hint="default"/>
          <w:color w:val="auto"/>
          <w:lang w:val="en-US" w:bidi="ar"/>
        </w:rPr>
        <w:t>发包人应付给设计人拖欠金额的</w:t>
      </w:r>
      <w:r>
        <w:rPr>
          <w:rStyle w:val="302"/>
          <w:rFonts w:hint="default"/>
          <w:color w:val="auto"/>
          <w:u w:val="single"/>
          <w:lang w:val="en-US" w:bidi="ar"/>
        </w:rPr>
        <w:t xml:space="preserve">   </w:t>
      </w:r>
      <w:r>
        <w:rPr>
          <w:rStyle w:val="168"/>
          <w:rFonts w:hint="eastAsia" w:ascii="宋体" w:hAnsi="宋体" w:cs="宋体"/>
          <w:color w:val="auto"/>
          <w:lang w:val="en-US" w:bidi="ar"/>
        </w:rPr>
        <w:t>‰</w:t>
      </w:r>
      <w:r>
        <w:rPr>
          <w:rStyle w:val="101"/>
          <w:rFonts w:hint="eastAsia" w:ascii="宋体" w:hAnsi="宋体" w:cs="Times New Roman"/>
          <w:color w:val="auto"/>
          <w:sz w:val="30"/>
          <w:lang w:val="en-US"/>
        </w:rPr>
        <w:footnoteReference w:id="100"/>
      </w:r>
      <w:r>
        <w:rPr>
          <w:rStyle w:val="302"/>
          <w:rFonts w:hint="default"/>
          <w:color w:val="auto"/>
          <w:lang w:val="en-US" w:bidi="ar"/>
        </w:rPr>
        <w:t>的违约金。</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12.3.3 </w:t>
      </w:r>
      <w:r>
        <w:rPr>
          <w:rStyle w:val="302"/>
          <w:rFonts w:hint="default"/>
          <w:color w:val="auto"/>
          <w:lang w:val="en-US" w:bidi="ar"/>
        </w:rPr>
        <w:t>中期支付涉及政府投资资金的，支付规定如下：</w:t>
      </w:r>
      <w:r>
        <w:rPr>
          <w:rStyle w:val="302"/>
          <w:rFonts w:hint="default"/>
          <w:color w:val="auto"/>
          <w:u w:val="single"/>
          <w:lang w:val="en-US" w:bidi="ar"/>
        </w:rPr>
        <w:t xml:space="preserve"> 按当地政府财政相关支付规定执行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12.4 </w:t>
      </w:r>
      <w:r>
        <w:rPr>
          <w:rStyle w:val="302"/>
          <w:rFonts w:hint="default"/>
          <w:color w:val="auto"/>
          <w:lang w:val="en-US" w:bidi="ar"/>
        </w:rPr>
        <w:t>费用结算</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12.4.1 </w:t>
      </w:r>
      <w:r>
        <w:rPr>
          <w:rStyle w:val="302"/>
          <w:rFonts w:hint="default"/>
          <w:color w:val="auto"/>
          <w:lang w:val="en-US" w:bidi="ar"/>
        </w:rPr>
        <w:t>勘察设计费用结算申请的份数和提交期限：</w:t>
      </w:r>
      <w:r>
        <w:rPr>
          <w:rStyle w:val="302"/>
          <w:rFonts w:hint="default"/>
          <w:color w:val="auto"/>
          <w:u w:val="single"/>
          <w:lang w:val="en-US" w:bidi="ar"/>
        </w:rPr>
        <w:t xml:space="preserve">   4份；整体竣工验收后    </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12.4.2 </w:t>
      </w:r>
      <w:r>
        <w:rPr>
          <w:rStyle w:val="302"/>
          <w:rFonts w:hint="default"/>
          <w:color w:val="auto"/>
          <w:lang w:val="en-US" w:bidi="ar"/>
        </w:rPr>
        <w:t>逾期付款违约金：每延期支付</w:t>
      </w:r>
      <w:r>
        <w:rPr>
          <w:rStyle w:val="302"/>
          <w:rFonts w:hint="default"/>
          <w:color w:val="auto"/>
          <w:u w:val="single"/>
          <w:lang w:val="en-US" w:bidi="ar"/>
        </w:rPr>
        <w:t xml:space="preserve"> </w:t>
      </w:r>
      <w:r>
        <w:rPr>
          <w:rStyle w:val="168"/>
          <w:rFonts w:hint="eastAsia" w:ascii="宋体" w:hAnsi="宋体" w:cs="宋体"/>
          <w:color w:val="auto"/>
          <w:u w:val="single"/>
          <w:lang w:val="en-US" w:bidi="ar"/>
        </w:rPr>
        <w:t xml:space="preserve">1 </w:t>
      </w:r>
      <w:r>
        <w:rPr>
          <w:rStyle w:val="302"/>
          <w:rFonts w:hint="default"/>
          <w:color w:val="auto"/>
          <w:lang w:val="en-US" w:bidi="ar"/>
        </w:rPr>
        <w:t>天</w:t>
      </w:r>
      <w:r>
        <w:rPr>
          <w:rStyle w:val="168"/>
          <w:rFonts w:hint="eastAsia" w:ascii="宋体" w:hAnsi="宋体" w:cs="宋体"/>
          <w:color w:val="auto"/>
          <w:lang w:val="en-US" w:bidi="ar"/>
        </w:rPr>
        <w:t xml:space="preserve">, </w:t>
      </w:r>
      <w:r>
        <w:rPr>
          <w:rStyle w:val="302"/>
          <w:rFonts w:hint="default"/>
          <w:color w:val="auto"/>
          <w:lang w:val="en-US" w:bidi="ar"/>
        </w:rPr>
        <w:t>发包人应付给设计人拖欠金额的</w:t>
      </w:r>
      <w:r>
        <w:rPr>
          <w:rStyle w:val="302"/>
          <w:rFonts w:hint="default"/>
          <w:color w:val="auto"/>
          <w:u w:val="single"/>
          <w:lang w:val="en-US" w:bidi="ar"/>
        </w:rPr>
        <w:t xml:space="preserve">   </w:t>
      </w:r>
      <w:r>
        <w:rPr>
          <w:rStyle w:val="168"/>
          <w:rFonts w:hint="eastAsia" w:ascii="宋体" w:hAnsi="宋体" w:cs="宋体"/>
          <w:color w:val="auto"/>
          <w:lang w:val="en-US" w:bidi="ar"/>
        </w:rPr>
        <w:t>‰</w:t>
      </w:r>
      <w:r>
        <w:rPr>
          <w:rStyle w:val="302"/>
          <w:rFonts w:hint="default"/>
          <w:color w:val="auto"/>
          <w:lang w:val="en-US" w:bidi="ar"/>
        </w:rPr>
        <w:t>的违约金。</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12.5 </w:t>
      </w:r>
      <w:r>
        <w:rPr>
          <w:rStyle w:val="302"/>
          <w:rFonts w:hint="default"/>
          <w:color w:val="auto"/>
          <w:lang w:val="en-US" w:bidi="ar"/>
        </w:rPr>
        <w:t>暂列金额</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12.5.1 </w:t>
      </w:r>
      <w:r>
        <w:rPr>
          <w:rStyle w:val="302"/>
          <w:rFonts w:hint="default"/>
          <w:color w:val="auto"/>
          <w:lang w:val="en-US" w:bidi="ar"/>
        </w:rPr>
        <w:t>本合同的暂列金额为工程勘察设计费的</w:t>
      </w:r>
      <w:r>
        <w:rPr>
          <w:rStyle w:val="302"/>
          <w:rFonts w:hint="default"/>
          <w:color w:val="auto"/>
          <w:u w:val="single"/>
          <w:lang w:val="en-US" w:bidi="ar"/>
        </w:rPr>
        <w:t xml:space="preserve">   </w:t>
      </w:r>
      <w:r>
        <w:rPr>
          <w:rStyle w:val="302"/>
          <w:rFonts w:hint="default"/>
          <w:color w:val="auto"/>
          <w:lang w:val="en-US" w:bidi="ar"/>
        </w:rPr>
        <w:t>％。</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12.6 </w:t>
      </w:r>
      <w:r>
        <w:rPr>
          <w:rStyle w:val="302"/>
          <w:rFonts w:hint="default"/>
          <w:color w:val="auto"/>
          <w:lang w:val="en-US" w:bidi="ar"/>
        </w:rPr>
        <w:t>质量保证金</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本项目的质量保证金为勘察设计费用总额的</w:t>
      </w:r>
      <w:r>
        <w:rPr>
          <w:rStyle w:val="302"/>
          <w:rFonts w:hint="default"/>
          <w:color w:val="auto"/>
          <w:u w:val="single"/>
          <w:lang w:val="en-US" w:bidi="ar"/>
        </w:rPr>
        <w:t xml:space="preserve">    </w:t>
      </w:r>
      <w:r>
        <w:rPr>
          <w:rStyle w:val="302"/>
          <w:rFonts w:hint="default"/>
          <w:color w:val="auto"/>
          <w:lang w:val="en-US" w:bidi="ar"/>
        </w:rPr>
        <w:t>％</w:t>
      </w:r>
      <w:r>
        <w:rPr>
          <w:rStyle w:val="101"/>
          <w:rFonts w:hint="eastAsia" w:ascii="宋体" w:hAnsi="宋体" w:cs="Times New Roman"/>
          <w:color w:val="auto"/>
          <w:sz w:val="30"/>
          <w:lang w:val="en-US"/>
        </w:rPr>
        <w:footnoteReference w:id="101"/>
      </w:r>
      <w:r>
        <w:rPr>
          <w:rStyle w:val="302"/>
          <w:rFonts w:hint="default"/>
          <w:color w:val="auto"/>
          <w:lang w:val="en-US" w:bidi="ar"/>
        </w:rPr>
        <w:t>。</w:t>
      </w:r>
    </w:p>
    <w:p>
      <w:pPr>
        <w:widowControl/>
        <w:spacing w:line="360" w:lineRule="auto"/>
        <w:rPr>
          <w:rFonts w:hint="eastAsia" w:ascii="宋体" w:hAnsi="宋体" w:cs="宋体"/>
          <w:color w:val="auto"/>
          <w:sz w:val="28"/>
          <w:szCs w:val="28"/>
          <w:lang w:val="en-US" w:bidi="ar"/>
        </w:rPr>
      </w:pPr>
      <w:r>
        <w:rPr>
          <w:rStyle w:val="302"/>
          <w:rFonts w:hint="default"/>
          <w:b/>
          <w:bCs/>
          <w:color w:val="auto"/>
          <w:sz w:val="28"/>
          <w:szCs w:val="28"/>
          <w:lang w:val="en-US" w:bidi="ar"/>
        </w:rPr>
        <w:t>14. 违约</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14.1 </w:t>
      </w:r>
      <w:r>
        <w:rPr>
          <w:rStyle w:val="302"/>
          <w:rFonts w:hint="default"/>
          <w:color w:val="auto"/>
          <w:lang w:val="en-US" w:bidi="ar"/>
        </w:rPr>
        <w:t>设计人违约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14.1.1款第（4）向后补充：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（5）在收到发包人或咨询单位或上级主管部门提出的审查意见后，设计人未在专用合同条款规定的期限内完成对勘察设计文件的修改；</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（6）设计人在投标文件中承诺的或按合同文件约定的投入本项目的主要勘察设计人员发生变化（因不可抗力引起的人员变动除外）；</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（7）设计人未按照本合同第10.1款规定提供招标期间的配合服务；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（8）设计人未及时选派合格的设计代表进驻施工现场，或未能在发包人和设计人约定的时间内给予答复、完成变更设计；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（9）因勘察设计深度不够、资料不足、方案缺陷以及勘察设计质量低劣而被要求返工；</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（10）因勘察设计深度不够、资料不足、方案缺陷或质量低劣导致未通过上级主管部门的审查，或导致本项目造价调整率超过专用合同条款中约定的比例；</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11）由于设计人的过失或责任引起本项目发生重大设计变更、较大设计变更或单个合同段因变更引起的工程费用调整累计超过专用合同条款中约定的比例，导致施工工期拖延或者给发包人造成经济损失。重大设计变更及较大设计变更的划分标准参照《广东省水运工程设计变更技术操作规程》的规定执行；</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（12）由于设计人的过失或责任导致勘察设计质量事故；</w:t>
      </w:r>
    </w:p>
    <w:p>
      <w:pPr>
        <w:widowControl/>
        <w:spacing w:line="360" w:lineRule="auto"/>
        <w:ind w:firstLine="480" w:firstLineChars="200"/>
        <w:rPr>
          <w:rStyle w:val="168"/>
          <w:rFonts w:hint="eastAsia" w:ascii="宋体" w:hAnsi="宋体" w:cs="宋体"/>
          <w:color w:val="auto"/>
          <w:lang w:val="en-US" w:bidi="ar"/>
        </w:rPr>
      </w:pPr>
      <w:r>
        <w:rPr>
          <w:rStyle w:val="302"/>
          <w:rFonts w:hint="default"/>
          <w:color w:val="auto"/>
          <w:lang w:val="en-US" w:bidi="ar"/>
        </w:rPr>
        <w:t>（13）设计人不履行合同约定的其他义务。</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14.1.1</w:t>
      </w:r>
      <w:r>
        <w:rPr>
          <w:rStyle w:val="302"/>
          <w:rFonts w:hint="default"/>
          <w:color w:val="auto"/>
          <w:lang w:val="en-US" w:bidi="ar"/>
        </w:rPr>
        <w:t>（</w:t>
      </w:r>
      <w:r>
        <w:rPr>
          <w:rStyle w:val="168"/>
          <w:rFonts w:hint="eastAsia" w:ascii="宋体" w:hAnsi="宋体" w:cs="宋体"/>
          <w:color w:val="auto"/>
          <w:lang w:val="en-US" w:bidi="ar"/>
        </w:rPr>
        <w:t>10</w:t>
      </w:r>
      <w:r>
        <w:rPr>
          <w:rStyle w:val="302"/>
          <w:rFonts w:hint="default"/>
          <w:color w:val="auto"/>
          <w:lang w:val="en-US" w:bidi="ar"/>
        </w:rPr>
        <w:t>）施工图预算超过初步设计概算的</w:t>
      </w:r>
      <w:r>
        <w:rPr>
          <w:rStyle w:val="302"/>
          <w:rFonts w:hint="default"/>
          <w:color w:val="auto"/>
          <w:u w:val="single"/>
          <w:lang w:val="en-US" w:bidi="ar"/>
        </w:rPr>
        <w:t xml:space="preserve">    </w:t>
      </w:r>
      <w:r>
        <w:rPr>
          <w:rStyle w:val="168"/>
          <w:rFonts w:hint="eastAsia" w:ascii="宋体" w:hAnsi="宋体" w:cs="宋体"/>
          <w:color w:val="auto"/>
          <w:lang w:val="en-US" w:bidi="ar"/>
        </w:rPr>
        <w:t>%</w:t>
      </w:r>
      <w:r>
        <w:rPr>
          <w:rStyle w:val="302"/>
          <w:rFonts w:hint="default"/>
          <w:color w:val="auto"/>
          <w:lang w:val="en-US" w:bidi="ar"/>
        </w:rPr>
        <w:t>， 或工程竣工决算超过施工图预算的</w:t>
      </w:r>
      <w:r>
        <w:rPr>
          <w:rStyle w:val="302"/>
          <w:rFonts w:hint="default"/>
          <w:color w:val="auto"/>
          <w:u w:val="single"/>
          <w:lang w:val="en-US" w:bidi="ar"/>
        </w:rPr>
        <w:t xml:space="preserve">  </w:t>
      </w:r>
      <w:r>
        <w:rPr>
          <w:rStyle w:val="168"/>
          <w:rFonts w:hint="eastAsia" w:ascii="宋体" w:hAnsi="宋体" w:cs="宋体"/>
          <w:color w:val="auto"/>
          <w:lang w:val="en-US" w:bidi="ar"/>
        </w:rPr>
        <w:t>%</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w:t>
      </w:r>
      <w:r>
        <w:rPr>
          <w:rStyle w:val="168"/>
          <w:rFonts w:hint="eastAsia" w:ascii="宋体" w:hAnsi="宋体" w:cs="宋体"/>
          <w:color w:val="auto"/>
          <w:lang w:val="en-US" w:bidi="ar"/>
        </w:rPr>
        <w:t>11</w:t>
      </w:r>
      <w:r>
        <w:rPr>
          <w:rStyle w:val="302"/>
          <w:rFonts w:hint="default"/>
          <w:color w:val="auto"/>
          <w:lang w:val="en-US" w:bidi="ar"/>
        </w:rPr>
        <w:t>）单个合同段因设计变更引起的工程费用调整累计超过该合同段合同价的</w:t>
      </w:r>
      <w:r>
        <w:rPr>
          <w:rStyle w:val="302"/>
          <w:rFonts w:hint="default"/>
          <w:color w:val="auto"/>
          <w:u w:val="single"/>
          <w:lang w:val="en-US" w:bidi="ar"/>
        </w:rPr>
        <w:t xml:space="preserve">   </w:t>
      </w:r>
      <w:r>
        <w:rPr>
          <w:rStyle w:val="168"/>
          <w:rFonts w:hint="eastAsia" w:ascii="宋体" w:hAnsi="宋体" w:cs="宋体"/>
          <w:color w:val="auto"/>
          <w:lang w:val="en-US" w:bidi="ar"/>
        </w:rPr>
        <w:t>%</w:t>
      </w:r>
      <w:r>
        <w:rPr>
          <w:rStyle w:val="302"/>
          <w:rFonts w:hint="default"/>
          <w:color w:val="auto"/>
          <w:lang w:val="en-US" w:bidi="ar"/>
        </w:rPr>
        <w:t>。</w:t>
      </w:r>
    </w:p>
    <w:p>
      <w:pPr>
        <w:widowControl/>
        <w:spacing w:line="360" w:lineRule="auto"/>
        <w:ind w:firstLine="480" w:firstLineChars="200"/>
        <w:rPr>
          <w:rStyle w:val="168"/>
          <w:rFonts w:ascii="宋体" w:hAnsi="宋体" w:cs="宋体"/>
          <w:color w:val="auto"/>
          <w:lang w:val="en-US" w:bidi="ar"/>
        </w:rPr>
      </w:pPr>
      <w:r>
        <w:rPr>
          <w:rStyle w:val="168"/>
          <w:rFonts w:hint="eastAsia" w:ascii="宋体" w:hAnsi="宋体" w:cs="宋体"/>
          <w:color w:val="auto"/>
          <w:lang w:val="en-US" w:bidi="ar"/>
        </w:rPr>
        <w:t>14.1.2款细化为：</w:t>
      </w:r>
    </w:p>
    <w:p>
      <w:pPr>
        <w:widowControl/>
        <w:spacing w:line="360" w:lineRule="auto"/>
        <w:ind w:firstLine="480" w:firstLineChars="200"/>
        <w:rPr>
          <w:rStyle w:val="168"/>
          <w:rFonts w:hint="eastAsia" w:ascii="宋体" w:hAnsi="宋体" w:cs="宋体"/>
          <w:color w:val="auto"/>
          <w:lang w:val="en-US" w:bidi="ar"/>
        </w:rPr>
      </w:pPr>
      <w:r>
        <w:rPr>
          <w:rStyle w:val="302"/>
          <w:rFonts w:hint="default"/>
          <w:color w:val="auto"/>
          <w:lang w:val="en-US" w:bidi="ar"/>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发包人有权向设计人课以专用合同条款中约定的违约金，并由发包人将其违约行为上报省级交通运输主管部门，作为不良记录纳入水运建设市场信用信息管理系统。</w:t>
      </w:r>
    </w:p>
    <w:p>
      <w:pPr>
        <w:widowControl/>
        <w:spacing w:line="360" w:lineRule="auto"/>
        <w:ind w:firstLine="480" w:firstLineChars="200"/>
        <w:rPr>
          <w:rStyle w:val="302"/>
          <w:rFonts w:hint="default"/>
          <w:color w:val="auto"/>
          <w:u w:val="single"/>
          <w:lang w:val="en-US" w:bidi="ar"/>
        </w:rPr>
      </w:pPr>
      <w:r>
        <w:rPr>
          <w:rStyle w:val="168"/>
          <w:rFonts w:hint="eastAsia" w:ascii="宋体" w:hAnsi="宋体" w:cs="宋体"/>
          <w:color w:val="auto"/>
          <w:lang w:val="en-US" w:bidi="ar"/>
        </w:rPr>
        <w:t xml:space="preserve"> </w:t>
      </w:r>
      <w:r>
        <w:rPr>
          <w:rStyle w:val="302"/>
          <w:rFonts w:hint="default"/>
          <w:color w:val="auto"/>
          <w:lang w:val="en-US" w:bidi="ar"/>
        </w:rPr>
        <w:t>设计人发生违约情况时，发包人有权向设计人课以违约金，具体约定如下：</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a、发生 14.1.1（1）、（2）、（4）条的违约情况，计扣设计人签约合同价的</w:t>
      </w:r>
    </w:p>
    <w:p>
      <w:pPr>
        <w:widowControl/>
        <w:spacing w:line="360" w:lineRule="auto"/>
        <w:rPr>
          <w:rStyle w:val="302"/>
          <w:rFonts w:hint="default"/>
          <w:color w:val="auto"/>
          <w:u w:val="single"/>
          <w:lang w:val="en-US" w:bidi="ar"/>
        </w:rPr>
      </w:pPr>
      <w:r>
        <w:rPr>
          <w:rStyle w:val="302"/>
          <w:rFonts w:hint="default"/>
          <w:color w:val="auto"/>
          <w:u w:val="single"/>
          <w:lang w:val="en-US" w:bidi="ar"/>
        </w:rPr>
        <w:t xml:space="preserve">    %</w:t>
      </w:r>
      <w:r>
        <w:rPr>
          <w:rStyle w:val="101"/>
          <w:rFonts w:hint="eastAsia" w:ascii="宋体" w:hAnsi="宋体" w:cs="Times New Roman"/>
          <w:color w:val="auto"/>
          <w:sz w:val="30"/>
          <w:lang w:val="en-US"/>
        </w:rPr>
        <w:footnoteReference w:id="102"/>
      </w:r>
      <w:r>
        <w:rPr>
          <w:rStyle w:val="302"/>
          <w:rFonts w:hint="default"/>
          <w:color w:val="auto"/>
          <w:u w:val="single"/>
          <w:lang w:val="en-US" w:bidi="ar"/>
        </w:rPr>
        <w:t>作违约金。</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b、发生 14.1.1（7）、（8）条的违约情况，计扣设计人签约合同价的    ％</w:t>
      </w:r>
      <w:r>
        <w:rPr>
          <w:rStyle w:val="101"/>
          <w:rFonts w:hint="eastAsia" w:ascii="宋体" w:hAnsi="宋体" w:cs="Times New Roman"/>
          <w:color w:val="auto"/>
          <w:sz w:val="30"/>
          <w:lang w:val="en-US"/>
        </w:rPr>
        <w:footnoteReference w:id="103"/>
      </w:r>
      <w:r>
        <w:rPr>
          <w:rStyle w:val="302"/>
          <w:rFonts w:hint="default"/>
          <w:color w:val="auto"/>
          <w:u w:val="single"/>
          <w:lang w:val="en-US" w:bidi="ar"/>
        </w:rPr>
        <w:t>作</w:t>
      </w:r>
    </w:p>
    <w:p>
      <w:pPr>
        <w:widowControl/>
        <w:spacing w:line="360" w:lineRule="auto"/>
        <w:rPr>
          <w:rStyle w:val="302"/>
          <w:rFonts w:hint="default"/>
          <w:color w:val="auto"/>
          <w:u w:val="single"/>
          <w:lang w:val="en-US" w:bidi="ar"/>
        </w:rPr>
      </w:pPr>
      <w:r>
        <w:rPr>
          <w:rStyle w:val="302"/>
          <w:rFonts w:hint="default"/>
          <w:color w:val="auto"/>
          <w:u w:val="single"/>
          <w:lang w:val="en-US" w:bidi="ar"/>
        </w:rPr>
        <w:t>违约金。</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c、发生 14.1.1（3）、（5）条的违约情况，则每延期 15 天(不足 15 天按 15</w:t>
      </w:r>
    </w:p>
    <w:p>
      <w:pPr>
        <w:widowControl/>
        <w:spacing w:line="360" w:lineRule="auto"/>
        <w:rPr>
          <w:rStyle w:val="302"/>
          <w:rFonts w:hint="default"/>
          <w:color w:val="auto"/>
          <w:u w:val="single"/>
          <w:lang w:val="en-US" w:bidi="ar"/>
        </w:rPr>
      </w:pPr>
      <w:r>
        <w:rPr>
          <w:rStyle w:val="302"/>
          <w:rFonts w:hint="default"/>
          <w:color w:val="auto"/>
          <w:u w:val="single"/>
          <w:lang w:val="en-US" w:bidi="ar"/>
        </w:rPr>
        <w:t>天计)，发包人将分别按相应阶段设计签约合同价的 2％计扣设计人违约金。延期超过 60 天时，发包人可以中止合同。</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d、发生 14.1.1（9）-（10）条的违约情况，除由设计人负责继续完善勘察设计外，招标人将扣除设计人该部份的设计费。</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e、发生 14.1.1（11）条的违约情况，设计人除应免收受损失部分的勘察设计费外，设计人还应无偿继续完善勘察设计，并承担相当于直接损失部分勘察设计费的赔偿金。</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f、发生 14.1.1（12）条的违约情况，发包人有权报请有关主管部门视事故造成的损失情况给予其他处罚。</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g、发生10.1.2条工程量清单出现明显差、错漏且对应用方产生不可挽回的损益的，按损益额的10%计违约金。</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h、所有违约金在设计人勘察设计费中扣除。</w:t>
      </w:r>
    </w:p>
    <w:p>
      <w:pPr>
        <w:widowControl/>
        <w:spacing w:line="360" w:lineRule="auto"/>
        <w:ind w:firstLine="480" w:firstLineChars="200"/>
        <w:rPr>
          <w:rStyle w:val="302"/>
          <w:rFonts w:hint="default"/>
          <w:color w:val="auto"/>
          <w:lang w:val="en-US" w:bidi="ar"/>
        </w:rPr>
      </w:pPr>
      <w:r>
        <w:rPr>
          <w:rStyle w:val="302"/>
          <w:rFonts w:hint="default"/>
          <w:color w:val="auto"/>
          <w:u w:val="single"/>
          <w:lang w:val="en-US" w:bidi="ar"/>
        </w:rPr>
        <w:t>i、未经发包人同意，勘察设计单位不得更换投标文件中承诺的项目负责人及分项负责人，若确实无法到位或需替换，或发包人认为已委派的项目负责人及分项负责人的工作能力和业务水平不称职，需经发包人审批后，用同等资质和经历的人员替换，同时须按以下标准向发包人提交违约金：项目负责人     万元/人次、分项负责人每人    万元/人次的标准计扣勘察设计单位的违约金。</w:t>
      </w:r>
      <w:r>
        <w:rPr>
          <w:rFonts w:hint="eastAsia"/>
          <w:lang w:val="en-US"/>
        </w:rPr>
        <w:t>若项目负责人及分项负责人</w:t>
      </w:r>
      <w:r>
        <w:rPr>
          <w:rFonts w:hint="eastAsia" w:ascii="宋体" w:hAnsi="宋体"/>
          <w:color w:val="auto"/>
        </w:rPr>
        <w:t>因</w:t>
      </w:r>
      <w:r>
        <w:rPr>
          <w:rFonts w:hint="eastAsia" w:ascii="宋体" w:hAnsi="宋体"/>
          <w:color w:val="auto"/>
          <w:u w:val="single"/>
        </w:rPr>
        <w:t>单位调动、离职、重大疾病、死亡</w:t>
      </w:r>
      <w:r>
        <w:rPr>
          <w:rFonts w:hint="eastAsia"/>
          <w:lang w:val="en-US"/>
        </w:rPr>
        <w:t>等情形</w:t>
      </w:r>
      <w:r>
        <w:rPr>
          <w:rFonts w:hint="eastAsia" w:ascii="宋体" w:hAnsi="宋体"/>
          <w:color w:val="auto"/>
        </w:rPr>
        <w:t>已不能履行相应岗位工作需要</w:t>
      </w:r>
      <w:r>
        <w:rPr>
          <w:rFonts w:hint="eastAsia"/>
          <w:lang w:val="en-US"/>
        </w:rPr>
        <w:t>更换的，经发包人同意后不计违约金。</w:t>
      </w:r>
    </w:p>
    <w:p>
      <w:pPr>
        <w:widowControl/>
        <w:spacing w:line="360" w:lineRule="auto"/>
        <w:ind w:firstLine="482" w:firstLineChars="200"/>
        <w:rPr>
          <w:rStyle w:val="302"/>
          <w:rFonts w:hint="default"/>
          <w:color w:val="auto"/>
          <w:lang w:val="en-US" w:bidi="ar"/>
        </w:rPr>
      </w:pPr>
      <w:r>
        <w:rPr>
          <w:rStyle w:val="409"/>
          <w:rFonts w:hint="eastAsia" w:ascii="宋体" w:hAnsi="宋体" w:cs="宋体"/>
          <w:color w:val="auto"/>
          <w:sz w:val="24"/>
          <w:szCs w:val="24"/>
          <w:lang w:val="en-US" w:bidi="ar"/>
        </w:rPr>
        <w:t xml:space="preserve">14.2 </w:t>
      </w:r>
      <w:r>
        <w:rPr>
          <w:rStyle w:val="302"/>
          <w:rFonts w:hint="default"/>
          <w:color w:val="auto"/>
          <w:lang w:val="en-US" w:bidi="ar"/>
        </w:rPr>
        <w:t>发包人违约</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14.2.1款第(3)项后补充：</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（4）由于发包人变更勘察设计项目、规模、条件，或未按合同约定提供勘察设计必需的资料，造成勘察设计的返工、停工、窝工或修改设计；</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（5）发包人无正当理由不按时返还履约保证金、质量保证金；</w:t>
      </w:r>
    </w:p>
    <w:p>
      <w:pPr>
        <w:widowControl/>
        <w:spacing w:line="360" w:lineRule="auto"/>
        <w:ind w:firstLine="480" w:firstLineChars="200"/>
        <w:rPr>
          <w:rStyle w:val="168"/>
          <w:rFonts w:hint="eastAsia" w:ascii="宋体" w:hAnsi="宋体" w:cs="宋体"/>
          <w:color w:val="auto"/>
          <w:lang w:val="en-US" w:bidi="ar"/>
        </w:rPr>
      </w:pPr>
      <w:r>
        <w:rPr>
          <w:rStyle w:val="302"/>
          <w:rFonts w:hint="default"/>
          <w:color w:val="auto"/>
          <w:lang w:val="en-US" w:bidi="ar"/>
        </w:rPr>
        <w:t>（6）发包人不履行合同约定的其他义务。</w:t>
      </w:r>
    </w:p>
    <w:p>
      <w:pPr>
        <w:widowControl/>
        <w:spacing w:line="360" w:lineRule="auto"/>
        <w:ind w:firstLine="480" w:firstLineChars="200"/>
        <w:rPr>
          <w:rStyle w:val="168"/>
          <w:rFonts w:ascii="宋体" w:hAnsi="宋体" w:cs="宋体"/>
          <w:color w:val="auto"/>
          <w:lang w:val="en-US" w:bidi="ar"/>
        </w:rPr>
      </w:pPr>
      <w:r>
        <w:rPr>
          <w:rStyle w:val="168"/>
          <w:rFonts w:hint="eastAsia" w:ascii="宋体" w:hAnsi="宋体" w:cs="宋体"/>
          <w:color w:val="auto"/>
          <w:lang w:val="en-US" w:bidi="ar"/>
        </w:rPr>
        <w:t>14.2.2款细化为：</w:t>
      </w:r>
    </w:p>
    <w:p>
      <w:pPr>
        <w:widowControl/>
        <w:spacing w:line="360" w:lineRule="auto"/>
        <w:ind w:firstLine="480" w:firstLineChars="200"/>
        <w:rPr>
          <w:rStyle w:val="168"/>
          <w:rFonts w:hint="eastAsia" w:ascii="宋体" w:hAnsi="宋体" w:cs="宋体"/>
          <w:color w:val="auto"/>
          <w:lang w:val="en-US" w:bidi="ar"/>
        </w:rPr>
      </w:pPr>
      <w:r>
        <w:rPr>
          <w:rStyle w:val="302"/>
          <w:rFonts w:hint="default"/>
          <w:color w:val="auto"/>
          <w:lang w:val="en-US" w:bidi="ar"/>
        </w:rPr>
        <w:t>14.2.2 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设计人有权向发包人课以专用合同条款中约定的违约金。</w:t>
      </w:r>
    </w:p>
    <w:p>
      <w:pPr>
        <w:widowControl/>
        <w:spacing w:line="360" w:lineRule="auto"/>
        <w:ind w:firstLine="480" w:firstLineChars="200"/>
        <w:rPr>
          <w:rStyle w:val="302"/>
          <w:rFonts w:hint="default"/>
          <w:color w:val="auto"/>
          <w:u w:val="single"/>
          <w:lang w:val="en-US" w:bidi="ar"/>
        </w:rPr>
      </w:pPr>
      <w:r>
        <w:rPr>
          <w:rStyle w:val="302"/>
          <w:rFonts w:hint="default"/>
          <w:color w:val="auto"/>
          <w:lang w:val="en-US" w:bidi="ar"/>
        </w:rPr>
        <w:t>发包人发生违约情况时，设计人有权向发包人课以违约金，具体约定如下：</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a、发生 14.2.1（1）、（5）条的违约情况，发包人应付给设计人拖欠金额的   %的违约金。</w:t>
      </w:r>
    </w:p>
    <w:p>
      <w:pPr>
        <w:widowControl/>
        <w:spacing w:line="360" w:lineRule="auto"/>
        <w:ind w:firstLine="480" w:firstLineChars="200"/>
        <w:rPr>
          <w:rStyle w:val="302"/>
          <w:rFonts w:hint="default"/>
          <w:color w:val="auto"/>
          <w:u w:val="single"/>
          <w:lang w:val="en-US" w:bidi="ar"/>
        </w:rPr>
      </w:pPr>
      <w:r>
        <w:rPr>
          <w:rStyle w:val="302"/>
          <w:rFonts w:hint="default"/>
          <w:color w:val="auto"/>
          <w:u w:val="single"/>
          <w:lang w:val="en-US" w:bidi="ar"/>
        </w:rPr>
        <w:t>b、发生 14.2.1（2）、（3）条的违约情况，发包人除应按设计人完成的实际工作量支付费用外，还应按剩余合同价的    %</w:t>
      </w:r>
      <w:r>
        <w:rPr>
          <w:rStyle w:val="101"/>
          <w:rFonts w:hint="eastAsia" w:ascii="宋体" w:hAnsi="宋体" w:cs="Times New Roman"/>
          <w:color w:val="auto"/>
          <w:sz w:val="30"/>
          <w:lang w:val="en-US"/>
        </w:rPr>
        <w:footnoteReference w:id="104"/>
      </w:r>
      <w:r>
        <w:rPr>
          <w:rStyle w:val="302"/>
          <w:rFonts w:hint="default"/>
          <w:color w:val="auto"/>
          <w:u w:val="single"/>
          <w:lang w:val="en-US" w:bidi="ar"/>
        </w:rPr>
        <w:t>向设计人支付违约金。</w:t>
      </w:r>
    </w:p>
    <w:p>
      <w:pPr>
        <w:widowControl/>
        <w:spacing w:line="360" w:lineRule="auto"/>
        <w:ind w:firstLine="480" w:firstLineChars="200"/>
        <w:rPr>
          <w:rStyle w:val="302"/>
          <w:rFonts w:hint="default"/>
          <w:b/>
          <w:bCs/>
          <w:color w:val="auto"/>
          <w:sz w:val="28"/>
          <w:szCs w:val="28"/>
          <w:lang w:val="en-US" w:bidi="ar"/>
        </w:rPr>
      </w:pPr>
      <w:r>
        <w:rPr>
          <w:rStyle w:val="302"/>
          <w:rFonts w:hint="default"/>
          <w:color w:val="auto"/>
          <w:u w:val="single"/>
          <w:lang w:val="en-US" w:bidi="ar"/>
        </w:rPr>
        <w:t xml:space="preserve">c、发生 14.2.1（4）条的违约情况，发包人应按设计人实际消耗的工作量增付费用；由于发包人要求提前完成勘察设计工作而导致增加的人员和费用，应另行计列  </w:t>
      </w:r>
      <w:r>
        <w:rPr>
          <w:rStyle w:val="302"/>
          <w:rFonts w:hint="default"/>
          <w:color w:val="auto"/>
          <w:lang w:val="en-US" w:bidi="ar"/>
        </w:rPr>
        <w:t>。</w:t>
      </w:r>
      <w:r>
        <w:rPr>
          <w:rStyle w:val="302"/>
          <w:rFonts w:hint="default"/>
          <w:color w:val="auto"/>
          <w:lang w:val="en-US" w:bidi="ar"/>
        </w:rPr>
        <w:br w:type="textWrapping"/>
      </w:r>
      <w:r>
        <w:rPr>
          <w:rStyle w:val="302"/>
          <w:rFonts w:hint="default"/>
          <w:b/>
          <w:bCs/>
          <w:color w:val="auto"/>
          <w:sz w:val="28"/>
          <w:szCs w:val="28"/>
          <w:lang w:val="en-US" w:bidi="ar"/>
        </w:rPr>
        <w:t>15. 争议的解决</w:t>
      </w:r>
    </w:p>
    <w:p>
      <w:pPr>
        <w:widowControl/>
        <w:spacing w:line="360" w:lineRule="auto"/>
        <w:ind w:firstLine="480" w:firstLineChars="200"/>
        <w:rPr>
          <w:rStyle w:val="302"/>
          <w:rFonts w:hint="default"/>
          <w:color w:val="auto"/>
          <w:lang w:val="en-US" w:bidi="ar"/>
        </w:rPr>
      </w:pPr>
      <w:r>
        <w:rPr>
          <w:rStyle w:val="168"/>
          <w:rFonts w:hint="eastAsia" w:ascii="宋体" w:hAnsi="宋体" w:cs="宋体"/>
          <w:color w:val="auto"/>
          <w:lang w:val="en-US" w:bidi="ar"/>
        </w:rPr>
        <w:t xml:space="preserve">15.1 </w:t>
      </w:r>
      <w:r>
        <w:rPr>
          <w:rStyle w:val="302"/>
          <w:rFonts w:hint="default"/>
          <w:color w:val="auto"/>
          <w:lang w:val="en-US" w:bidi="ar"/>
        </w:rPr>
        <w:t>争议的最终解决方式：</w:t>
      </w:r>
      <w:r>
        <w:rPr>
          <w:rStyle w:val="302"/>
          <w:rFonts w:hint="default"/>
          <w:color w:val="auto"/>
          <w:u w:val="single"/>
          <w:lang w:val="en-US" w:bidi="ar"/>
        </w:rPr>
        <w:t xml:space="preserve"> 仲裁或诉讼</w:t>
      </w:r>
      <w:r>
        <w:rPr>
          <w:rStyle w:val="302"/>
          <w:rFonts w:hint="default"/>
          <w:color w:val="auto"/>
          <w:lang w:val="en-US" w:bidi="ar"/>
        </w:rPr>
        <w:t>。</w:t>
      </w:r>
    </w:p>
    <w:p>
      <w:pPr>
        <w:widowControl/>
        <w:spacing w:line="360" w:lineRule="auto"/>
        <w:ind w:firstLine="480" w:firstLineChars="200"/>
        <w:rPr>
          <w:rStyle w:val="302"/>
          <w:rFonts w:hint="default"/>
          <w:color w:val="auto"/>
          <w:lang w:val="en-US" w:bidi="ar"/>
        </w:rPr>
      </w:pPr>
      <w:r>
        <w:rPr>
          <w:rStyle w:val="302"/>
          <w:rFonts w:hint="default"/>
          <w:color w:val="auto"/>
          <w:lang w:val="en-US" w:bidi="ar"/>
        </w:rPr>
        <w:t>如采用仲裁，仲裁机构名称：</w:t>
      </w:r>
      <w:r>
        <w:rPr>
          <w:rStyle w:val="302"/>
          <w:rFonts w:hint="default"/>
          <w:color w:val="auto"/>
          <w:u w:val="single"/>
          <w:lang w:val="en-US" w:bidi="ar"/>
        </w:rPr>
        <w:t xml:space="preserve">          </w:t>
      </w:r>
      <w:r>
        <w:rPr>
          <w:rStyle w:val="302"/>
          <w:rFonts w:hint="default"/>
          <w:color w:val="auto"/>
          <w:lang w:val="en-US" w:bidi="ar"/>
        </w:rPr>
        <w:t>仲裁委员会。</w:t>
      </w:r>
    </w:p>
    <w:p>
      <w:pPr>
        <w:widowControl/>
        <w:spacing w:line="360" w:lineRule="auto"/>
        <w:ind w:left="480" w:leftChars="200"/>
        <w:rPr>
          <w:rFonts w:hint="eastAsia" w:ascii="宋体" w:hAnsi="宋体" w:cs="宋体"/>
          <w:color w:val="auto"/>
          <w:lang w:val="en-US" w:bidi="ar"/>
        </w:rPr>
      </w:pPr>
      <w:r>
        <w:rPr>
          <w:rStyle w:val="302"/>
          <w:rFonts w:hint="default"/>
          <w:color w:val="auto"/>
          <w:lang w:val="en-US" w:bidi="ar"/>
        </w:rPr>
        <w:t>如采用诉讼，诉讼机构名称：</w:t>
      </w:r>
      <w:r>
        <w:rPr>
          <w:rStyle w:val="302"/>
          <w:rFonts w:hint="default"/>
          <w:color w:val="auto"/>
          <w:u w:val="single"/>
          <w:lang w:val="en-US" w:bidi="ar"/>
        </w:rPr>
        <w:t xml:space="preserve">          </w:t>
      </w:r>
      <w:r>
        <w:rPr>
          <w:rStyle w:val="302"/>
          <w:rFonts w:hint="default"/>
          <w:color w:val="auto"/>
          <w:lang w:val="en-US" w:bidi="ar"/>
        </w:rPr>
        <w:t>法院。</w:t>
      </w:r>
      <w:r>
        <w:rPr>
          <w:rFonts w:hint="eastAsia" w:ascii="宋体" w:hAnsi="宋体" w:cs="宋体"/>
          <w:color w:val="auto"/>
          <w:lang w:val="en-US" w:bidi="ar"/>
        </w:rPr>
        <w:br w:type="textWrapping"/>
      </w:r>
      <w:r>
        <w:rPr>
          <w:rFonts w:hint="eastAsia" w:ascii="宋体" w:hAnsi="宋体" w:cs="宋体"/>
          <w:color w:val="auto"/>
          <w:lang w:val="en-US" w:bidi="ar"/>
        </w:rPr>
        <w:t>增加15.2款：</w:t>
      </w:r>
    </w:p>
    <w:p>
      <w:pPr>
        <w:widowControl/>
        <w:spacing w:line="360" w:lineRule="auto"/>
        <w:ind w:left="480" w:leftChars="200"/>
        <w:rPr>
          <w:rStyle w:val="302"/>
          <w:rFonts w:hint="default"/>
          <w:color w:val="auto"/>
          <w:lang w:val="en-US" w:bidi="ar"/>
        </w:rPr>
      </w:pPr>
      <w:r>
        <w:rPr>
          <w:rStyle w:val="302"/>
          <w:rFonts w:hint="default"/>
          <w:color w:val="auto"/>
          <w:lang w:val="en-US" w:bidi="ar"/>
        </w:rPr>
        <w:t>15.2 采用仲裁方式最终解决争议的项目，仲裁裁决是终局性的并对发包人和设计</w:t>
      </w:r>
    </w:p>
    <w:p>
      <w:pPr>
        <w:widowControl/>
        <w:spacing w:line="360" w:lineRule="auto"/>
        <w:rPr>
          <w:rFonts w:ascii="宋体" w:hAnsi="宋体" w:cs="宋体"/>
          <w:color w:val="auto"/>
          <w:lang w:val="en-US" w:bidi="ar"/>
        </w:rPr>
        <w:sectPr>
          <w:footnotePr>
            <w:numRestart w:val="eachPage"/>
          </w:footnotePr>
          <w:pgSz w:w="11900" w:h="16838"/>
          <w:pgMar w:top="1803" w:right="1440" w:bottom="1803" w:left="1440" w:header="680" w:footer="680" w:gutter="0"/>
          <w:cols w:space="720" w:num="1"/>
        </w:sectPr>
      </w:pPr>
      <w:r>
        <w:rPr>
          <w:rStyle w:val="302"/>
          <w:rFonts w:hint="default"/>
          <w:color w:val="auto"/>
          <w:lang w:val="en-US" w:bidi="ar"/>
        </w:rPr>
        <w:t>人双方均具有约束力。全部仲裁费用应由败诉方承担，或按仲裁委员会裁决的比例分担。</w:t>
      </w: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b/>
          <w:bCs/>
          <w:color w:val="auto"/>
          <w:sz w:val="32"/>
          <w:szCs w:val="32"/>
          <w:lang w:val="en-US" w:bidi="ar"/>
        </w:rPr>
      </w:pPr>
    </w:p>
    <w:p>
      <w:pPr>
        <w:widowControl/>
        <w:jc w:val="center"/>
        <w:rPr>
          <w:rFonts w:hint="eastAsia" w:ascii="宋体" w:hAnsi="宋体" w:cs="宋体"/>
          <w:color w:val="auto"/>
          <w:sz w:val="32"/>
          <w:szCs w:val="32"/>
          <w:lang w:val="en-US" w:bidi="ar"/>
        </w:rPr>
      </w:pPr>
      <w:r>
        <w:rPr>
          <w:rFonts w:hint="eastAsia" w:ascii="宋体" w:hAnsi="宋体" w:cs="宋体"/>
          <w:b/>
          <w:bCs/>
          <w:color w:val="auto"/>
          <w:sz w:val="32"/>
          <w:szCs w:val="32"/>
          <w:lang w:val="en-US" w:bidi="ar"/>
        </w:rPr>
        <w:t>第三节 合同附件格式</w:t>
      </w:r>
    </w:p>
    <w:p>
      <w:pPr>
        <w:widowControl/>
        <w:rPr>
          <w:rFonts w:hint="eastAsia" w:ascii="宋体" w:hAnsi="宋体" w:cs="宋体"/>
          <w:color w:val="auto"/>
          <w:lang w:val="en-US" w:bidi="ar"/>
        </w:rPr>
        <w:sectPr>
          <w:footnotePr>
            <w:numRestart w:val="eachPage"/>
          </w:footnotePr>
          <w:pgSz w:w="11900" w:h="16838"/>
          <w:pgMar w:top="1803" w:right="1440" w:bottom="1803" w:left="1440" w:header="680" w:footer="680" w:gutter="0"/>
          <w:cols w:space="720" w:num="1"/>
        </w:sectPr>
      </w:pPr>
      <w:r>
        <w:rPr>
          <w:rFonts w:hint="eastAsia" w:ascii="宋体" w:hAnsi="宋体" w:cs="宋体"/>
          <w:color w:val="auto"/>
          <w:lang w:val="en-US" w:bidi="ar"/>
        </w:rPr>
        <w:br w:type="textWrapping"/>
      </w:r>
    </w:p>
    <w:p>
      <w:pPr>
        <w:widowControl/>
        <w:rPr>
          <w:rFonts w:hint="eastAsia" w:ascii="宋体" w:hAnsi="宋体" w:cs="宋体"/>
          <w:color w:val="auto"/>
          <w:lang w:val="en-US" w:bidi="ar"/>
        </w:rPr>
      </w:pPr>
      <w:r>
        <w:rPr>
          <w:rFonts w:hint="eastAsia" w:ascii="宋体" w:hAnsi="宋体" w:cs="宋体"/>
          <w:b/>
          <w:bCs/>
          <w:color w:val="auto"/>
          <w:lang w:val="en-US" w:bidi="ar"/>
        </w:rPr>
        <w:t>附件一 合同协议书</w:t>
      </w:r>
    </w:p>
    <w:p>
      <w:pPr>
        <w:widowControl/>
        <w:jc w:val="center"/>
        <w:rPr>
          <w:rFonts w:hint="eastAsia" w:ascii="宋体" w:hAnsi="宋体" w:cs="宋体"/>
          <w:b/>
          <w:bCs/>
          <w:color w:val="auto"/>
          <w:sz w:val="28"/>
          <w:szCs w:val="28"/>
          <w:lang w:val="en-US" w:bidi="ar"/>
        </w:rPr>
      </w:pPr>
      <w:r>
        <w:rPr>
          <w:rFonts w:hint="eastAsia" w:ascii="宋体" w:hAnsi="宋体" w:cs="宋体"/>
          <w:b/>
          <w:bCs/>
          <w:color w:val="auto"/>
          <w:lang w:val="en-US" w:bidi="ar"/>
        </w:rPr>
        <w:t>合 同 协 议 书</w:t>
      </w:r>
    </w:p>
    <w:p>
      <w:pPr>
        <w:pStyle w:val="34"/>
        <w:rPr>
          <w:rFonts w:hint="eastAsia"/>
          <w:lang w:val="en-US" w:eastAsia="zh-CN"/>
        </w:rPr>
      </w:pP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 xml:space="preserve">（发包人名称，以下简称“发包人”）为实施 </w:t>
      </w:r>
      <w:r>
        <w:rPr>
          <w:rFonts w:hint="eastAsia" w:ascii="宋体" w:hAnsi="宋体" w:eastAsia="宋体" w:cs="宋体"/>
          <w:snapToGrid w:val="0"/>
          <w:color w:val="auto"/>
          <w:kern w:val="0"/>
          <w:sz w:val="21"/>
          <w:szCs w:val="21"/>
          <w:u w:val="single"/>
        </w:rPr>
        <w:t xml:space="preserve">        （项目名称）</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rPr>
        <w:t>标类（或标段）</w:t>
      </w:r>
      <w:r>
        <w:rPr>
          <w:rFonts w:hint="eastAsia" w:ascii="宋体" w:hAnsi="宋体" w:eastAsia="宋体" w:cs="宋体"/>
          <w:snapToGrid w:val="0"/>
          <w:color w:val="auto"/>
          <w:kern w:val="0"/>
          <w:sz w:val="21"/>
          <w:szCs w:val="21"/>
        </w:rPr>
        <w:t>，已接受</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（设计人名称，以下简称“设计人”）对该项目勘察设计投标。发包人和设计人共同达成如下协议。</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 下列文件应视为构成合同文件的组成部分：</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1</w:t>
      </w:r>
      <w:r>
        <w:rPr>
          <w:rFonts w:hint="eastAsia" w:ascii="宋体" w:hAnsi="宋体" w:eastAsia="宋体" w:cs="宋体"/>
          <w:snapToGrid w:val="0"/>
          <w:color w:val="auto"/>
          <w:kern w:val="0"/>
          <w:sz w:val="21"/>
          <w:szCs w:val="21"/>
          <w:lang w:eastAsia="zh-CN"/>
        </w:rPr>
        <w:t>）本合同协议书及各种合同附件（含评标期间和合同谈判过程中的澄清文件和补充资料）；</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2</w:t>
      </w:r>
      <w:r>
        <w:rPr>
          <w:rFonts w:hint="eastAsia" w:ascii="宋体" w:hAnsi="宋体" w:eastAsia="宋体" w:cs="宋体"/>
          <w:snapToGrid w:val="0"/>
          <w:color w:val="auto"/>
          <w:kern w:val="0"/>
          <w:sz w:val="21"/>
          <w:szCs w:val="21"/>
        </w:rPr>
        <w:t>）中标通知书；</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rPr>
        <w:t>）投标函；</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4</w:t>
      </w:r>
      <w:r>
        <w:rPr>
          <w:rFonts w:hint="eastAsia" w:ascii="宋体" w:hAnsi="宋体" w:eastAsia="宋体" w:cs="宋体"/>
          <w:snapToGrid w:val="0"/>
          <w:color w:val="auto"/>
          <w:kern w:val="0"/>
          <w:sz w:val="21"/>
          <w:szCs w:val="21"/>
        </w:rPr>
        <w:t>）专用合同条款；</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5</w:t>
      </w:r>
      <w:r>
        <w:rPr>
          <w:rFonts w:hint="eastAsia" w:ascii="宋体" w:hAnsi="宋体" w:eastAsia="宋体" w:cs="宋体"/>
          <w:snapToGrid w:val="0"/>
          <w:color w:val="auto"/>
          <w:kern w:val="0"/>
          <w:sz w:val="21"/>
          <w:szCs w:val="21"/>
        </w:rPr>
        <w:t>）通用合同条款；</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6</w:t>
      </w:r>
      <w:r>
        <w:rPr>
          <w:rFonts w:hint="eastAsia" w:ascii="宋体" w:hAnsi="宋体" w:eastAsia="宋体" w:cs="宋体"/>
          <w:snapToGrid w:val="0"/>
          <w:color w:val="auto"/>
          <w:kern w:val="0"/>
          <w:sz w:val="21"/>
          <w:szCs w:val="21"/>
        </w:rPr>
        <w:t>）发包人要求；</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7</w:t>
      </w:r>
      <w:r>
        <w:rPr>
          <w:rFonts w:hint="eastAsia" w:ascii="宋体" w:hAnsi="宋体" w:eastAsia="宋体" w:cs="宋体"/>
          <w:snapToGrid w:val="0"/>
          <w:color w:val="auto"/>
          <w:kern w:val="0"/>
          <w:sz w:val="21"/>
          <w:szCs w:val="21"/>
        </w:rPr>
        <w:t>）勘察设计费用清单；</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8</w:t>
      </w:r>
      <w:r>
        <w:rPr>
          <w:rFonts w:hint="eastAsia" w:ascii="宋体" w:hAnsi="宋体" w:eastAsia="宋体" w:cs="宋体"/>
          <w:snapToGrid w:val="0"/>
          <w:color w:val="auto"/>
          <w:kern w:val="0"/>
          <w:sz w:val="21"/>
          <w:szCs w:val="21"/>
        </w:rPr>
        <w:t>）设计人有关人员投入的承诺；</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9</w:t>
      </w:r>
      <w:r>
        <w:rPr>
          <w:rFonts w:hint="eastAsia" w:ascii="宋体" w:hAnsi="宋体" w:eastAsia="宋体" w:cs="宋体"/>
          <w:snapToGrid w:val="0"/>
          <w:color w:val="auto"/>
          <w:kern w:val="0"/>
          <w:sz w:val="21"/>
          <w:szCs w:val="21"/>
        </w:rPr>
        <w:t>）其他合同文件。</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 上述合同文件互相补充和解释。如果合同文件之间存在矛盾或不一致之处，以上述文件的排列顺序在先者为准。</w:t>
      </w:r>
    </w:p>
    <w:p>
      <w:pPr>
        <w:pStyle w:val="823"/>
        <w:spacing w:beforeLines="0" w:line="360" w:lineRule="auto"/>
        <w:ind w:firstLine="420" w:firstLineChars="200"/>
        <w:jc w:val="both"/>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 签约合同价：人民币（大写）</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 xml:space="preserve">（¥ </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）。其中：工程勘察费为：人民币（大写）</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 xml:space="preserve">（¥ </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），工程设计费为: 人民币（大写）</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 xml:space="preserve">（¥ </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sz w:val="21"/>
          <w:szCs w:val="21"/>
        </w:rPr>
        <w:t>。</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 项目负责人：</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 xml:space="preserve"> 。</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 勘察设计工作质量符合的标准和要求：</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6. 设计人承诺按合同约定承担工程的勘察设计工作。</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7. 发包人承诺按合同约定的条件、时间和方式向设计人支付合同价款。</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8. 设计人计划开始勘察设计日期：</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，实际日期以发包人在开始勘察设计通知中载明的开始勘察设计开始日期为准。勘察设计服务期限为</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天。</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 xml:space="preserve">9. 本合同协议书一式 </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份，合同双方各执</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份。</w:t>
      </w:r>
    </w:p>
    <w:p>
      <w:pPr>
        <w:pStyle w:val="823"/>
        <w:spacing w:beforeLines="0" w:line="360" w:lineRule="auto"/>
        <w:ind w:firstLine="420" w:firstLineChars="200"/>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10. 合同未尽事宜，双方另行签订补充协议。补充协议是合同的组成部分。</w:t>
      </w:r>
    </w:p>
    <w:p>
      <w:pPr>
        <w:autoSpaceDE w:val="0"/>
        <w:autoSpaceDN w:val="0"/>
        <w:adjustRightInd w:val="0"/>
        <w:spacing w:line="360" w:lineRule="auto"/>
        <w:rPr>
          <w:rFonts w:hint="eastAsia" w:ascii="宋体" w:hAnsi="宋体" w:cs="宋体"/>
          <w:color w:val="auto"/>
          <w:sz w:val="21"/>
          <w:szCs w:val="21"/>
        </w:rPr>
      </w:pPr>
    </w:p>
    <w:p>
      <w:pPr>
        <w:autoSpaceDE w:val="0"/>
        <w:autoSpaceDN w:val="0"/>
        <w:adjustRightInd w:val="0"/>
        <w:spacing w:line="360" w:lineRule="auto"/>
        <w:rPr>
          <w:rFonts w:hint="eastAsia" w:ascii="宋体" w:hAnsi="宋体" w:cs="宋体"/>
          <w:color w:val="auto"/>
          <w:sz w:val="21"/>
          <w:szCs w:val="21"/>
          <w:u w:val="single"/>
        </w:rPr>
      </w:pPr>
      <w:r>
        <w:rPr>
          <w:rFonts w:hint="eastAsia" w:ascii="宋体" w:hAnsi="宋体" w:cs="宋体"/>
          <w:color w:val="auto"/>
          <w:sz w:val="21"/>
          <w:szCs w:val="21"/>
          <w:lang w:val="en-US"/>
        </w:rPr>
        <w:t>发包人</w:t>
      </w:r>
      <w:r>
        <w:rPr>
          <w:rFonts w:hint="eastAsia" w:ascii="宋体" w:hAnsi="宋体" w:cs="宋体"/>
          <w:color w:val="auto"/>
          <w:sz w:val="21"/>
          <w:szCs w:val="21"/>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rPr>
        <w:t xml:space="preserve">(盖单位章)          </w:t>
      </w:r>
      <w:r>
        <w:rPr>
          <w:rFonts w:hint="eastAsia" w:ascii="宋体" w:hAnsi="宋体" w:cs="宋体"/>
          <w:color w:val="auto"/>
          <w:sz w:val="21"/>
          <w:szCs w:val="21"/>
          <w:lang w:val="en-US"/>
        </w:rPr>
        <w:t>设计人</w:t>
      </w:r>
      <w:r>
        <w:rPr>
          <w:rFonts w:hint="eastAsia" w:ascii="宋体" w:hAnsi="宋体" w:cs="宋体"/>
          <w:color w:val="auto"/>
          <w:sz w:val="21"/>
          <w:szCs w:val="21"/>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rPr>
        <w:t>(盖单位章)</w:t>
      </w:r>
    </w:p>
    <w:p>
      <w:pPr>
        <w:autoSpaceDE w:val="0"/>
        <w:autoSpaceDN w:val="0"/>
        <w:adjustRightInd w:val="0"/>
        <w:spacing w:line="360" w:lineRule="auto"/>
        <w:rPr>
          <w:rFonts w:hint="eastAsia" w:ascii="宋体" w:hAnsi="宋体" w:cs="宋体"/>
          <w:color w:val="auto"/>
          <w:sz w:val="21"/>
          <w:szCs w:val="21"/>
          <w:lang w:val="en-US"/>
        </w:rPr>
      </w:pPr>
      <w:r>
        <w:rPr>
          <w:rFonts w:hint="eastAsia" w:ascii="宋体" w:hAnsi="宋体" w:cs="宋体"/>
          <w:color w:val="auto"/>
          <w:sz w:val="21"/>
          <w:szCs w:val="21"/>
        </w:rPr>
        <w:t>法定代表人或其委托代理人：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(签字)      </w:t>
      </w:r>
      <w:r>
        <w:rPr>
          <w:rFonts w:hint="eastAsia" w:ascii="宋体" w:hAnsi="宋体" w:cs="宋体"/>
          <w:color w:val="auto"/>
          <w:sz w:val="21"/>
          <w:szCs w:val="21"/>
          <w:lang w:val="en-US"/>
        </w:rPr>
        <w:t xml:space="preserve">    </w:t>
      </w:r>
      <w:r>
        <w:rPr>
          <w:rFonts w:hint="eastAsia" w:ascii="宋体" w:hAnsi="宋体" w:cs="宋体"/>
          <w:color w:val="auto"/>
          <w:sz w:val="21"/>
          <w:szCs w:val="21"/>
        </w:rPr>
        <w:t>法定代表人</w:t>
      </w:r>
      <w:r>
        <w:rPr>
          <w:rFonts w:hint="eastAsia" w:ascii="宋体" w:hAnsi="宋体" w:cs="宋体"/>
          <w:color w:val="auto"/>
          <w:sz w:val="21"/>
          <w:szCs w:val="21"/>
          <w:lang w:val="en-US"/>
        </w:rPr>
        <w:t>或</w:t>
      </w:r>
      <w:r>
        <w:rPr>
          <w:rFonts w:hint="eastAsia" w:ascii="宋体" w:hAnsi="宋体" w:cs="宋体"/>
          <w:color w:val="auto"/>
          <w:sz w:val="21"/>
          <w:szCs w:val="21"/>
        </w:rPr>
        <w:t xml:space="preserve">其委托代理人： </w:t>
      </w:r>
      <w:r>
        <w:rPr>
          <w:rFonts w:hint="eastAsia" w:ascii="宋体" w:hAnsi="宋体" w:cs="宋体"/>
          <w:color w:val="auto"/>
          <w:sz w:val="21"/>
          <w:szCs w:val="21"/>
          <w:u w:val="single"/>
        </w:rPr>
        <w:t xml:space="preserve">   </w:t>
      </w:r>
      <w:r>
        <w:rPr>
          <w:rFonts w:hint="eastAsia" w:ascii="宋体" w:hAnsi="宋体" w:cs="宋体"/>
          <w:color w:val="auto"/>
          <w:sz w:val="21"/>
          <w:szCs w:val="21"/>
        </w:rPr>
        <w:t>(签字)</w:t>
      </w:r>
    </w:p>
    <w:p>
      <w:pPr>
        <w:autoSpaceDE w:val="0"/>
        <w:autoSpaceDN w:val="0"/>
        <w:adjustRightInd w:val="0"/>
        <w:spacing w:line="360" w:lineRule="auto"/>
        <w:rPr>
          <w:rFonts w:hint="eastAsia"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年</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月</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日</w:t>
      </w:r>
      <w:r>
        <w:rPr>
          <w:rFonts w:hint="eastAsia" w:ascii="宋体" w:hAnsi="宋体" w:cs="宋体"/>
          <w:color w:val="auto"/>
          <w:sz w:val="21"/>
          <w:szCs w:val="21"/>
        </w:rPr>
        <w:t xml:space="preserve">          </w:t>
      </w:r>
      <w:r>
        <w:rPr>
          <w:rFonts w:hint="eastAsia" w:ascii="宋体" w:hAnsi="宋体" w:cs="宋体"/>
          <w:color w:val="auto"/>
          <w:sz w:val="21"/>
          <w:szCs w:val="21"/>
          <w:lang w:val="en-US"/>
        </w:rPr>
        <w:t xml:space="preserve">         </w:t>
      </w: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年</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月</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日</w:t>
      </w:r>
      <w:r>
        <w:rPr>
          <w:rFonts w:hint="eastAsia" w:ascii="宋体" w:hAnsi="宋体" w:cs="宋体"/>
          <w:color w:val="auto"/>
          <w:sz w:val="21"/>
          <w:szCs w:val="21"/>
        </w:rPr>
        <w:t xml:space="preserve">                        </w:t>
      </w:r>
    </w:p>
    <w:p>
      <w:pPr>
        <w:autoSpaceDE w:val="0"/>
        <w:autoSpaceDN w:val="0"/>
        <w:adjustRightInd w:val="0"/>
        <w:spacing w:line="360" w:lineRule="auto"/>
        <w:rPr>
          <w:rFonts w:hint="eastAsia" w:ascii="宋体" w:hAnsi="宋体" w:cs="宋体"/>
          <w:color w:val="auto"/>
          <w:sz w:val="21"/>
          <w:szCs w:val="21"/>
        </w:rPr>
      </w:pPr>
      <w:r>
        <w:rPr>
          <w:rFonts w:hint="eastAsia" w:ascii="宋体" w:hAnsi="宋体" w:cs="宋体"/>
          <w:color w:val="auto"/>
          <w:sz w:val="21"/>
          <w:szCs w:val="21"/>
        </w:rPr>
        <w:t xml:space="preserve">           </w:t>
      </w:r>
    </w:p>
    <w:p>
      <w:pPr>
        <w:pStyle w:val="823"/>
        <w:spacing w:beforeLines="0" w:line="360" w:lineRule="auto"/>
        <w:jc w:val="left"/>
        <w:rPr>
          <w:rFonts w:ascii="宋体" w:hAnsi="宋体" w:eastAsia="宋体" w:cs="宋体"/>
          <w:b/>
          <w:bCs/>
          <w:snapToGrid w:val="0"/>
          <w:color w:val="auto"/>
          <w:kern w:val="0"/>
        </w:rPr>
      </w:pPr>
      <w:r>
        <w:rPr>
          <w:rFonts w:hint="eastAsia" w:ascii="宋体" w:hAnsi="宋体" w:eastAsia="宋体" w:cs="宋体"/>
          <w:b/>
          <w:bCs/>
          <w:snapToGrid w:val="0"/>
          <w:color w:val="auto"/>
          <w:kern w:val="0"/>
          <w:sz w:val="24"/>
          <w:szCs w:val="24"/>
        </w:rPr>
        <w:br w:type="page"/>
      </w:r>
      <w:r>
        <w:rPr>
          <w:rFonts w:hint="eastAsia" w:ascii="宋体" w:hAnsi="宋体" w:eastAsia="宋体" w:cs="宋体"/>
          <w:b/>
          <w:bCs/>
          <w:snapToGrid w:val="0"/>
          <w:color w:val="auto"/>
          <w:kern w:val="0"/>
          <w:sz w:val="24"/>
          <w:szCs w:val="24"/>
        </w:rPr>
        <w:t>附件二：履约保证金保格式</w:t>
      </w:r>
    </w:p>
    <w:p>
      <w:pPr>
        <w:pStyle w:val="823"/>
        <w:spacing w:beforeLines="0" w:line="360" w:lineRule="auto"/>
        <w:ind w:firstLine="480" w:firstLineChars="200"/>
        <w:jc w:val="left"/>
        <w:rPr>
          <w:rFonts w:ascii="宋体" w:hAnsi="宋体" w:eastAsia="宋体" w:cs="宋体"/>
          <w:snapToGrid w:val="0"/>
          <w:color w:val="auto"/>
          <w:kern w:val="0"/>
          <w:sz w:val="24"/>
          <w:szCs w:val="24"/>
        </w:rPr>
      </w:pPr>
    </w:p>
    <w:p>
      <w:pPr>
        <w:pStyle w:val="823"/>
        <w:spacing w:beforeLines="0" w:line="360" w:lineRule="auto"/>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如采用银行保函，格式如下:</w:t>
      </w:r>
    </w:p>
    <w:p>
      <w:pPr>
        <w:pStyle w:val="823"/>
        <w:spacing w:beforeLines="0" w:line="360" w:lineRule="auto"/>
        <w:rPr>
          <w:rFonts w:hint="eastAsia" w:ascii="宋体" w:hAnsi="宋体" w:eastAsia="宋体" w:cs="宋体"/>
          <w:b/>
          <w:bCs/>
          <w:snapToGrid w:val="0"/>
          <w:color w:val="auto"/>
          <w:kern w:val="0"/>
        </w:rPr>
      </w:pPr>
      <w:r>
        <w:rPr>
          <w:rFonts w:hint="eastAsia" w:ascii="宋体" w:hAnsi="宋体" w:eastAsia="宋体" w:cs="宋体"/>
          <w:b/>
          <w:bCs/>
          <w:snapToGrid w:val="0"/>
          <w:color w:val="auto"/>
          <w:kern w:val="0"/>
          <w:sz w:val="24"/>
          <w:szCs w:val="24"/>
        </w:rPr>
        <w:t>履约保证金</w:t>
      </w:r>
    </w:p>
    <w:p>
      <w:pPr>
        <w:pStyle w:val="823"/>
        <w:spacing w:beforeLines="0" w:line="360" w:lineRule="auto"/>
        <w:jc w:val="both"/>
        <w:rPr>
          <w:rFonts w:hint="eastAsia" w:ascii="宋体" w:hAnsi="宋体" w:eastAsia="宋体" w:cs="宋体"/>
          <w:snapToGrid w:val="0"/>
          <w:color w:val="auto"/>
          <w:kern w:val="0"/>
          <w:sz w:val="21"/>
          <w:szCs w:val="21"/>
          <w:u w:val="single"/>
        </w:rPr>
      </w:pPr>
    </w:p>
    <w:p>
      <w:pPr>
        <w:pStyle w:val="823"/>
        <w:spacing w:beforeLines="0" w:line="360" w:lineRule="auto"/>
        <w:jc w:val="both"/>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（发包人名称）：</w:t>
      </w:r>
    </w:p>
    <w:p>
      <w:pPr>
        <w:pStyle w:val="823"/>
        <w:spacing w:beforeLines="0" w:line="360" w:lineRule="auto"/>
        <w:ind w:firstLine="420" w:firstLineChars="200"/>
        <w:jc w:val="both"/>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鉴于</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（发包人名称，以下简称“发包人”）接受</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（设计人名称，以下称“设计人”）于</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年</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月</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日参加</w:t>
      </w:r>
      <w:r>
        <w:rPr>
          <w:rFonts w:hint="eastAsia" w:ascii="宋体" w:hAnsi="宋体" w:eastAsia="宋体" w:cs="宋体"/>
          <w:snapToGrid w:val="0"/>
          <w:color w:val="auto"/>
          <w:kern w:val="0"/>
          <w:sz w:val="21"/>
          <w:szCs w:val="21"/>
          <w:u w:val="single"/>
        </w:rPr>
        <w:t xml:space="preserve">       （项目名称）</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single"/>
        </w:rPr>
        <w:t>标类（或标段）</w:t>
      </w:r>
      <w:r>
        <w:rPr>
          <w:rFonts w:hint="eastAsia" w:ascii="宋体" w:hAnsi="宋体" w:eastAsia="宋体" w:cs="宋体"/>
          <w:snapToGrid w:val="0"/>
          <w:color w:val="auto"/>
          <w:kern w:val="0"/>
          <w:sz w:val="21"/>
          <w:szCs w:val="21"/>
        </w:rPr>
        <w:t>勘察设计招标项目的投标。我方愿意无条件地、不可撤销地就设计人履行与你方订立的合同，向你方提供担保。</w:t>
      </w:r>
    </w:p>
    <w:p>
      <w:pPr>
        <w:pStyle w:val="823"/>
        <w:spacing w:beforeLines="0" w:line="360" w:lineRule="auto"/>
        <w:ind w:firstLine="420" w:firstLineChars="200"/>
        <w:jc w:val="both"/>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 担保金额人民币（大写）</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w:t>
      </w:r>
    </w:p>
    <w:p>
      <w:pPr>
        <w:pStyle w:val="823"/>
        <w:spacing w:beforeLines="0" w:line="360" w:lineRule="auto"/>
        <w:ind w:firstLine="420" w:firstLineChars="200"/>
        <w:jc w:val="both"/>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 xml:space="preserve">2. </w:t>
      </w:r>
      <w:r>
        <w:rPr>
          <w:rFonts w:hint="eastAsia" w:ascii="宋体" w:hAnsi="宋体" w:eastAsia="宋体"/>
          <w:snapToGrid w:val="0"/>
          <w:color w:val="auto"/>
          <w:kern w:val="0"/>
          <w:sz w:val="21"/>
          <w:szCs w:val="21"/>
        </w:rPr>
        <w:t>担保有效期自发包人与设计人签订的合同生效之日起至发包人签收最后一批勘察设计成果文件且按照合同约定缴纳质量质量保证金之日止。</w:t>
      </w:r>
      <w:r>
        <w:rPr>
          <w:rStyle w:val="101"/>
          <w:rFonts w:hint="eastAsia" w:ascii="宋体" w:hAnsi="宋体" w:eastAsia="宋体"/>
          <w:color w:val="auto"/>
          <w:kern w:val="0"/>
          <w:sz w:val="30"/>
          <w:szCs w:val="24"/>
        </w:rPr>
        <w:footnoteReference w:id="105"/>
      </w:r>
    </w:p>
    <w:p>
      <w:pPr>
        <w:pStyle w:val="823"/>
        <w:spacing w:beforeLines="0" w:line="360" w:lineRule="auto"/>
        <w:ind w:firstLine="420" w:firstLineChars="200"/>
        <w:jc w:val="both"/>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 在本担保有效期内，如果设计人不履行合同约定的义务或其履行不符合合同的约定，我方在收到你方以书面形式提出的在担保金额内的赔偿要求后，在7日内无条件支付，无须你方出具证明或陈述理由。</w:t>
      </w:r>
    </w:p>
    <w:p>
      <w:pPr>
        <w:pStyle w:val="823"/>
        <w:spacing w:beforeLines="0" w:line="360" w:lineRule="auto"/>
        <w:ind w:firstLine="420" w:firstLineChars="200"/>
        <w:jc w:val="both"/>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 发包人和设计人变更合同时，无论我方是否收到该变更，我方承担本担保规定的义务不变。</w:t>
      </w:r>
    </w:p>
    <w:p>
      <w:pPr>
        <w:pStyle w:val="823"/>
        <w:spacing w:beforeLines="0" w:line="360" w:lineRule="auto"/>
        <w:ind w:firstLine="420" w:firstLineChars="200"/>
        <w:jc w:val="left"/>
        <w:rPr>
          <w:rFonts w:ascii="宋体" w:hAnsi="宋体" w:eastAsia="宋体" w:cs="宋体"/>
          <w:snapToGrid w:val="0"/>
          <w:color w:val="auto"/>
          <w:kern w:val="0"/>
          <w:sz w:val="21"/>
          <w:szCs w:val="21"/>
        </w:rPr>
      </w:pPr>
    </w:p>
    <w:p>
      <w:pPr>
        <w:pStyle w:val="823"/>
        <w:spacing w:beforeLines="0" w:line="360" w:lineRule="auto"/>
        <w:ind w:firstLine="3360" w:firstLineChars="16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担保人名称 ：</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（盖单位章）</w:t>
      </w:r>
    </w:p>
    <w:p>
      <w:pPr>
        <w:pStyle w:val="823"/>
        <w:spacing w:beforeLines="0" w:line="360" w:lineRule="auto"/>
        <w:ind w:firstLine="3360" w:firstLineChars="16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法定代表人或其委托代理人：</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（签字）</w:t>
      </w:r>
    </w:p>
    <w:p>
      <w:pPr>
        <w:pStyle w:val="823"/>
        <w:spacing w:beforeLines="0" w:line="360" w:lineRule="auto"/>
        <w:ind w:firstLine="3360" w:firstLineChars="16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地    址：</w:t>
      </w:r>
      <w:r>
        <w:rPr>
          <w:rFonts w:hint="eastAsia" w:ascii="宋体" w:hAnsi="宋体" w:eastAsia="宋体" w:cs="宋体"/>
          <w:snapToGrid w:val="0"/>
          <w:color w:val="auto"/>
          <w:kern w:val="0"/>
          <w:sz w:val="21"/>
          <w:szCs w:val="21"/>
          <w:u w:val="single"/>
        </w:rPr>
        <w:t xml:space="preserve">                                 </w:t>
      </w:r>
    </w:p>
    <w:p>
      <w:pPr>
        <w:pStyle w:val="823"/>
        <w:spacing w:beforeLines="0" w:line="360" w:lineRule="auto"/>
        <w:ind w:firstLine="3360" w:firstLineChars="16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邮政编码：</w:t>
      </w:r>
      <w:r>
        <w:rPr>
          <w:rFonts w:hint="eastAsia" w:ascii="宋体" w:hAnsi="宋体" w:eastAsia="宋体" w:cs="宋体"/>
          <w:snapToGrid w:val="0"/>
          <w:color w:val="auto"/>
          <w:kern w:val="0"/>
          <w:sz w:val="21"/>
          <w:szCs w:val="21"/>
          <w:u w:val="single"/>
        </w:rPr>
        <w:t xml:space="preserve">                                 </w:t>
      </w:r>
    </w:p>
    <w:p>
      <w:pPr>
        <w:pStyle w:val="823"/>
        <w:spacing w:beforeLines="0" w:line="360" w:lineRule="auto"/>
        <w:ind w:firstLine="3360" w:firstLineChars="16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电    话：</w:t>
      </w:r>
      <w:r>
        <w:rPr>
          <w:rFonts w:hint="eastAsia" w:ascii="宋体" w:hAnsi="宋体" w:eastAsia="宋体" w:cs="宋体"/>
          <w:snapToGrid w:val="0"/>
          <w:color w:val="auto"/>
          <w:kern w:val="0"/>
          <w:sz w:val="21"/>
          <w:szCs w:val="21"/>
          <w:u w:val="single"/>
        </w:rPr>
        <w:t xml:space="preserve">                                 </w:t>
      </w:r>
    </w:p>
    <w:p>
      <w:pPr>
        <w:pStyle w:val="823"/>
        <w:spacing w:beforeLines="0" w:line="360" w:lineRule="auto"/>
        <w:ind w:firstLine="420" w:firstLineChars="200"/>
        <w:jc w:val="right"/>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年</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月</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日</w:t>
      </w:r>
    </w:p>
    <w:p>
      <w:pPr>
        <w:pStyle w:val="823"/>
        <w:spacing w:beforeLines="0" w:line="360" w:lineRule="auto"/>
        <w:ind w:firstLine="480" w:firstLineChars="200"/>
        <w:jc w:val="right"/>
        <w:rPr>
          <w:rFonts w:ascii="宋体" w:hAnsi="宋体" w:eastAsia="宋体" w:cs="宋体"/>
          <w:snapToGrid w:val="0"/>
          <w:color w:val="auto"/>
          <w:kern w:val="0"/>
          <w:sz w:val="24"/>
          <w:szCs w:val="24"/>
        </w:rPr>
      </w:pPr>
    </w:p>
    <w:p>
      <w:pPr>
        <w:pStyle w:val="823"/>
        <w:spacing w:beforeLines="0" w:line="360" w:lineRule="auto"/>
        <w:ind w:firstLine="480" w:firstLineChars="200"/>
        <w:jc w:val="right"/>
        <w:rPr>
          <w:rFonts w:ascii="宋体" w:hAnsi="宋体" w:eastAsia="宋体" w:cs="宋体"/>
          <w:snapToGrid w:val="0"/>
          <w:color w:val="auto"/>
          <w:kern w:val="0"/>
          <w:sz w:val="24"/>
          <w:szCs w:val="24"/>
        </w:rPr>
      </w:pPr>
    </w:p>
    <w:p>
      <w:pPr>
        <w:pStyle w:val="823"/>
        <w:spacing w:beforeLines="0" w:line="360" w:lineRule="auto"/>
        <w:jc w:val="both"/>
        <w:rPr>
          <w:rFonts w:ascii="宋体" w:hAnsi="宋体" w:eastAsia="宋体" w:cs="宋体"/>
          <w:snapToGrid w:val="0"/>
          <w:color w:val="auto"/>
          <w:kern w:val="0"/>
          <w:sz w:val="24"/>
          <w:szCs w:val="24"/>
        </w:rPr>
      </w:pPr>
    </w:p>
    <w:p>
      <w:pPr>
        <w:pStyle w:val="823"/>
        <w:spacing w:beforeLines="0" w:line="360" w:lineRule="auto"/>
        <w:jc w:val="both"/>
        <w:rPr>
          <w:rFonts w:ascii="宋体" w:hAnsi="宋体" w:eastAsia="宋体" w:cs="宋体"/>
          <w:snapToGrid w:val="0"/>
          <w:color w:val="auto"/>
          <w:kern w:val="0"/>
          <w:sz w:val="24"/>
          <w:szCs w:val="24"/>
        </w:rPr>
      </w:pPr>
    </w:p>
    <w:p>
      <w:pPr>
        <w:pStyle w:val="823"/>
        <w:spacing w:beforeLines="0" w:line="360" w:lineRule="auto"/>
        <w:jc w:val="left"/>
        <w:rPr>
          <w:rFonts w:hint="eastAsia" w:ascii="宋体" w:hAnsi="宋体" w:eastAsia="宋体" w:cs="宋体"/>
          <w:b/>
          <w:bCs/>
          <w:snapToGrid w:val="0"/>
          <w:color w:val="auto"/>
          <w:kern w:val="0"/>
          <w:sz w:val="24"/>
          <w:szCs w:val="24"/>
        </w:rPr>
        <w:sectPr>
          <w:footnotePr>
            <w:numRestart w:val="eachPage"/>
          </w:footnotePr>
          <w:pgSz w:w="11900" w:h="16838"/>
          <w:pgMar w:top="1803" w:right="1440" w:bottom="1803" w:left="1440" w:header="680" w:footer="680" w:gutter="0"/>
          <w:cols w:space="720" w:num="1"/>
          <w:docGrid w:linePitch="360" w:charSpace="0"/>
        </w:sectPr>
      </w:pPr>
    </w:p>
    <w:p>
      <w:pPr>
        <w:pStyle w:val="823"/>
        <w:spacing w:beforeLines="0" w:line="360" w:lineRule="auto"/>
        <w:jc w:val="left"/>
        <w:rPr>
          <w:rFonts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附件三：廉政合同</w:t>
      </w:r>
    </w:p>
    <w:p>
      <w:pPr>
        <w:pStyle w:val="823"/>
        <w:spacing w:beforeLines="0" w:line="360" w:lineRule="auto"/>
        <w:rPr>
          <w:rFonts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廉政合同</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（项目名称）</w:t>
      </w:r>
      <w:r>
        <w:rPr>
          <w:rFonts w:hint="eastAsia" w:ascii="宋体" w:hAnsi="宋体" w:cs="宋体"/>
          <w:color w:val="auto"/>
          <w:sz w:val="21"/>
          <w:szCs w:val="21"/>
          <w:u w:val="single"/>
          <w:lang w:val="en-US" w:eastAsia="zh-CN"/>
        </w:rPr>
        <w:t xml:space="preserve">   </w:t>
      </w:r>
      <w:r>
        <w:rPr>
          <w:rFonts w:hint="eastAsia" w:ascii="宋体" w:hAnsi="宋体" w:eastAsia="宋体" w:cs="宋体"/>
          <w:snapToGrid w:val="0"/>
          <w:color w:val="auto"/>
          <w:kern w:val="0"/>
          <w:sz w:val="21"/>
          <w:szCs w:val="21"/>
          <w:u w:val="single"/>
        </w:rPr>
        <w:t>标类（或标段）</w:t>
      </w:r>
      <w:r>
        <w:rPr>
          <w:rFonts w:hint="eastAsia" w:ascii="宋体" w:hAnsi="宋体" w:cs="宋体"/>
          <w:color w:val="auto"/>
          <w:sz w:val="21"/>
          <w:szCs w:val="21"/>
        </w:rPr>
        <w:t>的项目法人</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（以下简称“发包人”）与该项目的</w:t>
      </w:r>
      <w:r>
        <w:rPr>
          <w:rFonts w:hint="eastAsia" w:ascii="宋体" w:hAnsi="宋体" w:cs="宋体"/>
          <w:snapToGrid w:val="0"/>
          <w:color w:val="auto"/>
          <w:sz w:val="21"/>
          <w:szCs w:val="21"/>
          <w:lang w:val="en-US"/>
        </w:rPr>
        <w:t>勘察</w:t>
      </w:r>
      <w:r>
        <w:rPr>
          <w:rFonts w:hint="eastAsia" w:ascii="宋体" w:hAnsi="宋体" w:cs="宋体"/>
          <w:snapToGrid w:val="0"/>
          <w:color w:val="auto"/>
          <w:sz w:val="21"/>
          <w:szCs w:val="21"/>
        </w:rPr>
        <w:t>设计</w:t>
      </w:r>
      <w:r>
        <w:rPr>
          <w:rFonts w:hint="eastAsia" w:ascii="宋体" w:hAnsi="宋体" w:cs="宋体"/>
          <w:color w:val="auto"/>
          <w:sz w:val="21"/>
          <w:szCs w:val="21"/>
        </w:rPr>
        <w:t xml:space="preserve">单位 </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（以下简称“设计人”），特订立如下合同。</w:t>
      </w:r>
    </w:p>
    <w:p>
      <w:p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lang w:val="en-US"/>
        </w:rPr>
        <w:t>1.</w:t>
      </w:r>
      <w:r>
        <w:rPr>
          <w:rFonts w:hint="eastAsia" w:ascii="宋体" w:hAnsi="宋体" w:cs="宋体"/>
          <w:b/>
          <w:bCs/>
          <w:color w:val="auto"/>
          <w:sz w:val="21"/>
          <w:szCs w:val="21"/>
        </w:rPr>
        <w:t>发包人和设计人双方的权利和义务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1.1严格遵守党的政策规定和国家有关法律法规及交通运输部的有关规定。</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1.2严格执行 </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u w:val="single"/>
        </w:rPr>
        <w:t>（项目名称）</w:t>
      </w:r>
      <w:r>
        <w:rPr>
          <w:rFonts w:hint="eastAsia" w:ascii="宋体" w:hAnsi="宋体" w:cs="宋体"/>
          <w:color w:val="auto"/>
          <w:sz w:val="21"/>
          <w:szCs w:val="21"/>
          <w:u w:val="single"/>
          <w:lang w:val="en-US" w:eastAsia="zh-CN"/>
        </w:rPr>
        <w:t xml:space="preserve">    </w:t>
      </w:r>
      <w:r>
        <w:rPr>
          <w:rFonts w:hint="eastAsia" w:ascii="宋体" w:hAnsi="宋体" w:eastAsia="宋体" w:cs="宋体"/>
          <w:snapToGrid w:val="0"/>
          <w:color w:val="auto"/>
          <w:kern w:val="0"/>
          <w:sz w:val="21"/>
          <w:szCs w:val="21"/>
          <w:u w:val="single"/>
        </w:rPr>
        <w:t>标类（或标段）</w:t>
      </w:r>
      <w:r>
        <w:rPr>
          <w:rFonts w:hint="eastAsia" w:ascii="宋体" w:hAnsi="宋体" w:cs="宋体"/>
          <w:color w:val="auto"/>
          <w:sz w:val="21"/>
          <w:szCs w:val="21"/>
          <w:lang w:val="en-US"/>
        </w:rPr>
        <w:t>勘察</w:t>
      </w:r>
      <w:r>
        <w:rPr>
          <w:rFonts w:hint="eastAsia" w:ascii="宋体" w:hAnsi="宋体" w:cs="宋体"/>
          <w:color w:val="auto"/>
          <w:sz w:val="21"/>
          <w:szCs w:val="21"/>
        </w:rPr>
        <w:t>设计合同文件，自觉按合同办事。</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1.3双方的业务活动坚持公开、公正、诚信、透明的原则（法律认定的商业秘密和合同文件另有规定除外），不得损害国家和集体利益，不得违反工程建设管理规章制度。</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1.4建立健全廉政制度，开展廉政教育，设立廉政告示牌，公布举报电话，监督并认真查处违法违纪行为。</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1.5发现对方在业务活动中有违反廉政规定的行为，有及时提醒对方纠正的权利和义务。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1.6发现对方严重违反本合同义务条款的行为，有向其上级有关部门举报、建议给予处理并要求告知处理结果的权利。</w:t>
      </w:r>
    </w:p>
    <w:p>
      <w:p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lang w:val="en-US"/>
        </w:rPr>
        <w:t>2.</w:t>
      </w:r>
      <w:r>
        <w:rPr>
          <w:rFonts w:hint="eastAsia" w:ascii="宋体" w:hAnsi="宋体" w:cs="宋体"/>
          <w:b/>
          <w:bCs/>
          <w:color w:val="auto"/>
          <w:sz w:val="21"/>
          <w:szCs w:val="21"/>
        </w:rPr>
        <w:t>发包人的义务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.1发包人及其工作人员不得索要或接受设计人的礼金、有价证券和贵重物品，不得让设计人报销任何应由发包人或发包人工作人员个人支付的费用等。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.2发包人工作人员不得参加设计人安排的超标准宴请和娱乐活动；不得接受设计人提供的通信工具、交通工具和高档办公用品等。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.3发包人及其工作人员不得要求或者接受设计人为其住房装修、婚丧嫁娶活动、配偶子女的工作安排以及出国出境、旅游等提供方便等。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.4发包人工作人员及其配偶、子女、亲属不得从事与本</w:t>
      </w:r>
      <w:r>
        <w:rPr>
          <w:rFonts w:hint="eastAsia" w:ascii="宋体" w:hAnsi="宋体" w:cs="宋体"/>
          <w:color w:val="auto"/>
          <w:sz w:val="21"/>
          <w:szCs w:val="21"/>
          <w:lang w:val="en-US"/>
        </w:rPr>
        <w:t>勘察设计</w:t>
      </w:r>
      <w:r>
        <w:rPr>
          <w:rFonts w:hint="eastAsia" w:ascii="宋体" w:hAnsi="宋体" w:cs="宋体"/>
          <w:color w:val="auto"/>
          <w:sz w:val="21"/>
          <w:szCs w:val="21"/>
        </w:rPr>
        <w:t>合同有关的</w:t>
      </w:r>
      <w:r>
        <w:rPr>
          <w:rFonts w:hint="eastAsia" w:ascii="宋体" w:hAnsi="宋体" w:cs="宋体"/>
          <w:color w:val="auto"/>
          <w:sz w:val="21"/>
          <w:szCs w:val="21"/>
          <w:lang w:val="en-US"/>
        </w:rPr>
        <w:t>勘察</w:t>
      </w:r>
      <w:r>
        <w:rPr>
          <w:rFonts w:hint="eastAsia" w:ascii="宋体" w:hAnsi="宋体" w:cs="宋体"/>
          <w:color w:val="auto"/>
          <w:sz w:val="21"/>
          <w:szCs w:val="21"/>
        </w:rPr>
        <w:t>设计业务等活动。不得以任何理由要求设计人和相关单位在设计中使用某种产品、材料和设备。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.5发包人工作人员要秉公办事，不准营私舞弊，不准利用职权从事各种个人有偿中介活动和安排个人</w:t>
      </w:r>
      <w:r>
        <w:rPr>
          <w:rFonts w:hint="eastAsia" w:ascii="宋体" w:hAnsi="宋体" w:cs="宋体"/>
          <w:snapToGrid w:val="0"/>
          <w:color w:val="auto"/>
          <w:sz w:val="21"/>
          <w:szCs w:val="21"/>
        </w:rPr>
        <w:t>勘察设计工作</w:t>
      </w:r>
      <w:r>
        <w:rPr>
          <w:rFonts w:hint="eastAsia" w:ascii="宋体" w:hAnsi="宋体" w:cs="宋体"/>
          <w:color w:val="auto"/>
          <w:sz w:val="21"/>
          <w:szCs w:val="21"/>
        </w:rPr>
        <w:t>队伍。</w:t>
      </w:r>
      <w:bookmarkStart w:id="82" w:name="br1_80_0"/>
      <w:bookmarkEnd w:id="82"/>
      <w:bookmarkStart w:id="83" w:name="br1_79_0"/>
      <w:bookmarkEnd w:id="83"/>
    </w:p>
    <w:p>
      <w:p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lang w:val="en-US"/>
        </w:rPr>
        <w:t>3.</w:t>
      </w:r>
      <w:r>
        <w:rPr>
          <w:rFonts w:hint="eastAsia" w:ascii="宋体" w:hAnsi="宋体" w:cs="宋体"/>
          <w:b/>
          <w:bCs/>
          <w:color w:val="auto"/>
          <w:sz w:val="21"/>
          <w:szCs w:val="21"/>
        </w:rPr>
        <w:t>设计人的义务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3</w:t>
      </w:r>
      <w:r>
        <w:rPr>
          <w:rFonts w:hint="eastAsia" w:ascii="宋体" w:hAnsi="宋体" w:cs="宋体"/>
          <w:color w:val="auto"/>
          <w:sz w:val="21"/>
          <w:szCs w:val="21"/>
        </w:rPr>
        <w:t>.1设计人不得以任何理由向发包人及其工作人员行贿或馈赠礼金、有价证券、贵重礼品。</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3</w:t>
      </w:r>
      <w:r>
        <w:rPr>
          <w:rFonts w:hint="eastAsia" w:ascii="宋体" w:hAnsi="宋体" w:cs="宋体"/>
          <w:color w:val="auto"/>
          <w:sz w:val="21"/>
          <w:szCs w:val="21"/>
        </w:rPr>
        <w:t>.2设计人不得以任何名义为发包人及其工作人员报销应由发包人单位或个人支付的任何费用。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3</w:t>
      </w:r>
      <w:r>
        <w:rPr>
          <w:rFonts w:hint="eastAsia" w:ascii="宋体" w:hAnsi="宋体" w:cs="宋体"/>
          <w:color w:val="auto"/>
          <w:sz w:val="21"/>
          <w:szCs w:val="21"/>
        </w:rPr>
        <w:t>.3设计人不得以任何理由安排发包人工作人员参加超标准宴请及娱乐活动。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3</w:t>
      </w:r>
      <w:r>
        <w:rPr>
          <w:rFonts w:hint="eastAsia" w:ascii="宋体" w:hAnsi="宋体" w:cs="宋体"/>
          <w:color w:val="auto"/>
          <w:sz w:val="21"/>
          <w:szCs w:val="21"/>
        </w:rPr>
        <w:t>.4设计人不得为发包人单位和个人购置或提供通信工具、交通工具和高档办公用品等。</w:t>
      </w:r>
    </w:p>
    <w:p>
      <w:p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lang w:val="en-US"/>
        </w:rPr>
        <w:t>4.</w:t>
      </w:r>
      <w:r>
        <w:rPr>
          <w:rFonts w:hint="eastAsia" w:ascii="宋体" w:hAnsi="宋体" w:cs="宋体"/>
          <w:b/>
          <w:bCs/>
          <w:color w:val="auto"/>
          <w:sz w:val="21"/>
          <w:szCs w:val="21"/>
        </w:rPr>
        <w:t>违约责任</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4.1发包人及其工作人员违反本合同第 1、2 条，按管理权限，依据有关规定给予党纪、政纪或组织处理；涉嫌犯罪的，移交司法机关追究刑事责任；给设计人造成经济损失的，应予以赔偿。</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4.2设计人及其工作人员违反本合同第 1、3 条，按管理权限，依据有关规定给予党纪、政纪或组织处理；给发包人单位造成经济损失的，应予以赔偿；情节严重的，发包人建议交通运输主管部门给予设计人一至三年内不得进入其主管的交通建设市场的处罚。</w:t>
      </w:r>
    </w:p>
    <w:p>
      <w:pPr>
        <w:spacing w:line="360" w:lineRule="auto"/>
        <w:ind w:firstLine="422" w:firstLineChars="200"/>
        <w:rPr>
          <w:rFonts w:hint="eastAsia" w:ascii="宋体" w:hAnsi="宋体" w:cs="宋体"/>
          <w:color w:val="auto"/>
          <w:sz w:val="21"/>
          <w:szCs w:val="21"/>
        </w:rPr>
      </w:pPr>
      <w:r>
        <w:rPr>
          <w:rFonts w:hint="eastAsia" w:ascii="宋体" w:hAnsi="宋体" w:cs="宋体"/>
          <w:b/>
          <w:bCs/>
          <w:color w:val="auto"/>
          <w:sz w:val="21"/>
          <w:szCs w:val="21"/>
          <w:lang w:val="en-US"/>
        </w:rPr>
        <w:t>5.</w:t>
      </w:r>
      <w:r>
        <w:rPr>
          <w:rFonts w:hint="eastAsia" w:ascii="宋体" w:hAnsi="宋体" w:cs="宋体"/>
          <w:b/>
          <w:bCs/>
          <w:color w:val="auto"/>
          <w:sz w:val="21"/>
          <w:szCs w:val="21"/>
        </w:rPr>
        <w:t xml:space="preserve"> 双方约定：</w:t>
      </w:r>
      <w:r>
        <w:rPr>
          <w:rFonts w:hint="eastAsia" w:ascii="宋体" w:hAnsi="宋体" w:cs="宋体"/>
          <w:color w:val="auto"/>
          <w:sz w:val="21"/>
          <w:szCs w:val="21"/>
        </w:rPr>
        <w:t>本合同由双方或双方上级单位的纪检监察部门负责监督执行。由发包人或发包人上级单位的纪检监察部门约请设计人或设计人上级单位纪检监察部门对本合同执行情况进行检查，提出在本合同规定范围内的裁定意见。</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6.</w:t>
      </w:r>
      <w:r>
        <w:rPr>
          <w:rFonts w:hint="eastAsia" w:ascii="宋体" w:hAnsi="宋体" w:cs="宋体"/>
          <w:color w:val="auto"/>
          <w:sz w:val="21"/>
          <w:szCs w:val="21"/>
        </w:rPr>
        <w:t>本合同有效期为合同双方签署之日起至</w:t>
      </w:r>
      <w:r>
        <w:rPr>
          <w:rFonts w:hint="eastAsia" w:ascii="宋体" w:hAnsi="宋体" w:cs="宋体"/>
          <w:color w:val="auto"/>
          <w:sz w:val="21"/>
          <w:szCs w:val="21"/>
          <w:lang w:val="en-US"/>
        </w:rPr>
        <w:t>勘察设计</w:t>
      </w:r>
      <w:r>
        <w:rPr>
          <w:rFonts w:hint="eastAsia" w:ascii="宋体" w:hAnsi="宋体" w:cs="宋体"/>
          <w:color w:val="auto"/>
          <w:sz w:val="21"/>
          <w:szCs w:val="21"/>
        </w:rPr>
        <w:t>设计合同失效日止。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7.</w:t>
      </w:r>
      <w:r>
        <w:rPr>
          <w:rFonts w:hint="eastAsia" w:ascii="宋体" w:hAnsi="宋体" w:cs="宋体"/>
          <w:color w:val="auto"/>
          <w:sz w:val="21"/>
          <w:szCs w:val="21"/>
        </w:rPr>
        <w:t xml:space="preserve">本合同作为 </w:t>
      </w:r>
      <w:r>
        <w:rPr>
          <w:rFonts w:hint="eastAsia" w:ascii="宋体" w:hAnsi="宋体" w:cs="宋体"/>
          <w:color w:val="auto"/>
          <w:sz w:val="21"/>
          <w:szCs w:val="21"/>
          <w:u w:val="single"/>
        </w:rPr>
        <w:t xml:space="preserve">（项目名称） </w:t>
      </w:r>
      <w:r>
        <w:rPr>
          <w:rFonts w:hint="eastAsia" w:ascii="宋体" w:hAnsi="宋体" w:cs="宋体"/>
          <w:color w:val="auto"/>
          <w:sz w:val="21"/>
          <w:szCs w:val="21"/>
          <w:u w:val="single"/>
          <w:lang w:val="en-US" w:eastAsia="zh-CN"/>
        </w:rPr>
        <w:t xml:space="preserve"> </w:t>
      </w:r>
      <w:r>
        <w:rPr>
          <w:rFonts w:hint="eastAsia" w:ascii="宋体" w:hAnsi="宋体" w:eastAsia="宋体" w:cs="宋体"/>
          <w:snapToGrid w:val="0"/>
          <w:color w:val="auto"/>
          <w:kern w:val="0"/>
          <w:sz w:val="21"/>
          <w:szCs w:val="21"/>
          <w:u w:val="single"/>
        </w:rPr>
        <w:t>标类（或标段）</w:t>
      </w:r>
      <w:r>
        <w:rPr>
          <w:rFonts w:hint="eastAsia" w:ascii="宋体" w:hAnsi="宋体" w:cs="宋体"/>
          <w:color w:val="auto"/>
          <w:sz w:val="21"/>
          <w:szCs w:val="21"/>
        </w:rPr>
        <w:t>合同的附件，与勘察设计合同具有同等的法律效力。</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rPr>
        <w:t>8.</w:t>
      </w:r>
      <w:r>
        <w:rPr>
          <w:rFonts w:hint="eastAsia" w:ascii="宋体" w:hAnsi="宋体" w:cs="宋体"/>
          <w:color w:val="auto"/>
          <w:sz w:val="21"/>
          <w:szCs w:val="21"/>
        </w:rPr>
        <w:t>本合同一式四份，由发包人和设计人各执一份，送交发包人和设计人的监督单位各一份。</w:t>
      </w:r>
    </w:p>
    <w:p>
      <w:pPr>
        <w:pStyle w:val="45"/>
        <w:spacing w:line="360" w:lineRule="auto"/>
        <w:ind w:firstLine="420" w:firstLineChars="200"/>
        <w:rPr>
          <w:rFonts w:hint="eastAsia" w:hAnsi="宋体" w:cs="宋体"/>
          <w:szCs w:val="21"/>
        </w:rPr>
      </w:pPr>
    </w:p>
    <w:p>
      <w:pPr>
        <w:autoSpaceDE w:val="0"/>
        <w:autoSpaceDN w:val="0"/>
        <w:adjustRightInd w:val="0"/>
        <w:spacing w:line="360" w:lineRule="auto"/>
        <w:rPr>
          <w:rFonts w:hint="eastAsia" w:ascii="宋体" w:hAnsi="宋体" w:cs="宋体"/>
          <w:color w:val="auto"/>
          <w:sz w:val="21"/>
          <w:szCs w:val="21"/>
          <w:u w:val="single"/>
        </w:rPr>
      </w:pPr>
      <w:r>
        <w:rPr>
          <w:rFonts w:hint="eastAsia" w:ascii="宋体" w:hAnsi="宋体" w:cs="宋体"/>
          <w:color w:val="auto"/>
          <w:sz w:val="21"/>
          <w:szCs w:val="21"/>
          <w:lang w:val="en-US"/>
        </w:rPr>
        <w:t>发包人</w:t>
      </w:r>
      <w:r>
        <w:rPr>
          <w:rFonts w:hint="eastAsia" w:ascii="宋体" w:hAnsi="宋体" w:cs="宋体"/>
          <w:color w:val="auto"/>
          <w:sz w:val="21"/>
          <w:szCs w:val="21"/>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rPr>
        <w:t xml:space="preserve">(盖单位章)          </w:t>
      </w:r>
      <w:r>
        <w:rPr>
          <w:rFonts w:hint="eastAsia" w:ascii="宋体" w:hAnsi="宋体" w:cs="宋体"/>
          <w:color w:val="auto"/>
          <w:sz w:val="21"/>
          <w:szCs w:val="21"/>
          <w:lang w:val="en-US"/>
        </w:rPr>
        <w:t xml:space="preserve">  设计人</w:t>
      </w:r>
      <w:r>
        <w:rPr>
          <w:rFonts w:hint="eastAsia" w:ascii="宋体" w:hAnsi="宋体" w:cs="宋体"/>
          <w:color w:val="auto"/>
          <w:sz w:val="21"/>
          <w:szCs w:val="21"/>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rPr>
        <w:t>(盖单位章)</w:t>
      </w:r>
    </w:p>
    <w:p>
      <w:pPr>
        <w:autoSpaceDE w:val="0"/>
        <w:autoSpaceDN w:val="0"/>
        <w:adjustRightInd w:val="0"/>
        <w:spacing w:line="360" w:lineRule="auto"/>
        <w:rPr>
          <w:rFonts w:hint="eastAsia" w:ascii="宋体" w:hAnsi="宋体" w:cs="宋体"/>
          <w:color w:val="auto"/>
          <w:sz w:val="21"/>
          <w:szCs w:val="21"/>
          <w:lang w:val="en-US"/>
        </w:rPr>
      </w:pPr>
      <w:r>
        <w:rPr>
          <w:rFonts w:hint="eastAsia" w:ascii="宋体" w:hAnsi="宋体" w:cs="宋体"/>
          <w:color w:val="auto"/>
          <w:sz w:val="21"/>
          <w:szCs w:val="21"/>
        </w:rPr>
        <w:t>法定代表人或其委托代理人：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(签字)      </w:t>
      </w:r>
      <w:r>
        <w:rPr>
          <w:rFonts w:hint="eastAsia" w:ascii="宋体" w:hAnsi="宋体" w:cs="宋体"/>
          <w:color w:val="auto"/>
          <w:sz w:val="21"/>
          <w:szCs w:val="21"/>
          <w:lang w:val="en-US"/>
        </w:rPr>
        <w:t xml:space="preserve">    </w:t>
      </w:r>
      <w:r>
        <w:rPr>
          <w:rFonts w:hint="eastAsia" w:ascii="宋体" w:hAnsi="宋体" w:cs="宋体"/>
          <w:color w:val="auto"/>
          <w:sz w:val="21"/>
          <w:szCs w:val="21"/>
        </w:rPr>
        <w:t>法定代表人</w:t>
      </w:r>
      <w:r>
        <w:rPr>
          <w:rFonts w:hint="eastAsia" w:ascii="宋体" w:hAnsi="宋体" w:cs="宋体"/>
          <w:color w:val="auto"/>
          <w:sz w:val="21"/>
          <w:szCs w:val="21"/>
          <w:lang w:val="en-US"/>
        </w:rPr>
        <w:t>或</w:t>
      </w:r>
      <w:r>
        <w:rPr>
          <w:rFonts w:hint="eastAsia" w:ascii="宋体" w:hAnsi="宋体" w:cs="宋体"/>
          <w:color w:val="auto"/>
          <w:sz w:val="21"/>
          <w:szCs w:val="21"/>
        </w:rPr>
        <w:t xml:space="preserve">其委托代理人： </w:t>
      </w:r>
      <w:r>
        <w:rPr>
          <w:rFonts w:hint="eastAsia" w:ascii="宋体" w:hAnsi="宋体" w:cs="宋体"/>
          <w:color w:val="auto"/>
          <w:sz w:val="21"/>
          <w:szCs w:val="21"/>
          <w:u w:val="single"/>
        </w:rPr>
        <w:t xml:space="preserve">   </w:t>
      </w:r>
      <w:r>
        <w:rPr>
          <w:rFonts w:hint="eastAsia" w:ascii="宋体" w:hAnsi="宋体" w:cs="宋体"/>
          <w:color w:val="auto"/>
          <w:sz w:val="21"/>
          <w:szCs w:val="21"/>
        </w:rPr>
        <w:t>(签字)</w:t>
      </w:r>
    </w:p>
    <w:p>
      <w:pPr>
        <w:autoSpaceDE w:val="0"/>
        <w:autoSpaceDN w:val="0"/>
        <w:adjustRightInd w:val="0"/>
        <w:spacing w:line="360" w:lineRule="auto"/>
        <w:rPr>
          <w:rFonts w:hint="eastAsia"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年</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月</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日</w:t>
      </w:r>
      <w:r>
        <w:rPr>
          <w:rFonts w:hint="eastAsia" w:ascii="宋体" w:hAnsi="宋体" w:cs="宋体"/>
          <w:color w:val="auto"/>
          <w:sz w:val="21"/>
          <w:szCs w:val="21"/>
        </w:rPr>
        <w:t xml:space="preserve">          </w:t>
      </w:r>
      <w:r>
        <w:rPr>
          <w:rFonts w:hint="eastAsia" w:ascii="宋体" w:hAnsi="宋体" w:cs="宋体"/>
          <w:color w:val="auto"/>
          <w:sz w:val="21"/>
          <w:szCs w:val="21"/>
          <w:lang w:val="en-US"/>
        </w:rPr>
        <w:t xml:space="preserve">         </w:t>
      </w: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年</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月</w:t>
      </w:r>
      <w:r>
        <w:rPr>
          <w:rFonts w:hint="eastAsia" w:ascii="宋体" w:hAnsi="宋体" w:cs="宋体"/>
          <w:color w:val="auto"/>
          <w:sz w:val="21"/>
          <w:szCs w:val="21"/>
          <w:u w:val="single"/>
          <w:lang w:val="en-US"/>
        </w:rPr>
        <w:t xml:space="preserve">     </w:t>
      </w:r>
      <w:r>
        <w:rPr>
          <w:rFonts w:hint="eastAsia" w:ascii="宋体" w:hAnsi="宋体" w:cs="宋体"/>
          <w:color w:val="auto"/>
          <w:sz w:val="21"/>
          <w:szCs w:val="21"/>
          <w:lang w:val="en-US"/>
        </w:rPr>
        <w:t>日</w:t>
      </w:r>
    </w:p>
    <w:p>
      <w:pPr>
        <w:pStyle w:val="823"/>
        <w:spacing w:beforeLines="0" w:line="360" w:lineRule="auto"/>
        <w:jc w:val="left"/>
        <w:rPr>
          <w:rFonts w:ascii="宋体" w:hAnsi="宋体" w:eastAsia="宋体" w:cs="宋体"/>
          <w:b/>
          <w:bCs/>
          <w:snapToGrid w:val="0"/>
          <w:color w:val="auto"/>
          <w:kern w:val="0"/>
        </w:rPr>
        <w:sectPr>
          <w:footnotePr>
            <w:numRestart w:val="eachPage"/>
          </w:footnotePr>
          <w:pgSz w:w="11900" w:h="16838"/>
          <w:pgMar w:top="1803" w:right="1440" w:bottom="1803" w:left="1440" w:header="680" w:footer="680" w:gutter="0"/>
          <w:cols w:space="720" w:num="1"/>
          <w:docGrid w:linePitch="360" w:charSpace="0"/>
        </w:sectPr>
      </w:pPr>
    </w:p>
    <w:p>
      <w:pPr>
        <w:pStyle w:val="823"/>
        <w:spacing w:beforeLines="0" w:line="360" w:lineRule="auto"/>
        <w:jc w:val="left"/>
        <w:rPr>
          <w:rFonts w:hint="eastAsia"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rPr>
        <w:t>附件四：其他主要人员最低要求</w:t>
      </w:r>
    </w:p>
    <w:p>
      <w:pPr>
        <w:pStyle w:val="823"/>
        <w:spacing w:beforeLines="0" w:line="360" w:lineRule="auto"/>
        <w:jc w:val="left"/>
        <w:rPr>
          <w:rFonts w:hint="eastAsia" w:ascii="宋体" w:hAnsi="宋体" w:eastAsia="宋体" w:cs="宋体"/>
          <w:snapToGrid w:val="0"/>
          <w:color w:val="auto"/>
          <w:kern w:val="0"/>
          <w:sz w:val="24"/>
          <w:szCs w:val="24"/>
        </w:rPr>
      </w:pPr>
    </w:p>
    <w:p>
      <w:pPr>
        <w:pStyle w:val="823"/>
        <w:spacing w:beforeLines="0" w:line="360" w:lineRule="auto"/>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详见第二章投标人须知附录 5资格审查条件(其他主要人员最低要求)</w:t>
      </w:r>
    </w:p>
    <w:p>
      <w:pPr>
        <w:pStyle w:val="823"/>
        <w:spacing w:beforeLines="0" w:line="360" w:lineRule="auto"/>
        <w:jc w:val="left"/>
        <w:rPr>
          <w:rFonts w:hint="eastAsia" w:ascii="宋体" w:hAnsi="宋体" w:eastAsia="宋体" w:cs="宋体"/>
          <w:snapToGrid w:val="0"/>
          <w:color w:val="auto"/>
          <w:kern w:val="0"/>
          <w:sz w:val="24"/>
          <w:szCs w:val="24"/>
        </w:rPr>
      </w:pPr>
    </w:p>
    <w:p>
      <w:pPr>
        <w:pStyle w:val="823"/>
        <w:spacing w:beforeLines="0" w:line="360" w:lineRule="auto"/>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注：1、投标人应按投标函的规定，承诺中标后按照本表的最低要求填报派驻本标段的其他主要人员，在经发包人审批后作为派驻本标段的项目管理机构其他主要人员且不允许无故更换。</w:t>
      </w:r>
    </w:p>
    <w:p>
      <w:pPr>
        <w:pStyle w:val="823"/>
        <w:spacing w:beforeLines="0" w:line="360" w:lineRule="auto"/>
        <w:jc w:val="left"/>
        <w:rPr>
          <w:rFonts w:ascii="宋体" w:hAnsi="宋体" w:eastAsia="宋体" w:cs="宋体"/>
          <w:b/>
          <w:bCs/>
          <w:snapToGrid w:val="0"/>
          <w:color w:val="auto"/>
          <w:kern w:val="0"/>
        </w:rPr>
      </w:pPr>
      <w:r>
        <w:rPr>
          <w:rFonts w:hint="eastAsia" w:ascii="宋体" w:hAnsi="宋体" w:eastAsia="宋体" w:cs="宋体"/>
          <w:snapToGrid w:val="0"/>
          <w:color w:val="auto"/>
          <w:kern w:val="0"/>
          <w:sz w:val="24"/>
          <w:szCs w:val="24"/>
        </w:rPr>
        <w:t>2、如果设计人不能在规定时间内派驻合格的人员，则视为相应岗位空缺，将严格按照合同条款的规定承担违约责任。</w:t>
      </w:r>
    </w:p>
    <w:p>
      <w:pPr>
        <w:pStyle w:val="823"/>
        <w:spacing w:beforeLines="0" w:line="360" w:lineRule="auto"/>
        <w:jc w:val="left"/>
        <w:rPr>
          <w:rFonts w:ascii="宋体" w:hAnsi="宋体" w:eastAsia="宋体" w:cs="宋体"/>
          <w:b/>
          <w:bCs/>
          <w:snapToGrid w:val="0"/>
          <w:color w:val="auto"/>
          <w:kern w:val="0"/>
        </w:rPr>
      </w:pPr>
    </w:p>
    <w:p>
      <w:pPr>
        <w:pStyle w:val="823"/>
        <w:spacing w:beforeLines="0" w:line="360" w:lineRule="auto"/>
        <w:jc w:val="left"/>
        <w:rPr>
          <w:rFonts w:ascii="宋体" w:hAnsi="宋体" w:eastAsia="宋体" w:cs="宋体"/>
          <w:b/>
          <w:bCs/>
          <w:snapToGrid w:val="0"/>
          <w:color w:val="auto"/>
          <w:kern w:val="0"/>
        </w:rPr>
      </w:pPr>
    </w:p>
    <w:p>
      <w:pPr>
        <w:pStyle w:val="823"/>
        <w:spacing w:beforeLines="0" w:line="360" w:lineRule="auto"/>
        <w:jc w:val="left"/>
        <w:rPr>
          <w:rFonts w:ascii="宋体" w:hAnsi="宋体" w:eastAsia="宋体" w:cs="宋体"/>
          <w:b/>
          <w:bCs/>
          <w:snapToGrid w:val="0"/>
          <w:color w:val="auto"/>
          <w:kern w:val="0"/>
        </w:rPr>
      </w:pPr>
    </w:p>
    <w:p>
      <w:pPr>
        <w:autoSpaceDE w:val="0"/>
        <w:autoSpaceDN w:val="0"/>
        <w:adjustRightInd w:val="0"/>
        <w:spacing w:line="360" w:lineRule="auto"/>
        <w:rPr>
          <w:rFonts w:ascii="宋体" w:hAnsi="宋体" w:cs="Times New Roman"/>
          <w:color w:val="auto"/>
          <w:kern w:val="2"/>
          <w:sz w:val="20"/>
          <w:szCs w:val="20"/>
          <w:lang w:val="en-US"/>
        </w:rPr>
      </w:pPr>
      <w:bookmarkStart w:id="84" w:name="_Toc346269507"/>
      <w:r>
        <w:rPr>
          <w:rFonts w:hint="eastAsia" w:ascii="宋体" w:hAnsi="宋体" w:cs="宋体"/>
          <w:color w:val="auto"/>
        </w:rPr>
        <w:br w:type="page"/>
      </w:r>
      <w:bookmarkEnd w:id="84"/>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pStyle w:val="3"/>
        <w:spacing w:after="0" w:line="360" w:lineRule="auto"/>
        <w:jc w:val="center"/>
        <w:rPr>
          <w:rStyle w:val="529"/>
          <w:rFonts w:ascii="宋体" w:eastAsia="宋体"/>
        </w:rPr>
      </w:pPr>
      <w:r>
        <w:rPr>
          <w:rStyle w:val="529"/>
          <w:rFonts w:hint="eastAsia" w:ascii="宋体" w:eastAsia="宋体"/>
          <w:sz w:val="48"/>
          <w:szCs w:val="48"/>
        </w:rPr>
        <w:t>第二卷</w:t>
      </w: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sectPr>
          <w:footnotePr>
            <w:numRestart w:val="eachPage"/>
          </w:footnotePr>
          <w:pgSz w:w="11900" w:h="16838"/>
          <w:pgMar w:top="1803" w:right="1440" w:bottom="1803" w:left="1440" w:header="680" w:footer="680" w:gutter="0"/>
          <w:cols w:space="720" w:num="1"/>
          <w:docGrid w:linePitch="360" w:charSpace="0"/>
        </w:sectPr>
      </w:pPr>
    </w:p>
    <w:p>
      <w:pPr>
        <w:pStyle w:val="620"/>
        <w:shd w:val="clear" w:color="auto" w:fill="auto"/>
        <w:spacing w:line="360" w:lineRule="auto"/>
        <w:jc w:val="center"/>
        <w:rPr>
          <w:rStyle w:val="529"/>
          <w:rFonts w:ascii="宋体" w:hAnsi="宋体" w:eastAsia="宋体" w:cs="Times New Roman"/>
          <w:bCs/>
        </w:rPr>
      </w:pPr>
    </w:p>
    <w:p>
      <w:pPr>
        <w:pStyle w:val="620"/>
        <w:shd w:val="clear" w:color="auto" w:fill="auto"/>
        <w:spacing w:line="360" w:lineRule="auto"/>
        <w:jc w:val="center"/>
        <w:rPr>
          <w:rStyle w:val="529"/>
          <w:rFonts w:ascii="宋体" w:hAnsi="宋体" w:eastAsia="宋体" w:cs="Times New Roman"/>
          <w:bCs/>
        </w:rPr>
      </w:pPr>
    </w:p>
    <w:p>
      <w:pPr>
        <w:pStyle w:val="620"/>
        <w:shd w:val="clear" w:color="auto" w:fill="auto"/>
        <w:spacing w:line="360" w:lineRule="auto"/>
        <w:jc w:val="center"/>
        <w:rPr>
          <w:rStyle w:val="529"/>
          <w:rFonts w:ascii="宋体" w:hAnsi="宋体" w:eastAsia="宋体" w:cs="Times New Roman"/>
          <w:bCs/>
        </w:rPr>
      </w:pPr>
    </w:p>
    <w:p>
      <w:pPr>
        <w:pStyle w:val="620"/>
        <w:shd w:val="clear" w:color="auto" w:fill="auto"/>
        <w:spacing w:line="360" w:lineRule="auto"/>
        <w:jc w:val="center"/>
        <w:rPr>
          <w:rStyle w:val="529"/>
          <w:rFonts w:ascii="宋体" w:hAnsi="宋体" w:eastAsia="宋体" w:cs="Times New Roman"/>
          <w:bCs/>
        </w:rPr>
      </w:pPr>
    </w:p>
    <w:p>
      <w:pPr>
        <w:pStyle w:val="620"/>
        <w:shd w:val="clear" w:color="auto" w:fill="auto"/>
        <w:spacing w:line="360" w:lineRule="auto"/>
        <w:jc w:val="center"/>
        <w:rPr>
          <w:rStyle w:val="529"/>
          <w:rFonts w:ascii="宋体" w:hAnsi="宋体" w:eastAsia="宋体" w:cs="Times New Roman"/>
          <w:bCs/>
        </w:rPr>
      </w:pPr>
    </w:p>
    <w:p>
      <w:pPr>
        <w:pStyle w:val="3"/>
        <w:spacing w:after="0" w:line="360" w:lineRule="auto"/>
        <w:jc w:val="center"/>
        <w:rPr>
          <w:rStyle w:val="529"/>
          <w:rFonts w:hint="eastAsia" w:ascii="宋体" w:eastAsia="宋体"/>
          <w:lang w:val="en-US" w:eastAsia="zh-CN"/>
        </w:rPr>
        <w:sectPr>
          <w:footnotePr>
            <w:numRestart w:val="eachPage"/>
          </w:footnotePr>
          <w:pgSz w:w="11900" w:h="16838"/>
          <w:pgMar w:top="1803" w:right="1440" w:bottom="1803" w:left="1440" w:header="680" w:footer="680" w:gutter="0"/>
          <w:cols w:space="720" w:num="1"/>
          <w:docGrid w:linePitch="360" w:charSpace="0"/>
        </w:sectPr>
      </w:pPr>
      <w:r>
        <w:rPr>
          <w:rStyle w:val="529"/>
          <w:rFonts w:hint="eastAsia" w:ascii="宋体" w:eastAsia="宋体"/>
          <w:sz w:val="48"/>
          <w:szCs w:val="48"/>
        </w:rPr>
        <w:t>第</w:t>
      </w:r>
      <w:r>
        <w:rPr>
          <w:rStyle w:val="529"/>
          <w:rFonts w:hint="eastAsia" w:ascii="宋体" w:eastAsia="宋体"/>
          <w:sz w:val="48"/>
          <w:szCs w:val="48"/>
          <w:lang w:val="en-US" w:eastAsia="zh-CN"/>
        </w:rPr>
        <w:t>五</w:t>
      </w:r>
      <w:r>
        <w:rPr>
          <w:rStyle w:val="529"/>
          <w:rFonts w:hint="eastAsia" w:ascii="宋体" w:eastAsia="宋体"/>
          <w:sz w:val="48"/>
          <w:szCs w:val="48"/>
        </w:rPr>
        <w:t>章</w:t>
      </w:r>
      <w:r>
        <w:rPr>
          <w:rStyle w:val="529"/>
          <w:rFonts w:hint="eastAsia" w:ascii="宋体" w:eastAsia="宋体"/>
          <w:sz w:val="48"/>
          <w:szCs w:val="48"/>
          <w:lang w:val="en-US" w:eastAsia="zh-CN"/>
        </w:rPr>
        <w:t xml:space="preserve"> 发包人要求</w:t>
      </w:r>
      <w:r>
        <w:rPr>
          <w:rStyle w:val="101"/>
          <w:rFonts w:hint="eastAsia" w:ascii="宋体"/>
          <w:lang w:val="en-US" w:eastAsia="zh-CN"/>
        </w:rPr>
        <w:footnoteReference w:id="106"/>
      </w:r>
    </w:p>
    <w:p>
      <w:pPr>
        <w:jc w:val="center"/>
        <w:rPr>
          <w:rFonts w:ascii="黑体" w:hAnsi="宋体" w:eastAsia="黑体" w:cs="黑体"/>
          <w:color w:val="auto"/>
          <w:sz w:val="30"/>
          <w:szCs w:val="30"/>
        </w:rPr>
      </w:pPr>
      <w:r>
        <w:rPr>
          <w:rFonts w:ascii="黑体" w:hAnsi="宋体" w:eastAsia="黑体" w:cs="黑体"/>
          <w:color w:val="auto"/>
          <w:sz w:val="32"/>
          <w:szCs w:val="32"/>
        </w:rPr>
        <w:t>发包人要求</w:t>
      </w:r>
    </w:p>
    <w:p>
      <w:pPr>
        <w:rPr>
          <w:rFonts w:hint="eastAsia" w:ascii="宋体" w:hAnsi="宋体" w:cs="宋体"/>
          <w:color w:val="auto"/>
        </w:rPr>
      </w:pP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要求应尽可能清晰准确，对于可以进行定量评估的工作，发包人要求不仅应明确规定其功能、用途、质量、环境、安全，并且要规定检验、试验、试运行的具体要求（如有）。对于设计人负责提供的有关服务，在发包人要求中应一并明确规定。</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发包人要求通常包括但不限于以下内容。</w:t>
      </w:r>
    </w:p>
    <w:p>
      <w:pPr>
        <w:rPr>
          <w:rFonts w:hint="eastAsia" w:ascii="宋体" w:hAnsi="宋体" w:cs="宋体"/>
          <w:color w:val="auto"/>
        </w:rPr>
      </w:pPr>
      <w:r>
        <w:rPr>
          <w:rStyle w:val="302"/>
          <w:rFonts w:hint="default"/>
          <w:b/>
          <w:bCs/>
          <w:color w:val="auto"/>
          <w:sz w:val="28"/>
          <w:szCs w:val="28"/>
          <w:lang w:val="en-US" w:bidi="ar"/>
        </w:rPr>
        <w:t>一、勘察设计要求</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招标人应当根据项目情况在本章中明确相应的勘察设计要求，一般应包括以下内容：</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w:t>
      </w:r>
      <w:r>
        <w:rPr>
          <w:rFonts w:ascii="宋体" w:hAnsi="宋体"/>
          <w:color w:val="auto"/>
        </w:rPr>
        <w:t>．</w:t>
      </w:r>
      <w:r>
        <w:rPr>
          <w:rFonts w:hint="eastAsia" w:ascii="宋体" w:hAnsi="宋体" w:cs="宋体"/>
          <w:color w:val="auto"/>
        </w:rPr>
        <w:t>项目概况</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包括项目名称、建设单位、建设规模、技术标准、项目地理位置、周边环境、</w:t>
      </w:r>
      <w:r>
        <w:rPr>
          <w:rFonts w:hint="eastAsia" w:ascii="宋体" w:hAnsi="宋体" w:cs="宋体"/>
          <w:color w:val="auto"/>
          <w:lang w:val="en-US"/>
        </w:rPr>
        <w:t>树木情况</w:t>
      </w:r>
      <w:r>
        <w:rPr>
          <w:rFonts w:hint="eastAsia" w:ascii="宋体" w:hAnsi="宋体" w:cs="宋体"/>
          <w:color w:val="auto"/>
        </w:rPr>
        <w:t>、文物情况、地质地貌、水文、气候及气象条件等。</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2</w:t>
      </w:r>
      <w:r>
        <w:rPr>
          <w:rFonts w:ascii="宋体" w:hAnsi="宋体"/>
          <w:color w:val="auto"/>
        </w:rPr>
        <w:t>．</w:t>
      </w:r>
      <w:r>
        <w:rPr>
          <w:rFonts w:hint="eastAsia" w:ascii="宋体" w:hAnsi="宋体" w:cs="宋体"/>
          <w:color w:val="auto"/>
        </w:rPr>
        <w:t>勘察设计范围及内容</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w:t>
      </w:r>
      <w:r>
        <w:rPr>
          <w:rFonts w:ascii="宋体" w:hAnsi="宋体"/>
          <w:color w:val="auto"/>
        </w:rPr>
        <w:t>．</w:t>
      </w:r>
      <w:r>
        <w:rPr>
          <w:rFonts w:hint="eastAsia" w:ascii="宋体" w:hAnsi="宋体" w:cs="宋体"/>
          <w:color w:val="auto"/>
        </w:rPr>
        <w:t>勘察设计依据</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4</w:t>
      </w:r>
      <w:r>
        <w:rPr>
          <w:rFonts w:ascii="宋体" w:hAnsi="宋体"/>
          <w:color w:val="auto"/>
        </w:rPr>
        <w:t>．</w:t>
      </w:r>
      <w:r>
        <w:rPr>
          <w:rFonts w:hint="eastAsia" w:ascii="宋体" w:hAnsi="宋体" w:cs="宋体"/>
          <w:color w:val="auto"/>
        </w:rPr>
        <w:t>项目使用功能的要求</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5</w:t>
      </w:r>
      <w:r>
        <w:rPr>
          <w:rFonts w:ascii="宋体" w:hAnsi="宋体"/>
          <w:color w:val="auto"/>
        </w:rPr>
        <w:t>．</w:t>
      </w:r>
      <w:r>
        <w:rPr>
          <w:rFonts w:hint="eastAsia" w:ascii="宋体" w:hAnsi="宋体" w:cs="宋体"/>
          <w:color w:val="auto"/>
        </w:rPr>
        <w:t>勘察设计人员和设备要求</w:t>
      </w:r>
    </w:p>
    <w:p>
      <w:pPr>
        <w:adjustRightInd w:val="0"/>
        <w:snapToGrid w:val="0"/>
        <w:spacing w:line="360" w:lineRule="auto"/>
        <w:ind w:firstLine="480" w:firstLineChars="200"/>
        <w:rPr>
          <w:rStyle w:val="302"/>
          <w:rFonts w:hint="default"/>
          <w:b/>
          <w:bCs/>
          <w:color w:val="auto"/>
          <w:sz w:val="28"/>
          <w:szCs w:val="28"/>
          <w:lang w:val="en-US" w:bidi="ar"/>
        </w:rPr>
      </w:pPr>
      <w:r>
        <w:rPr>
          <w:rFonts w:hint="eastAsia" w:ascii="宋体" w:hAnsi="宋体" w:cs="宋体"/>
          <w:color w:val="auto"/>
        </w:rPr>
        <w:t>6</w:t>
      </w:r>
      <w:r>
        <w:rPr>
          <w:rFonts w:ascii="宋体" w:hAnsi="宋体"/>
          <w:color w:val="auto"/>
        </w:rPr>
        <w:t>．</w:t>
      </w:r>
      <w:r>
        <w:rPr>
          <w:rFonts w:hint="eastAsia" w:ascii="宋体" w:hAnsi="宋体" w:cs="宋体"/>
          <w:color w:val="auto"/>
        </w:rPr>
        <w:t>其他要求</w:t>
      </w:r>
      <w:r>
        <w:rPr>
          <w:rFonts w:hint="eastAsia" w:ascii="宋体" w:hAnsi="宋体" w:cs="宋体"/>
          <w:color w:val="auto"/>
        </w:rPr>
        <w:br w:type="textWrapping"/>
      </w:r>
      <w:r>
        <w:rPr>
          <w:rStyle w:val="302"/>
          <w:rFonts w:hint="default"/>
          <w:b/>
          <w:bCs/>
          <w:color w:val="auto"/>
          <w:sz w:val="28"/>
          <w:szCs w:val="28"/>
          <w:lang w:val="en-US" w:bidi="ar"/>
        </w:rPr>
        <w:t>二、适用规范标准</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本工程的</w:t>
      </w:r>
      <w:r>
        <w:rPr>
          <w:rFonts w:hint="eastAsia" w:ascii="宋体" w:hAnsi="宋体" w:cs="宋体"/>
          <w:color w:val="auto"/>
          <w:kern w:val="2"/>
          <w:lang w:val="en-US" w:bidi="ar"/>
        </w:rPr>
        <w:t>勘察</w:t>
      </w:r>
      <w:r>
        <w:rPr>
          <w:rFonts w:hint="eastAsia" w:ascii="宋体" w:hAnsi="宋体" w:cs="宋体"/>
          <w:color w:val="auto"/>
        </w:rPr>
        <w:t>设计过程</w:t>
      </w:r>
      <w:r>
        <w:rPr>
          <w:rFonts w:hint="eastAsia" w:ascii="宋体" w:hAnsi="宋体" w:cs="宋体"/>
          <w:color w:val="auto"/>
          <w:lang w:val="en-US"/>
        </w:rPr>
        <w:t>和</w:t>
      </w:r>
      <w:r>
        <w:rPr>
          <w:rFonts w:hint="eastAsia" w:ascii="宋体" w:hAnsi="宋体" w:cs="宋体"/>
          <w:color w:val="auto"/>
        </w:rPr>
        <w:t>成果必须符合国家有关工程建设标准强制性条文</w:t>
      </w:r>
      <w:r>
        <w:rPr>
          <w:rFonts w:hint="eastAsia" w:ascii="宋体" w:hAnsi="宋体" w:cs="宋体"/>
          <w:color w:val="auto"/>
          <w:lang w:val="en-US"/>
        </w:rPr>
        <w:t>和交通运输部关于水运勘察设计方面现行的标准、规范、规程、定额、办法、示例以及招标项目所在地关于水运工程勘察设计方面的文件、规定。</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设计人在</w:t>
      </w:r>
      <w:r>
        <w:rPr>
          <w:rFonts w:hint="eastAsia" w:ascii="宋体" w:hAnsi="宋体" w:cs="宋体"/>
          <w:color w:val="auto"/>
          <w:lang w:val="en-US"/>
        </w:rPr>
        <w:t>缆车数据库</w:t>
      </w:r>
      <w:r>
        <w:rPr>
          <w:rFonts w:hint="eastAsia" w:ascii="宋体" w:hAnsi="宋体" w:cs="宋体"/>
          <w:color w:val="auto"/>
        </w:rPr>
        <w:t>工作中使用或参考上述标准、</w:t>
      </w:r>
      <w:r>
        <w:rPr>
          <w:rFonts w:hint="eastAsia" w:ascii="宋体" w:hAnsi="宋体" w:cs="宋体"/>
          <w:color w:val="auto"/>
          <w:lang w:val="en-US"/>
        </w:rPr>
        <w:t>规范</w:t>
      </w:r>
      <w:r>
        <w:rPr>
          <w:rFonts w:hint="eastAsia" w:ascii="宋体" w:hAnsi="宋体" w:cs="宋体"/>
          <w:color w:val="auto"/>
        </w:rPr>
        <w:t>以外的技术标准、</w:t>
      </w:r>
      <w:r>
        <w:rPr>
          <w:rFonts w:hint="eastAsia" w:ascii="宋体" w:hAnsi="宋体" w:cs="宋体"/>
          <w:color w:val="auto"/>
          <w:lang w:val="en-US"/>
        </w:rPr>
        <w:t>规范</w:t>
      </w:r>
      <w:r>
        <w:rPr>
          <w:rFonts w:hint="eastAsia" w:ascii="宋体" w:hAnsi="宋体" w:cs="宋体"/>
          <w:color w:val="auto"/>
        </w:rPr>
        <w:t>时，应征得发包人或发包人的指定代表人的同意。</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在设计过程中，如果国家或有关部门颁布了新的技术标准</w:t>
      </w:r>
      <w:r>
        <w:rPr>
          <w:rFonts w:hint="eastAsia" w:ascii="宋体" w:hAnsi="宋体" w:cs="宋体"/>
          <w:color w:val="auto"/>
          <w:lang w:val="en-US"/>
        </w:rPr>
        <w:t>或规范</w:t>
      </w:r>
      <w:r>
        <w:rPr>
          <w:rFonts w:hint="eastAsia" w:ascii="宋体" w:hAnsi="宋体" w:cs="宋体"/>
          <w:color w:val="auto"/>
        </w:rPr>
        <w:t>，则设计人应采用新的标准</w:t>
      </w:r>
      <w:r>
        <w:rPr>
          <w:rFonts w:hint="eastAsia" w:ascii="宋体" w:hAnsi="宋体" w:cs="宋体"/>
          <w:color w:val="auto"/>
          <w:lang w:val="en-US"/>
        </w:rPr>
        <w:t>或规范</w:t>
      </w:r>
      <w:r>
        <w:rPr>
          <w:rFonts w:hint="eastAsia" w:ascii="宋体" w:hAnsi="宋体" w:cs="宋体"/>
          <w:color w:val="auto"/>
        </w:rPr>
        <w:t>进行</w:t>
      </w:r>
      <w:r>
        <w:rPr>
          <w:rFonts w:hint="eastAsia" w:ascii="宋体" w:hAnsi="宋体" w:cs="宋体"/>
          <w:color w:val="auto"/>
          <w:lang w:val="en-US"/>
        </w:rPr>
        <w:t>勘察</w:t>
      </w:r>
      <w:r>
        <w:rPr>
          <w:rFonts w:hint="eastAsia" w:ascii="宋体" w:hAnsi="宋体" w:cs="宋体"/>
          <w:color w:val="auto"/>
        </w:rPr>
        <w:t>设计。</w:t>
      </w:r>
    </w:p>
    <w:p>
      <w:pPr>
        <w:spacing w:line="360" w:lineRule="auto"/>
        <w:ind w:firstLine="480"/>
        <w:rPr>
          <w:rFonts w:hint="eastAsia" w:ascii="宋体" w:hAnsi="宋体" w:cs="宋体"/>
          <w:color w:val="auto"/>
          <w:lang w:val="en-US"/>
        </w:rPr>
      </w:pPr>
      <w:r>
        <w:rPr>
          <w:rFonts w:hint="eastAsia" w:ascii="宋体" w:hAnsi="宋体" w:cs="宋体"/>
          <w:color w:val="auto"/>
        </w:rPr>
        <w:t>设计人在</w:t>
      </w:r>
      <w:r>
        <w:rPr>
          <w:rFonts w:hint="eastAsia" w:ascii="宋体" w:hAnsi="宋体" w:cs="宋体"/>
          <w:color w:val="auto"/>
          <w:lang w:val="en-US"/>
        </w:rPr>
        <w:t>勘察设计</w:t>
      </w:r>
      <w:r>
        <w:rPr>
          <w:rFonts w:hint="eastAsia" w:ascii="宋体" w:hAnsi="宋体" w:cs="宋体"/>
          <w:color w:val="auto"/>
        </w:rPr>
        <w:t>工作中必须</w:t>
      </w:r>
      <w:r>
        <w:rPr>
          <w:rFonts w:hint="eastAsia" w:ascii="宋体" w:hAnsi="宋体" w:cs="宋体"/>
          <w:color w:val="auto"/>
          <w:lang w:val="en-US"/>
        </w:rPr>
        <w:t>使用</w:t>
      </w:r>
      <w:r>
        <w:rPr>
          <w:rFonts w:hint="eastAsia" w:ascii="宋体" w:hAnsi="宋体" w:cs="宋体"/>
          <w:color w:val="auto"/>
        </w:rPr>
        <w:t>中华人民共和国工程建设标准强制性条文</w:t>
      </w:r>
      <w:r>
        <w:rPr>
          <w:rFonts w:hint="eastAsia" w:ascii="宋体" w:hAnsi="宋体" w:cs="宋体"/>
          <w:color w:val="auto"/>
          <w:lang w:val="en-US"/>
        </w:rPr>
        <w:t>和下述规则、规范（不限于）：</w:t>
      </w:r>
    </w:p>
    <w:p>
      <w:pPr>
        <w:spacing w:line="400" w:lineRule="exact"/>
        <w:ind w:firstLine="482" w:firstLineChars="200"/>
        <w:rPr>
          <w:rFonts w:hint="eastAsia" w:ascii="黑体" w:hAnsi="宋体" w:eastAsia="黑体"/>
          <w:b/>
          <w:color w:val="auto"/>
        </w:rPr>
      </w:pPr>
      <w:r>
        <w:rPr>
          <w:rFonts w:hint="eastAsia" w:ascii="宋体" w:hAnsi="宋体" w:cs="宋体"/>
          <w:b/>
          <w:color w:val="auto"/>
        </w:rPr>
        <w:t>（</w:t>
      </w:r>
      <w:r>
        <w:rPr>
          <w:rFonts w:hint="eastAsia" w:ascii="宋体" w:hAnsi="宋体" w:cs="宋体"/>
          <w:b/>
          <w:color w:val="auto"/>
          <w:lang w:val="en-US"/>
        </w:rPr>
        <w:t>一</w:t>
      </w:r>
      <w:r>
        <w:rPr>
          <w:rFonts w:hint="eastAsia" w:ascii="宋体" w:hAnsi="宋体" w:cs="宋体"/>
          <w:b/>
          <w:color w:val="auto"/>
        </w:rPr>
        <w:t>）管 理 类</w:t>
      </w:r>
    </w:p>
    <w:p>
      <w:pPr>
        <w:spacing w:line="360" w:lineRule="auto"/>
        <w:ind w:firstLine="480" w:firstLineChars="200"/>
        <w:rPr>
          <w:rFonts w:ascii="宋体" w:hAnsi="宋体"/>
          <w:color w:val="auto"/>
        </w:rPr>
      </w:pPr>
      <w:r>
        <w:rPr>
          <w:rFonts w:ascii="宋体" w:hAnsi="宋体"/>
          <w:color w:val="auto"/>
        </w:rPr>
        <w:t>1．港口工程基本术语标准</w:t>
      </w:r>
      <w:r>
        <w:rPr>
          <w:rFonts w:hint="eastAsia" w:ascii="宋体" w:hAnsi="宋体"/>
          <w:color w:val="auto"/>
        </w:rPr>
        <w:t>(GB/T 50186-2013)</w:t>
      </w:r>
    </w:p>
    <w:p>
      <w:pPr>
        <w:spacing w:line="360" w:lineRule="auto"/>
        <w:ind w:firstLine="480" w:firstLineChars="200"/>
        <w:rPr>
          <w:rFonts w:ascii="宋体" w:hAnsi="宋体"/>
          <w:color w:val="auto"/>
        </w:rPr>
      </w:pPr>
      <w:r>
        <w:rPr>
          <w:rFonts w:ascii="宋体" w:hAnsi="宋体"/>
          <w:color w:val="auto"/>
        </w:rPr>
        <w:t>2．航道工程基本术语标准</w:t>
      </w:r>
      <w:r>
        <w:rPr>
          <w:rFonts w:hint="eastAsia" w:ascii="宋体" w:hAnsi="宋体"/>
          <w:color w:val="auto"/>
        </w:rPr>
        <w:t>(JTS</w:t>
      </w:r>
      <w:r>
        <w:rPr>
          <w:rFonts w:hint="eastAsia" w:ascii="宋体" w:hAnsi="宋体"/>
          <w:color w:val="auto"/>
          <w:lang w:val="en-US"/>
        </w:rPr>
        <w:t>/</w:t>
      </w:r>
      <w:r>
        <w:rPr>
          <w:rFonts w:hint="eastAsia" w:ascii="宋体" w:hAnsi="宋体"/>
          <w:color w:val="auto"/>
        </w:rPr>
        <w:t>T 103-2-2021)</w:t>
      </w:r>
    </w:p>
    <w:p>
      <w:pPr>
        <w:spacing w:line="360" w:lineRule="auto"/>
        <w:ind w:firstLine="480" w:firstLineChars="200"/>
        <w:rPr>
          <w:rFonts w:hint="eastAsia" w:ascii="宋体" w:hAnsi="宋体"/>
          <w:color w:val="auto"/>
        </w:rPr>
      </w:pPr>
      <w:r>
        <w:rPr>
          <w:rFonts w:ascii="宋体" w:hAnsi="宋体"/>
          <w:color w:val="auto"/>
        </w:rPr>
        <w:t>3．港口工程初步设计</w:t>
      </w:r>
      <w:r>
        <w:rPr>
          <w:rFonts w:hint="eastAsia" w:ascii="宋体" w:hAnsi="宋体"/>
          <w:color w:val="auto"/>
          <w:lang w:val="en-US"/>
        </w:rPr>
        <w:t>文件</w:t>
      </w:r>
      <w:r>
        <w:rPr>
          <w:rFonts w:ascii="宋体" w:hAnsi="宋体"/>
          <w:color w:val="auto"/>
        </w:rPr>
        <w:t>编制规定</w:t>
      </w:r>
      <w:r>
        <w:rPr>
          <w:rFonts w:hint="eastAsia" w:ascii="宋体" w:hAnsi="宋体"/>
          <w:color w:val="auto"/>
        </w:rPr>
        <w:t>（JTS</w:t>
      </w:r>
      <w:r>
        <w:rPr>
          <w:rFonts w:hint="eastAsia" w:ascii="宋体" w:hAnsi="宋体"/>
          <w:color w:val="auto"/>
          <w:lang w:val="en-US"/>
        </w:rPr>
        <w:t xml:space="preserve"> </w:t>
      </w:r>
      <w:r>
        <w:rPr>
          <w:rFonts w:hint="eastAsia" w:ascii="宋体" w:hAnsi="宋体"/>
          <w:color w:val="auto"/>
        </w:rPr>
        <w:t>110-4-2008）</w:t>
      </w:r>
    </w:p>
    <w:p>
      <w:pPr>
        <w:spacing w:line="360" w:lineRule="auto"/>
        <w:ind w:firstLine="480" w:firstLineChars="200"/>
        <w:rPr>
          <w:rFonts w:hint="eastAsia" w:ascii="宋体" w:hAnsi="宋体"/>
          <w:color w:val="auto"/>
        </w:rPr>
      </w:pPr>
      <w:r>
        <w:rPr>
          <w:rFonts w:ascii="宋体" w:hAnsi="宋体"/>
          <w:color w:val="auto"/>
        </w:rPr>
        <w:t>4．航道工程初步设计</w:t>
      </w:r>
      <w:r>
        <w:rPr>
          <w:rFonts w:hint="eastAsia" w:ascii="宋体" w:hAnsi="宋体"/>
          <w:color w:val="auto"/>
          <w:lang w:val="en-US"/>
        </w:rPr>
        <w:t>文件</w:t>
      </w:r>
      <w:r>
        <w:rPr>
          <w:rFonts w:ascii="宋体" w:hAnsi="宋体"/>
          <w:color w:val="auto"/>
        </w:rPr>
        <w:t>编制规定</w:t>
      </w:r>
      <w:r>
        <w:rPr>
          <w:rFonts w:hint="eastAsia" w:ascii="宋体" w:hAnsi="宋体"/>
          <w:color w:val="auto"/>
        </w:rPr>
        <w:t>（JTS</w:t>
      </w:r>
      <w:r>
        <w:rPr>
          <w:rFonts w:hint="eastAsia" w:ascii="宋体" w:hAnsi="宋体"/>
          <w:color w:val="auto"/>
          <w:lang w:val="en-US"/>
        </w:rPr>
        <w:t xml:space="preserve"> </w:t>
      </w:r>
      <w:r>
        <w:rPr>
          <w:rFonts w:hint="eastAsia" w:ascii="宋体" w:hAnsi="宋体"/>
          <w:color w:val="auto"/>
        </w:rPr>
        <w:t>110-5-2008）</w:t>
      </w:r>
    </w:p>
    <w:p>
      <w:pPr>
        <w:spacing w:line="360" w:lineRule="auto"/>
        <w:ind w:firstLine="480" w:firstLineChars="200"/>
        <w:rPr>
          <w:rFonts w:hint="eastAsia" w:ascii="黑体" w:hAnsi="宋体"/>
          <w:b/>
          <w:color w:val="auto"/>
          <w:sz w:val="32"/>
          <w:szCs w:val="32"/>
        </w:rPr>
      </w:pPr>
      <w:r>
        <w:rPr>
          <w:rFonts w:hint="eastAsia" w:ascii="宋体" w:hAnsi="宋体"/>
          <w:color w:val="auto"/>
          <w:lang w:val="en-US"/>
        </w:rPr>
        <w:t>5</w:t>
      </w:r>
      <w:r>
        <w:rPr>
          <w:rFonts w:ascii="宋体" w:hAnsi="宋体"/>
          <w:color w:val="auto"/>
        </w:rPr>
        <w:t>．</w:t>
      </w:r>
      <w:r>
        <w:rPr>
          <w:rFonts w:hint="eastAsia" w:ascii="宋体" w:hAnsi="宋体"/>
          <w:color w:val="auto"/>
        </w:rPr>
        <w:t>水运工程施工图文件编制规定（JTS 110-7-2013）</w:t>
      </w:r>
    </w:p>
    <w:p>
      <w:pPr>
        <w:spacing w:line="400" w:lineRule="exact"/>
        <w:ind w:firstLine="482" w:firstLineChars="200"/>
        <w:rPr>
          <w:rFonts w:hint="eastAsia" w:ascii="宋体" w:hAnsi="宋体"/>
          <w:color w:val="auto"/>
        </w:rPr>
      </w:pPr>
      <w:r>
        <w:rPr>
          <w:rFonts w:hint="eastAsia" w:ascii="宋体" w:hAnsi="宋体" w:cs="宋体"/>
          <w:b/>
          <w:color w:val="auto"/>
        </w:rPr>
        <w:t>（</w:t>
      </w:r>
      <w:r>
        <w:rPr>
          <w:rFonts w:hint="eastAsia" w:ascii="宋体" w:hAnsi="宋体" w:cs="宋体"/>
          <w:b/>
          <w:color w:val="auto"/>
          <w:lang w:val="en-US"/>
        </w:rPr>
        <w:t>二</w:t>
      </w:r>
      <w:r>
        <w:rPr>
          <w:rFonts w:hint="eastAsia" w:ascii="宋体" w:hAnsi="宋体" w:cs="宋体"/>
          <w:b/>
          <w:color w:val="auto"/>
        </w:rPr>
        <w:t>）勘察技术类</w:t>
      </w:r>
    </w:p>
    <w:p>
      <w:pPr>
        <w:widowControl/>
        <w:spacing w:line="360" w:lineRule="auto"/>
        <w:ind w:firstLine="480" w:firstLineChars="200"/>
        <w:rPr>
          <w:rFonts w:ascii="宋体" w:hAnsi="宋体"/>
          <w:color w:val="auto"/>
        </w:rPr>
      </w:pPr>
      <w:r>
        <w:rPr>
          <w:rFonts w:ascii="宋体" w:hAnsi="宋体"/>
          <w:color w:val="auto"/>
        </w:rPr>
        <w:t>1．水运工程测量规范(JTS</w:t>
      </w:r>
      <w:r>
        <w:rPr>
          <w:rFonts w:ascii="宋体" w:hAnsi="宋体"/>
          <w:color w:val="auto"/>
          <w:lang w:val="en-US"/>
        </w:rPr>
        <w:t xml:space="preserve"> </w:t>
      </w:r>
      <w:r>
        <w:rPr>
          <w:rFonts w:ascii="宋体" w:hAnsi="宋体"/>
          <w:color w:val="auto"/>
        </w:rPr>
        <w:t xml:space="preserve">131-2012) </w:t>
      </w:r>
    </w:p>
    <w:p>
      <w:pPr>
        <w:widowControl/>
        <w:spacing w:line="360" w:lineRule="auto"/>
        <w:ind w:firstLine="480" w:firstLineChars="200"/>
        <w:rPr>
          <w:rFonts w:ascii="宋体" w:hAnsi="宋体"/>
          <w:color w:val="auto"/>
        </w:rPr>
      </w:pPr>
      <w:r>
        <w:rPr>
          <w:rFonts w:ascii="宋体" w:hAnsi="宋体"/>
          <w:color w:val="auto"/>
        </w:rPr>
        <w:t>2．水运工程水文观测规范(JTS</w:t>
      </w:r>
      <w:r>
        <w:rPr>
          <w:rFonts w:ascii="宋体" w:hAnsi="宋体"/>
          <w:color w:val="auto"/>
          <w:lang w:val="en-US"/>
        </w:rPr>
        <w:t xml:space="preserve"> </w:t>
      </w:r>
      <w:r>
        <w:rPr>
          <w:rFonts w:ascii="宋体" w:hAnsi="宋体"/>
          <w:color w:val="auto"/>
        </w:rPr>
        <w:t>132-2015)</w:t>
      </w:r>
    </w:p>
    <w:p>
      <w:pPr>
        <w:widowControl/>
        <w:spacing w:line="360" w:lineRule="auto"/>
        <w:ind w:firstLine="480" w:firstLineChars="200"/>
        <w:rPr>
          <w:rFonts w:ascii="宋体" w:hAnsi="宋体"/>
          <w:color w:val="auto"/>
        </w:rPr>
      </w:pPr>
      <w:r>
        <w:rPr>
          <w:rFonts w:ascii="宋体" w:hAnsi="宋体"/>
          <w:color w:val="auto"/>
        </w:rPr>
        <w:t>3．水运工程岩土勘察规范(JTS</w:t>
      </w:r>
      <w:r>
        <w:rPr>
          <w:rFonts w:ascii="宋体" w:hAnsi="宋体"/>
          <w:color w:val="auto"/>
          <w:lang w:val="en-US"/>
        </w:rPr>
        <w:t xml:space="preserve"> </w:t>
      </w:r>
      <w:r>
        <w:rPr>
          <w:rFonts w:ascii="宋体" w:hAnsi="宋体"/>
          <w:color w:val="auto"/>
        </w:rPr>
        <w:t>133-2013)</w:t>
      </w:r>
    </w:p>
    <w:p>
      <w:pPr>
        <w:widowControl/>
        <w:spacing w:line="360" w:lineRule="auto"/>
        <w:ind w:firstLine="480" w:firstLineChars="200"/>
        <w:rPr>
          <w:rFonts w:ascii="宋体" w:hAnsi="宋体"/>
          <w:color w:val="auto"/>
          <w:lang w:val="en-US"/>
        </w:rPr>
      </w:pPr>
      <w:r>
        <w:rPr>
          <w:rFonts w:ascii="宋体" w:hAnsi="宋体"/>
          <w:color w:val="auto"/>
          <w:lang w:val="en-US"/>
        </w:rPr>
        <w:t>4. 水运工程岩土勘察报告编制标准（JTS 109-2018）</w:t>
      </w:r>
    </w:p>
    <w:p>
      <w:pPr>
        <w:spacing w:line="400" w:lineRule="exact"/>
        <w:ind w:firstLine="482" w:firstLineChars="200"/>
        <w:rPr>
          <w:rFonts w:hint="eastAsia" w:ascii="宋体" w:hAnsi="宋体" w:cs="宋体"/>
          <w:b/>
          <w:color w:val="auto"/>
        </w:rPr>
      </w:pPr>
      <w:r>
        <w:rPr>
          <w:rFonts w:hint="eastAsia" w:ascii="宋体" w:hAnsi="宋体" w:cs="宋体"/>
          <w:b/>
          <w:color w:val="auto"/>
        </w:rPr>
        <w:t>（</w:t>
      </w:r>
      <w:r>
        <w:rPr>
          <w:rFonts w:hint="eastAsia" w:ascii="宋体" w:hAnsi="宋体" w:cs="宋体"/>
          <w:b/>
          <w:color w:val="auto"/>
          <w:lang w:val="en-US"/>
        </w:rPr>
        <w:t>三</w:t>
      </w:r>
      <w:r>
        <w:rPr>
          <w:rFonts w:hint="eastAsia" w:ascii="宋体" w:hAnsi="宋体" w:cs="宋体"/>
          <w:b/>
          <w:color w:val="auto"/>
        </w:rPr>
        <w:t>）设计技术类</w:t>
      </w:r>
    </w:p>
    <w:p>
      <w:pPr>
        <w:spacing w:line="400" w:lineRule="exact"/>
        <w:ind w:firstLine="482" w:firstLineChars="200"/>
        <w:rPr>
          <w:rFonts w:ascii="宋体" w:hAnsi="宋体"/>
          <w:b/>
          <w:color w:val="auto"/>
        </w:rPr>
      </w:pPr>
      <w:r>
        <w:rPr>
          <w:rFonts w:hint="eastAsia" w:ascii="宋体" w:hAnsi="宋体" w:cs="宋体"/>
          <w:b/>
          <w:color w:val="auto"/>
        </w:rPr>
        <w:t>第一部分：综合类标准</w:t>
      </w:r>
    </w:p>
    <w:p>
      <w:pPr>
        <w:widowControl/>
        <w:spacing w:line="360" w:lineRule="auto"/>
        <w:ind w:firstLine="480" w:firstLineChars="200"/>
        <w:rPr>
          <w:rFonts w:ascii="宋体" w:hAnsi="宋体"/>
          <w:color w:val="auto"/>
        </w:rPr>
      </w:pPr>
      <w:r>
        <w:rPr>
          <w:rFonts w:ascii="宋体" w:hAnsi="宋体"/>
          <w:color w:val="auto"/>
        </w:rPr>
        <w:t>1.港口与航道水文规范（JTS 145-2015-2022）</w:t>
      </w:r>
    </w:p>
    <w:p>
      <w:pPr>
        <w:widowControl/>
        <w:spacing w:line="360" w:lineRule="auto"/>
        <w:ind w:firstLine="480" w:firstLineChars="200"/>
        <w:rPr>
          <w:rFonts w:ascii="宋体" w:hAnsi="宋体"/>
          <w:color w:val="auto"/>
        </w:rPr>
      </w:pPr>
      <w:r>
        <w:rPr>
          <w:rFonts w:ascii="宋体" w:hAnsi="宋体"/>
          <w:color w:val="auto"/>
        </w:rPr>
        <w:t>2.水运工程抗震设计规范(JTS 146-2012)</w:t>
      </w:r>
    </w:p>
    <w:p>
      <w:pPr>
        <w:widowControl/>
        <w:spacing w:line="360" w:lineRule="auto"/>
        <w:ind w:firstLine="480" w:firstLineChars="200"/>
        <w:rPr>
          <w:rFonts w:ascii="宋体" w:hAnsi="宋体"/>
          <w:color w:val="auto"/>
        </w:rPr>
      </w:pPr>
      <w:r>
        <w:rPr>
          <w:rFonts w:ascii="宋体" w:hAnsi="宋体"/>
          <w:color w:val="auto"/>
        </w:rPr>
        <w:t>3.水运工程建设项目环境影响评价指南 (JTS/T 105-2021)</w:t>
      </w:r>
    </w:p>
    <w:p>
      <w:pPr>
        <w:widowControl/>
        <w:spacing w:line="360" w:lineRule="auto"/>
        <w:ind w:firstLine="480" w:firstLineChars="200"/>
        <w:rPr>
          <w:rFonts w:ascii="宋体" w:hAnsi="宋体"/>
          <w:color w:val="auto"/>
        </w:rPr>
      </w:pPr>
      <w:r>
        <w:rPr>
          <w:rFonts w:ascii="宋体" w:hAnsi="宋体"/>
          <w:color w:val="auto"/>
        </w:rPr>
        <w:t>4.水运工程环境保护设计规范 (JTS 149-2018)</w:t>
      </w:r>
    </w:p>
    <w:p>
      <w:pPr>
        <w:widowControl/>
        <w:spacing w:line="360" w:lineRule="auto"/>
        <w:ind w:firstLine="480" w:firstLineChars="200"/>
        <w:rPr>
          <w:rFonts w:ascii="宋体" w:hAnsi="宋体"/>
          <w:color w:val="auto"/>
        </w:rPr>
      </w:pPr>
      <w:r>
        <w:rPr>
          <w:rFonts w:ascii="宋体" w:hAnsi="宋体"/>
          <w:color w:val="auto"/>
        </w:rPr>
        <w:t>5.港口与航道工程制图标准(JTS/T 142-1-2019 )</w:t>
      </w:r>
    </w:p>
    <w:p>
      <w:pPr>
        <w:widowControl/>
        <w:spacing w:line="360" w:lineRule="auto"/>
        <w:ind w:firstLine="480" w:firstLineChars="200"/>
        <w:rPr>
          <w:rFonts w:ascii="宋体" w:hAnsi="宋体"/>
          <w:color w:val="auto"/>
        </w:rPr>
      </w:pPr>
      <w:r>
        <w:rPr>
          <w:rFonts w:ascii="宋体" w:hAnsi="宋体"/>
          <w:color w:val="auto"/>
        </w:rPr>
        <w:t>6.防波堤与护岸施工规范(JTS 208-2020 )</w:t>
      </w:r>
    </w:p>
    <w:p>
      <w:pPr>
        <w:widowControl/>
        <w:spacing w:line="360" w:lineRule="auto"/>
        <w:ind w:firstLine="480" w:firstLineChars="200"/>
        <w:rPr>
          <w:rFonts w:ascii="宋体" w:hAnsi="宋体"/>
          <w:color w:val="auto"/>
        </w:rPr>
      </w:pPr>
      <w:r>
        <w:rPr>
          <w:rFonts w:ascii="宋体" w:hAnsi="宋体"/>
          <w:color w:val="auto"/>
        </w:rPr>
        <w:t>7.水运工程爆破技术规范(JTS 204-2008)</w:t>
      </w:r>
    </w:p>
    <w:p>
      <w:pPr>
        <w:widowControl/>
        <w:spacing w:line="360" w:lineRule="auto"/>
        <w:ind w:firstLine="480" w:firstLineChars="200"/>
        <w:rPr>
          <w:rFonts w:ascii="宋体" w:hAnsi="宋体"/>
          <w:color w:val="auto"/>
        </w:rPr>
      </w:pPr>
      <w:r>
        <w:rPr>
          <w:rFonts w:ascii="宋体" w:hAnsi="宋体"/>
          <w:color w:val="auto"/>
        </w:rPr>
        <w:t>8.水运工程土工合成材料应用技术规范(JTS/T 148-2020)</w:t>
      </w:r>
    </w:p>
    <w:p>
      <w:pPr>
        <w:widowControl/>
        <w:spacing w:line="360" w:lineRule="auto"/>
        <w:ind w:firstLine="480" w:firstLineChars="200"/>
        <w:rPr>
          <w:rFonts w:ascii="宋体" w:hAnsi="宋体"/>
          <w:color w:val="auto"/>
        </w:rPr>
      </w:pPr>
      <w:r>
        <w:rPr>
          <w:rFonts w:ascii="宋体" w:hAnsi="宋体"/>
          <w:color w:val="auto"/>
        </w:rPr>
        <w:t>9.水运工程设计通则(JTS 141-2011)</w:t>
      </w:r>
    </w:p>
    <w:p>
      <w:pPr>
        <w:spacing w:line="380" w:lineRule="exact"/>
        <w:ind w:firstLine="482" w:firstLineChars="200"/>
        <w:rPr>
          <w:rFonts w:ascii="宋体" w:hAnsi="宋体"/>
          <w:b/>
          <w:color w:val="auto"/>
        </w:rPr>
      </w:pPr>
      <w:r>
        <w:rPr>
          <w:rFonts w:hint="eastAsia" w:ascii="宋体" w:hAnsi="宋体"/>
          <w:b/>
          <w:color w:val="auto"/>
        </w:rPr>
        <w:t>第二部分：地基与基础类标准</w:t>
      </w:r>
    </w:p>
    <w:p>
      <w:pPr>
        <w:widowControl/>
        <w:spacing w:line="360" w:lineRule="auto"/>
        <w:ind w:firstLine="480" w:firstLineChars="200"/>
        <w:rPr>
          <w:rFonts w:ascii="宋体" w:hAnsi="宋体"/>
          <w:color w:val="auto"/>
          <w:lang w:val="en-US"/>
        </w:rPr>
      </w:pPr>
      <w:r>
        <w:rPr>
          <w:rFonts w:ascii="宋体" w:hAnsi="宋体"/>
          <w:color w:val="auto"/>
          <w:lang w:val="en-US"/>
        </w:rPr>
        <w:t>1.水运工程地基设计规范（JTS 147-2017）</w:t>
      </w:r>
    </w:p>
    <w:p>
      <w:pPr>
        <w:widowControl/>
        <w:spacing w:line="360" w:lineRule="auto"/>
        <w:ind w:firstLine="480" w:firstLineChars="200"/>
        <w:rPr>
          <w:rFonts w:ascii="宋体" w:hAnsi="宋体"/>
          <w:color w:val="auto"/>
          <w:lang w:val="en-US"/>
        </w:rPr>
      </w:pPr>
      <w:r>
        <w:rPr>
          <w:rFonts w:ascii="宋体" w:hAnsi="宋体"/>
          <w:color w:val="auto"/>
          <w:lang w:val="en-US"/>
        </w:rPr>
        <w:t>2.水运工程桩基设计规范（JTS 147-7-2022）</w:t>
      </w:r>
    </w:p>
    <w:p>
      <w:pPr>
        <w:widowControl/>
        <w:spacing w:line="360" w:lineRule="auto"/>
        <w:ind w:firstLine="480" w:firstLineChars="200"/>
        <w:rPr>
          <w:rFonts w:ascii="宋体" w:hAnsi="宋体"/>
          <w:color w:val="auto"/>
        </w:rPr>
      </w:pPr>
      <w:r>
        <w:rPr>
          <w:rFonts w:ascii="宋体" w:hAnsi="宋体"/>
          <w:color w:val="auto"/>
          <w:lang w:val="en-US"/>
        </w:rPr>
        <w:t>3</w:t>
      </w:r>
      <w:r>
        <w:rPr>
          <w:rFonts w:ascii="宋体" w:hAnsi="宋体"/>
          <w:color w:val="auto"/>
        </w:rPr>
        <w:t>.水运工程塑料排水板应用技术规程(JTS 206-1-2009)</w:t>
      </w:r>
    </w:p>
    <w:p>
      <w:pPr>
        <w:widowControl/>
        <w:spacing w:line="360" w:lineRule="auto"/>
        <w:ind w:firstLine="480" w:firstLineChars="200"/>
        <w:rPr>
          <w:rFonts w:ascii="宋体" w:hAnsi="宋体"/>
          <w:color w:val="auto"/>
        </w:rPr>
      </w:pPr>
      <w:r>
        <w:rPr>
          <w:rFonts w:ascii="宋体" w:hAnsi="宋体"/>
          <w:color w:val="auto"/>
          <w:lang w:val="en-US"/>
        </w:rPr>
        <w:t>4</w:t>
      </w:r>
      <w:r>
        <w:rPr>
          <w:rFonts w:ascii="宋体" w:hAnsi="宋体"/>
          <w:color w:val="auto"/>
        </w:rPr>
        <w:t>.港口工程</w:t>
      </w:r>
      <w:r>
        <w:rPr>
          <w:rFonts w:ascii="宋体" w:hAnsi="宋体"/>
          <w:color w:val="auto"/>
          <w:lang w:val="en-US"/>
        </w:rPr>
        <w:t>后张法</w:t>
      </w:r>
      <w:r>
        <w:rPr>
          <w:rFonts w:ascii="宋体" w:hAnsi="宋体"/>
          <w:color w:val="auto"/>
        </w:rPr>
        <w:t>预应力混凝土</w:t>
      </w:r>
      <w:r>
        <w:rPr>
          <w:rFonts w:ascii="宋体" w:hAnsi="宋体"/>
          <w:color w:val="auto"/>
          <w:lang w:val="en-US"/>
        </w:rPr>
        <w:t>长管节管桩</w:t>
      </w:r>
      <w:r>
        <w:rPr>
          <w:rFonts w:ascii="宋体" w:hAnsi="宋体"/>
          <w:color w:val="auto"/>
        </w:rPr>
        <w:t>设计与施工规程(JTS/T 167-17-2020)</w:t>
      </w:r>
    </w:p>
    <w:p>
      <w:pPr>
        <w:widowControl/>
        <w:spacing w:line="360" w:lineRule="auto"/>
        <w:ind w:firstLine="480" w:firstLineChars="200"/>
        <w:rPr>
          <w:rFonts w:ascii="宋体" w:hAnsi="宋体"/>
          <w:color w:val="auto"/>
        </w:rPr>
      </w:pPr>
      <w:r>
        <w:rPr>
          <w:rFonts w:ascii="宋体" w:hAnsi="宋体"/>
          <w:color w:val="auto"/>
          <w:lang w:val="en-US"/>
        </w:rPr>
        <w:t>5.</w:t>
      </w:r>
      <w:r>
        <w:rPr>
          <w:rFonts w:ascii="宋体" w:hAnsi="宋体"/>
          <w:color w:val="auto"/>
        </w:rPr>
        <w:t>水运工程预制高强混凝土薄壁钢管桩设计与施工规程（JTS 167-15-2019）</w:t>
      </w:r>
    </w:p>
    <w:p>
      <w:pPr>
        <w:spacing w:line="380" w:lineRule="exact"/>
        <w:ind w:firstLine="482" w:firstLineChars="200"/>
        <w:rPr>
          <w:rFonts w:ascii="宋体" w:hAnsi="宋体"/>
          <w:b/>
          <w:color w:val="auto"/>
        </w:rPr>
      </w:pPr>
      <w:r>
        <w:rPr>
          <w:rFonts w:hint="eastAsia" w:ascii="宋体" w:hAnsi="宋体"/>
          <w:b/>
          <w:color w:val="auto"/>
        </w:rPr>
        <w:t>第三部分：混凝土类标准</w:t>
      </w:r>
    </w:p>
    <w:p>
      <w:pPr>
        <w:widowControl/>
        <w:spacing w:line="360" w:lineRule="auto"/>
        <w:ind w:firstLine="480" w:firstLineChars="200"/>
        <w:rPr>
          <w:rFonts w:ascii="宋体" w:hAnsi="宋体"/>
          <w:color w:val="auto"/>
        </w:rPr>
      </w:pPr>
      <w:r>
        <w:rPr>
          <w:rFonts w:ascii="宋体" w:hAnsi="宋体"/>
          <w:color w:val="auto"/>
          <w:lang w:val="en-US"/>
        </w:rPr>
        <w:t>1.</w:t>
      </w:r>
      <w:r>
        <w:rPr>
          <w:rFonts w:ascii="宋体" w:hAnsi="宋体"/>
          <w:color w:val="auto"/>
        </w:rPr>
        <w:t>水运工程混凝土结构设计规范（JTS</w:t>
      </w:r>
      <w:r>
        <w:rPr>
          <w:rFonts w:ascii="宋体" w:hAnsi="宋体"/>
          <w:color w:val="auto"/>
          <w:lang w:val="en-US"/>
        </w:rPr>
        <w:t xml:space="preserve"> </w:t>
      </w:r>
      <w:r>
        <w:rPr>
          <w:rFonts w:ascii="宋体" w:hAnsi="宋体"/>
          <w:color w:val="auto"/>
        </w:rPr>
        <w:t>151-2011）</w:t>
      </w:r>
    </w:p>
    <w:p>
      <w:pPr>
        <w:widowControl/>
        <w:spacing w:line="360" w:lineRule="auto"/>
        <w:ind w:firstLine="480" w:firstLineChars="200"/>
        <w:rPr>
          <w:rFonts w:ascii="宋体" w:hAnsi="宋体"/>
          <w:color w:val="auto"/>
        </w:rPr>
      </w:pPr>
      <w:r>
        <w:rPr>
          <w:rFonts w:ascii="宋体" w:hAnsi="宋体"/>
          <w:color w:val="auto"/>
          <w:lang w:val="en-US"/>
        </w:rPr>
        <w:t>2.</w:t>
      </w:r>
      <w:r>
        <w:rPr>
          <w:rFonts w:ascii="宋体" w:hAnsi="宋体"/>
          <w:color w:val="auto"/>
        </w:rPr>
        <w:t>水运工程混凝土质量控制标准（JTS</w:t>
      </w:r>
      <w:r>
        <w:rPr>
          <w:rFonts w:ascii="宋体" w:hAnsi="宋体"/>
          <w:color w:val="auto"/>
          <w:lang w:val="en-US"/>
        </w:rPr>
        <w:t xml:space="preserve"> </w:t>
      </w:r>
      <w:r>
        <w:rPr>
          <w:rFonts w:ascii="宋体" w:hAnsi="宋体"/>
          <w:color w:val="auto"/>
        </w:rPr>
        <w:t>202-2-2011）</w:t>
      </w:r>
    </w:p>
    <w:p>
      <w:pPr>
        <w:widowControl/>
        <w:spacing w:line="360" w:lineRule="auto"/>
        <w:ind w:firstLine="480" w:firstLineChars="200"/>
        <w:rPr>
          <w:rFonts w:ascii="宋体" w:hAnsi="宋体"/>
          <w:color w:val="auto"/>
        </w:rPr>
      </w:pPr>
      <w:r>
        <w:rPr>
          <w:rFonts w:ascii="宋体" w:hAnsi="宋体"/>
          <w:color w:val="auto"/>
          <w:lang w:val="en-US"/>
        </w:rPr>
        <w:t>3.</w:t>
      </w:r>
      <w:r>
        <w:rPr>
          <w:rFonts w:ascii="宋体" w:hAnsi="宋体"/>
          <w:color w:val="auto"/>
        </w:rPr>
        <w:t>水运工程机制砂混凝土应用技术规范（JTS-T 227-2022）</w:t>
      </w:r>
    </w:p>
    <w:p>
      <w:pPr>
        <w:widowControl/>
        <w:spacing w:line="360" w:lineRule="auto"/>
        <w:ind w:firstLine="480" w:firstLineChars="200"/>
        <w:rPr>
          <w:rFonts w:ascii="宋体" w:hAnsi="宋体"/>
          <w:color w:val="auto"/>
        </w:rPr>
      </w:pPr>
      <w:r>
        <w:rPr>
          <w:rFonts w:ascii="宋体" w:hAnsi="宋体"/>
          <w:color w:val="auto"/>
          <w:lang w:val="en-US"/>
        </w:rPr>
        <w:t>4.</w:t>
      </w:r>
      <w:r>
        <w:rPr>
          <w:rFonts w:ascii="宋体" w:hAnsi="宋体"/>
          <w:color w:val="auto"/>
        </w:rPr>
        <w:t>水运工程大体积混凝土温度裂缝控制技术规范（JTS-T 202-1-2022）</w:t>
      </w:r>
    </w:p>
    <w:p>
      <w:pPr>
        <w:widowControl/>
        <w:spacing w:line="360" w:lineRule="auto"/>
        <w:ind w:firstLine="480" w:firstLineChars="200"/>
        <w:rPr>
          <w:rFonts w:ascii="宋体" w:hAnsi="宋体"/>
          <w:color w:val="auto"/>
        </w:rPr>
      </w:pPr>
      <w:r>
        <w:rPr>
          <w:rFonts w:ascii="宋体" w:hAnsi="宋体"/>
          <w:color w:val="auto"/>
          <w:lang w:val="en-US"/>
        </w:rPr>
        <w:t>5.</w:t>
      </w:r>
      <w:r>
        <w:rPr>
          <w:rFonts w:ascii="宋体" w:hAnsi="宋体"/>
          <w:color w:val="auto"/>
        </w:rPr>
        <w:t>水运工程自密实混凝土技术规范（JTS-T 226-2021）</w:t>
      </w:r>
    </w:p>
    <w:p>
      <w:pPr>
        <w:widowControl/>
        <w:spacing w:line="360" w:lineRule="auto"/>
        <w:ind w:firstLine="480" w:firstLineChars="200"/>
        <w:rPr>
          <w:rFonts w:ascii="宋体" w:hAnsi="宋体"/>
          <w:color w:val="auto"/>
        </w:rPr>
      </w:pPr>
      <w:r>
        <w:rPr>
          <w:rFonts w:ascii="宋体" w:hAnsi="宋体"/>
          <w:color w:val="auto"/>
          <w:lang w:val="en-US"/>
        </w:rPr>
        <w:t>6.</w:t>
      </w:r>
      <w:r>
        <w:rPr>
          <w:rFonts w:ascii="宋体" w:hAnsi="宋体"/>
          <w:color w:val="auto"/>
        </w:rPr>
        <w:t>水运工程模袋混凝土应用技术规范（JTS/T 159-2021）</w:t>
      </w:r>
    </w:p>
    <w:p>
      <w:pPr>
        <w:widowControl/>
        <w:spacing w:line="360" w:lineRule="auto"/>
        <w:ind w:firstLine="480" w:firstLineChars="200"/>
        <w:rPr>
          <w:rFonts w:ascii="宋体" w:hAnsi="宋体"/>
          <w:color w:val="auto"/>
        </w:rPr>
      </w:pPr>
      <w:r>
        <w:rPr>
          <w:rFonts w:ascii="宋体" w:hAnsi="宋体"/>
          <w:color w:val="auto"/>
          <w:lang w:val="en-US"/>
        </w:rPr>
        <w:t>7.</w:t>
      </w:r>
      <w:r>
        <w:rPr>
          <w:rFonts w:ascii="宋体" w:hAnsi="宋体"/>
          <w:color w:val="auto"/>
        </w:rPr>
        <w:t>水运工程混凝土试验检测技术规范（JTS-T 236-2019）</w:t>
      </w:r>
    </w:p>
    <w:p>
      <w:pPr>
        <w:widowControl/>
        <w:spacing w:line="360" w:lineRule="auto"/>
        <w:ind w:firstLine="480" w:firstLineChars="200"/>
        <w:rPr>
          <w:rFonts w:ascii="宋体" w:hAnsi="宋体"/>
          <w:color w:val="auto"/>
        </w:rPr>
      </w:pPr>
      <w:r>
        <w:rPr>
          <w:rFonts w:ascii="宋体" w:hAnsi="宋体"/>
          <w:color w:val="auto"/>
          <w:lang w:val="en-US"/>
        </w:rPr>
        <w:t>8.</w:t>
      </w:r>
      <w:r>
        <w:rPr>
          <w:rFonts w:ascii="宋体" w:hAnsi="宋体"/>
          <w:color w:val="auto"/>
        </w:rPr>
        <w:t>水运工程混凝土结构实体检测技术规程（JTS</w:t>
      </w:r>
      <w:r>
        <w:rPr>
          <w:rFonts w:ascii="宋体" w:hAnsi="宋体"/>
          <w:color w:val="auto"/>
          <w:lang w:val="en-US"/>
        </w:rPr>
        <w:t xml:space="preserve"> </w:t>
      </w:r>
      <w:r>
        <w:rPr>
          <w:rFonts w:ascii="宋体" w:hAnsi="宋体"/>
          <w:color w:val="auto"/>
        </w:rPr>
        <w:t>239-2015）</w:t>
      </w:r>
    </w:p>
    <w:p>
      <w:pPr>
        <w:widowControl/>
        <w:spacing w:line="360" w:lineRule="auto"/>
        <w:ind w:firstLine="480" w:firstLineChars="200"/>
        <w:rPr>
          <w:rFonts w:ascii="宋体" w:hAnsi="宋体"/>
          <w:color w:val="auto"/>
        </w:rPr>
      </w:pPr>
      <w:r>
        <w:rPr>
          <w:rFonts w:ascii="宋体" w:hAnsi="宋体"/>
          <w:color w:val="auto"/>
          <w:lang w:val="en-US"/>
        </w:rPr>
        <w:t>9.</w:t>
      </w:r>
      <w:r>
        <w:rPr>
          <w:rFonts w:ascii="宋体" w:hAnsi="宋体"/>
          <w:color w:val="auto"/>
        </w:rPr>
        <w:t>水运工程大体积混凝土温度裂缝控制技术规程（JTS</w:t>
      </w:r>
      <w:r>
        <w:rPr>
          <w:rFonts w:ascii="宋体" w:hAnsi="宋体"/>
          <w:color w:val="auto"/>
          <w:lang w:val="en-US"/>
        </w:rPr>
        <w:t xml:space="preserve"> </w:t>
      </w:r>
      <w:r>
        <w:rPr>
          <w:rFonts w:ascii="宋体" w:hAnsi="宋体"/>
          <w:color w:val="auto"/>
        </w:rPr>
        <w:t>202-1-2010）</w:t>
      </w:r>
    </w:p>
    <w:p>
      <w:pPr>
        <w:widowControl/>
        <w:spacing w:line="360" w:lineRule="auto"/>
        <w:ind w:firstLine="480" w:firstLineChars="200"/>
        <w:rPr>
          <w:rFonts w:ascii="宋体" w:hAnsi="宋体"/>
          <w:color w:val="auto"/>
        </w:rPr>
      </w:pPr>
      <w:r>
        <w:rPr>
          <w:rFonts w:ascii="宋体" w:hAnsi="宋体"/>
          <w:color w:val="auto"/>
          <w:lang w:val="en-US"/>
        </w:rPr>
        <w:t>10.</w:t>
      </w:r>
      <w:r>
        <w:rPr>
          <w:rFonts w:ascii="宋体" w:hAnsi="宋体"/>
          <w:color w:val="auto"/>
        </w:rPr>
        <w:t>海港工程高性能混凝土质量控制标准（JTS</w:t>
      </w:r>
      <w:r>
        <w:rPr>
          <w:rFonts w:ascii="宋体" w:hAnsi="宋体"/>
          <w:color w:val="auto"/>
          <w:lang w:val="en-US"/>
        </w:rPr>
        <w:t xml:space="preserve"> </w:t>
      </w:r>
      <w:r>
        <w:rPr>
          <w:rFonts w:ascii="宋体" w:hAnsi="宋体"/>
          <w:color w:val="auto"/>
        </w:rPr>
        <w:t>257-2-2012）</w:t>
      </w:r>
    </w:p>
    <w:p>
      <w:pPr>
        <w:widowControl/>
        <w:spacing w:line="360" w:lineRule="auto"/>
        <w:ind w:firstLine="480" w:firstLineChars="200"/>
        <w:rPr>
          <w:rFonts w:ascii="宋体" w:hAnsi="宋体"/>
          <w:color w:val="auto"/>
        </w:rPr>
      </w:pPr>
      <w:r>
        <w:rPr>
          <w:rFonts w:ascii="宋体" w:hAnsi="宋体"/>
          <w:color w:val="auto"/>
          <w:lang w:val="en-US"/>
        </w:rPr>
        <w:t>11.</w:t>
      </w:r>
      <w:r>
        <w:rPr>
          <w:rFonts w:ascii="宋体" w:hAnsi="宋体"/>
          <w:color w:val="auto"/>
        </w:rPr>
        <w:t>海港工程钢筋混凝土结构电化学防腐蚀技术规范（JTS</w:t>
      </w:r>
      <w:r>
        <w:rPr>
          <w:rFonts w:ascii="宋体" w:hAnsi="宋体"/>
          <w:color w:val="auto"/>
          <w:lang w:val="en-US"/>
        </w:rPr>
        <w:t xml:space="preserve"> </w:t>
      </w:r>
      <w:r>
        <w:rPr>
          <w:rFonts w:ascii="宋体" w:hAnsi="宋体"/>
          <w:color w:val="auto"/>
        </w:rPr>
        <w:t>153-2-2012）</w:t>
      </w:r>
    </w:p>
    <w:p>
      <w:pPr>
        <w:spacing w:line="380" w:lineRule="exact"/>
        <w:ind w:firstLine="482" w:firstLineChars="200"/>
        <w:rPr>
          <w:rFonts w:ascii="宋体" w:hAnsi="宋体"/>
          <w:b/>
          <w:color w:val="auto"/>
        </w:rPr>
      </w:pPr>
      <w:r>
        <w:rPr>
          <w:rFonts w:hint="eastAsia" w:ascii="宋体" w:hAnsi="宋体"/>
          <w:b/>
          <w:color w:val="auto"/>
        </w:rPr>
        <w:t>第四部分：港口类标准</w:t>
      </w:r>
    </w:p>
    <w:p>
      <w:pPr>
        <w:widowControl/>
        <w:spacing w:line="360" w:lineRule="auto"/>
        <w:ind w:firstLine="480" w:firstLineChars="200"/>
        <w:rPr>
          <w:rFonts w:ascii="宋体" w:hAnsi="宋体"/>
          <w:color w:val="auto"/>
        </w:rPr>
      </w:pPr>
      <w:r>
        <w:rPr>
          <w:rFonts w:ascii="宋体" w:hAnsi="宋体"/>
          <w:color w:val="auto"/>
        </w:rPr>
        <w:t>1.海港总体设计规范（JTS 165-2013）</w:t>
      </w:r>
    </w:p>
    <w:p>
      <w:pPr>
        <w:widowControl/>
        <w:spacing w:line="360" w:lineRule="auto"/>
        <w:ind w:firstLine="480" w:firstLineChars="200"/>
        <w:rPr>
          <w:rFonts w:ascii="宋体" w:hAnsi="宋体"/>
          <w:color w:val="auto"/>
        </w:rPr>
      </w:pPr>
      <w:r>
        <w:rPr>
          <w:rFonts w:ascii="宋体" w:hAnsi="宋体"/>
          <w:color w:val="auto"/>
        </w:rPr>
        <w:t>2.河港总体设计规范（JTS 166-2020）</w:t>
      </w:r>
    </w:p>
    <w:p>
      <w:pPr>
        <w:widowControl/>
        <w:spacing w:line="360" w:lineRule="auto"/>
        <w:ind w:firstLine="480" w:firstLineChars="200"/>
        <w:rPr>
          <w:rFonts w:ascii="宋体" w:hAnsi="宋体"/>
          <w:color w:val="auto"/>
        </w:rPr>
      </w:pPr>
      <w:r>
        <w:rPr>
          <w:rFonts w:ascii="宋体" w:hAnsi="宋体"/>
          <w:color w:val="auto"/>
        </w:rPr>
        <w:t>3.码头结构设计规范（JTS 167-2018）</w:t>
      </w:r>
    </w:p>
    <w:p>
      <w:pPr>
        <w:widowControl/>
        <w:spacing w:line="360" w:lineRule="auto"/>
        <w:ind w:firstLine="480" w:firstLineChars="200"/>
        <w:rPr>
          <w:rFonts w:ascii="宋体" w:hAnsi="宋体"/>
          <w:color w:val="auto"/>
        </w:rPr>
      </w:pPr>
      <w:r>
        <w:rPr>
          <w:rFonts w:ascii="宋体" w:hAnsi="宋体"/>
          <w:color w:val="auto"/>
        </w:rPr>
        <w:t>4.港口工程荷载规范（JTS 144-1-2010）</w:t>
      </w:r>
    </w:p>
    <w:p>
      <w:pPr>
        <w:widowControl/>
        <w:spacing w:line="360" w:lineRule="auto"/>
        <w:ind w:firstLine="480" w:firstLineChars="200"/>
        <w:rPr>
          <w:rFonts w:ascii="宋体" w:hAnsi="宋体"/>
          <w:color w:val="auto"/>
        </w:rPr>
      </w:pPr>
      <w:r>
        <w:rPr>
          <w:rFonts w:ascii="宋体" w:hAnsi="宋体"/>
          <w:color w:val="auto"/>
        </w:rPr>
        <w:t>5.水运工程质量检验标准（JTS 257-2008）</w:t>
      </w:r>
    </w:p>
    <w:p>
      <w:pPr>
        <w:widowControl/>
        <w:spacing w:line="360" w:lineRule="auto"/>
        <w:ind w:firstLine="480" w:firstLineChars="200"/>
        <w:rPr>
          <w:rFonts w:ascii="宋体" w:hAnsi="宋体"/>
          <w:color w:val="auto"/>
        </w:rPr>
      </w:pPr>
      <w:r>
        <w:rPr>
          <w:rFonts w:ascii="宋体" w:hAnsi="宋体"/>
          <w:color w:val="auto"/>
        </w:rPr>
        <w:t>6.水运工程水工建筑物检测与评估技术规范（JTS 304-2019）</w:t>
      </w:r>
    </w:p>
    <w:p>
      <w:pPr>
        <w:widowControl/>
        <w:spacing w:line="360" w:lineRule="auto"/>
        <w:ind w:firstLine="480" w:firstLineChars="200"/>
        <w:rPr>
          <w:rFonts w:ascii="宋体" w:hAnsi="宋体"/>
          <w:color w:val="auto"/>
        </w:rPr>
      </w:pPr>
      <w:r>
        <w:rPr>
          <w:rFonts w:ascii="宋体" w:hAnsi="宋体"/>
          <w:color w:val="auto"/>
        </w:rPr>
        <w:t>7.装卸油品码头防火设计规范(JTJ 238-1999)</w:t>
      </w:r>
    </w:p>
    <w:p>
      <w:pPr>
        <w:widowControl/>
        <w:spacing w:line="360" w:lineRule="auto"/>
        <w:ind w:firstLine="480" w:firstLineChars="200"/>
        <w:rPr>
          <w:rFonts w:ascii="宋体" w:hAnsi="宋体"/>
          <w:color w:val="auto"/>
        </w:rPr>
      </w:pPr>
      <w:r>
        <w:rPr>
          <w:rFonts w:ascii="宋体" w:hAnsi="宋体"/>
          <w:color w:val="auto"/>
        </w:rPr>
        <w:t>8.水运工程钢结构设计规范 （JTS 152-2012）</w:t>
      </w:r>
    </w:p>
    <w:p>
      <w:pPr>
        <w:widowControl/>
        <w:spacing w:line="360" w:lineRule="auto"/>
        <w:ind w:firstLine="480" w:firstLineChars="200"/>
        <w:rPr>
          <w:rFonts w:ascii="宋体" w:hAnsi="宋体"/>
          <w:color w:val="auto"/>
        </w:rPr>
      </w:pPr>
      <w:r>
        <w:rPr>
          <w:rFonts w:ascii="宋体" w:hAnsi="宋体"/>
          <w:color w:val="auto"/>
        </w:rPr>
        <w:t>9.港口道路与堆场设计规范（JTS 168–2017）</w:t>
      </w:r>
    </w:p>
    <w:p>
      <w:pPr>
        <w:widowControl/>
        <w:spacing w:line="360" w:lineRule="auto"/>
        <w:ind w:firstLine="480" w:firstLineChars="200"/>
        <w:rPr>
          <w:rFonts w:ascii="宋体" w:hAnsi="宋体"/>
          <w:color w:val="auto"/>
        </w:rPr>
      </w:pPr>
      <w:r>
        <w:rPr>
          <w:rFonts w:ascii="宋体" w:hAnsi="宋体"/>
          <w:color w:val="auto"/>
        </w:rPr>
        <w:t>10.码头附属设施技术规范（JTS 169-2017）</w:t>
      </w:r>
    </w:p>
    <w:p>
      <w:pPr>
        <w:widowControl/>
        <w:spacing w:line="360" w:lineRule="auto"/>
        <w:ind w:firstLine="480" w:firstLineChars="200"/>
        <w:rPr>
          <w:rFonts w:ascii="宋体" w:hAnsi="宋体"/>
          <w:color w:val="auto"/>
        </w:rPr>
      </w:pPr>
      <w:r>
        <w:rPr>
          <w:rFonts w:ascii="宋体" w:hAnsi="宋体"/>
          <w:color w:val="auto"/>
        </w:rPr>
        <w:t>11.液化天然气码头设计规范（JTS 165-5-2016）</w:t>
      </w:r>
    </w:p>
    <w:p>
      <w:pPr>
        <w:widowControl/>
        <w:spacing w:line="360" w:lineRule="auto"/>
        <w:ind w:firstLine="480" w:firstLineChars="200"/>
        <w:rPr>
          <w:rFonts w:ascii="宋体" w:hAnsi="宋体"/>
          <w:color w:val="auto"/>
        </w:rPr>
      </w:pPr>
      <w:r>
        <w:rPr>
          <w:rFonts w:ascii="宋体" w:hAnsi="宋体"/>
          <w:color w:val="auto"/>
        </w:rPr>
        <w:t>12.港口工程桩式柔性靠船设施设计与施工技术规程(JTJ 279-2005)</w:t>
      </w:r>
    </w:p>
    <w:p>
      <w:pPr>
        <w:spacing w:line="400" w:lineRule="exact"/>
        <w:ind w:firstLine="482" w:firstLineChars="200"/>
        <w:rPr>
          <w:rFonts w:ascii="宋体" w:hAnsi="宋体"/>
          <w:b/>
          <w:color w:val="auto"/>
        </w:rPr>
      </w:pPr>
      <w:r>
        <w:rPr>
          <w:rFonts w:hint="eastAsia" w:ascii="宋体" w:hAnsi="宋体"/>
          <w:b/>
          <w:color w:val="auto"/>
        </w:rPr>
        <w:t>第五部分：航道类标准</w:t>
      </w:r>
    </w:p>
    <w:p>
      <w:pPr>
        <w:widowControl/>
        <w:spacing w:line="360" w:lineRule="auto"/>
        <w:ind w:firstLine="480" w:firstLineChars="200"/>
        <w:rPr>
          <w:rFonts w:ascii="宋体" w:hAnsi="宋体"/>
          <w:color w:val="auto"/>
        </w:rPr>
      </w:pPr>
      <w:r>
        <w:rPr>
          <w:rFonts w:ascii="宋体" w:hAnsi="宋体"/>
          <w:color w:val="auto"/>
        </w:rPr>
        <w:t>1.内河通航标准（GB 50139-2014）</w:t>
      </w:r>
    </w:p>
    <w:p>
      <w:pPr>
        <w:widowControl/>
        <w:spacing w:line="360" w:lineRule="auto"/>
        <w:ind w:firstLine="480" w:firstLineChars="200"/>
        <w:rPr>
          <w:rFonts w:ascii="宋体" w:hAnsi="宋体"/>
          <w:color w:val="auto"/>
        </w:rPr>
      </w:pPr>
      <w:r>
        <w:rPr>
          <w:rFonts w:ascii="宋体" w:hAnsi="宋体"/>
          <w:color w:val="auto"/>
        </w:rPr>
        <w:t>2.渠化工程枢纽总体设计规范（JTS 182-1-2009）</w:t>
      </w:r>
    </w:p>
    <w:p>
      <w:pPr>
        <w:widowControl/>
        <w:spacing w:line="360" w:lineRule="auto"/>
        <w:ind w:firstLine="480" w:firstLineChars="200"/>
        <w:rPr>
          <w:rFonts w:ascii="宋体" w:hAnsi="宋体"/>
          <w:color w:val="auto"/>
        </w:rPr>
      </w:pPr>
      <w:r>
        <w:rPr>
          <w:rFonts w:ascii="宋体" w:hAnsi="宋体"/>
          <w:color w:val="auto"/>
        </w:rPr>
        <w:t>3.航道养护技术规范（JTS/T 320-2021）</w:t>
      </w:r>
    </w:p>
    <w:p>
      <w:pPr>
        <w:widowControl/>
        <w:spacing w:line="360" w:lineRule="auto"/>
        <w:ind w:firstLine="480" w:firstLineChars="200"/>
        <w:rPr>
          <w:rFonts w:ascii="宋体" w:hAnsi="宋体"/>
          <w:color w:val="auto"/>
        </w:rPr>
      </w:pPr>
      <w:r>
        <w:rPr>
          <w:rFonts w:ascii="宋体" w:hAnsi="宋体"/>
          <w:color w:val="auto"/>
        </w:rPr>
        <w:t>4.船闸总体设计规范（JTJ 305-2001）</w:t>
      </w:r>
    </w:p>
    <w:p>
      <w:pPr>
        <w:widowControl/>
        <w:spacing w:line="360" w:lineRule="auto"/>
        <w:ind w:firstLine="480" w:firstLineChars="200"/>
        <w:rPr>
          <w:rFonts w:ascii="宋体" w:hAnsi="宋体"/>
          <w:color w:val="auto"/>
        </w:rPr>
      </w:pPr>
      <w:r>
        <w:rPr>
          <w:rFonts w:ascii="宋体" w:hAnsi="宋体"/>
          <w:color w:val="auto"/>
        </w:rPr>
        <w:t>5.船闸输水系统设计规范（JTJ 306-2001）</w:t>
      </w:r>
    </w:p>
    <w:p>
      <w:pPr>
        <w:widowControl/>
        <w:spacing w:line="360" w:lineRule="auto"/>
        <w:ind w:firstLine="480" w:firstLineChars="200"/>
        <w:rPr>
          <w:rFonts w:ascii="宋体" w:hAnsi="宋体"/>
          <w:color w:val="auto"/>
        </w:rPr>
      </w:pPr>
      <w:r>
        <w:rPr>
          <w:rFonts w:ascii="宋体" w:hAnsi="宋体"/>
          <w:color w:val="auto"/>
        </w:rPr>
        <w:t>6.船闸水工建筑物设计规范（JTJ 307-2001）</w:t>
      </w:r>
    </w:p>
    <w:p>
      <w:pPr>
        <w:widowControl/>
        <w:spacing w:line="360" w:lineRule="auto"/>
        <w:ind w:firstLine="480" w:firstLineChars="200"/>
        <w:rPr>
          <w:rFonts w:ascii="宋体" w:hAnsi="宋体"/>
          <w:color w:val="auto"/>
        </w:rPr>
      </w:pPr>
      <w:r>
        <w:rPr>
          <w:rFonts w:ascii="宋体" w:hAnsi="宋体"/>
          <w:color w:val="auto"/>
        </w:rPr>
        <w:t>7.船闸闸阀门设计规范（JTJ 308-2003）</w:t>
      </w:r>
    </w:p>
    <w:p>
      <w:pPr>
        <w:widowControl/>
        <w:spacing w:line="360" w:lineRule="auto"/>
        <w:ind w:firstLine="480" w:firstLineChars="200"/>
        <w:rPr>
          <w:rFonts w:ascii="宋体" w:hAnsi="宋体"/>
          <w:color w:val="auto"/>
        </w:rPr>
      </w:pPr>
      <w:r>
        <w:rPr>
          <w:rFonts w:ascii="宋体" w:hAnsi="宋体"/>
          <w:color w:val="auto"/>
        </w:rPr>
        <w:t>8.船闸启闭机设计规范（JTJ 309-2005）</w:t>
      </w:r>
    </w:p>
    <w:p>
      <w:pPr>
        <w:widowControl/>
        <w:spacing w:line="360" w:lineRule="auto"/>
        <w:ind w:firstLine="480" w:firstLineChars="200"/>
        <w:rPr>
          <w:rFonts w:ascii="宋体" w:hAnsi="宋体"/>
          <w:color w:val="auto"/>
        </w:rPr>
      </w:pPr>
      <w:r>
        <w:rPr>
          <w:rFonts w:ascii="宋体" w:hAnsi="宋体"/>
          <w:color w:val="auto"/>
        </w:rPr>
        <w:t>9.船闸电气设计规范（JTJ 310-2004）</w:t>
      </w:r>
    </w:p>
    <w:p>
      <w:pPr>
        <w:widowControl/>
        <w:spacing w:line="360" w:lineRule="auto"/>
        <w:ind w:firstLine="480" w:firstLineChars="200"/>
        <w:rPr>
          <w:rFonts w:ascii="宋体" w:hAnsi="宋体"/>
          <w:color w:val="auto"/>
        </w:rPr>
      </w:pPr>
      <w:r>
        <w:rPr>
          <w:rFonts w:ascii="宋体" w:hAnsi="宋体"/>
          <w:color w:val="auto"/>
        </w:rPr>
        <w:t>10.疏浚与吹填工程设计规范（JTS 181-5-2012）</w:t>
      </w:r>
    </w:p>
    <w:p>
      <w:pPr>
        <w:spacing w:line="400" w:lineRule="exact"/>
        <w:ind w:firstLine="482" w:firstLineChars="200"/>
        <w:rPr>
          <w:rFonts w:ascii="宋体" w:hAnsi="宋体"/>
          <w:b/>
          <w:color w:val="auto"/>
        </w:rPr>
      </w:pPr>
      <w:r>
        <w:rPr>
          <w:rFonts w:hint="eastAsia" w:ascii="宋体" w:hAnsi="宋体"/>
          <w:b/>
          <w:color w:val="auto"/>
        </w:rPr>
        <w:t>第六部分：船厂类标准</w:t>
      </w:r>
    </w:p>
    <w:p>
      <w:pPr>
        <w:widowControl/>
        <w:spacing w:line="360" w:lineRule="auto"/>
        <w:ind w:firstLine="480" w:firstLineChars="200"/>
        <w:rPr>
          <w:rFonts w:ascii="宋体" w:hAnsi="宋体"/>
          <w:color w:val="auto"/>
        </w:rPr>
      </w:pPr>
      <w:r>
        <w:rPr>
          <w:rFonts w:ascii="宋体" w:hAnsi="宋体"/>
          <w:color w:val="auto"/>
          <w:lang w:val="en-US"/>
        </w:rPr>
        <w:t>1.船厂水工工程</w:t>
      </w:r>
      <w:r>
        <w:rPr>
          <w:rFonts w:ascii="宋体" w:hAnsi="宋体"/>
          <w:color w:val="auto"/>
        </w:rPr>
        <w:t>设计规范（JTS 190-2018）</w:t>
      </w:r>
    </w:p>
    <w:p>
      <w:pPr>
        <w:widowControl/>
        <w:spacing w:line="360" w:lineRule="auto"/>
        <w:ind w:firstLine="480" w:firstLineChars="200"/>
        <w:rPr>
          <w:rFonts w:ascii="宋体" w:hAnsi="宋体"/>
          <w:color w:val="auto"/>
          <w:lang w:val="en-US"/>
        </w:rPr>
      </w:pPr>
      <w:r>
        <w:rPr>
          <w:rFonts w:ascii="宋体" w:hAnsi="宋体"/>
          <w:color w:val="auto"/>
          <w:lang w:val="en-US"/>
        </w:rPr>
        <w:t>2.干船坞设计规范（CB/T 8524-2011）</w:t>
      </w:r>
    </w:p>
    <w:p>
      <w:pPr>
        <w:spacing w:line="400" w:lineRule="exact"/>
        <w:ind w:firstLine="482" w:firstLineChars="200"/>
        <w:rPr>
          <w:rFonts w:ascii="宋体" w:hAnsi="宋体"/>
          <w:b/>
          <w:color w:val="auto"/>
        </w:rPr>
      </w:pPr>
      <w:r>
        <w:rPr>
          <w:rFonts w:hint="eastAsia" w:ascii="宋体" w:hAnsi="宋体"/>
          <w:b/>
          <w:color w:val="auto"/>
        </w:rPr>
        <w:t>第七部分：通信导航类标准</w:t>
      </w:r>
    </w:p>
    <w:p>
      <w:pPr>
        <w:widowControl/>
        <w:spacing w:line="360" w:lineRule="auto"/>
        <w:ind w:firstLine="480" w:firstLineChars="200"/>
        <w:rPr>
          <w:rFonts w:ascii="宋体" w:hAnsi="宋体"/>
          <w:color w:val="auto"/>
        </w:rPr>
      </w:pPr>
      <w:r>
        <w:rPr>
          <w:rFonts w:ascii="宋体" w:hAnsi="宋体"/>
          <w:color w:val="auto"/>
        </w:rPr>
        <w:t>1.内河助航标志（GB 5863-1993）</w:t>
      </w:r>
    </w:p>
    <w:p>
      <w:pPr>
        <w:widowControl/>
        <w:spacing w:line="360" w:lineRule="auto"/>
        <w:ind w:firstLine="480" w:firstLineChars="200"/>
        <w:rPr>
          <w:rFonts w:ascii="宋体" w:hAnsi="宋体"/>
          <w:color w:val="auto"/>
        </w:rPr>
      </w:pPr>
      <w:r>
        <w:rPr>
          <w:rFonts w:ascii="宋体" w:hAnsi="宋体"/>
          <w:color w:val="auto"/>
        </w:rPr>
        <w:t>2.内河助航标志的主要外形尺寸（GB 5864-1993）</w:t>
      </w:r>
    </w:p>
    <w:p>
      <w:pPr>
        <w:widowControl/>
        <w:spacing w:line="360" w:lineRule="auto"/>
        <w:ind w:firstLine="480" w:firstLineChars="200"/>
        <w:rPr>
          <w:rFonts w:ascii="宋体" w:hAnsi="宋体"/>
          <w:color w:val="auto"/>
        </w:rPr>
      </w:pPr>
      <w:r>
        <w:rPr>
          <w:rFonts w:ascii="宋体" w:hAnsi="宋体"/>
          <w:color w:val="auto"/>
        </w:rPr>
        <w:t>3.中国海区水上助航标志（GB 4696-2016）</w:t>
      </w:r>
    </w:p>
    <w:p>
      <w:pPr>
        <w:widowControl/>
        <w:spacing w:line="360" w:lineRule="auto"/>
        <w:ind w:firstLine="480" w:firstLineChars="200"/>
        <w:rPr>
          <w:rFonts w:ascii="宋体" w:hAnsi="宋体"/>
          <w:color w:val="auto"/>
        </w:rPr>
      </w:pPr>
      <w:r>
        <w:rPr>
          <w:rFonts w:ascii="宋体" w:hAnsi="宋体"/>
          <w:color w:val="auto"/>
        </w:rPr>
        <w:t>4.中国海区水上助航标志形状显示规定（GB 16161-1996）</w:t>
      </w:r>
    </w:p>
    <w:p>
      <w:pPr>
        <w:widowControl/>
        <w:spacing w:line="360" w:lineRule="auto"/>
        <w:ind w:firstLine="480" w:firstLineChars="200"/>
        <w:rPr>
          <w:rFonts w:ascii="宋体" w:hAnsi="宋体"/>
          <w:color w:val="auto"/>
        </w:rPr>
      </w:pPr>
      <w:r>
        <w:rPr>
          <w:rFonts w:ascii="宋体" w:hAnsi="宋体"/>
          <w:color w:val="auto"/>
        </w:rPr>
        <w:t>5.视觉航标表面色规定（GB 17381-2020）</w:t>
      </w:r>
    </w:p>
    <w:p>
      <w:pPr>
        <w:widowControl/>
        <w:spacing w:line="360" w:lineRule="auto"/>
        <w:ind w:firstLine="480" w:firstLineChars="200"/>
        <w:rPr>
          <w:rFonts w:ascii="宋体" w:hAnsi="宋体"/>
          <w:color w:val="auto"/>
        </w:rPr>
      </w:pPr>
      <w:r>
        <w:rPr>
          <w:rFonts w:ascii="宋体" w:hAnsi="宋体"/>
          <w:color w:val="auto"/>
        </w:rPr>
        <w:t>6.航标灯光信号颜色（GB 12708-2020）</w:t>
      </w:r>
    </w:p>
    <w:p>
      <w:pPr>
        <w:widowControl/>
        <w:spacing w:line="360" w:lineRule="auto"/>
        <w:ind w:firstLine="480" w:firstLineChars="200"/>
        <w:rPr>
          <w:rFonts w:ascii="宋体" w:hAnsi="宋体"/>
          <w:color w:val="auto"/>
        </w:rPr>
      </w:pPr>
      <w:r>
        <w:rPr>
          <w:rFonts w:ascii="宋体" w:hAnsi="宋体"/>
          <w:color w:val="auto"/>
        </w:rPr>
        <w:t>7.航标灯通用技术条件（JT/T 761-2009）</w:t>
      </w:r>
    </w:p>
    <w:p>
      <w:pPr>
        <w:widowControl/>
        <w:spacing w:line="360" w:lineRule="auto"/>
        <w:ind w:firstLine="480" w:firstLineChars="200"/>
        <w:rPr>
          <w:rFonts w:ascii="宋体" w:hAnsi="宋体"/>
          <w:color w:val="auto"/>
        </w:rPr>
      </w:pPr>
      <w:r>
        <w:rPr>
          <w:rFonts w:ascii="宋体" w:hAnsi="宋体"/>
          <w:color w:val="auto"/>
        </w:rPr>
        <w:t>8.船舶交通管理系统工程技术规范（JTJ/T 351-1996）</w:t>
      </w:r>
    </w:p>
    <w:p>
      <w:pPr>
        <w:widowControl/>
        <w:spacing w:line="360" w:lineRule="auto"/>
        <w:ind w:firstLine="480" w:firstLineChars="200"/>
        <w:rPr>
          <w:rFonts w:ascii="宋体" w:hAnsi="宋体"/>
          <w:color w:val="auto"/>
        </w:rPr>
      </w:pPr>
      <w:r>
        <w:rPr>
          <w:rFonts w:ascii="宋体" w:hAnsi="宋体"/>
          <w:color w:val="auto"/>
        </w:rPr>
        <w:t>9.集装箱码头计算机管理控制系统设计规范（JTJ/T 282-2006）</w:t>
      </w:r>
    </w:p>
    <w:p>
      <w:pPr>
        <w:widowControl/>
        <w:spacing w:line="360" w:lineRule="auto"/>
        <w:ind w:firstLine="480" w:firstLineChars="200"/>
        <w:rPr>
          <w:rFonts w:ascii="宋体" w:hAnsi="宋体"/>
          <w:color w:val="auto"/>
        </w:rPr>
      </w:pPr>
      <w:r>
        <w:rPr>
          <w:rFonts w:ascii="宋体" w:hAnsi="宋体"/>
          <w:color w:val="auto"/>
        </w:rPr>
        <w:t>10.港口地区有线电话通信系统工程设计规范(JTJ/T 343-1996)</w:t>
      </w:r>
    </w:p>
    <w:p>
      <w:pPr>
        <w:widowControl/>
        <w:spacing w:line="360" w:lineRule="auto"/>
        <w:ind w:firstLine="480" w:firstLineChars="200"/>
        <w:rPr>
          <w:rFonts w:ascii="宋体" w:hAnsi="宋体"/>
          <w:color w:val="auto"/>
        </w:rPr>
      </w:pPr>
      <w:r>
        <w:rPr>
          <w:rFonts w:ascii="宋体" w:hAnsi="宋体"/>
          <w:color w:val="auto"/>
        </w:rPr>
        <w:t>11.海岸电台总体及工艺设计规范(JTJ/T 341-1996)</w:t>
      </w:r>
    </w:p>
    <w:p>
      <w:pPr>
        <w:widowControl/>
        <w:spacing w:line="360" w:lineRule="auto"/>
        <w:ind w:firstLine="480" w:firstLineChars="200"/>
        <w:rPr>
          <w:rFonts w:ascii="宋体" w:hAnsi="宋体"/>
          <w:color w:val="auto"/>
        </w:rPr>
      </w:pPr>
      <w:r>
        <w:rPr>
          <w:rFonts w:ascii="宋体" w:hAnsi="宋体"/>
          <w:color w:val="auto"/>
        </w:rPr>
        <w:t>12.甚高频海岸电台工程设计规范(JTJ/T 345-1999)</w:t>
      </w:r>
    </w:p>
    <w:p>
      <w:pPr>
        <w:spacing w:line="400" w:lineRule="exact"/>
        <w:ind w:firstLine="482" w:firstLineChars="200"/>
        <w:rPr>
          <w:rFonts w:ascii="宋体" w:hAnsi="宋体"/>
          <w:b/>
          <w:color w:val="auto"/>
        </w:rPr>
      </w:pPr>
      <w:r>
        <w:rPr>
          <w:rFonts w:hint="eastAsia" w:ascii="宋体" w:hAnsi="宋体"/>
          <w:b/>
          <w:color w:val="auto"/>
        </w:rPr>
        <w:t>第八部分：概预算定额类</w:t>
      </w:r>
    </w:p>
    <w:p>
      <w:pPr>
        <w:widowControl/>
        <w:spacing w:line="360" w:lineRule="auto"/>
        <w:ind w:firstLine="480" w:firstLineChars="200"/>
        <w:rPr>
          <w:rFonts w:ascii="宋体" w:hAnsi="宋体"/>
          <w:color w:val="auto"/>
        </w:rPr>
      </w:pPr>
      <w:r>
        <w:rPr>
          <w:rFonts w:ascii="宋体" w:hAnsi="宋体"/>
          <w:color w:val="auto"/>
        </w:rPr>
        <w:t>1.水运工程工程量清单计价规范(JTS/T 271-2020)</w:t>
      </w:r>
    </w:p>
    <w:p>
      <w:pPr>
        <w:widowControl/>
        <w:spacing w:line="360" w:lineRule="auto"/>
        <w:ind w:firstLine="480" w:firstLineChars="200"/>
        <w:rPr>
          <w:rFonts w:ascii="宋体" w:hAnsi="宋体"/>
          <w:color w:val="auto"/>
        </w:rPr>
      </w:pPr>
      <w:r>
        <w:rPr>
          <w:rFonts w:ascii="宋体" w:hAnsi="宋体"/>
          <w:color w:val="auto"/>
        </w:rPr>
        <w:t>2.内河航运水工建筑工程定额(JTS/T 275-1—2019)</w:t>
      </w:r>
    </w:p>
    <w:p>
      <w:pPr>
        <w:widowControl/>
        <w:spacing w:line="360" w:lineRule="auto"/>
        <w:ind w:firstLine="480" w:firstLineChars="200"/>
        <w:rPr>
          <w:rFonts w:ascii="宋体" w:hAnsi="宋体"/>
          <w:color w:val="auto"/>
        </w:rPr>
      </w:pPr>
      <w:r>
        <w:rPr>
          <w:rFonts w:ascii="宋体" w:hAnsi="宋体"/>
          <w:color w:val="auto"/>
        </w:rPr>
        <w:t>3.内河航运设备安装工程定额(JTS/T 275-3—2019)</w:t>
      </w:r>
    </w:p>
    <w:p>
      <w:pPr>
        <w:widowControl/>
        <w:spacing w:line="360" w:lineRule="auto"/>
        <w:ind w:firstLine="480" w:firstLineChars="200"/>
        <w:rPr>
          <w:rFonts w:ascii="宋体" w:hAnsi="宋体"/>
          <w:color w:val="auto"/>
        </w:rPr>
      </w:pPr>
      <w:r>
        <w:rPr>
          <w:rFonts w:ascii="宋体" w:hAnsi="宋体"/>
          <w:color w:val="auto"/>
        </w:rPr>
        <w:t>4.沿海港口水工建筑工程定额(JTS/T 276-1—2019)</w:t>
      </w:r>
    </w:p>
    <w:p>
      <w:pPr>
        <w:widowControl/>
        <w:spacing w:line="360" w:lineRule="auto"/>
        <w:ind w:firstLine="480" w:firstLineChars="200"/>
        <w:rPr>
          <w:rFonts w:ascii="宋体" w:hAnsi="宋体"/>
          <w:color w:val="auto"/>
        </w:rPr>
      </w:pPr>
      <w:r>
        <w:rPr>
          <w:rFonts w:hint="eastAsia" w:ascii="宋体" w:hAnsi="宋体"/>
          <w:color w:val="auto"/>
          <w:lang w:val="en-US"/>
        </w:rPr>
        <w:t>5.</w:t>
      </w:r>
      <w:r>
        <w:rPr>
          <w:rFonts w:ascii="宋体" w:hAnsi="宋体"/>
          <w:color w:val="auto"/>
        </w:rPr>
        <w:t>沿海港口工程船舶机械艘（台）班费用定额（JTS/T 276-2—2019）</w:t>
      </w:r>
    </w:p>
    <w:p>
      <w:pPr>
        <w:widowControl/>
        <w:spacing w:line="360" w:lineRule="auto"/>
        <w:ind w:firstLine="480" w:firstLineChars="200"/>
        <w:rPr>
          <w:rFonts w:ascii="宋体" w:hAnsi="宋体"/>
          <w:color w:val="auto"/>
        </w:rPr>
      </w:pPr>
      <w:r>
        <w:rPr>
          <w:rFonts w:hint="eastAsia" w:ascii="宋体" w:hAnsi="宋体"/>
          <w:color w:val="auto"/>
          <w:lang w:val="en-US"/>
        </w:rPr>
        <w:t>6.</w:t>
      </w:r>
      <w:r>
        <w:rPr>
          <w:rFonts w:ascii="宋体" w:hAnsi="宋体"/>
          <w:color w:val="auto"/>
        </w:rPr>
        <w:t>内河航运工程船舶机械艘（台）班费用定额（JTS/T 275-2—2019）</w:t>
      </w:r>
    </w:p>
    <w:p>
      <w:pPr>
        <w:widowControl/>
        <w:spacing w:line="360" w:lineRule="auto"/>
        <w:ind w:firstLine="480" w:firstLineChars="200"/>
        <w:rPr>
          <w:rFonts w:ascii="宋体" w:hAnsi="宋体"/>
          <w:color w:val="auto"/>
        </w:rPr>
      </w:pPr>
      <w:r>
        <w:rPr>
          <w:rFonts w:hint="eastAsia" w:ascii="宋体" w:hAnsi="宋体"/>
          <w:color w:val="auto"/>
          <w:lang w:val="en-US"/>
        </w:rPr>
        <w:t>7</w:t>
      </w:r>
      <w:r>
        <w:rPr>
          <w:rFonts w:ascii="宋体" w:hAnsi="宋体"/>
          <w:color w:val="auto"/>
        </w:rPr>
        <w:t>.水运建设工程概算预算编制规定(JTS/T 116—2019)</w:t>
      </w:r>
    </w:p>
    <w:p>
      <w:pPr>
        <w:widowControl/>
        <w:spacing w:line="360" w:lineRule="auto"/>
        <w:ind w:firstLine="480" w:firstLineChars="200"/>
        <w:rPr>
          <w:rFonts w:ascii="宋体" w:hAnsi="宋体"/>
          <w:color w:val="auto"/>
        </w:rPr>
      </w:pPr>
      <w:r>
        <w:rPr>
          <w:rFonts w:hint="eastAsia" w:ascii="宋体" w:hAnsi="宋体"/>
          <w:color w:val="auto"/>
          <w:lang w:val="en-US"/>
        </w:rPr>
        <w:t>8</w:t>
      </w:r>
      <w:r>
        <w:rPr>
          <w:rFonts w:ascii="宋体" w:hAnsi="宋体"/>
          <w:color w:val="auto"/>
        </w:rPr>
        <w:t>.疏浚工程预算定额(JTS/T 278-1—2019)</w:t>
      </w:r>
    </w:p>
    <w:p>
      <w:pPr>
        <w:widowControl/>
        <w:spacing w:line="360" w:lineRule="auto"/>
        <w:ind w:firstLine="480" w:firstLineChars="200"/>
        <w:rPr>
          <w:rFonts w:ascii="宋体" w:hAnsi="宋体"/>
          <w:color w:val="auto"/>
        </w:rPr>
      </w:pPr>
      <w:r>
        <w:rPr>
          <w:rFonts w:hint="eastAsia" w:ascii="宋体" w:hAnsi="宋体"/>
          <w:color w:val="auto"/>
          <w:lang w:val="en-US"/>
        </w:rPr>
        <w:t>9</w:t>
      </w:r>
      <w:r>
        <w:rPr>
          <w:rFonts w:ascii="宋体" w:hAnsi="宋体"/>
          <w:color w:val="auto"/>
        </w:rPr>
        <w:t>.疏浚工程船舶艘（台）班费用定额(JTS/T 278-2—2019)</w:t>
      </w:r>
    </w:p>
    <w:p>
      <w:pPr>
        <w:widowControl/>
        <w:spacing w:line="360" w:lineRule="auto"/>
        <w:ind w:firstLine="480" w:firstLineChars="200"/>
        <w:rPr>
          <w:rFonts w:ascii="宋体" w:hAnsi="宋体"/>
          <w:color w:val="auto"/>
        </w:rPr>
      </w:pPr>
      <w:r>
        <w:rPr>
          <w:rFonts w:hint="eastAsia" w:ascii="宋体" w:hAnsi="宋体"/>
          <w:color w:val="auto"/>
          <w:lang w:val="en-US"/>
        </w:rPr>
        <w:t>10</w:t>
      </w:r>
      <w:r>
        <w:rPr>
          <w:rFonts w:ascii="宋体" w:hAnsi="宋体"/>
          <w:color w:val="auto"/>
        </w:rPr>
        <w:t>.水运工程混凝土和砂浆材料用量定额(JTS/T 277—2019)</w:t>
      </w:r>
    </w:p>
    <w:p>
      <w:pPr>
        <w:widowControl/>
        <w:spacing w:line="360" w:lineRule="auto"/>
        <w:ind w:firstLine="480" w:firstLineChars="200"/>
        <w:rPr>
          <w:rFonts w:ascii="宋体" w:hAnsi="宋体"/>
          <w:color w:val="auto"/>
        </w:rPr>
      </w:pPr>
      <w:r>
        <w:rPr>
          <w:rFonts w:hint="eastAsia" w:ascii="宋体" w:hAnsi="宋体"/>
          <w:color w:val="auto"/>
          <w:lang w:val="en-US"/>
        </w:rPr>
        <w:t>11</w:t>
      </w:r>
      <w:r>
        <w:rPr>
          <w:rFonts w:ascii="宋体" w:hAnsi="宋体"/>
          <w:color w:val="auto"/>
        </w:rPr>
        <w:t>.《广东省交通运输厅关于印发《水运建设工程概算预算编制规定》及配套定额补充规定的通知》粤交基〔2020〕737 号。</w:t>
      </w:r>
    </w:p>
    <w:p>
      <w:pPr>
        <w:adjustRightInd w:val="0"/>
        <w:snapToGrid w:val="0"/>
        <w:spacing w:line="360" w:lineRule="auto"/>
        <w:ind w:firstLine="482" w:firstLineChars="200"/>
        <w:rPr>
          <w:rFonts w:ascii="宋体" w:hAnsi="宋体" w:cs="宋体"/>
          <w:color w:val="auto"/>
          <w:lang w:val="en-US"/>
        </w:rPr>
      </w:pPr>
      <w:r>
        <w:rPr>
          <w:rFonts w:ascii="宋体" w:hAnsi="宋体"/>
          <w:b/>
          <w:color w:val="auto"/>
          <w:lang w:val="en-US"/>
        </w:rPr>
        <w:t>三、成果文件要求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1. 成果文件的组成：勘察设计说明、图纸等</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2. 成果文件的深度</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3. 成果文件的格式要求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4. 成果文件的份数要求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5. 成果文件的载体要求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（1）纸质版的要求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（2）电子版的要求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（3）其他要求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6. 成果文件的展板、模型、沙盘、动画要求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7. 成果文件的其他要求</w:t>
      </w:r>
    </w:p>
    <w:p>
      <w:pPr>
        <w:adjustRightInd w:val="0"/>
        <w:snapToGrid w:val="0"/>
        <w:spacing w:line="360" w:lineRule="auto"/>
        <w:ind w:firstLine="480" w:firstLineChars="200"/>
        <w:rPr>
          <w:rFonts w:ascii="黑体" w:hAnsi="宋体" w:eastAsia="黑体" w:cs="黑体"/>
          <w:color w:val="auto"/>
        </w:rPr>
      </w:pPr>
      <w:r>
        <w:rPr>
          <w:rFonts w:ascii="黑体" w:hAnsi="宋体" w:eastAsia="黑体" w:cs="黑体"/>
          <w:color w:val="auto"/>
        </w:rPr>
        <w:t>四、发包人财产清单</w:t>
      </w:r>
    </w:p>
    <w:p>
      <w:pPr>
        <w:adjustRightInd w:val="0"/>
        <w:snapToGrid w:val="0"/>
        <w:spacing w:line="360" w:lineRule="auto"/>
        <w:ind w:firstLine="480" w:firstLineChars="200"/>
        <w:rPr>
          <w:rFonts w:hint="eastAsia" w:ascii="宋体" w:hAnsi="宋体" w:cs="宋体"/>
          <w:color w:val="auto"/>
          <w:lang w:val="en-US"/>
        </w:rPr>
      </w:pPr>
      <w:r>
        <w:rPr>
          <w:rFonts w:hint="eastAsia" w:ascii="宋体" w:hAnsi="宋体" w:cs="宋体"/>
          <w:color w:val="auto"/>
          <w:lang w:val="en-US"/>
        </w:rPr>
        <w:t>（一）发包人提供的设备、设施</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1. </w:t>
      </w:r>
      <w:r>
        <w:rPr>
          <w:rFonts w:hint="eastAsia" w:ascii="宋体" w:hAnsi="宋体" w:cs="宋体"/>
          <w:color w:val="auto"/>
          <w:lang w:val="en-US"/>
        </w:rPr>
        <w:t>发包人提供的办公房屋及冷暖设施：如办公室数量及面积、空调等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2. </w:t>
      </w:r>
      <w:r>
        <w:rPr>
          <w:rFonts w:hint="eastAsia" w:ascii="宋体" w:hAnsi="宋体" w:cs="宋体"/>
          <w:color w:val="auto"/>
          <w:lang w:val="en-US"/>
        </w:rPr>
        <w:t>发包人提供的设备清单：如计算机、投影、打印机、复印机等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3. </w:t>
      </w:r>
      <w:r>
        <w:rPr>
          <w:rFonts w:hint="eastAsia" w:ascii="宋体" w:hAnsi="宋体" w:cs="宋体"/>
          <w:color w:val="auto"/>
          <w:lang w:val="en-US"/>
        </w:rPr>
        <w:t>发包人提供的设施清单：如办公桌椅、文件柜等</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w:t>
      </w:r>
    </w:p>
    <w:p>
      <w:pPr>
        <w:adjustRightInd w:val="0"/>
        <w:snapToGrid w:val="0"/>
        <w:spacing w:line="360" w:lineRule="auto"/>
        <w:ind w:firstLine="480" w:firstLineChars="200"/>
        <w:rPr>
          <w:rFonts w:hint="eastAsia" w:ascii="宋体" w:hAnsi="宋体" w:cs="宋体"/>
          <w:color w:val="auto"/>
          <w:lang w:val="en-US"/>
        </w:rPr>
      </w:pPr>
      <w:r>
        <w:rPr>
          <w:rFonts w:hint="eastAsia" w:ascii="宋体" w:hAnsi="宋体" w:cs="宋体"/>
          <w:color w:val="auto"/>
          <w:lang w:val="en-US"/>
        </w:rPr>
        <w:t>（二）发包人提供的资料</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1. </w:t>
      </w:r>
      <w:r>
        <w:rPr>
          <w:rFonts w:hint="eastAsia" w:ascii="宋体" w:hAnsi="宋体" w:cs="宋体"/>
          <w:color w:val="auto"/>
          <w:lang w:val="en-US"/>
        </w:rPr>
        <w:t>施工场地及毗邻区域内的供水、排水、供电、供气、供热、通信、广播电视等地下管线资料，气象和水文观测资料，相邻建筑物和构筑物、地下工程的有关资料，以及其他与水运工程有关的原始资料</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2. </w:t>
      </w:r>
      <w:r>
        <w:rPr>
          <w:rFonts w:hint="eastAsia" w:ascii="宋体" w:hAnsi="宋体" w:cs="宋体"/>
          <w:color w:val="auto"/>
          <w:lang w:val="en-US"/>
        </w:rPr>
        <w:t>定位放线的基准点、基准线和基准标高</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3. </w:t>
      </w:r>
      <w:r>
        <w:rPr>
          <w:rFonts w:hint="eastAsia" w:ascii="宋体" w:hAnsi="宋体" w:cs="宋体"/>
          <w:color w:val="auto"/>
          <w:lang w:val="en-US"/>
        </w:rPr>
        <w:t>发包人取得的有关审批、核准和备案材料</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4. </w:t>
      </w:r>
      <w:r>
        <w:rPr>
          <w:rFonts w:hint="eastAsia" w:ascii="宋体" w:hAnsi="宋体" w:cs="宋体"/>
          <w:color w:val="auto"/>
          <w:lang w:val="en-US"/>
        </w:rPr>
        <w:t>前一阶段研究或设计的成果文件及相应的批件</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5. </w:t>
      </w:r>
      <w:r>
        <w:rPr>
          <w:rFonts w:hint="eastAsia" w:ascii="宋体" w:hAnsi="宋体" w:cs="宋体"/>
          <w:color w:val="auto"/>
          <w:lang w:val="en-US"/>
        </w:rPr>
        <w:t>发包人提供的技术标准、规范</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6. </w:t>
      </w:r>
      <w:r>
        <w:rPr>
          <w:rFonts w:hint="eastAsia" w:ascii="宋体" w:hAnsi="宋体" w:cs="宋体"/>
          <w:color w:val="auto"/>
          <w:lang w:val="en-US"/>
        </w:rPr>
        <w:t>其他资料</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w:t>
      </w:r>
    </w:p>
    <w:p>
      <w:pPr>
        <w:adjustRightInd w:val="0"/>
        <w:snapToGrid w:val="0"/>
        <w:spacing w:line="360" w:lineRule="auto"/>
        <w:ind w:firstLine="480" w:firstLineChars="200"/>
        <w:rPr>
          <w:rFonts w:hint="eastAsia" w:ascii="宋体" w:hAnsi="宋体" w:cs="宋体"/>
          <w:color w:val="auto"/>
          <w:lang w:val="en-US"/>
        </w:rPr>
      </w:pPr>
      <w:r>
        <w:rPr>
          <w:rFonts w:hint="eastAsia" w:ascii="宋体" w:hAnsi="宋体" w:cs="宋体"/>
          <w:color w:val="auto"/>
          <w:lang w:val="en-US"/>
        </w:rPr>
        <w:t>（三）发包人财产使用要求及退还要求</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1. </w:t>
      </w:r>
      <w:r>
        <w:rPr>
          <w:rFonts w:hint="eastAsia" w:ascii="宋体" w:hAnsi="宋体" w:cs="宋体"/>
          <w:color w:val="auto"/>
          <w:lang w:val="en-US"/>
        </w:rPr>
        <w:t>发包人财产使用要求</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2. </w:t>
      </w:r>
      <w:r>
        <w:rPr>
          <w:rFonts w:hint="eastAsia" w:ascii="宋体" w:hAnsi="宋体" w:cs="宋体"/>
          <w:color w:val="auto"/>
          <w:lang w:val="en-US"/>
        </w:rPr>
        <w:t>发包人财产退还要求</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w:t>
      </w:r>
    </w:p>
    <w:p>
      <w:pPr>
        <w:adjustRightInd w:val="0"/>
        <w:snapToGrid w:val="0"/>
        <w:spacing w:line="360" w:lineRule="auto"/>
        <w:ind w:firstLine="480" w:firstLineChars="200"/>
        <w:rPr>
          <w:rFonts w:ascii="宋体" w:hAnsi="宋体" w:cs="宋体"/>
          <w:color w:val="auto"/>
          <w:lang w:val="en-US"/>
        </w:rPr>
      </w:pPr>
      <w:r>
        <w:rPr>
          <w:rFonts w:ascii="黑体" w:hAnsi="宋体" w:eastAsia="黑体" w:cs="黑体"/>
          <w:color w:val="auto"/>
          <w:lang w:val="en-US"/>
        </w:rPr>
        <w:t>五、发包人提供的便利条件</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1. </w:t>
      </w:r>
      <w:r>
        <w:rPr>
          <w:rFonts w:hint="eastAsia" w:ascii="宋体" w:hAnsi="宋体" w:cs="宋体"/>
          <w:color w:val="auto"/>
          <w:lang w:val="en-US"/>
        </w:rPr>
        <w:t>发包人提供的生活条件</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2. </w:t>
      </w:r>
      <w:r>
        <w:rPr>
          <w:rFonts w:hint="eastAsia" w:ascii="宋体" w:hAnsi="宋体" w:cs="宋体"/>
          <w:color w:val="auto"/>
          <w:lang w:val="en-US"/>
        </w:rPr>
        <w:t>发包人提供的交通条件</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3. </w:t>
      </w:r>
      <w:r>
        <w:rPr>
          <w:rFonts w:hint="eastAsia" w:ascii="宋体" w:hAnsi="宋体" w:cs="宋体"/>
          <w:color w:val="auto"/>
          <w:lang w:val="en-US"/>
        </w:rPr>
        <w:t>发包人提供的网络、通信条件</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4. </w:t>
      </w:r>
      <w:r>
        <w:rPr>
          <w:rFonts w:hint="eastAsia" w:ascii="宋体" w:hAnsi="宋体" w:cs="宋体"/>
          <w:color w:val="auto"/>
          <w:lang w:val="en-US"/>
        </w:rPr>
        <w:t>发包人提供的协助人员</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w:t>
      </w:r>
    </w:p>
    <w:p>
      <w:pPr>
        <w:adjustRightInd w:val="0"/>
        <w:snapToGrid w:val="0"/>
        <w:spacing w:line="360" w:lineRule="auto"/>
        <w:ind w:firstLine="480" w:firstLineChars="200"/>
        <w:rPr>
          <w:rFonts w:ascii="宋体" w:hAnsi="宋体" w:cs="宋体"/>
          <w:color w:val="auto"/>
          <w:lang w:val="en-US"/>
        </w:rPr>
      </w:pPr>
      <w:r>
        <w:rPr>
          <w:rFonts w:ascii="黑体" w:hAnsi="宋体" w:eastAsia="黑体" w:cs="黑体"/>
          <w:color w:val="auto"/>
          <w:lang w:val="en-US"/>
        </w:rPr>
        <w:t>六、设计人需要自备的工作条件</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1. </w:t>
      </w:r>
      <w:r>
        <w:rPr>
          <w:rFonts w:hint="eastAsia" w:ascii="宋体" w:hAnsi="宋体" w:cs="宋体"/>
          <w:color w:val="auto"/>
          <w:lang w:val="en-US"/>
        </w:rPr>
        <w:t>设计人自备的工作手册：如本项目必备的规范标准、图集等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2. </w:t>
      </w:r>
      <w:r>
        <w:rPr>
          <w:rFonts w:hint="eastAsia" w:ascii="宋体" w:hAnsi="宋体" w:cs="宋体"/>
          <w:color w:val="auto"/>
          <w:lang w:val="en-US"/>
        </w:rPr>
        <w:t>设计人自备的办公设备：如计算机、软件、投影、打印机、复印机、照相机等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3. </w:t>
      </w:r>
      <w:r>
        <w:rPr>
          <w:rFonts w:hint="eastAsia" w:ascii="宋体" w:hAnsi="宋体" w:cs="宋体"/>
          <w:color w:val="auto"/>
          <w:lang w:val="en-US"/>
        </w:rPr>
        <w:t>设计人自备的交通工具：如出行车辆等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4. </w:t>
      </w:r>
      <w:r>
        <w:rPr>
          <w:rFonts w:hint="eastAsia" w:ascii="宋体" w:hAnsi="宋体" w:cs="宋体"/>
          <w:color w:val="auto"/>
          <w:lang w:val="en-US"/>
        </w:rPr>
        <w:t>设计人自备的现场办公设施：如办公桌椅、文件柜等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5. </w:t>
      </w:r>
      <w:r>
        <w:rPr>
          <w:rFonts w:hint="eastAsia" w:ascii="宋体" w:hAnsi="宋体" w:cs="宋体"/>
          <w:color w:val="auto"/>
          <w:lang w:val="en-US"/>
        </w:rPr>
        <w:t>设计人自备的安全设施：如安全帽、安全鞋、手电筒等</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6. </w:t>
      </w:r>
      <w:r>
        <w:rPr>
          <w:rFonts w:hint="eastAsia" w:ascii="宋体" w:hAnsi="宋体" w:cs="宋体"/>
          <w:color w:val="auto"/>
          <w:lang w:val="en-US"/>
        </w:rPr>
        <w:t>设计人自备的勘察检测仪器、设备、 工具</w:t>
      </w:r>
    </w:p>
    <w:p>
      <w:pPr>
        <w:adjustRightInd w:val="0"/>
        <w:snapToGrid w:val="0"/>
        <w:spacing w:line="360" w:lineRule="auto"/>
        <w:ind w:firstLine="480" w:firstLineChars="200"/>
        <w:rPr>
          <w:rFonts w:hint="eastAsia" w:ascii="宋体" w:hAnsi="宋体" w:cs="宋体"/>
          <w:color w:val="auto"/>
          <w:lang w:val="en-US"/>
        </w:rPr>
      </w:pPr>
      <w:r>
        <w:rPr>
          <w:rFonts w:ascii="宋体" w:hAnsi="宋体" w:cs="宋体"/>
          <w:color w:val="auto"/>
          <w:lang w:val="en-US"/>
        </w:rPr>
        <w:t xml:space="preserve">7. </w:t>
      </w:r>
      <w:r>
        <w:rPr>
          <w:rFonts w:hint="eastAsia" w:ascii="宋体" w:hAnsi="宋体" w:cs="宋体"/>
          <w:color w:val="auto"/>
          <w:lang w:val="en-US"/>
        </w:rPr>
        <w:t>设计人应根据勘察设计实际需要：</w:t>
      </w:r>
    </w:p>
    <w:p>
      <w:pPr>
        <w:adjustRightInd w:val="0"/>
        <w:snapToGrid w:val="0"/>
        <w:spacing w:line="360" w:lineRule="auto"/>
        <w:ind w:firstLine="480" w:firstLineChars="200"/>
        <w:rPr>
          <w:rFonts w:hint="eastAsia" w:ascii="宋体" w:hAnsi="宋体" w:cs="宋体"/>
          <w:color w:val="auto"/>
          <w:lang w:val="en-US"/>
        </w:rPr>
      </w:pPr>
      <w:r>
        <w:rPr>
          <w:rFonts w:hint="eastAsia" w:ascii="宋体" w:hAnsi="宋体" w:cs="宋体"/>
          <w:color w:val="auto"/>
          <w:lang w:val="en-US"/>
        </w:rPr>
        <w:t>（</w:t>
      </w:r>
      <w:r>
        <w:rPr>
          <w:rFonts w:ascii="宋体" w:hAnsi="宋体" w:cs="宋体"/>
          <w:color w:val="auto"/>
          <w:lang w:val="en-US"/>
        </w:rPr>
        <w:t>1</w:t>
      </w:r>
      <w:r>
        <w:rPr>
          <w:rFonts w:hint="eastAsia" w:ascii="宋体" w:hAnsi="宋体" w:cs="宋体"/>
          <w:color w:val="auto"/>
          <w:lang w:val="en-US"/>
        </w:rPr>
        <w:t>）自行搜集或购买全部地形图、地质图、规划图及所涉及的其他图纸或资料，自费进行工程测量、工程勘察、研究试验及有关协调（包括签订协议）、调查和资料搜集等工作；</w:t>
      </w:r>
    </w:p>
    <w:p>
      <w:pPr>
        <w:adjustRightInd w:val="0"/>
        <w:snapToGrid w:val="0"/>
        <w:spacing w:line="360" w:lineRule="auto"/>
        <w:ind w:firstLine="480" w:firstLineChars="200"/>
        <w:rPr>
          <w:rFonts w:hint="eastAsia" w:ascii="宋体" w:hAnsi="宋体" w:cs="宋体"/>
          <w:color w:val="auto"/>
          <w:lang w:val="en-US"/>
        </w:rPr>
      </w:pPr>
      <w:r>
        <w:rPr>
          <w:rFonts w:hint="eastAsia" w:ascii="宋体" w:hAnsi="宋体" w:cs="宋体"/>
          <w:color w:val="auto"/>
          <w:lang w:val="en-US"/>
        </w:rPr>
        <w:t>（</w:t>
      </w:r>
      <w:r>
        <w:rPr>
          <w:rFonts w:ascii="宋体" w:hAnsi="宋体" w:cs="宋体"/>
          <w:color w:val="auto"/>
          <w:lang w:val="en-US"/>
        </w:rPr>
        <w:t>2</w:t>
      </w:r>
      <w:r>
        <w:rPr>
          <w:rFonts w:hint="eastAsia" w:ascii="宋体" w:hAnsi="宋体" w:cs="宋体"/>
          <w:color w:val="auto"/>
          <w:lang w:val="en-US"/>
        </w:rPr>
        <w:t>）自行搜集或购买相关路网交通工程设施的配置资料（包括通信、监控、收费、 供配电、照明等设施）； 沿线供电资料； 沿线管线资料； 沿线气象、环境、人文景观的有关资料； 相关路网的管理运营体制资料； 相关路网服务设施设置情况的资料； 与交通工程相关的规划资料。</w:t>
      </w:r>
    </w:p>
    <w:p>
      <w:pPr>
        <w:adjustRightInd w:val="0"/>
        <w:snapToGrid w:val="0"/>
        <w:spacing w:line="360" w:lineRule="auto"/>
        <w:ind w:firstLine="480" w:firstLineChars="200"/>
        <w:rPr>
          <w:rFonts w:ascii="宋体" w:hAnsi="宋体" w:cs="宋体"/>
          <w:color w:val="auto"/>
          <w:lang w:val="en-US"/>
        </w:rPr>
      </w:pPr>
      <w:r>
        <w:rPr>
          <w:rFonts w:ascii="宋体" w:hAnsi="宋体" w:cs="宋体"/>
          <w:color w:val="auto"/>
          <w:lang w:val="en-US"/>
        </w:rPr>
        <w:t>……</w:t>
      </w:r>
    </w:p>
    <w:p>
      <w:pPr>
        <w:adjustRightInd w:val="0"/>
        <w:snapToGrid w:val="0"/>
        <w:spacing w:line="360" w:lineRule="auto"/>
        <w:ind w:firstLine="480" w:firstLineChars="200"/>
        <w:rPr>
          <w:rFonts w:ascii="宋体" w:hAnsi="宋体" w:cs="宋体"/>
          <w:color w:val="auto"/>
          <w:lang w:val="en-US"/>
        </w:rPr>
      </w:pPr>
      <w:r>
        <w:rPr>
          <w:rFonts w:ascii="黑体" w:hAnsi="宋体" w:eastAsia="黑体" w:cs="黑体"/>
          <w:color w:val="auto"/>
          <w:lang w:val="en-US"/>
        </w:rPr>
        <w:t>七、发包人的其他要求</w:t>
      </w:r>
    </w:p>
    <w:p>
      <w:pPr>
        <w:adjustRightInd w:val="0"/>
        <w:snapToGrid w:val="0"/>
        <w:spacing w:line="360" w:lineRule="auto"/>
        <w:ind w:firstLine="480" w:firstLineChars="200"/>
        <w:rPr>
          <w:rFonts w:hint="eastAsia" w:ascii="宋体" w:hAnsi="宋体" w:cs="宋体"/>
          <w:color w:val="auto"/>
          <w:lang w:val="en-US"/>
        </w:rPr>
      </w:pPr>
      <w:r>
        <w:rPr>
          <w:rFonts w:hint="eastAsia" w:ascii="宋体" w:hAnsi="宋体" w:cs="宋体"/>
          <w:color w:val="auto"/>
          <w:lang w:val="en-US"/>
        </w:rPr>
        <w:t>发包人的其他要求包括：</w:t>
      </w:r>
    </w:p>
    <w:p>
      <w:pPr>
        <w:adjustRightInd w:val="0"/>
        <w:snapToGrid w:val="0"/>
        <w:spacing w:line="360" w:lineRule="auto"/>
        <w:ind w:firstLine="480" w:firstLineChars="200"/>
        <w:rPr>
          <w:color w:val="auto"/>
          <w:lang w:val="en-US"/>
        </w:rPr>
      </w:pPr>
      <w:r>
        <w:rPr>
          <w:rFonts w:ascii="宋体" w:hAnsi="宋体" w:cs="宋体"/>
          <w:color w:val="auto"/>
          <w:lang w:val="en-US"/>
        </w:rPr>
        <w:t xml:space="preserve">…… </w:t>
      </w: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pStyle w:val="620"/>
        <w:shd w:val="clear" w:color="auto" w:fill="auto"/>
        <w:spacing w:line="360" w:lineRule="auto"/>
        <w:jc w:val="center"/>
        <w:rPr>
          <w:rStyle w:val="529"/>
          <w:rFonts w:ascii="宋体" w:hAnsi="宋体" w:eastAsia="宋体" w:cs="Times New Roman"/>
          <w:bCs/>
          <w:sz w:val="80"/>
          <w:szCs w:val="80"/>
        </w:rPr>
      </w:pPr>
      <w:r>
        <w:rPr>
          <w:rStyle w:val="529"/>
          <w:rFonts w:ascii="宋体" w:hAnsi="宋体" w:eastAsia="宋体" w:cs="Times New Roman"/>
          <w:bCs/>
          <w:sz w:val="80"/>
          <w:szCs w:val="80"/>
        </w:rPr>
        <w:tab/>
      </w:r>
    </w:p>
    <w:p>
      <w:pPr>
        <w:pStyle w:val="620"/>
        <w:shd w:val="clear" w:color="auto" w:fill="auto"/>
        <w:spacing w:line="360" w:lineRule="auto"/>
        <w:jc w:val="center"/>
        <w:rPr>
          <w:rStyle w:val="529"/>
          <w:rFonts w:ascii="宋体" w:hAnsi="宋体" w:eastAsia="宋体" w:cs="Times New Roman"/>
          <w:bCs/>
          <w:sz w:val="80"/>
          <w:szCs w:val="80"/>
        </w:rPr>
      </w:pPr>
    </w:p>
    <w:p>
      <w:pPr>
        <w:pStyle w:val="620"/>
        <w:shd w:val="clear" w:color="auto" w:fill="auto"/>
        <w:spacing w:line="360" w:lineRule="auto"/>
        <w:jc w:val="center"/>
        <w:rPr>
          <w:rStyle w:val="529"/>
          <w:rFonts w:ascii="宋体" w:hAnsi="宋体" w:eastAsia="宋体" w:cs="Times New Roman"/>
          <w:bCs/>
          <w:sz w:val="80"/>
          <w:szCs w:val="80"/>
        </w:rPr>
      </w:pPr>
    </w:p>
    <w:p>
      <w:pPr>
        <w:pStyle w:val="620"/>
        <w:shd w:val="clear" w:color="auto" w:fill="auto"/>
        <w:spacing w:line="360" w:lineRule="auto"/>
        <w:jc w:val="center"/>
        <w:rPr>
          <w:rStyle w:val="529"/>
          <w:rFonts w:ascii="宋体" w:hAnsi="宋体" w:eastAsia="宋体" w:cs="Times New Roman"/>
          <w:bCs/>
          <w:sz w:val="80"/>
          <w:szCs w:val="80"/>
        </w:rPr>
      </w:pPr>
    </w:p>
    <w:p>
      <w:pPr>
        <w:pStyle w:val="620"/>
        <w:shd w:val="clear" w:color="auto" w:fill="auto"/>
        <w:spacing w:line="360" w:lineRule="auto"/>
        <w:jc w:val="center"/>
        <w:rPr>
          <w:rStyle w:val="529"/>
          <w:rFonts w:ascii="宋体" w:hAnsi="宋体" w:eastAsia="宋体" w:cs="Times New Roman"/>
          <w:bCs/>
          <w:sz w:val="80"/>
          <w:szCs w:val="80"/>
        </w:rPr>
      </w:pPr>
    </w:p>
    <w:p>
      <w:pPr>
        <w:pStyle w:val="620"/>
        <w:shd w:val="clear" w:color="auto" w:fill="auto"/>
        <w:spacing w:line="360" w:lineRule="auto"/>
        <w:jc w:val="center"/>
        <w:rPr>
          <w:rStyle w:val="529"/>
          <w:rFonts w:ascii="宋体" w:hAnsi="宋体" w:eastAsia="宋体" w:cs="Times New Roman"/>
          <w:bCs/>
          <w:sz w:val="80"/>
          <w:szCs w:val="80"/>
        </w:rPr>
      </w:pPr>
    </w:p>
    <w:p>
      <w:pPr>
        <w:pStyle w:val="3"/>
        <w:spacing w:after="0" w:line="360" w:lineRule="auto"/>
        <w:jc w:val="center"/>
        <w:rPr>
          <w:rStyle w:val="529"/>
          <w:rFonts w:hint="eastAsia" w:ascii="宋体" w:eastAsia="宋体"/>
          <w:sz w:val="48"/>
          <w:szCs w:val="48"/>
        </w:rPr>
        <w:sectPr>
          <w:headerReference r:id="rId9" w:type="default"/>
          <w:footnotePr>
            <w:numRestart w:val="eachPage"/>
          </w:footnotePr>
          <w:pgSz w:w="11900" w:h="16838"/>
          <w:pgMar w:top="1803" w:right="1440" w:bottom="1803" w:left="1440" w:header="680" w:footer="680" w:gutter="0"/>
          <w:cols w:space="720" w:num="1"/>
          <w:docGrid w:linePitch="360" w:charSpace="0"/>
        </w:sectPr>
      </w:pPr>
    </w:p>
    <w:p>
      <w:pPr>
        <w:pStyle w:val="3"/>
        <w:spacing w:after="0" w:line="360" w:lineRule="auto"/>
        <w:jc w:val="center"/>
        <w:rPr>
          <w:rStyle w:val="529"/>
          <w:rFonts w:hint="eastAsia" w:ascii="宋体" w:eastAsia="宋体"/>
          <w:sz w:val="48"/>
          <w:szCs w:val="48"/>
        </w:rPr>
      </w:pPr>
    </w:p>
    <w:p>
      <w:pPr>
        <w:pStyle w:val="3"/>
        <w:spacing w:after="0" w:line="360" w:lineRule="auto"/>
        <w:jc w:val="center"/>
        <w:rPr>
          <w:rStyle w:val="529"/>
          <w:rFonts w:hint="eastAsia" w:ascii="宋体" w:eastAsia="宋体"/>
          <w:sz w:val="48"/>
          <w:szCs w:val="48"/>
        </w:rPr>
      </w:pPr>
    </w:p>
    <w:p>
      <w:pPr>
        <w:pStyle w:val="3"/>
        <w:spacing w:after="0" w:line="360" w:lineRule="auto"/>
        <w:jc w:val="center"/>
        <w:rPr>
          <w:rStyle w:val="529"/>
          <w:rFonts w:ascii="宋体" w:eastAsia="宋体"/>
        </w:rPr>
      </w:pPr>
      <w:r>
        <w:rPr>
          <w:rStyle w:val="529"/>
          <w:rFonts w:hint="eastAsia" w:ascii="宋体" w:eastAsia="宋体"/>
          <w:sz w:val="48"/>
          <w:szCs w:val="48"/>
        </w:rPr>
        <w:t>第三卷</w:t>
      </w:r>
    </w:p>
    <w:p>
      <w:pPr>
        <w:pStyle w:val="3"/>
        <w:spacing w:after="0" w:line="360" w:lineRule="auto"/>
        <w:jc w:val="center"/>
        <w:rPr>
          <w:rStyle w:val="529"/>
          <w:rFonts w:ascii="宋体" w:eastAsia="宋体"/>
        </w:rPr>
        <w:sectPr>
          <w:footnotePr>
            <w:numRestart w:val="eachPage"/>
          </w:footnotePr>
          <w:pgSz w:w="11900" w:h="16838"/>
          <w:pgMar w:top="1803" w:right="1440" w:bottom="1803" w:left="1440" w:header="680" w:footer="680" w:gutter="0"/>
          <w:cols w:space="720" w:num="1"/>
          <w:docGrid w:linePitch="360" w:charSpace="0"/>
        </w:sectPr>
      </w:pPr>
    </w:p>
    <w:p>
      <w:pPr>
        <w:pStyle w:val="620"/>
        <w:shd w:val="clear" w:color="auto" w:fill="auto"/>
        <w:spacing w:line="360" w:lineRule="auto"/>
        <w:rPr>
          <w:rStyle w:val="529"/>
          <w:rFonts w:ascii="宋体" w:hAnsi="宋体" w:eastAsia="宋体" w:cs="Times New Roman"/>
          <w:bCs/>
        </w:rPr>
      </w:pPr>
    </w:p>
    <w:p>
      <w:pPr>
        <w:jc w:val="center"/>
        <w:rPr>
          <w:rFonts w:hint="eastAsia" w:ascii="宋体" w:hAnsi="宋体" w:cs="Times New Roman"/>
          <w:color w:val="auto"/>
          <w:sz w:val="52"/>
          <w:szCs w:val="52"/>
        </w:rPr>
      </w:pPr>
    </w:p>
    <w:p>
      <w:pPr>
        <w:pStyle w:val="3"/>
        <w:spacing w:after="0" w:line="360" w:lineRule="auto"/>
        <w:jc w:val="center"/>
        <w:rPr>
          <w:rStyle w:val="529"/>
          <w:rFonts w:hint="eastAsia" w:ascii="宋体" w:eastAsia="宋体"/>
        </w:rPr>
      </w:pPr>
    </w:p>
    <w:p>
      <w:pPr>
        <w:pStyle w:val="3"/>
        <w:spacing w:after="0" w:line="360" w:lineRule="auto"/>
        <w:jc w:val="center"/>
        <w:rPr>
          <w:rStyle w:val="529"/>
          <w:rFonts w:hint="eastAsia" w:ascii="宋体" w:eastAsia="宋体"/>
        </w:rPr>
      </w:pPr>
    </w:p>
    <w:p>
      <w:pPr>
        <w:pStyle w:val="3"/>
        <w:spacing w:after="0" w:line="360" w:lineRule="auto"/>
        <w:jc w:val="center"/>
        <w:rPr>
          <w:rStyle w:val="529"/>
          <w:rFonts w:ascii="宋体" w:eastAsia="宋体"/>
          <w:vertAlign w:val="superscript"/>
        </w:rPr>
      </w:pPr>
      <w:r>
        <w:rPr>
          <w:rStyle w:val="529"/>
          <w:rFonts w:hint="eastAsia" w:ascii="宋体" w:eastAsia="宋体"/>
          <w:sz w:val="48"/>
          <w:szCs w:val="48"/>
        </w:rPr>
        <w:t>第</w:t>
      </w:r>
      <w:r>
        <w:rPr>
          <w:rStyle w:val="529"/>
          <w:rFonts w:hint="eastAsia" w:ascii="宋体" w:eastAsia="宋体"/>
          <w:sz w:val="48"/>
          <w:szCs w:val="48"/>
          <w:lang w:val="en-US" w:eastAsia="zh-CN"/>
        </w:rPr>
        <w:t>六</w:t>
      </w:r>
      <w:r>
        <w:rPr>
          <w:rStyle w:val="529"/>
          <w:rFonts w:hint="eastAsia" w:ascii="宋体" w:eastAsia="宋体"/>
          <w:sz w:val="48"/>
          <w:szCs w:val="48"/>
        </w:rPr>
        <w:t>章</w:t>
      </w:r>
      <w:r>
        <w:rPr>
          <w:rStyle w:val="529"/>
          <w:rFonts w:ascii="宋体" w:eastAsia="宋体"/>
          <w:sz w:val="48"/>
          <w:szCs w:val="48"/>
        </w:rPr>
        <w:tab/>
      </w:r>
      <w:r>
        <w:rPr>
          <w:rStyle w:val="529"/>
          <w:rFonts w:hint="eastAsia" w:ascii="宋体" w:eastAsia="宋体"/>
          <w:sz w:val="48"/>
          <w:szCs w:val="48"/>
        </w:rPr>
        <w:t>投标文件格式</w:t>
      </w:r>
      <w:r>
        <w:rPr>
          <w:rStyle w:val="101"/>
          <w:rFonts w:hint="eastAsia" w:ascii="宋体"/>
        </w:rPr>
        <w:footnoteReference w:id="107"/>
      </w: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lang w:val="en-US"/>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jc w:val="center"/>
        <w:rPr>
          <w:rFonts w:hint="eastAsia" w:ascii="宋体" w:hAnsi="宋体" w:eastAsia="宋体" w:cs="Times New Roman"/>
          <w:bCs/>
          <w:color w:val="auto"/>
          <w:kern w:val="2"/>
          <w:sz w:val="44"/>
          <w:szCs w:val="44"/>
          <w:lang w:val="en-US" w:eastAsia="zh-CN"/>
        </w:rPr>
      </w:pPr>
      <w:r>
        <w:rPr>
          <w:rFonts w:ascii="宋体" w:hAnsi="宋体" w:cs="Times New Roman"/>
          <w:color w:val="auto"/>
        </w:rPr>
        <w:br w:type="page"/>
      </w:r>
      <w:r>
        <w:rPr>
          <w:rFonts w:hint="eastAsia" w:ascii="宋体" w:hAnsi="宋体" w:cs="宋体"/>
          <w:bCs/>
          <w:color w:val="auto"/>
          <w:kern w:val="2"/>
          <w:sz w:val="44"/>
          <w:szCs w:val="44"/>
          <w:lang w:val="en-US" w:eastAsia="zh-CN"/>
        </w:rPr>
        <w:t>湛江市</w:t>
      </w:r>
    </w:p>
    <w:p>
      <w:pPr>
        <w:spacing w:line="360" w:lineRule="auto"/>
        <w:jc w:val="both"/>
        <w:rPr>
          <w:rFonts w:ascii="宋体" w:hAnsi="宋体" w:cs="Times New Roman"/>
          <w:bCs/>
          <w:color w:val="auto"/>
          <w:kern w:val="2"/>
          <w:sz w:val="44"/>
          <w:szCs w:val="44"/>
          <w:lang w:val="en-US"/>
        </w:rPr>
      </w:pPr>
    </w:p>
    <w:p>
      <w:pPr>
        <w:spacing w:line="360" w:lineRule="auto"/>
        <w:jc w:val="center"/>
        <w:rPr>
          <w:rFonts w:hint="eastAsia" w:ascii="宋体" w:hAnsi="宋体" w:cs="宋体"/>
          <w:bCs/>
          <w:color w:val="auto"/>
          <w:kern w:val="2"/>
          <w:sz w:val="44"/>
          <w:szCs w:val="44"/>
          <w:u w:val="single"/>
          <w:lang w:val="en-US"/>
        </w:rPr>
      </w:pPr>
      <w:r>
        <w:rPr>
          <w:rFonts w:ascii="宋体" w:hAnsi="宋体" w:cs="宋体"/>
          <w:bCs/>
          <w:color w:val="auto"/>
          <w:kern w:val="2"/>
          <w:sz w:val="44"/>
          <w:szCs w:val="44"/>
          <w:u w:val="single"/>
          <w:lang w:val="en-US"/>
        </w:rPr>
        <w:t xml:space="preserve">          (</w:t>
      </w:r>
      <w:r>
        <w:rPr>
          <w:rFonts w:hint="eastAsia" w:ascii="宋体" w:hAnsi="宋体" w:cs="宋体"/>
          <w:bCs/>
          <w:color w:val="auto"/>
          <w:kern w:val="2"/>
          <w:sz w:val="44"/>
          <w:szCs w:val="44"/>
          <w:u w:val="single"/>
          <w:lang w:val="en-US"/>
        </w:rPr>
        <w:t>项目名称</w:t>
      </w:r>
      <w:r>
        <w:rPr>
          <w:rFonts w:ascii="宋体" w:hAnsi="宋体" w:cs="宋体"/>
          <w:bCs/>
          <w:color w:val="auto"/>
          <w:kern w:val="2"/>
          <w:sz w:val="44"/>
          <w:szCs w:val="44"/>
          <w:u w:val="single"/>
          <w:lang w:val="en-US"/>
        </w:rPr>
        <w:t xml:space="preserve">)    </w:t>
      </w:r>
      <w:r>
        <w:rPr>
          <w:rFonts w:hint="eastAsia" w:ascii="宋体" w:hAnsi="宋体" w:cs="宋体"/>
          <w:bCs/>
          <w:color w:val="auto"/>
          <w:kern w:val="2"/>
          <w:sz w:val="44"/>
          <w:szCs w:val="44"/>
          <w:u w:val="single"/>
          <w:lang w:val="en-US"/>
        </w:rPr>
        <w:t>标类（或标段）</w:t>
      </w:r>
    </w:p>
    <w:p>
      <w:pPr>
        <w:spacing w:line="360" w:lineRule="auto"/>
        <w:jc w:val="center"/>
        <w:rPr>
          <w:rFonts w:ascii="宋体" w:hAnsi="宋体" w:cs="Times New Roman"/>
          <w:bCs/>
          <w:color w:val="auto"/>
          <w:kern w:val="2"/>
          <w:sz w:val="31"/>
          <w:szCs w:val="31"/>
          <w:lang w:val="en-US"/>
        </w:rPr>
      </w:pPr>
      <w:r>
        <w:rPr>
          <w:rFonts w:hint="eastAsia" w:ascii="宋体" w:hAnsi="宋体" w:cs="宋体"/>
          <w:bCs/>
          <w:color w:val="auto"/>
          <w:kern w:val="2"/>
          <w:sz w:val="44"/>
          <w:szCs w:val="44"/>
          <w:lang w:val="en-US"/>
        </w:rPr>
        <w:t>勘察设计招标</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50"/>
          <w:szCs w:val="50"/>
          <w:lang w:val="en-US"/>
        </w:rPr>
      </w:pPr>
      <w:r>
        <w:rPr>
          <w:rFonts w:hint="eastAsia" w:ascii="宋体" w:hAnsi="宋体" w:cs="宋体"/>
          <w:bCs/>
          <w:color w:val="auto"/>
          <w:kern w:val="2"/>
          <w:sz w:val="50"/>
          <w:szCs w:val="50"/>
          <w:lang w:val="en-US"/>
        </w:rPr>
        <w:t>投</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件</w:t>
      </w:r>
    </w:p>
    <w:p>
      <w:pPr>
        <w:jc w:val="center"/>
        <w:outlineLvl w:val="0"/>
        <w:rPr>
          <w:rFonts w:ascii="宋体" w:hAnsi="宋体" w:cs="宋体"/>
          <w:bCs/>
          <w:color w:val="auto"/>
          <w:kern w:val="2"/>
          <w:sz w:val="44"/>
          <w:szCs w:val="44"/>
          <w:lang w:val="en-US"/>
        </w:rPr>
      </w:pPr>
      <w:r>
        <w:rPr>
          <w:rFonts w:hint="eastAsia" w:ascii="宋体" w:hAnsi="宋体" w:cs="宋体"/>
          <w:bCs/>
          <w:color w:val="auto"/>
          <w:kern w:val="2"/>
          <w:sz w:val="44"/>
          <w:szCs w:val="44"/>
          <w:lang w:val="en-US"/>
        </w:rPr>
        <w:t>（第一个信封：商务及技术文件）</w:t>
      </w: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ind w:firstLine="470" w:firstLineChars="147"/>
        <w:rPr>
          <w:rFonts w:ascii="宋体" w:hAnsi="宋体" w:cs="Times New Roman"/>
          <w:bCs/>
          <w:color w:val="auto"/>
          <w:sz w:val="32"/>
          <w:szCs w:val="32"/>
        </w:rPr>
      </w:pPr>
      <w:r>
        <w:rPr>
          <w:rFonts w:hint="eastAsia" w:ascii="宋体" w:hAnsi="宋体" w:cs="黑体"/>
          <w:bCs/>
          <w:color w:val="auto"/>
          <w:sz w:val="32"/>
          <w:szCs w:val="32"/>
        </w:rPr>
        <w:t>投标人：</w:t>
      </w:r>
      <w:r>
        <w:rPr>
          <w:rFonts w:ascii="宋体" w:hAnsi="宋体" w:cs="黑体"/>
          <w:bCs/>
          <w:color w:val="auto"/>
          <w:sz w:val="32"/>
          <w:szCs w:val="32"/>
          <w:u w:val="single"/>
        </w:rPr>
        <w:t xml:space="preserve">                               </w:t>
      </w:r>
      <w:r>
        <w:rPr>
          <w:rFonts w:hint="eastAsia" w:ascii="宋体" w:hAnsi="宋体" w:cs="黑体"/>
          <w:bCs/>
          <w:color w:val="auto"/>
          <w:sz w:val="32"/>
          <w:szCs w:val="32"/>
        </w:rPr>
        <w:t>（盖单位章）</w:t>
      </w:r>
    </w:p>
    <w:p>
      <w:pPr>
        <w:spacing w:line="360" w:lineRule="auto"/>
        <w:ind w:firstLine="2560" w:firstLineChars="800"/>
        <w:rPr>
          <w:rFonts w:ascii="宋体" w:hAnsi="宋体" w:cs="Times New Roman"/>
          <w:bCs/>
          <w:color w:val="auto"/>
          <w:sz w:val="32"/>
          <w:szCs w:val="32"/>
        </w:rPr>
      </w:pPr>
      <w:r>
        <w:rPr>
          <w:rFonts w:ascii="宋体" w:hAnsi="宋体" w:cs="黑体"/>
          <w:bCs/>
          <w:color w:val="auto"/>
          <w:sz w:val="32"/>
          <w:szCs w:val="32"/>
          <w:u w:val="single"/>
        </w:rPr>
        <w:t xml:space="preserve">        </w:t>
      </w:r>
      <w:r>
        <w:rPr>
          <w:rFonts w:hint="eastAsia" w:ascii="宋体" w:hAnsi="宋体" w:cs="黑体"/>
          <w:bCs/>
          <w:color w:val="auto"/>
          <w:sz w:val="32"/>
          <w:szCs w:val="32"/>
        </w:rPr>
        <w:t>年</w:t>
      </w:r>
      <w:r>
        <w:rPr>
          <w:rFonts w:ascii="宋体" w:hAnsi="宋体" w:cs="黑体"/>
          <w:bCs/>
          <w:color w:val="auto"/>
          <w:sz w:val="32"/>
          <w:szCs w:val="32"/>
          <w:u w:val="single"/>
        </w:rPr>
        <w:t xml:space="preserve">      </w:t>
      </w:r>
      <w:r>
        <w:rPr>
          <w:rFonts w:hint="eastAsia" w:ascii="宋体" w:hAnsi="宋体" w:cs="黑体"/>
          <w:bCs/>
          <w:color w:val="auto"/>
          <w:sz w:val="32"/>
          <w:szCs w:val="32"/>
        </w:rPr>
        <w:t>月</w:t>
      </w:r>
      <w:r>
        <w:rPr>
          <w:rFonts w:ascii="宋体" w:hAnsi="宋体" w:cs="黑体"/>
          <w:bCs/>
          <w:color w:val="auto"/>
          <w:sz w:val="32"/>
          <w:szCs w:val="32"/>
          <w:u w:val="single"/>
        </w:rPr>
        <w:t xml:space="preserve">      </w:t>
      </w:r>
      <w:r>
        <w:rPr>
          <w:rFonts w:hint="eastAsia" w:ascii="宋体" w:hAnsi="宋体" w:cs="黑体"/>
          <w:bCs/>
          <w:color w:val="auto"/>
          <w:sz w:val="32"/>
          <w:szCs w:val="32"/>
        </w:rPr>
        <w:t>日</w:t>
      </w:r>
    </w:p>
    <w:p>
      <w:pPr>
        <w:rPr>
          <w:rFonts w:ascii="宋体" w:hAnsi="宋体" w:cs="Times New Roman"/>
          <w:color w:val="auto"/>
        </w:rPr>
      </w:pPr>
    </w:p>
    <w:p>
      <w:pPr>
        <w:pStyle w:val="84"/>
        <w:snapToGrid w:val="0"/>
        <w:spacing w:line="360" w:lineRule="auto"/>
        <w:outlineLvl w:val="1"/>
        <w:rPr>
          <w:rFonts w:hint="eastAsia" w:ascii="宋体" w:hAnsi="宋体"/>
          <w:sz w:val="28"/>
          <w:szCs w:val="28"/>
        </w:rPr>
      </w:pPr>
      <w:r>
        <w:rPr>
          <w:rFonts w:hint="eastAsia" w:ascii="宋体" w:hAnsi="宋体"/>
          <w:szCs w:val="32"/>
        </w:rPr>
        <w:t>目</w:t>
      </w:r>
      <w:r>
        <w:rPr>
          <w:rFonts w:ascii="宋体" w:hAnsi="宋体"/>
          <w:szCs w:val="32"/>
        </w:rPr>
        <w:tab/>
      </w:r>
      <w:r>
        <w:rPr>
          <w:rFonts w:hint="eastAsia" w:ascii="宋体" w:hAnsi="宋体"/>
          <w:szCs w:val="32"/>
        </w:rPr>
        <w:t>录</w:t>
      </w:r>
    </w:p>
    <w:p>
      <w:pPr>
        <w:rPr>
          <w:color w:val="auto"/>
        </w:rPr>
      </w:pPr>
    </w:p>
    <w:p>
      <w:pPr>
        <w:spacing w:line="360" w:lineRule="auto"/>
        <w:jc w:val="center"/>
        <w:rPr>
          <w:rFonts w:ascii="宋体" w:hAnsi="宋体" w:cs="Times New Roman"/>
          <w:bCs/>
          <w:color w:val="auto"/>
          <w:kern w:val="2"/>
          <w:sz w:val="28"/>
          <w:szCs w:val="28"/>
          <w:lang w:val="en-US"/>
        </w:rPr>
      </w:pPr>
    </w:p>
    <w:p>
      <w:pPr>
        <w:spacing w:line="360" w:lineRule="auto"/>
        <w:jc w:val="both"/>
        <w:rPr>
          <w:rFonts w:ascii="宋体" w:hAnsi="宋体" w:cs="宋体"/>
          <w:bCs/>
          <w:color w:val="auto"/>
          <w:kern w:val="2"/>
          <w:lang w:val="en-US"/>
        </w:rPr>
      </w:pPr>
      <w:r>
        <w:rPr>
          <w:rFonts w:hint="eastAsia" w:ascii="宋体" w:hAnsi="宋体" w:cs="宋体"/>
          <w:bCs/>
          <w:color w:val="auto"/>
          <w:kern w:val="2"/>
          <w:lang w:val="en-US"/>
        </w:rPr>
        <w:t>第一个信封</w:t>
      </w:r>
      <w:r>
        <w:rPr>
          <w:rFonts w:ascii="宋体" w:hAnsi="宋体" w:cs="宋体"/>
          <w:bCs/>
          <w:color w:val="auto"/>
          <w:kern w:val="2"/>
          <w:lang w:val="en-US"/>
        </w:rPr>
        <w:t>(</w:t>
      </w:r>
      <w:r>
        <w:rPr>
          <w:rFonts w:hint="eastAsia" w:ascii="宋体" w:hAnsi="宋体" w:cs="宋体"/>
          <w:bCs/>
          <w:color w:val="auto"/>
          <w:kern w:val="2"/>
          <w:lang w:val="en-US"/>
        </w:rPr>
        <w:t>商务及技术文件</w:t>
      </w:r>
      <w:r>
        <w:rPr>
          <w:rFonts w:ascii="宋体" w:hAnsi="宋体" w:cs="宋体"/>
          <w:bCs/>
          <w:color w:val="auto"/>
          <w:kern w:val="2"/>
          <w:lang w:val="en-US"/>
        </w:rPr>
        <w:t>)</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一、投标函</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二、授权委托书或法定代表人身份证明</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三、联合体协议书（如有）</w:t>
      </w:r>
    </w:p>
    <w:p>
      <w:pPr>
        <w:spacing w:line="360" w:lineRule="auto"/>
        <w:jc w:val="both"/>
        <w:rPr>
          <w:rFonts w:hint="eastAsia" w:ascii="宋体" w:hAnsi="宋体" w:cs="宋体"/>
          <w:bCs/>
          <w:color w:val="auto"/>
          <w:kern w:val="2"/>
          <w:lang w:val="en-US"/>
        </w:rPr>
      </w:pPr>
      <w:r>
        <w:rPr>
          <w:rFonts w:hint="eastAsia" w:ascii="宋体" w:hAnsi="宋体" w:cs="宋体"/>
          <w:bCs/>
          <w:color w:val="auto"/>
          <w:kern w:val="2"/>
          <w:lang w:val="en-US"/>
        </w:rPr>
        <w:t>四、投标保证金</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五、拟分包项目情况表</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六、资格审查资料</w:t>
      </w:r>
    </w:p>
    <w:p>
      <w:pPr>
        <w:spacing w:line="360" w:lineRule="auto"/>
        <w:jc w:val="both"/>
        <w:rPr>
          <w:rFonts w:hint="eastAsia" w:ascii="宋体" w:hAnsi="宋体" w:cs="Times New Roman"/>
          <w:bCs/>
          <w:color w:val="auto"/>
          <w:kern w:val="2"/>
          <w:lang w:val="en-US"/>
        </w:rPr>
      </w:pPr>
      <w:r>
        <w:rPr>
          <w:rFonts w:hint="eastAsia" w:ascii="宋体" w:hAnsi="宋体" w:cs="宋体"/>
          <w:bCs/>
          <w:color w:val="auto"/>
          <w:kern w:val="2"/>
          <w:lang w:val="en-US"/>
        </w:rPr>
        <w:t>七、其他资料</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八、技术建议书</w:t>
      </w:r>
    </w:p>
    <w:p>
      <w:pPr>
        <w:rPr>
          <w:rFonts w:ascii="宋体" w:hAnsi="宋体" w:cs="Times New Roman"/>
          <w:color w:val="auto"/>
          <w:lang w:val="en-US"/>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pStyle w:val="84"/>
        <w:snapToGrid w:val="0"/>
        <w:spacing w:line="360" w:lineRule="auto"/>
        <w:outlineLvl w:val="1"/>
        <w:rPr>
          <w:rFonts w:ascii="宋体" w:hAnsi="宋体"/>
          <w:sz w:val="28"/>
          <w:szCs w:val="28"/>
        </w:rPr>
      </w:pPr>
      <w:r>
        <w:rPr>
          <w:rFonts w:ascii="宋体" w:hAnsi="宋体"/>
        </w:rPr>
        <w:br w:type="page"/>
      </w:r>
      <w:bookmarkStart w:id="85" w:name="_Toc234382957"/>
      <w:r>
        <w:rPr>
          <w:rFonts w:hint="eastAsia" w:ascii="宋体" w:hAnsi="宋体"/>
          <w:sz w:val="28"/>
          <w:szCs w:val="28"/>
        </w:rPr>
        <w:t>一、投标函</w:t>
      </w:r>
      <w:bookmarkEnd w:id="85"/>
    </w:p>
    <w:p>
      <w:pPr>
        <w:spacing w:line="360" w:lineRule="exact"/>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r>
        <w:rPr>
          <w:rFonts w:hint="eastAsia" w:ascii="宋体" w:hAnsi="宋体" w:cs="宋体"/>
          <w:color w:val="auto"/>
        </w:rPr>
        <w:t>：</w:t>
      </w:r>
    </w:p>
    <w:p>
      <w:pPr>
        <w:spacing w:line="360" w:lineRule="exact"/>
        <w:ind w:firstLine="480" w:firstLineChars="200"/>
        <w:rPr>
          <w:rFonts w:ascii="宋体" w:hAnsi="宋体" w:cs="Times New Roman"/>
          <w:color w:val="auto"/>
        </w:rPr>
      </w:pPr>
      <w:r>
        <w:rPr>
          <w:rFonts w:ascii="宋体" w:hAnsi="宋体" w:cs="宋体"/>
          <w:color w:val="auto"/>
        </w:rPr>
        <w:t>1.</w:t>
      </w:r>
      <w:r>
        <w:rPr>
          <w:rFonts w:hint="eastAsia" w:ascii="宋体" w:hAnsi="宋体"/>
          <w:color w:val="auto"/>
        </w:rPr>
        <w:t>我方已仔细研究</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lang w:val="en-US"/>
        </w:rPr>
        <w:t>勘察设计</w:t>
      </w:r>
      <w:r>
        <w:rPr>
          <w:rFonts w:hint="eastAsia" w:ascii="宋体" w:hAnsi="宋体"/>
          <w:color w:val="auto"/>
        </w:rPr>
        <w:t>招标文件的全部内容（含补遗书），在考察工程现场后，愿意以第二个信封（报价文件）中的投标总报价（或根据招标文件规定修正核实后确定的另一金额），按合同约定实施和完成</w:t>
      </w:r>
      <w:r>
        <w:rPr>
          <w:rFonts w:hint="eastAsia" w:ascii="宋体" w:hAnsi="宋体"/>
          <w:color w:val="auto"/>
          <w:lang w:val="en-US"/>
        </w:rPr>
        <w:t>勘察设计工作</w:t>
      </w:r>
      <w:r>
        <w:rPr>
          <w:rFonts w:hint="eastAsia" w:ascii="宋体" w:hAnsi="宋体"/>
          <w:color w:val="auto"/>
        </w:rPr>
        <w:t>。</w:t>
      </w:r>
    </w:p>
    <w:p>
      <w:pPr>
        <w:spacing w:line="360" w:lineRule="exact"/>
        <w:ind w:firstLine="480" w:firstLineChars="200"/>
        <w:rPr>
          <w:rFonts w:ascii="宋体" w:hAnsi="宋体" w:cs="Times New Roman"/>
          <w:color w:val="auto"/>
        </w:rPr>
      </w:pPr>
      <w:r>
        <w:rPr>
          <w:rFonts w:ascii="宋体" w:hAnsi="宋体" w:cs="宋体"/>
          <w:color w:val="auto"/>
        </w:rPr>
        <w:t>2.</w:t>
      </w:r>
      <w:r>
        <w:rPr>
          <w:rFonts w:hint="eastAsia" w:ascii="宋体" w:hAnsi="宋体"/>
          <w:color w:val="auto"/>
        </w:rPr>
        <w:t>我方承诺在</w:t>
      </w:r>
      <w:r>
        <w:rPr>
          <w:rFonts w:hint="eastAsia" w:ascii="宋体" w:hAnsi="宋体" w:cs="宋体"/>
          <w:color w:val="auto"/>
        </w:rPr>
        <w:t>招标文件规定的</w:t>
      </w:r>
      <w:r>
        <w:rPr>
          <w:rFonts w:hint="eastAsia" w:ascii="宋体" w:hAnsi="宋体"/>
          <w:color w:val="auto"/>
        </w:rPr>
        <w:t>投标有效期内不撤销投标文件。</w:t>
      </w:r>
    </w:p>
    <w:p>
      <w:pPr>
        <w:spacing w:line="360" w:lineRule="exact"/>
        <w:ind w:firstLine="480" w:firstLineChars="200"/>
        <w:rPr>
          <w:rFonts w:ascii="宋体" w:hAnsi="宋体" w:cs="Times New Roman"/>
          <w:color w:val="auto"/>
        </w:rPr>
      </w:pPr>
      <w:r>
        <w:rPr>
          <w:rFonts w:ascii="宋体" w:hAnsi="宋体" w:cs="宋体"/>
          <w:color w:val="auto"/>
        </w:rPr>
        <w:t>3.</w:t>
      </w:r>
      <w:r>
        <w:rPr>
          <w:rFonts w:hint="eastAsia" w:ascii="宋体" w:hAnsi="宋体"/>
          <w:color w:val="auto"/>
          <w:lang w:val="en-US"/>
        </w:rPr>
        <w:t>项目负责人姓名</w:t>
      </w:r>
      <w:r>
        <w:rPr>
          <w:rFonts w:hint="eastAsia" w:ascii="宋体" w:hAnsi="宋体" w:cs="宋体"/>
          <w:color w:val="auto"/>
        </w:rPr>
        <w:t>：</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rPr>
        <w:t>，</w:t>
      </w:r>
      <w:r>
        <w:rPr>
          <w:rFonts w:hint="eastAsia" w:ascii="宋体" w:hAnsi="宋体" w:cs="宋体"/>
          <w:color w:val="auto"/>
          <w:lang w:val="en-US"/>
        </w:rPr>
        <w:t>年龄</w:t>
      </w:r>
      <w:r>
        <w:rPr>
          <w:rFonts w:hint="eastAsia" w:ascii="宋体" w:hAnsi="宋体" w:cs="宋体"/>
          <w:color w:val="auto"/>
        </w:rPr>
        <w:t>：</w:t>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lang w:val="en-US"/>
        </w:rPr>
        <w:t>职称：</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olor w:val="auto"/>
        </w:rPr>
        <w:t>。</w:t>
      </w:r>
    </w:p>
    <w:p>
      <w:pPr>
        <w:spacing w:line="360" w:lineRule="exact"/>
        <w:ind w:firstLine="480" w:firstLineChars="200"/>
        <w:rPr>
          <w:rFonts w:hint="eastAsia" w:ascii="宋体" w:hAnsi="宋体" w:cs="宋体"/>
          <w:color w:val="auto"/>
          <w:lang w:val="en-US"/>
        </w:rPr>
      </w:pPr>
      <w:r>
        <w:rPr>
          <w:rFonts w:hint="eastAsia" w:ascii="宋体" w:hAnsi="宋体" w:cs="宋体"/>
          <w:color w:val="auto"/>
          <w:lang w:val="en-US"/>
        </w:rPr>
        <w:t>4.质量要求：</w:t>
      </w:r>
      <w:r>
        <w:rPr>
          <w:rFonts w:ascii="宋体" w:hAnsi="宋体" w:cs="宋体"/>
          <w:color w:val="auto"/>
          <w:u w:val="single"/>
        </w:rPr>
        <w:t xml:space="preserve">               </w:t>
      </w:r>
      <w:r>
        <w:rPr>
          <w:rFonts w:hint="eastAsia" w:ascii="宋体" w:hAnsi="宋体" w:cs="宋体"/>
          <w:color w:val="auto"/>
          <w:lang w:val="en-US"/>
        </w:rPr>
        <w:t>，安全目标：</w:t>
      </w:r>
      <w:r>
        <w:rPr>
          <w:rFonts w:ascii="宋体" w:hAnsi="宋体" w:cs="宋体"/>
          <w:color w:val="auto"/>
          <w:u w:val="single"/>
        </w:rPr>
        <w:t xml:space="preserve">               </w:t>
      </w:r>
      <w:r>
        <w:rPr>
          <w:rFonts w:hint="eastAsia" w:ascii="宋体" w:hAnsi="宋体" w:cs="宋体"/>
          <w:color w:val="auto"/>
          <w:lang w:val="en-US"/>
        </w:rPr>
        <w:t>，勘察设计服务期限：</w:t>
      </w:r>
      <w:r>
        <w:rPr>
          <w:rFonts w:ascii="宋体" w:hAnsi="宋体" w:cs="宋体"/>
          <w:color w:val="auto"/>
          <w:u w:val="single"/>
        </w:rPr>
        <w:t xml:space="preserve">               </w:t>
      </w:r>
      <w:r>
        <w:rPr>
          <w:rFonts w:hint="eastAsia" w:ascii="宋体" w:hAnsi="宋体" w:cs="宋体"/>
          <w:color w:val="auto"/>
        </w:rPr>
        <w:t>。</w:t>
      </w:r>
    </w:p>
    <w:p>
      <w:pPr>
        <w:spacing w:line="360" w:lineRule="exact"/>
        <w:ind w:firstLine="480" w:firstLineChars="200"/>
        <w:rPr>
          <w:rFonts w:ascii="宋体" w:hAnsi="宋体" w:cs="Times New Roman"/>
          <w:color w:val="auto"/>
        </w:rPr>
      </w:pPr>
      <w:r>
        <w:rPr>
          <w:rFonts w:hint="eastAsia" w:ascii="宋体" w:hAnsi="宋体" w:cs="宋体"/>
          <w:color w:val="auto"/>
          <w:lang w:val="en-US"/>
        </w:rPr>
        <w:t>5</w:t>
      </w:r>
      <w:r>
        <w:rPr>
          <w:rFonts w:ascii="宋体" w:hAnsi="宋体" w:cs="宋体"/>
          <w:color w:val="auto"/>
        </w:rPr>
        <w:t>.</w:t>
      </w:r>
      <w:r>
        <w:rPr>
          <w:rFonts w:hint="eastAsia" w:ascii="宋体" w:hAnsi="宋体"/>
          <w:color w:val="auto"/>
        </w:rPr>
        <w:t>如我方中标</w:t>
      </w:r>
      <w:r>
        <w:rPr>
          <w:rFonts w:hint="eastAsia" w:ascii="宋体" w:hAnsi="宋体" w:cs="宋体"/>
          <w:color w:val="auto"/>
        </w:rPr>
        <w:t>，我方承诺</w:t>
      </w:r>
      <w:r>
        <w:rPr>
          <w:rFonts w:hint="eastAsia" w:ascii="宋体" w:hAnsi="宋体"/>
          <w:color w:val="auto"/>
        </w:rPr>
        <w:t>：</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1</w:t>
      </w:r>
      <w:r>
        <w:rPr>
          <w:rFonts w:hint="eastAsia" w:ascii="宋体" w:hAnsi="宋体"/>
          <w:color w:val="auto"/>
        </w:rPr>
        <w:t>）</w:t>
      </w:r>
      <w:r>
        <w:rPr>
          <w:rFonts w:hint="eastAsia" w:ascii="宋体" w:hAnsi="宋体" w:cs="宋体"/>
          <w:color w:val="auto"/>
        </w:rPr>
        <w:t>在</w:t>
      </w:r>
      <w:r>
        <w:rPr>
          <w:rFonts w:hint="eastAsia" w:ascii="宋体" w:hAnsi="宋体"/>
          <w:color w:val="auto"/>
        </w:rPr>
        <w:t>收到中标通知书后，在规定的期限内与你方签订合同</w:t>
      </w:r>
      <w:r>
        <w:rPr>
          <w:rFonts w:hint="eastAsia" w:ascii="宋体" w:hAnsi="宋体" w:cs="宋体"/>
          <w:color w:val="auto"/>
        </w:rPr>
        <w:t>；</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2</w:t>
      </w:r>
      <w:r>
        <w:rPr>
          <w:rFonts w:hint="eastAsia" w:ascii="宋体" w:hAnsi="宋体"/>
          <w:color w:val="auto"/>
        </w:rPr>
        <w:t>）</w:t>
      </w:r>
      <w:r>
        <w:rPr>
          <w:rFonts w:hint="eastAsia" w:ascii="宋体" w:hAnsi="宋体" w:cs="宋体"/>
          <w:color w:val="auto"/>
        </w:rPr>
        <w:t>在签订合同时不向你方提出附件条件；</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3</w:t>
      </w:r>
      <w:r>
        <w:rPr>
          <w:rFonts w:hint="eastAsia" w:ascii="宋体" w:hAnsi="宋体"/>
          <w:color w:val="auto"/>
        </w:rPr>
        <w:t>）按照招标文件</w:t>
      </w:r>
      <w:r>
        <w:rPr>
          <w:rFonts w:hint="eastAsia" w:ascii="宋体" w:hAnsi="宋体" w:cs="宋体"/>
          <w:color w:val="auto"/>
        </w:rPr>
        <w:t>要求提交</w:t>
      </w:r>
      <w:r>
        <w:rPr>
          <w:rFonts w:hint="eastAsia" w:ascii="宋体" w:hAnsi="宋体"/>
          <w:color w:val="auto"/>
        </w:rPr>
        <w:t>履约</w:t>
      </w:r>
      <w:r>
        <w:rPr>
          <w:rFonts w:hint="eastAsia" w:ascii="宋体" w:hAnsi="宋体" w:cs="宋体"/>
          <w:color w:val="auto"/>
        </w:rPr>
        <w:t>保证金；</w:t>
      </w:r>
    </w:p>
    <w:p>
      <w:pPr>
        <w:spacing w:line="360" w:lineRule="exact"/>
        <w:ind w:firstLine="480" w:firstLineChars="200"/>
        <w:rPr>
          <w:rFonts w:hint="eastAsia" w:ascii="宋体" w:hAnsi="宋体" w:cs="宋体"/>
          <w:color w:val="auto"/>
        </w:rPr>
      </w:pPr>
      <w:r>
        <w:rPr>
          <w:rFonts w:hint="eastAsia" w:ascii="宋体" w:hAnsi="宋体"/>
          <w:color w:val="auto"/>
        </w:rPr>
        <w:t>（</w:t>
      </w:r>
      <w:r>
        <w:rPr>
          <w:rFonts w:ascii="宋体" w:hAnsi="宋体" w:cs="宋体"/>
          <w:color w:val="auto"/>
        </w:rPr>
        <w:t>4</w:t>
      </w:r>
      <w:r>
        <w:rPr>
          <w:rFonts w:hint="eastAsia" w:ascii="宋体" w:hAnsi="宋体"/>
          <w:color w:val="auto"/>
        </w:rPr>
        <w:t>）在合同约定的期限内完成合同</w:t>
      </w:r>
      <w:r>
        <w:rPr>
          <w:rFonts w:hint="eastAsia" w:ascii="宋体" w:hAnsi="宋体" w:cs="宋体"/>
          <w:color w:val="auto"/>
        </w:rPr>
        <w:t>规定的全部义务；</w:t>
      </w:r>
    </w:p>
    <w:p>
      <w:pPr>
        <w:spacing w:line="360" w:lineRule="exact"/>
        <w:ind w:firstLine="480" w:firstLineChars="200"/>
        <w:rPr>
          <w:rFonts w:ascii="宋体" w:hAnsi="宋体" w:cs="Times New Roman"/>
          <w:color w:val="auto"/>
          <w:u w:val="single"/>
        </w:rPr>
      </w:pPr>
      <w:r>
        <w:rPr>
          <w:rFonts w:hint="eastAsia" w:ascii="宋体" w:hAnsi="宋体" w:cs="宋体"/>
          <w:color w:val="auto"/>
          <w:u w:val="single"/>
        </w:rPr>
        <w:t>（</w:t>
      </w:r>
      <w:r>
        <w:rPr>
          <w:rFonts w:hint="eastAsia" w:ascii="宋体" w:hAnsi="宋体" w:cs="宋体"/>
          <w:color w:val="auto"/>
          <w:u w:val="single"/>
          <w:lang w:val="en-US"/>
        </w:rPr>
        <w:t>5</w:t>
      </w:r>
      <w:r>
        <w:rPr>
          <w:rFonts w:hint="eastAsia" w:ascii="宋体" w:hAnsi="宋体" w:cs="宋体"/>
          <w:color w:val="auto"/>
          <w:u w:val="single"/>
        </w:rPr>
        <w:t>）我方将按照招标文件提出的最低要求填报派驻本标段的其他主要人员，经你方审批后作为派驻本标段的项目管理机构主要人员不进行更换</w:t>
      </w:r>
      <w:r>
        <w:rPr>
          <w:rStyle w:val="101"/>
          <w:rFonts w:hint="eastAsia" w:ascii="宋体" w:hAnsi="宋体" w:cs="Times New Roman"/>
          <w:color w:val="auto"/>
          <w:sz w:val="30"/>
          <w:u w:val="single"/>
          <w:lang w:val="en-US"/>
        </w:rPr>
        <w:footnoteReference w:id="108"/>
      </w:r>
      <w:r>
        <w:rPr>
          <w:rFonts w:hint="eastAsia" w:ascii="宋体" w:hAnsi="宋体" w:cs="宋体"/>
          <w:color w:val="auto"/>
          <w:u w:val="single"/>
        </w:rPr>
        <w:t>。</w:t>
      </w:r>
    </w:p>
    <w:p>
      <w:pPr>
        <w:spacing w:line="360" w:lineRule="exact"/>
        <w:ind w:firstLine="480" w:firstLineChars="200"/>
        <w:rPr>
          <w:rFonts w:hint="eastAsia" w:ascii="宋体" w:hAnsi="宋体"/>
          <w:color w:val="auto"/>
        </w:rPr>
      </w:pPr>
      <w:r>
        <w:rPr>
          <w:rFonts w:hint="eastAsia" w:ascii="宋体" w:hAnsi="宋体" w:cs="宋体"/>
          <w:color w:val="auto"/>
          <w:lang w:val="en-US"/>
        </w:rPr>
        <w:t>6</w:t>
      </w:r>
      <w:r>
        <w:rPr>
          <w:rFonts w:ascii="宋体" w:hAnsi="宋体" w:cs="宋体"/>
          <w:color w:val="auto"/>
        </w:rPr>
        <w:t xml:space="preserve">. </w:t>
      </w:r>
      <w:r>
        <w:rPr>
          <w:rFonts w:hint="eastAsia" w:ascii="宋体" w:hAnsi="宋体"/>
          <w:color w:val="auto"/>
        </w:rPr>
        <w:t>我方在此声明，所递交的投标文件及有关资料内容完整、真实和准确，且不存在招标文件第二章“投标人须知”第</w:t>
      </w:r>
      <w:r>
        <w:rPr>
          <w:rFonts w:ascii="宋体" w:hAnsi="宋体" w:cs="宋体"/>
          <w:color w:val="auto"/>
        </w:rPr>
        <w:t>1.4.3</w:t>
      </w:r>
      <w:r>
        <w:rPr>
          <w:rFonts w:hint="eastAsia" w:ascii="宋体" w:hAnsi="宋体"/>
          <w:color w:val="auto"/>
        </w:rPr>
        <w:t>项和第</w:t>
      </w:r>
      <w:r>
        <w:rPr>
          <w:rFonts w:ascii="宋体" w:hAnsi="宋体" w:cs="宋体"/>
          <w:color w:val="auto"/>
        </w:rPr>
        <w:t>1.4.4</w:t>
      </w:r>
      <w:r>
        <w:rPr>
          <w:rFonts w:hint="eastAsia" w:ascii="宋体" w:hAnsi="宋体"/>
          <w:color w:val="auto"/>
        </w:rPr>
        <w:t>项规定的任何一种情形。</w:t>
      </w:r>
    </w:p>
    <w:p>
      <w:pPr>
        <w:spacing w:line="400" w:lineRule="atLeast"/>
        <w:ind w:firstLine="480" w:firstLineChars="200"/>
        <w:rPr>
          <w:rFonts w:hint="eastAsia" w:ascii="宋体" w:hAnsi="宋体"/>
          <w:color w:val="auto"/>
        </w:rPr>
      </w:pPr>
      <w:r>
        <w:rPr>
          <w:rFonts w:hint="eastAsia" w:ascii="宋体" w:hAnsi="宋体"/>
          <w:color w:val="auto"/>
          <w:lang w:val="en-US"/>
        </w:rPr>
        <w:t>7</w:t>
      </w:r>
      <w:r>
        <w:rPr>
          <w:rFonts w:hint="eastAsia" w:ascii="宋体" w:hAnsi="宋体"/>
          <w:color w:val="auto"/>
        </w:rPr>
        <w:t>. 我方在此承诺：权利义务满足招标文件规定。</w:t>
      </w:r>
    </w:p>
    <w:p>
      <w:pPr>
        <w:spacing w:line="360" w:lineRule="exact"/>
        <w:ind w:firstLine="480" w:firstLineChars="200"/>
        <w:rPr>
          <w:rFonts w:ascii="宋体" w:hAnsi="宋体" w:cs="Times New Roman"/>
          <w:color w:val="auto"/>
        </w:rPr>
      </w:pPr>
      <w:r>
        <w:rPr>
          <w:rFonts w:hint="eastAsia" w:ascii="宋体" w:hAnsi="宋体"/>
          <w:color w:val="auto"/>
        </w:rPr>
        <w:t>8</w:t>
      </w:r>
      <w:r>
        <w:rPr>
          <w:rFonts w:ascii="宋体" w:hAnsi="宋体"/>
          <w:color w:val="auto"/>
        </w:rPr>
        <w:t>.</w:t>
      </w:r>
      <w:r>
        <w:rPr>
          <w:rFonts w:hint="eastAsia" w:ascii="宋体" w:hAnsi="宋体"/>
          <w:color w:val="auto"/>
          <w:lang w:val="en-US"/>
        </w:rPr>
        <w:t xml:space="preserve"> </w:t>
      </w:r>
      <w:r>
        <w:rPr>
          <w:rFonts w:hint="eastAsia" w:ascii="宋体" w:hAnsi="宋体"/>
          <w:color w:val="auto"/>
        </w:rPr>
        <w:t>在合同协议书正式签署生效之前，本投标函连同你方的中标通知书将构成我们双方之间共同遵守的文件，对双方具有约束力。</w:t>
      </w:r>
    </w:p>
    <w:p>
      <w:pPr>
        <w:spacing w:line="360" w:lineRule="exact"/>
        <w:ind w:firstLine="480" w:firstLineChars="200"/>
        <w:rPr>
          <w:rFonts w:ascii="宋体" w:hAnsi="宋体" w:cs="Times New Roman"/>
          <w:color w:val="auto"/>
        </w:rPr>
      </w:pPr>
      <w:r>
        <w:rPr>
          <w:rFonts w:hint="eastAsia" w:ascii="宋体" w:hAnsi="宋体" w:cs="宋体"/>
          <w:color w:val="auto"/>
        </w:rPr>
        <w:t>9</w:t>
      </w:r>
      <w:r>
        <w:rPr>
          <w:rFonts w:ascii="宋体" w:hAnsi="宋体" w:cs="宋体"/>
          <w:color w:val="auto"/>
        </w:rPr>
        <w:t>.</w:t>
      </w:r>
      <w:r>
        <w:rPr>
          <w:rFonts w:ascii="宋体" w:hAnsi="宋体" w:cs="宋体"/>
          <w:color w:val="auto"/>
          <w:u w:val="single"/>
        </w:rPr>
        <w:t xml:space="preserve">                                         </w:t>
      </w:r>
      <w:r>
        <w:rPr>
          <w:rFonts w:hint="eastAsia" w:ascii="宋体" w:hAnsi="宋体"/>
          <w:color w:val="auto"/>
        </w:rPr>
        <w:t>（其他补充说明）。</w:t>
      </w:r>
    </w:p>
    <w:p>
      <w:pPr>
        <w:tabs>
          <w:tab w:val="left" w:pos="2977"/>
          <w:tab w:val="left" w:pos="3261"/>
        </w:tabs>
        <w:spacing w:line="360" w:lineRule="exact"/>
        <w:rPr>
          <w:rFonts w:ascii="宋体" w:hAnsi="宋体" w:cs="Times New Roman"/>
          <w:color w:val="auto"/>
        </w:rPr>
      </w:pPr>
      <w:r>
        <w:rPr>
          <w:rFonts w:ascii="宋体" w:hAnsi="宋体" w:cs="宋体"/>
          <w:color w:val="auto"/>
          <w:sz w:val="18"/>
          <w:szCs w:val="18"/>
        </w:rPr>
        <w:t xml:space="preserve"> </w:t>
      </w:r>
      <w:r>
        <w:rPr>
          <w:rFonts w:ascii="宋体" w:hAnsi="宋体" w:cs="宋体"/>
          <w:color w:val="auto"/>
        </w:rPr>
        <w:t xml:space="preserve">                         </w:t>
      </w:r>
      <w:r>
        <w:rPr>
          <w:rFonts w:hint="eastAsia" w:ascii="宋体" w:hAnsi="宋体"/>
          <w:color w:val="auto"/>
        </w:rPr>
        <w:t>投</w:t>
      </w:r>
      <w:r>
        <w:rPr>
          <w:rFonts w:ascii="宋体" w:hAnsi="宋体" w:cs="宋体"/>
          <w:color w:val="auto"/>
        </w:rPr>
        <w:t xml:space="preserve"> </w:t>
      </w:r>
      <w:r>
        <w:rPr>
          <w:rFonts w:hint="eastAsia" w:ascii="宋体" w:hAnsi="宋体"/>
          <w:color w:val="auto"/>
        </w:rPr>
        <w:t>标</w:t>
      </w:r>
      <w:r>
        <w:rPr>
          <w:rFonts w:ascii="宋体" w:hAnsi="宋体" w:cs="宋体"/>
          <w:color w:val="auto"/>
        </w:rPr>
        <w:t xml:space="preserve"> </w:t>
      </w:r>
      <w:r>
        <w:rPr>
          <w:rFonts w:hint="eastAsia" w:ascii="宋体" w:hAnsi="宋体"/>
          <w:color w:val="auto"/>
        </w:rPr>
        <w:t>人：</w:t>
      </w:r>
      <w:r>
        <w:rPr>
          <w:rFonts w:ascii="宋体" w:hAnsi="宋体" w:cs="宋体"/>
          <w:color w:val="auto"/>
          <w:u w:val="single"/>
        </w:rPr>
        <w:t xml:space="preserve">                   </w:t>
      </w:r>
      <w:r>
        <w:rPr>
          <w:rFonts w:hint="eastAsia" w:ascii="宋体" w:hAnsi="宋体"/>
          <w:color w:val="auto"/>
        </w:rPr>
        <w:t>（盖单位章）</w:t>
      </w:r>
      <w:r>
        <w:rPr>
          <w:rStyle w:val="101"/>
          <w:rFonts w:hint="eastAsia" w:ascii="宋体" w:hAnsi="宋体" w:cs="Times New Roman"/>
          <w:color w:val="auto"/>
          <w:sz w:val="30"/>
          <w:lang w:val="en-US"/>
        </w:rPr>
        <w:footnoteReference w:id="109"/>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p>
    <w:p>
      <w:pPr>
        <w:spacing w:line="360" w:lineRule="exact"/>
        <w:rPr>
          <w:rFonts w:ascii="宋体" w:hAnsi="宋体" w:cs="Times New Roman"/>
          <w:color w:val="auto"/>
          <w:u w:val="single"/>
        </w:rPr>
      </w:pPr>
      <w:r>
        <w:rPr>
          <w:rFonts w:ascii="宋体" w:hAnsi="宋体" w:cs="宋体"/>
          <w:color w:val="auto"/>
        </w:rPr>
        <w:t xml:space="preserve">                          </w:t>
      </w:r>
      <w:r>
        <w:rPr>
          <w:rFonts w:hint="eastAsia" w:ascii="宋体" w:hAnsi="宋体"/>
          <w:color w:val="auto"/>
        </w:rPr>
        <w:t>地址：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网址：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电话：</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传真：</w:t>
      </w:r>
      <w:r>
        <w:rPr>
          <w:rFonts w:ascii="宋体" w:hAnsi="宋体" w:cs="宋体"/>
          <w:color w:val="auto"/>
          <w:u w:val="single"/>
        </w:rPr>
        <w:t xml:space="preserve">                                        </w:t>
      </w:r>
    </w:p>
    <w:p>
      <w:pPr>
        <w:rPr>
          <w:rFonts w:ascii="宋体" w:hAnsi="宋体" w:cs="Times New Roman"/>
          <w:color w:val="auto"/>
        </w:rPr>
      </w:pPr>
      <w:r>
        <w:rPr>
          <w:rFonts w:ascii="宋体" w:hAnsi="宋体" w:cs="宋体"/>
          <w:color w:val="auto"/>
        </w:rPr>
        <w:t xml:space="preserve">                          </w:t>
      </w:r>
      <w:r>
        <w:rPr>
          <w:rFonts w:hint="eastAsia" w:ascii="宋体" w:hAnsi="宋体"/>
          <w:color w:val="auto"/>
        </w:rPr>
        <w:t>邮政编码：</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spacing w:line="360" w:lineRule="auto"/>
        <w:jc w:val="center"/>
        <w:rPr>
          <w:rFonts w:hint="eastAsia" w:ascii="宋体" w:hAnsi="宋体" w:cs="黑体"/>
          <w:b/>
          <w:color w:val="auto"/>
          <w:sz w:val="28"/>
          <w:szCs w:val="28"/>
        </w:rPr>
      </w:pPr>
      <w:bookmarkStart w:id="86" w:name="_Toc234382959"/>
      <w:r>
        <w:rPr>
          <w:color w:val="auto"/>
        </w:rPr>
        <w:br w:type="page"/>
      </w:r>
      <w:bookmarkEnd w:id="86"/>
      <w:bookmarkStart w:id="87" w:name="_Toc234382961"/>
      <w:r>
        <w:rPr>
          <w:rFonts w:hint="eastAsia" w:ascii="宋体" w:hAnsi="宋体" w:cs="黑体"/>
          <w:b/>
          <w:color w:val="auto"/>
          <w:sz w:val="28"/>
          <w:szCs w:val="28"/>
        </w:rPr>
        <w:t>二、授权委托书或法定代表人身份证明</w:t>
      </w:r>
      <w:bookmarkEnd w:id="87"/>
    </w:p>
    <w:p>
      <w:pPr>
        <w:rPr>
          <w:rFonts w:ascii="宋体" w:hAnsi="宋体" w:cs="Times New Roman"/>
          <w:color w:val="auto"/>
        </w:rPr>
      </w:pPr>
    </w:p>
    <w:p>
      <w:pPr>
        <w:spacing w:line="360" w:lineRule="auto"/>
        <w:jc w:val="center"/>
        <w:rPr>
          <w:rFonts w:ascii="宋体" w:hAnsi="宋体" w:cs="黑体"/>
          <w:b/>
          <w:color w:val="auto"/>
          <w:sz w:val="28"/>
          <w:szCs w:val="28"/>
        </w:rPr>
      </w:pPr>
      <w:r>
        <w:rPr>
          <w:rFonts w:hint="eastAsia" w:ascii="宋体" w:hAnsi="宋体" w:cs="黑体"/>
          <w:b/>
          <w:color w:val="auto"/>
          <w:sz w:val="28"/>
          <w:szCs w:val="28"/>
        </w:rPr>
        <w:t>（一）授权委托书</w:t>
      </w:r>
      <w:r>
        <w:rPr>
          <w:rStyle w:val="101"/>
          <w:rFonts w:hint="eastAsia" w:ascii="宋体" w:hAnsi="宋体" w:cs="黑体"/>
          <w:b/>
          <w:color w:val="auto"/>
          <w:sz w:val="28"/>
          <w:szCs w:val="28"/>
        </w:rPr>
        <w:footnoteReference w:id="110"/>
      </w:r>
    </w:p>
    <w:p>
      <w:pPr>
        <w:spacing w:line="500" w:lineRule="exact"/>
        <w:rPr>
          <w:rFonts w:ascii="宋体" w:hAnsi="宋体" w:cs="Times New Roman"/>
          <w:color w:val="auto"/>
        </w:rPr>
      </w:pPr>
    </w:p>
    <w:p>
      <w:pPr>
        <w:spacing w:line="500" w:lineRule="exact"/>
        <w:ind w:firstLine="480" w:firstLineChars="200"/>
        <w:rPr>
          <w:rFonts w:ascii="宋体" w:hAnsi="宋体" w:cs="Times New Roman"/>
          <w:color w:val="auto"/>
        </w:rPr>
      </w:pPr>
      <w:r>
        <w:rPr>
          <w:rFonts w:hint="eastAsia" w:ascii="宋体" w:hAnsi="宋体"/>
          <w:color w:val="auto"/>
        </w:rPr>
        <w:t>本人</w:t>
      </w:r>
      <w:r>
        <w:rPr>
          <w:rFonts w:ascii="宋体" w:hAnsi="宋体" w:cs="宋体"/>
          <w:color w:val="auto"/>
          <w:u w:val="single"/>
        </w:rPr>
        <w:t xml:space="preserve">       </w:t>
      </w:r>
      <w:r>
        <w:rPr>
          <w:rFonts w:hint="eastAsia" w:ascii="宋体" w:hAnsi="宋体"/>
          <w:color w:val="auto"/>
        </w:rPr>
        <w:t>（姓名）系</w:t>
      </w:r>
      <w:r>
        <w:rPr>
          <w:rFonts w:ascii="宋体" w:hAnsi="宋体" w:cs="宋体"/>
          <w:color w:val="auto"/>
          <w:u w:val="single"/>
        </w:rPr>
        <w:t xml:space="preserve">       </w:t>
      </w:r>
      <w:r>
        <w:rPr>
          <w:rFonts w:hint="eastAsia" w:ascii="宋体" w:hAnsi="宋体"/>
          <w:color w:val="auto"/>
        </w:rPr>
        <w:t>（投标人名称）的法定代表人</w:t>
      </w:r>
      <w:r>
        <w:rPr>
          <w:rFonts w:hint="eastAsia" w:ascii="宋体" w:hAnsi="宋体" w:cs="宋体"/>
          <w:color w:val="auto"/>
        </w:rPr>
        <w:t>，</w:t>
      </w:r>
      <w:r>
        <w:rPr>
          <w:rFonts w:hint="eastAsia" w:ascii="宋体" w:hAnsi="宋体"/>
          <w:color w:val="auto"/>
        </w:rPr>
        <w:t>现委托</w:t>
      </w:r>
      <w:r>
        <w:rPr>
          <w:rFonts w:ascii="宋体" w:hAnsi="宋体" w:cs="宋体"/>
          <w:color w:val="auto"/>
          <w:u w:val="single"/>
        </w:rPr>
        <w:t xml:space="preserve">      </w:t>
      </w:r>
      <w:r>
        <w:rPr>
          <w:rFonts w:hint="eastAsia" w:ascii="宋体" w:hAnsi="宋体"/>
          <w:color w:val="auto"/>
        </w:rPr>
        <w:t>（姓名）为我方代理人。代理人根据授权</w:t>
      </w:r>
      <w:r>
        <w:rPr>
          <w:rFonts w:hint="eastAsia" w:ascii="宋体" w:hAnsi="宋体" w:cs="宋体"/>
          <w:color w:val="auto"/>
        </w:rPr>
        <w:t>，</w:t>
      </w:r>
      <w:r>
        <w:rPr>
          <w:rFonts w:ascii="宋体" w:hAnsi="宋体" w:cs="宋体"/>
          <w:color w:val="auto"/>
        </w:rPr>
        <w:t xml:space="preserve"> </w:t>
      </w:r>
      <w:r>
        <w:rPr>
          <w:rFonts w:hint="eastAsia" w:ascii="宋体" w:hAnsi="宋体"/>
          <w:color w:val="auto"/>
        </w:rPr>
        <w:t>以我方名义签署</w:t>
      </w:r>
      <w:r>
        <w:rPr>
          <w:rFonts w:hint="eastAsia" w:ascii="宋体" w:hAnsi="宋体" w:cs="宋体"/>
          <w:color w:val="auto"/>
        </w:rPr>
        <w:t>、</w:t>
      </w:r>
      <w:r>
        <w:rPr>
          <w:rFonts w:ascii="宋体" w:hAnsi="宋体" w:cs="宋体"/>
          <w:color w:val="auto"/>
        </w:rPr>
        <w:t xml:space="preserve"> </w:t>
      </w:r>
      <w:r>
        <w:rPr>
          <w:rFonts w:hint="eastAsia" w:ascii="宋体" w:hAnsi="宋体"/>
          <w:color w:val="auto"/>
        </w:rPr>
        <w:t>澄清确认、</w:t>
      </w:r>
      <w:r>
        <w:rPr>
          <w:rFonts w:ascii="宋体" w:hAnsi="宋体" w:cs="宋体"/>
          <w:color w:val="auto"/>
        </w:rPr>
        <w:t xml:space="preserve"> </w:t>
      </w:r>
      <w:r>
        <w:rPr>
          <w:rFonts w:hint="eastAsia" w:ascii="宋体" w:hAnsi="宋体"/>
          <w:color w:val="auto"/>
        </w:rPr>
        <w:t>递交、</w:t>
      </w:r>
      <w:r>
        <w:rPr>
          <w:rFonts w:ascii="宋体" w:hAnsi="宋体" w:cs="宋体"/>
          <w:color w:val="auto"/>
        </w:rPr>
        <w:t xml:space="preserve"> </w:t>
      </w:r>
      <w:r>
        <w:rPr>
          <w:rFonts w:hint="eastAsia" w:ascii="宋体" w:hAnsi="宋体"/>
          <w:color w:val="auto"/>
        </w:rPr>
        <w:t>撤回、修改</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lang w:val="en-US"/>
        </w:rPr>
        <w:t>勘察设计</w:t>
      </w:r>
      <w:r>
        <w:rPr>
          <w:rFonts w:hint="eastAsia" w:ascii="宋体" w:hAnsi="宋体"/>
          <w:color w:val="auto"/>
        </w:rPr>
        <w:t>投标文件、签订合同和处理有关事宜，其法律后果由我方承担。</w:t>
      </w:r>
    </w:p>
    <w:p>
      <w:pPr>
        <w:spacing w:line="500" w:lineRule="exact"/>
        <w:ind w:firstLine="480" w:firstLineChars="200"/>
        <w:rPr>
          <w:rFonts w:ascii="宋体" w:hAnsi="宋体" w:cs="Times New Roman"/>
          <w:color w:val="auto"/>
        </w:rPr>
      </w:pPr>
      <w:r>
        <w:rPr>
          <w:rFonts w:hint="eastAsia" w:ascii="宋体" w:hAnsi="宋体"/>
          <w:color w:val="auto"/>
        </w:rPr>
        <w:t>委托期限：自本委托书签署之日起至投标有效期期满。</w:t>
      </w:r>
    </w:p>
    <w:p>
      <w:pPr>
        <w:spacing w:line="500" w:lineRule="exact"/>
        <w:ind w:firstLine="480" w:firstLineChars="200"/>
        <w:rPr>
          <w:rFonts w:ascii="宋体" w:hAnsi="宋体" w:cs="Times New Roman"/>
          <w:color w:val="auto"/>
        </w:rPr>
      </w:pPr>
      <w:r>
        <w:rPr>
          <w:rFonts w:hint="eastAsia" w:ascii="宋体" w:hAnsi="宋体"/>
          <w:color w:val="auto"/>
        </w:rPr>
        <w:t>代理人无转委托权。</w:t>
      </w:r>
      <w:r>
        <w:rPr>
          <w:rFonts w:ascii="宋体" w:hAnsi="宋体" w:cs="宋体"/>
          <w:color w:val="auto"/>
        </w:rPr>
        <w:t xml:space="preserve"> </w:t>
      </w:r>
    </w:p>
    <w:p>
      <w:pPr>
        <w:spacing w:line="500" w:lineRule="exact"/>
        <w:ind w:firstLine="480" w:firstLineChars="200"/>
        <w:rPr>
          <w:rFonts w:ascii="宋体" w:hAnsi="宋体" w:cs="Times New Roman"/>
          <w:color w:val="auto"/>
        </w:rPr>
      </w:pPr>
    </w:p>
    <w:p>
      <w:pPr>
        <w:spacing w:line="500" w:lineRule="exact"/>
        <w:ind w:firstLine="480" w:firstLineChars="200"/>
        <w:rPr>
          <w:rFonts w:ascii="宋体" w:hAnsi="宋体" w:cs="Times New Roman"/>
          <w:color w:val="auto"/>
        </w:rPr>
      </w:pPr>
      <w:r>
        <w:rPr>
          <w:rFonts w:hint="eastAsia" w:ascii="宋体" w:hAnsi="宋体"/>
          <w:color w:val="auto"/>
        </w:rPr>
        <w:t>附：法定代表人身份证复印件及委托代理人身份证复印件。</w:t>
      </w:r>
    </w:p>
    <w:p>
      <w:pPr>
        <w:spacing w:line="500" w:lineRule="exact"/>
        <w:rPr>
          <w:rFonts w:ascii="宋体" w:hAnsi="宋体" w:cs="Times New Roman"/>
          <w:color w:val="auto"/>
        </w:rPr>
      </w:pP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s="宋体"/>
          <w:color w:val="auto"/>
        </w:rPr>
        <w:t>投标人</w:t>
      </w:r>
      <w:r>
        <w:rPr>
          <w:rFonts w:hint="eastAsia" w:ascii="宋体" w:hAnsi="宋体"/>
          <w:color w:val="auto"/>
        </w:rPr>
        <w:t>：</w:t>
      </w:r>
      <w:r>
        <w:rPr>
          <w:rFonts w:ascii="宋体" w:hAnsi="宋体" w:cs="宋体"/>
          <w:color w:val="auto"/>
          <w:u w:val="single"/>
        </w:rPr>
        <w:t xml:space="preserve">                   </w:t>
      </w:r>
      <w:r>
        <w:rPr>
          <w:rFonts w:hint="eastAsia" w:ascii="宋体" w:hAnsi="宋体"/>
          <w:color w:val="auto"/>
        </w:rPr>
        <w:t>（盖单位章）</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身份证号码：</w:t>
      </w:r>
      <w:r>
        <w:rPr>
          <w:rFonts w:ascii="宋体" w:hAnsi="宋体" w:cs="宋体"/>
          <w:color w:val="auto"/>
          <w:u w:val="single"/>
        </w:rPr>
        <w:t xml:space="preserve">                          </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委托代理人：</w:t>
      </w:r>
      <w:r>
        <w:rPr>
          <w:rFonts w:ascii="宋体" w:hAnsi="宋体" w:cs="宋体"/>
          <w:color w:val="auto"/>
          <w:u w:val="single"/>
        </w:rPr>
        <w:t xml:space="preserve">                   </w:t>
      </w:r>
      <w:r>
        <w:rPr>
          <w:rFonts w:hint="eastAsia" w:ascii="宋体" w:hAnsi="宋体"/>
          <w:color w:val="auto"/>
        </w:rPr>
        <w:t>（签字）</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身份证号码：</w:t>
      </w:r>
      <w:r>
        <w:rPr>
          <w:rFonts w:ascii="宋体" w:hAnsi="宋体" w:cs="宋体"/>
          <w:color w:val="auto"/>
          <w:u w:val="single"/>
        </w:rPr>
        <w:t xml:space="preserve">                           </w:t>
      </w:r>
    </w:p>
    <w:p>
      <w:pPr>
        <w:spacing w:line="480" w:lineRule="auto"/>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spacing w:line="400" w:lineRule="exact"/>
        <w:ind w:firstLine="120" w:firstLineChars="50"/>
        <w:rPr>
          <w:rFonts w:ascii="宋体" w:hAnsi="宋体" w:cs="Times New Roman"/>
          <w:color w:val="auto"/>
        </w:rPr>
      </w:pPr>
      <w:r>
        <w:rPr>
          <w:rFonts w:hint="eastAsia" w:ascii="宋体" w:hAnsi="宋体"/>
          <w:color w:val="auto"/>
        </w:rPr>
        <w:t>注：</w:t>
      </w:r>
    </w:p>
    <w:p>
      <w:pPr>
        <w:spacing w:line="400" w:lineRule="exact"/>
        <w:ind w:firstLine="630" w:firstLineChars="300"/>
        <w:rPr>
          <w:rFonts w:ascii="宋体" w:hAnsi="宋体" w:cs="Times New Roman"/>
          <w:color w:val="auto"/>
          <w:sz w:val="21"/>
          <w:szCs w:val="21"/>
        </w:rPr>
      </w:pPr>
      <w:r>
        <w:rPr>
          <w:rFonts w:ascii="宋体" w:hAnsi="宋体" w:cs="宋体"/>
          <w:color w:val="auto"/>
          <w:sz w:val="21"/>
          <w:szCs w:val="21"/>
        </w:rPr>
        <w:t>1.</w:t>
      </w:r>
      <w:r>
        <w:rPr>
          <w:rStyle w:val="218"/>
          <w:rFonts w:ascii="宋体" w:hAnsi="宋体" w:eastAsia="宋体"/>
          <w:color w:val="auto"/>
          <w:sz w:val="21"/>
          <w:szCs w:val="21"/>
        </w:rPr>
        <w:t xml:space="preserve"> </w:t>
      </w:r>
      <w:r>
        <w:rPr>
          <w:rFonts w:hint="eastAsia" w:ascii="宋体" w:hAnsi="宋体"/>
          <w:color w:val="auto"/>
          <w:sz w:val="21"/>
          <w:szCs w:val="21"/>
        </w:rPr>
        <w:t>法定代表人和委托代理人必须在授权书上亲笔签名，不得使用印章、签名章或其他电子制版签名；如果由投标人的委托代理人签署投标文件，则不需提交法定代表人身份证明。</w:t>
      </w:r>
    </w:p>
    <w:p>
      <w:pPr>
        <w:spacing w:line="400" w:lineRule="exact"/>
        <w:ind w:firstLine="630" w:firstLineChars="300"/>
        <w:rPr>
          <w:rFonts w:ascii="宋体" w:hAnsi="宋体" w:cs="Times New Roman"/>
          <w:color w:val="auto"/>
          <w:sz w:val="21"/>
          <w:szCs w:val="21"/>
        </w:rPr>
      </w:pPr>
      <w:r>
        <w:rPr>
          <w:rFonts w:ascii="宋体" w:hAnsi="宋体" w:cs="宋体"/>
          <w:color w:val="auto"/>
          <w:sz w:val="21"/>
          <w:szCs w:val="21"/>
        </w:rPr>
        <w:t>2.</w:t>
      </w:r>
      <w:r>
        <w:rPr>
          <w:rFonts w:hint="eastAsia" w:ascii="宋体" w:hAnsi="宋体"/>
          <w:color w:val="auto"/>
          <w:sz w:val="21"/>
          <w:szCs w:val="21"/>
        </w:rPr>
        <w:t>以联合体形式投标的，本授权委托书应由联合体牵头人的法定代表人按上述规定签署。</w:t>
      </w:r>
    </w:p>
    <w:p>
      <w:pPr>
        <w:spacing w:line="360" w:lineRule="auto"/>
        <w:jc w:val="center"/>
        <w:rPr>
          <w:rFonts w:hint="eastAsia" w:ascii="宋体" w:hAnsi="宋体" w:cs="黑体"/>
          <w:b/>
          <w:color w:val="auto"/>
          <w:sz w:val="28"/>
          <w:szCs w:val="28"/>
        </w:rPr>
        <w:sectPr>
          <w:headerReference r:id="rId10" w:type="default"/>
          <w:footnotePr>
            <w:numRestart w:val="eachPage"/>
          </w:footnotePr>
          <w:pgSz w:w="11900" w:h="16838"/>
          <w:pgMar w:top="1803" w:right="1440" w:bottom="1803" w:left="1440" w:header="680" w:footer="680" w:gutter="0"/>
          <w:cols w:space="720" w:num="1"/>
          <w:docGrid w:linePitch="312" w:charSpace="0"/>
        </w:sectPr>
      </w:pPr>
      <w:bookmarkStart w:id="88" w:name="_Toc234382962"/>
    </w:p>
    <w:p>
      <w:pPr>
        <w:spacing w:line="360" w:lineRule="auto"/>
        <w:jc w:val="center"/>
        <w:rPr>
          <w:rFonts w:ascii="宋体" w:hAnsi="宋体" w:cs="黑体"/>
          <w:b/>
          <w:color w:val="auto"/>
          <w:sz w:val="28"/>
          <w:szCs w:val="28"/>
        </w:rPr>
      </w:pPr>
      <w:r>
        <w:rPr>
          <w:rFonts w:hint="eastAsia" w:ascii="宋体" w:hAnsi="宋体" w:cs="黑体"/>
          <w:b/>
          <w:color w:val="auto"/>
          <w:sz w:val="28"/>
          <w:szCs w:val="28"/>
        </w:rPr>
        <w:t>（二）法定代表人身份证明</w:t>
      </w:r>
      <w:bookmarkEnd w:id="88"/>
      <w:r>
        <w:rPr>
          <w:rStyle w:val="101"/>
          <w:rFonts w:ascii="宋体" w:hAnsi="宋体"/>
          <w:kern w:val="2"/>
          <w:sz w:val="32"/>
          <w:szCs w:val="32"/>
        </w:rPr>
        <w:footnoteReference w:id="111"/>
      </w:r>
    </w:p>
    <w:p>
      <w:pPr>
        <w:rPr>
          <w:rFonts w:ascii="宋体" w:hAnsi="宋体" w:cs="Times New Roman"/>
          <w:color w:val="auto"/>
          <w:lang w:val="en-US"/>
        </w:rPr>
      </w:pPr>
    </w:p>
    <w:p>
      <w:pPr>
        <w:rPr>
          <w:rFonts w:ascii="宋体" w:hAnsi="宋体" w:cs="Times New Roman"/>
          <w:color w:val="auto"/>
        </w:rPr>
      </w:pPr>
    </w:p>
    <w:p>
      <w:pPr>
        <w:spacing w:line="500" w:lineRule="exact"/>
        <w:rPr>
          <w:rFonts w:ascii="宋体" w:hAnsi="宋体" w:cs="Times New Roman"/>
          <w:color w:val="auto"/>
        </w:rPr>
      </w:pPr>
      <w:r>
        <w:rPr>
          <w:rFonts w:hint="eastAsia" w:ascii="宋体" w:hAnsi="宋体"/>
          <w:color w:val="auto"/>
        </w:rPr>
        <w:t>投标人名称：</w:t>
      </w:r>
      <w:r>
        <w:rPr>
          <w:rFonts w:ascii="宋体" w:hAnsi="宋体" w:cs="宋体"/>
          <w:color w:val="auto"/>
          <w:u w:val="single"/>
        </w:rPr>
        <w:t xml:space="preserve">                        </w:t>
      </w:r>
    </w:p>
    <w:p>
      <w:pPr>
        <w:spacing w:line="500" w:lineRule="exact"/>
        <w:rPr>
          <w:rFonts w:ascii="宋体" w:hAnsi="宋体" w:cs="Times New Roman"/>
          <w:color w:val="auto"/>
        </w:rPr>
      </w:pPr>
      <w:r>
        <w:rPr>
          <w:rFonts w:hint="eastAsia" w:ascii="宋体" w:hAnsi="宋体"/>
          <w:color w:val="auto"/>
        </w:rPr>
        <w:t>姓名：</w:t>
      </w:r>
      <w:r>
        <w:rPr>
          <w:rFonts w:ascii="宋体" w:hAnsi="宋体" w:cs="宋体"/>
          <w:color w:val="auto"/>
          <w:u w:val="single"/>
        </w:rPr>
        <w:t xml:space="preserve"> </w:t>
      </w:r>
      <w:r>
        <w:rPr>
          <w:rFonts w:hint="eastAsia" w:ascii="宋体" w:hAnsi="宋体"/>
          <w:color w:val="auto"/>
          <w:u w:val="single"/>
        </w:rPr>
        <w:t>（法定代表人亲笔签名）</w:t>
      </w:r>
      <w:r>
        <w:rPr>
          <w:rFonts w:ascii="宋体" w:hAnsi="宋体" w:cs="宋体"/>
          <w:color w:val="auto"/>
          <w:u w:val="single"/>
        </w:rPr>
        <w:t xml:space="preserve"> </w:t>
      </w:r>
      <w:r>
        <w:rPr>
          <w:rFonts w:ascii="宋体" w:hAnsi="宋体" w:cs="宋体"/>
          <w:color w:val="auto"/>
        </w:rPr>
        <w:t xml:space="preserve">  </w:t>
      </w:r>
      <w:r>
        <w:rPr>
          <w:rFonts w:hint="eastAsia" w:ascii="宋体" w:hAnsi="宋体"/>
          <w:color w:val="auto"/>
        </w:rPr>
        <w:t>性别：</w:t>
      </w:r>
      <w:r>
        <w:rPr>
          <w:rFonts w:ascii="宋体" w:hAnsi="宋体" w:cs="宋体"/>
          <w:color w:val="auto"/>
          <w:u w:val="single"/>
        </w:rPr>
        <w:t xml:space="preserve">      </w:t>
      </w:r>
      <w:r>
        <w:rPr>
          <w:rFonts w:ascii="宋体" w:hAnsi="宋体" w:cs="宋体"/>
          <w:color w:val="auto"/>
        </w:rPr>
        <w:t xml:space="preserve">  </w:t>
      </w:r>
      <w:r>
        <w:rPr>
          <w:rFonts w:hint="eastAsia" w:ascii="宋体" w:hAnsi="宋体"/>
          <w:color w:val="auto"/>
        </w:rPr>
        <w:t>年龄：</w:t>
      </w:r>
      <w:r>
        <w:rPr>
          <w:rFonts w:ascii="宋体" w:hAnsi="宋体" w:cs="宋体"/>
          <w:color w:val="auto"/>
          <w:u w:val="single"/>
        </w:rPr>
        <w:t xml:space="preserve">      </w:t>
      </w:r>
      <w:r>
        <w:rPr>
          <w:rFonts w:ascii="宋体" w:hAnsi="宋体" w:cs="宋体"/>
          <w:color w:val="auto"/>
        </w:rPr>
        <w:t xml:space="preserve">  </w:t>
      </w:r>
      <w:r>
        <w:rPr>
          <w:rFonts w:hint="eastAsia" w:ascii="宋体" w:hAnsi="宋体"/>
          <w:color w:val="auto"/>
        </w:rPr>
        <w:t>职务：</w:t>
      </w:r>
      <w:r>
        <w:rPr>
          <w:rFonts w:ascii="宋体" w:hAnsi="宋体" w:cs="宋体"/>
          <w:color w:val="auto"/>
          <w:u w:val="single"/>
        </w:rPr>
        <w:t xml:space="preserve">        </w:t>
      </w:r>
    </w:p>
    <w:p>
      <w:pPr>
        <w:spacing w:line="500" w:lineRule="exact"/>
        <w:rPr>
          <w:rFonts w:ascii="宋体" w:hAnsi="宋体" w:cs="Times New Roman"/>
          <w:color w:val="auto"/>
        </w:rPr>
      </w:pPr>
      <w:r>
        <w:rPr>
          <w:rFonts w:hint="eastAsia" w:ascii="宋体" w:hAnsi="宋体"/>
          <w:color w:val="auto"/>
        </w:rPr>
        <w:t>系</w:t>
      </w:r>
      <w:r>
        <w:rPr>
          <w:rFonts w:ascii="宋体" w:hAnsi="宋体" w:cs="宋体"/>
          <w:color w:val="auto"/>
          <w:u w:val="single"/>
        </w:rPr>
        <w:t xml:space="preserve">                   </w:t>
      </w:r>
      <w:r>
        <w:rPr>
          <w:rFonts w:hint="eastAsia" w:ascii="宋体" w:hAnsi="宋体"/>
          <w:color w:val="auto"/>
        </w:rPr>
        <w:t>（投标人名称）的法定代表人。</w:t>
      </w:r>
    </w:p>
    <w:p>
      <w:pPr>
        <w:spacing w:line="500" w:lineRule="exact"/>
        <w:ind w:firstLine="480" w:firstLineChars="200"/>
        <w:rPr>
          <w:rFonts w:ascii="宋体" w:hAnsi="宋体" w:cs="Times New Roman"/>
          <w:color w:val="auto"/>
        </w:rPr>
      </w:pPr>
      <w:r>
        <w:rPr>
          <w:rFonts w:hint="eastAsia" w:ascii="宋体" w:hAnsi="宋体"/>
          <w:color w:val="auto"/>
        </w:rPr>
        <w:t>特此证明。</w:t>
      </w:r>
    </w:p>
    <w:p>
      <w:pPr>
        <w:spacing w:line="500" w:lineRule="exact"/>
        <w:rPr>
          <w:rFonts w:ascii="宋体" w:hAnsi="宋体" w:cs="Times New Roman"/>
          <w:color w:val="auto"/>
        </w:rPr>
      </w:pPr>
    </w:p>
    <w:p>
      <w:pPr>
        <w:spacing w:line="500" w:lineRule="exact"/>
        <w:ind w:firstLine="480" w:firstLineChars="200"/>
        <w:rPr>
          <w:rFonts w:ascii="宋体" w:hAnsi="宋体" w:cs="Times New Roman"/>
          <w:color w:val="auto"/>
        </w:rPr>
      </w:pPr>
      <w:r>
        <w:rPr>
          <w:rFonts w:hint="eastAsia" w:ascii="宋体" w:hAnsi="宋体"/>
          <w:color w:val="auto"/>
        </w:rPr>
        <w:t>附：法定代表人身份证复印件。</w:t>
      </w:r>
    </w:p>
    <w:p>
      <w:pPr>
        <w:spacing w:line="500" w:lineRule="exact"/>
        <w:rPr>
          <w:rFonts w:ascii="宋体" w:hAnsi="宋体" w:cs="Times New Roman"/>
          <w:color w:val="auto"/>
          <w:lang w:val="en-US"/>
        </w:rPr>
      </w:pPr>
    </w:p>
    <w:p>
      <w:pPr>
        <w:spacing w:line="50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投标人：</w:t>
      </w:r>
      <w:r>
        <w:rPr>
          <w:rFonts w:ascii="宋体" w:hAnsi="宋体" w:cs="宋体"/>
          <w:color w:val="auto"/>
          <w:u w:val="single"/>
        </w:rPr>
        <w:t xml:space="preserve">             </w:t>
      </w:r>
      <w:r>
        <w:rPr>
          <w:rFonts w:hint="eastAsia" w:ascii="宋体" w:hAnsi="宋体"/>
          <w:color w:val="auto"/>
        </w:rPr>
        <w:t>（盖单位章）</w:t>
      </w:r>
    </w:p>
    <w:p>
      <w:pPr>
        <w:spacing w:line="400" w:lineRule="exact"/>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spacing w:line="400" w:lineRule="exact"/>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Style w:val="218"/>
          <w:rFonts w:ascii="宋体" w:hAnsi="宋体" w:eastAsia="宋体" w:cs="Times New Roman"/>
          <w:color w:val="auto"/>
          <w:sz w:val="21"/>
          <w:szCs w:val="21"/>
        </w:rPr>
      </w:pPr>
      <w:r>
        <w:rPr>
          <w:rFonts w:hint="eastAsia" w:ascii="宋体" w:hAnsi="宋体"/>
          <w:color w:val="auto"/>
          <w:sz w:val="21"/>
          <w:szCs w:val="21"/>
        </w:rPr>
        <w:t>注：</w:t>
      </w:r>
      <w:r>
        <w:rPr>
          <w:rStyle w:val="218"/>
          <w:rFonts w:hint="eastAsia" w:ascii="宋体" w:hAnsi="宋体" w:eastAsia="宋体"/>
          <w:color w:val="auto"/>
          <w:sz w:val="21"/>
          <w:szCs w:val="21"/>
        </w:rPr>
        <w:t>法定代表人的签字必须是亲笔签名，不得使用印章、签名章或其他电子制版签名代替。</w:t>
      </w: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rPr>
          <w:rStyle w:val="218"/>
          <w:rFonts w:ascii="宋体" w:hAnsi="宋体" w:eastAsia="宋体" w:cs="Times New Roman"/>
          <w:color w:val="auto"/>
          <w:sz w:val="21"/>
          <w:szCs w:val="21"/>
        </w:rPr>
      </w:pPr>
    </w:p>
    <w:p>
      <w:pPr>
        <w:pStyle w:val="84"/>
        <w:snapToGrid w:val="0"/>
        <w:spacing w:line="360" w:lineRule="auto"/>
        <w:outlineLvl w:val="1"/>
        <w:rPr>
          <w:rFonts w:hint="eastAsia" w:ascii="宋体" w:hAnsi="宋体"/>
          <w:sz w:val="28"/>
          <w:szCs w:val="28"/>
          <w:lang w:eastAsia="zh-CN"/>
        </w:rPr>
      </w:pPr>
      <w:bookmarkStart w:id="89" w:name="_Toc193904174"/>
      <w:bookmarkStart w:id="90" w:name="_Toc234382963"/>
      <w:bookmarkStart w:id="91" w:name="_Toc234242178"/>
      <w:r>
        <w:rPr>
          <w:rFonts w:hint="eastAsia" w:ascii="宋体" w:hAnsi="宋体"/>
          <w:sz w:val="28"/>
          <w:szCs w:val="28"/>
        </w:rPr>
        <w:t>三、联合体协议书</w:t>
      </w:r>
      <w:bookmarkEnd w:id="89"/>
      <w:bookmarkEnd w:id="90"/>
      <w:bookmarkEnd w:id="91"/>
      <w:r>
        <w:rPr>
          <w:rFonts w:hint="eastAsia" w:ascii="宋体" w:hAnsi="宋体"/>
          <w:sz w:val="28"/>
          <w:szCs w:val="28"/>
          <w:lang w:eastAsia="zh-CN"/>
        </w:rPr>
        <w:t>（</w:t>
      </w:r>
      <w:r>
        <w:rPr>
          <w:rFonts w:hint="eastAsia" w:ascii="宋体" w:hAnsi="宋体"/>
          <w:sz w:val="28"/>
          <w:szCs w:val="28"/>
          <w:lang w:val="en-US" w:eastAsia="zh-CN"/>
        </w:rPr>
        <w:t>如有</w:t>
      </w:r>
      <w:r>
        <w:rPr>
          <w:rFonts w:hint="eastAsia" w:ascii="宋体" w:hAnsi="宋体"/>
          <w:sz w:val="28"/>
          <w:szCs w:val="28"/>
          <w:lang w:eastAsia="zh-CN"/>
        </w:rPr>
        <w:t>）</w:t>
      </w:r>
    </w:p>
    <w:p>
      <w:pPr>
        <w:rPr>
          <w:rFonts w:ascii="宋体" w:hAnsi="宋体" w:cs="Times New Roman"/>
          <w:color w:val="auto"/>
          <w:lang w:val="en-US"/>
        </w:rPr>
      </w:pPr>
    </w:p>
    <w:p>
      <w:pPr>
        <w:spacing w:line="400" w:lineRule="exact"/>
        <w:ind w:firstLine="480" w:firstLineChars="200"/>
        <w:rPr>
          <w:rFonts w:ascii="宋体" w:hAnsi="宋体"/>
          <w:color w:val="auto"/>
        </w:rPr>
      </w:pPr>
      <w:r>
        <w:rPr>
          <w:rFonts w:hint="eastAsia" w:ascii="宋体" w:hAnsi="宋体"/>
          <w:color w:val="auto"/>
          <w:u w:val="single"/>
        </w:rPr>
        <w:t xml:space="preserve">                             </w:t>
      </w:r>
      <w:r>
        <w:rPr>
          <w:rFonts w:ascii="宋体" w:hAnsi="宋体"/>
          <w:color w:val="auto"/>
        </w:rPr>
        <w:t>(所有成员单位名称)自愿组成</w:t>
      </w:r>
      <w:r>
        <w:rPr>
          <w:rFonts w:hint="eastAsia" w:ascii="宋体" w:hAnsi="宋体"/>
          <w:color w:val="auto"/>
          <w:u w:val="single"/>
        </w:rPr>
        <w:t xml:space="preserve">             </w:t>
      </w:r>
      <w:r>
        <w:rPr>
          <w:rFonts w:ascii="宋体" w:hAnsi="宋体"/>
          <w:color w:val="auto"/>
        </w:rPr>
        <w:t>(</w:t>
      </w:r>
      <w:r>
        <w:rPr>
          <w:rFonts w:hint="eastAsia" w:ascii="宋体" w:hAnsi="宋体"/>
          <w:color w:val="auto"/>
          <w:lang w:val="en-US"/>
        </w:rPr>
        <w:t>联合体名称</w:t>
      </w:r>
      <w:r>
        <w:rPr>
          <w:rFonts w:ascii="宋体" w:hAnsi="宋体"/>
          <w:color w:val="auto"/>
        </w:rPr>
        <w:t>)联合体，共同参加</w:t>
      </w:r>
      <w:r>
        <w:rPr>
          <w:rFonts w:hint="eastAsia" w:ascii="宋体" w:hAnsi="宋体"/>
          <w:color w:val="auto"/>
          <w:u w:val="single"/>
        </w:rPr>
        <w:t xml:space="preserve">         </w:t>
      </w:r>
      <w:r>
        <w:rPr>
          <w:rFonts w:ascii="宋体" w:hAnsi="宋体"/>
          <w:color w:val="auto"/>
          <w:u w:val="single"/>
        </w:rPr>
        <w:t>(项目名称)</w:t>
      </w:r>
      <w:r>
        <w:rPr>
          <w:rFonts w:hint="eastAsia" w:ascii="宋体" w:hAnsi="宋体"/>
          <w:color w:val="auto"/>
          <w:u w:val="single"/>
          <w:lang w:val="en-US" w:eastAsia="zh-CN"/>
        </w:rPr>
        <w:t xml:space="preserve">    </w:t>
      </w:r>
      <w:r>
        <w:rPr>
          <w:rFonts w:hint="eastAsia" w:ascii="宋体" w:hAnsi="宋体"/>
          <w:color w:val="auto"/>
          <w:u w:val="single"/>
        </w:rPr>
        <w:t>标类（或标段）</w:t>
      </w:r>
      <w:r>
        <w:rPr>
          <w:rFonts w:ascii="宋体" w:hAnsi="宋体"/>
          <w:color w:val="auto"/>
        </w:rPr>
        <w:t>勘察设计</w:t>
      </w:r>
      <w:r>
        <w:rPr>
          <w:rFonts w:hint="eastAsia" w:ascii="宋体" w:hAnsi="宋体"/>
          <w:color w:val="auto"/>
          <w:lang w:val="en-US"/>
        </w:rPr>
        <w:t>招标项目</w:t>
      </w:r>
      <w:r>
        <w:rPr>
          <w:rFonts w:ascii="宋体" w:hAnsi="宋体"/>
          <w:color w:val="auto"/>
        </w:rPr>
        <w:t>投标。现就联合体投标事宜订立如下协议。</w:t>
      </w:r>
    </w:p>
    <w:p>
      <w:pPr>
        <w:spacing w:line="400" w:lineRule="exact"/>
        <w:ind w:firstLine="480" w:firstLineChars="200"/>
        <w:rPr>
          <w:rFonts w:ascii="宋体" w:hAnsi="宋体"/>
          <w:color w:val="auto"/>
        </w:rPr>
      </w:pPr>
      <w:r>
        <w:rPr>
          <w:rFonts w:ascii="宋体" w:hAnsi="宋体"/>
          <w:color w:val="auto"/>
        </w:rPr>
        <w:t>1．</w:t>
      </w:r>
      <w:r>
        <w:rPr>
          <w:rFonts w:hint="eastAsia" w:ascii="宋体" w:hAnsi="宋体"/>
          <w:color w:val="auto"/>
          <w:u w:val="single"/>
        </w:rPr>
        <w:t xml:space="preserve">              </w:t>
      </w:r>
      <w:r>
        <w:rPr>
          <w:rFonts w:ascii="宋体" w:hAnsi="宋体"/>
          <w:color w:val="auto"/>
        </w:rPr>
        <w:t>(某成员单位名称)为</w:t>
      </w:r>
      <w:r>
        <w:rPr>
          <w:rFonts w:hint="eastAsia" w:ascii="宋体" w:hAnsi="宋体"/>
          <w:color w:val="auto"/>
          <w:u w:val="single"/>
        </w:rPr>
        <w:t xml:space="preserve">             </w:t>
      </w:r>
      <w:r>
        <w:rPr>
          <w:rFonts w:ascii="宋体" w:hAnsi="宋体"/>
          <w:color w:val="auto"/>
        </w:rPr>
        <w:t>(</w:t>
      </w:r>
      <w:r>
        <w:rPr>
          <w:rFonts w:hint="eastAsia" w:ascii="宋体" w:hAnsi="宋体"/>
          <w:color w:val="auto"/>
          <w:lang w:val="en-US"/>
        </w:rPr>
        <w:t>联合体名称</w:t>
      </w:r>
      <w:r>
        <w:rPr>
          <w:rFonts w:ascii="宋体" w:hAnsi="宋体"/>
          <w:color w:val="auto"/>
        </w:rPr>
        <w:t>)牵头人。</w:t>
      </w:r>
    </w:p>
    <w:p>
      <w:pPr>
        <w:spacing w:line="400" w:lineRule="exact"/>
        <w:ind w:firstLine="480" w:firstLineChars="200"/>
        <w:rPr>
          <w:rFonts w:hint="eastAsia" w:ascii="宋体" w:hAnsi="宋体"/>
          <w:color w:val="auto"/>
        </w:rPr>
      </w:pPr>
      <w:r>
        <w:rPr>
          <w:rFonts w:ascii="宋体" w:hAnsi="宋体"/>
          <w:color w:val="auto"/>
        </w:rPr>
        <w:t>2．</w:t>
      </w:r>
      <w:r>
        <w:rPr>
          <w:rFonts w:hint="eastAsia" w:ascii="宋体" w:hAnsi="宋体"/>
          <w:color w:val="auto"/>
        </w:rPr>
        <w:t>联合体各成员授权牵头人代表联合体参加投标活动，签署文件，提交和接收相关的资料、信息及指示，进行合同谈判活动，负责合同实施阶段的组织和协调工作，以及处理与本招标项目有关的一切事宜。</w:t>
      </w:r>
    </w:p>
    <w:p>
      <w:pPr>
        <w:spacing w:line="400" w:lineRule="exact"/>
        <w:ind w:firstLine="480" w:firstLineChars="200"/>
        <w:rPr>
          <w:rFonts w:hint="eastAsia" w:ascii="宋体" w:hAnsi="宋体"/>
          <w:color w:val="auto"/>
        </w:rPr>
      </w:pPr>
      <w:r>
        <w:rPr>
          <w:rFonts w:ascii="宋体" w:hAnsi="宋体"/>
          <w:color w:val="auto"/>
        </w:rPr>
        <w:t>3．</w:t>
      </w:r>
      <w:r>
        <w:rPr>
          <w:rFonts w:hint="eastAsia" w:ascii="宋体" w:hAnsi="宋体"/>
          <w:color w:val="auto"/>
        </w:rPr>
        <w:t>联合体牵头人在本项目中签署的一切文件和处理的一切事宜，联合体各成员均予以承认。联合体各成员将严格按照招标文件、投标文件和合同的要求全面履行义务，并向招标人承担连带责任。</w:t>
      </w:r>
    </w:p>
    <w:p>
      <w:pPr>
        <w:spacing w:line="400" w:lineRule="exact"/>
        <w:ind w:firstLine="480" w:firstLineChars="200"/>
        <w:rPr>
          <w:rFonts w:hint="eastAsia" w:ascii="宋体" w:hAnsi="宋体"/>
          <w:color w:val="auto"/>
          <w:u w:val="single"/>
        </w:rPr>
      </w:pPr>
      <w:r>
        <w:rPr>
          <w:rFonts w:ascii="宋体" w:hAnsi="宋体"/>
          <w:color w:val="auto"/>
        </w:rPr>
        <w:t>4．</w:t>
      </w:r>
      <w:r>
        <w:rPr>
          <w:rFonts w:hint="eastAsia" w:ascii="宋体" w:hAnsi="宋体"/>
          <w:color w:val="auto"/>
        </w:rPr>
        <w:t>联合体各成员单位内部的职责分工如下：</w:t>
      </w:r>
      <w:r>
        <w:rPr>
          <w:rFonts w:hint="eastAsia" w:ascii="宋体" w:hAnsi="宋体"/>
          <w:color w:val="auto"/>
          <w:u w:val="single"/>
        </w:rPr>
        <w:t xml:space="preserve">              </w:t>
      </w:r>
    </w:p>
    <w:p>
      <w:pPr>
        <w:spacing w:line="400" w:lineRule="exact"/>
        <w:ind w:firstLine="480" w:firstLineChars="200"/>
        <w:rPr>
          <w:rFonts w:ascii="宋体" w:hAnsi="宋体"/>
          <w:color w:val="auto"/>
        </w:rPr>
      </w:pPr>
      <w:r>
        <w:rPr>
          <w:rFonts w:hint="eastAsia" w:ascii="宋体" w:hAnsi="宋体"/>
          <w:color w:val="auto"/>
          <w:lang w:val="en-US"/>
        </w:rPr>
        <w:t>5</w:t>
      </w:r>
      <w:r>
        <w:rPr>
          <w:rFonts w:ascii="宋体" w:hAnsi="宋体"/>
          <w:color w:val="auto"/>
        </w:rPr>
        <w:t>．</w:t>
      </w:r>
      <w:r>
        <w:rPr>
          <w:rFonts w:hint="eastAsia" w:ascii="宋体" w:hAnsi="宋体"/>
          <w:color w:val="auto"/>
        </w:rPr>
        <w:t>本协议书自所有成员单位法定代表人或其委托代理人签字或盖单位章之日起生效，合同履行完毕后自动失效</w:t>
      </w:r>
      <w:r>
        <w:rPr>
          <w:rFonts w:ascii="宋体" w:hAnsi="宋体"/>
          <w:color w:val="auto"/>
        </w:rPr>
        <w:t>。</w:t>
      </w:r>
    </w:p>
    <w:p>
      <w:pPr>
        <w:spacing w:line="400" w:lineRule="exact"/>
        <w:ind w:firstLine="480" w:firstLineChars="200"/>
        <w:rPr>
          <w:rFonts w:ascii="宋体" w:hAnsi="宋体" w:cs="Times New Roman"/>
          <w:color w:val="auto"/>
        </w:rPr>
      </w:pPr>
      <w:r>
        <w:rPr>
          <w:rFonts w:ascii="宋体" w:hAnsi="宋体"/>
          <w:color w:val="auto"/>
        </w:rPr>
        <w:t>7．本协议书一式</w:t>
      </w:r>
      <w:r>
        <w:rPr>
          <w:rFonts w:hint="eastAsia" w:ascii="宋体" w:hAnsi="宋体"/>
          <w:color w:val="auto"/>
          <w:u w:val="single"/>
        </w:rPr>
        <w:t xml:space="preserve">      </w:t>
      </w:r>
      <w:r>
        <w:rPr>
          <w:rFonts w:ascii="宋体" w:hAnsi="宋体"/>
          <w:color w:val="auto"/>
        </w:rPr>
        <w:t>份，联合体成员和招标人各执一份。</w:t>
      </w:r>
      <w:r>
        <w:rPr>
          <w:rFonts w:hint="eastAsia" w:ascii="宋体" w:hAnsi="宋体"/>
          <w:color w:val="auto"/>
        </w:rPr>
        <w:t>。</w:t>
      </w:r>
    </w:p>
    <w:p>
      <w:pPr>
        <w:spacing w:line="440" w:lineRule="exact"/>
        <w:rPr>
          <w:rFonts w:hint="eastAsia" w:ascii="宋体" w:hAnsi="宋体" w:cs="Times New Roman"/>
          <w:color w:val="auto"/>
        </w:rPr>
      </w:pPr>
    </w:p>
    <w:p>
      <w:pPr>
        <w:spacing w:line="440" w:lineRule="exact"/>
        <w:ind w:firstLine="480" w:firstLineChars="200"/>
        <w:rPr>
          <w:rFonts w:ascii="宋体" w:hAnsi="宋体" w:cs="Times New Roman"/>
          <w:color w:val="auto"/>
        </w:rPr>
      </w:pPr>
      <w:r>
        <w:rPr>
          <w:rFonts w:hint="eastAsia" w:ascii="宋体" w:hAnsi="宋体" w:cs="Times New Roman"/>
          <w:color w:val="auto"/>
        </w:rPr>
        <w:t>注：本协议书由法定代表人签字的，应附法定代表人身份证明；由委托代理人签字的，应附授权委托书。</w:t>
      </w:r>
    </w:p>
    <w:p>
      <w:pPr>
        <w:spacing w:line="440" w:lineRule="exact"/>
        <w:ind w:firstLine="480" w:firstLineChars="200"/>
        <w:rPr>
          <w:rFonts w:hint="eastAsia" w:ascii="宋体" w:hAnsi="宋体"/>
          <w:color w:val="auto"/>
        </w:rPr>
      </w:pPr>
    </w:p>
    <w:p>
      <w:pPr>
        <w:spacing w:line="440" w:lineRule="exact"/>
        <w:ind w:firstLine="480" w:firstLineChars="200"/>
        <w:rPr>
          <w:rFonts w:hint="eastAsia" w:ascii="宋体" w:hAnsi="宋体"/>
          <w:color w:val="auto"/>
        </w:rPr>
      </w:pPr>
      <w:r>
        <w:rPr>
          <w:rFonts w:hint="eastAsia" w:ascii="宋体" w:hAnsi="宋体"/>
          <w:color w:val="auto"/>
        </w:rPr>
        <w:t>联合体牵头人名称：</w:t>
      </w:r>
      <w:r>
        <w:rPr>
          <w:rFonts w:ascii="宋体" w:hAnsi="宋体" w:cs="宋体"/>
          <w:color w:val="auto"/>
          <w:u w:val="single"/>
        </w:rPr>
        <w:t xml:space="preserve">                          </w:t>
      </w:r>
      <w:r>
        <w:rPr>
          <w:rFonts w:hint="eastAsia" w:ascii="宋体" w:hAnsi="宋体"/>
          <w:color w:val="auto"/>
        </w:rPr>
        <w:t>（盖单位章）</w:t>
      </w:r>
    </w:p>
    <w:p>
      <w:pPr>
        <w:spacing w:line="440" w:lineRule="exact"/>
        <w:ind w:firstLine="480" w:firstLineChars="200"/>
        <w:rPr>
          <w:rFonts w:ascii="宋体" w:hAnsi="宋体" w:cs="Times New Roman"/>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40" w:lineRule="exact"/>
        <w:rPr>
          <w:rFonts w:hint="eastAsia" w:ascii="宋体" w:hAnsi="宋体"/>
          <w:color w:val="auto"/>
        </w:rPr>
      </w:pPr>
    </w:p>
    <w:p>
      <w:pPr>
        <w:spacing w:line="440" w:lineRule="exact"/>
        <w:ind w:firstLine="480" w:firstLineChars="200"/>
        <w:rPr>
          <w:rFonts w:ascii="宋体" w:hAnsi="宋体" w:cs="宋体"/>
          <w:color w:val="auto"/>
        </w:rPr>
      </w:pPr>
      <w:r>
        <w:rPr>
          <w:rFonts w:hint="eastAsia" w:ascii="宋体" w:hAnsi="宋体"/>
          <w:color w:val="auto"/>
        </w:rPr>
        <w:t>联合体成员一名称：</w:t>
      </w:r>
      <w:r>
        <w:rPr>
          <w:rFonts w:ascii="宋体" w:hAnsi="宋体" w:cs="宋体"/>
          <w:color w:val="auto"/>
          <w:u w:val="single"/>
        </w:rPr>
        <w:t xml:space="preserve">                           </w:t>
      </w:r>
      <w:r>
        <w:rPr>
          <w:rFonts w:hint="eastAsia" w:ascii="宋体" w:hAnsi="宋体"/>
          <w:color w:val="auto"/>
        </w:rPr>
        <w:t>（盖单位章）</w:t>
      </w:r>
      <w:r>
        <w:rPr>
          <w:rFonts w:ascii="宋体" w:hAnsi="宋体" w:cs="宋体"/>
          <w:color w:val="auto"/>
        </w:rPr>
        <w:t xml:space="preserve"> </w:t>
      </w:r>
    </w:p>
    <w:p>
      <w:pPr>
        <w:spacing w:line="440" w:lineRule="exact"/>
        <w:ind w:firstLine="480" w:firstLineChars="200"/>
        <w:rPr>
          <w:rFonts w:ascii="宋体" w:hAnsi="宋体" w:cs="Times New Roman"/>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40" w:lineRule="exact"/>
        <w:rPr>
          <w:rFonts w:hint="eastAsia" w:ascii="宋体" w:hAnsi="宋体"/>
          <w:color w:val="auto"/>
        </w:rPr>
      </w:pPr>
    </w:p>
    <w:p>
      <w:pPr>
        <w:spacing w:line="440" w:lineRule="exact"/>
        <w:ind w:firstLine="480" w:firstLineChars="200"/>
        <w:rPr>
          <w:rFonts w:ascii="宋体" w:hAnsi="宋体" w:cs="宋体"/>
          <w:color w:val="auto"/>
        </w:rPr>
      </w:pPr>
      <w:r>
        <w:rPr>
          <w:rFonts w:hint="eastAsia" w:ascii="宋体" w:hAnsi="宋体"/>
          <w:color w:val="auto"/>
        </w:rPr>
        <w:t>联合体成员二名称：</w:t>
      </w:r>
      <w:r>
        <w:rPr>
          <w:rFonts w:ascii="宋体" w:hAnsi="宋体" w:cs="宋体"/>
          <w:color w:val="auto"/>
          <w:u w:val="single"/>
        </w:rPr>
        <w:t xml:space="preserve">                            </w:t>
      </w:r>
      <w:r>
        <w:rPr>
          <w:rFonts w:hint="eastAsia" w:ascii="宋体" w:hAnsi="宋体"/>
          <w:color w:val="auto"/>
        </w:rPr>
        <w:t>（盖单位章）</w:t>
      </w:r>
      <w:r>
        <w:rPr>
          <w:rFonts w:ascii="宋体" w:hAnsi="宋体" w:cs="宋体"/>
          <w:color w:val="auto"/>
        </w:rPr>
        <w:t xml:space="preserve"> </w:t>
      </w:r>
    </w:p>
    <w:p>
      <w:pPr>
        <w:spacing w:line="440" w:lineRule="exact"/>
        <w:ind w:firstLine="480" w:firstLineChars="200"/>
        <w:rPr>
          <w:rFonts w:hint="eastAsia" w:ascii="宋体" w:hAnsi="宋体"/>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40" w:lineRule="exact"/>
        <w:ind w:firstLine="480" w:firstLineChars="200"/>
        <w:rPr>
          <w:rFonts w:ascii="宋体" w:hAnsi="宋体" w:cs="宋体"/>
          <w:color w:val="auto"/>
        </w:rPr>
      </w:pPr>
      <w:r>
        <w:rPr>
          <w:rFonts w:hint="eastAsia" w:ascii="宋体" w:hAnsi="宋体" w:cs="宋体"/>
          <w:color w:val="auto"/>
        </w:rPr>
        <w:t>……</w:t>
      </w:r>
      <w:r>
        <w:rPr>
          <w:rFonts w:ascii="宋体" w:hAnsi="宋体" w:cs="宋体"/>
          <w:color w:val="auto"/>
        </w:rPr>
        <w:t xml:space="preserve">                                            </w:t>
      </w:r>
    </w:p>
    <w:p>
      <w:pPr>
        <w:spacing w:line="440" w:lineRule="exact"/>
        <w:ind w:right="480" w:firstLine="4200"/>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pStyle w:val="84"/>
        <w:snapToGrid w:val="0"/>
        <w:spacing w:line="360" w:lineRule="auto"/>
        <w:outlineLvl w:val="1"/>
        <w:rPr>
          <w:rFonts w:ascii="宋体" w:hAnsi="宋体"/>
          <w:sz w:val="28"/>
          <w:szCs w:val="28"/>
        </w:rPr>
      </w:pPr>
      <w:bookmarkStart w:id="92" w:name="_Toc234382964"/>
      <w:r>
        <w:rPr>
          <w:rFonts w:ascii="宋体" w:hAnsi="宋体"/>
          <w:sz w:val="28"/>
          <w:szCs w:val="28"/>
        </w:rPr>
        <w:br w:type="page"/>
      </w:r>
      <w:r>
        <w:rPr>
          <w:rFonts w:hint="eastAsia" w:ascii="宋体" w:hAnsi="宋体"/>
          <w:sz w:val="28"/>
          <w:szCs w:val="28"/>
        </w:rPr>
        <w:t>四、投标保证金</w:t>
      </w:r>
      <w:bookmarkEnd w:id="92"/>
    </w:p>
    <w:p>
      <w:pPr>
        <w:spacing w:line="400" w:lineRule="exact"/>
        <w:ind w:firstLine="480" w:firstLineChars="200"/>
        <w:rPr>
          <w:rFonts w:ascii="宋体" w:hAnsi="宋体" w:cs="Times New Roman"/>
          <w:color w:val="auto"/>
        </w:rPr>
      </w:pPr>
      <w:r>
        <w:rPr>
          <w:rFonts w:hint="eastAsia" w:ascii="宋体" w:hAnsi="宋体"/>
          <w:color w:val="auto"/>
        </w:rPr>
        <w:t>若采用现金或支票，投标人应在此提供汇款凭证的复印件。</w:t>
      </w:r>
    </w:p>
    <w:p>
      <w:pPr>
        <w:spacing w:line="400" w:lineRule="exact"/>
        <w:ind w:firstLine="480" w:firstLineChars="200"/>
        <w:rPr>
          <w:rFonts w:hint="eastAsia" w:ascii="宋体" w:hAnsi="宋体"/>
          <w:color w:val="auto"/>
        </w:rPr>
      </w:pPr>
      <w:r>
        <w:rPr>
          <w:rFonts w:hint="eastAsia" w:ascii="宋体" w:hAnsi="宋体"/>
          <w:color w:val="auto"/>
        </w:rPr>
        <w:t>如采用银行保函，银行保函复印件装订在投标文件中（原件单独密封递交），格式如下。</w:t>
      </w:r>
    </w:p>
    <w:p>
      <w:pPr>
        <w:spacing w:line="400" w:lineRule="atLeast"/>
        <w:ind w:firstLine="480" w:firstLineChars="200"/>
        <w:rPr>
          <w:rFonts w:hint="eastAsia"/>
          <w:b/>
          <w:color w:val="auto"/>
          <w:kern w:val="44"/>
          <w:sz w:val="32"/>
          <w:szCs w:val="32"/>
        </w:rPr>
      </w:pPr>
      <w:r>
        <w:rPr>
          <w:rFonts w:hint="eastAsia" w:ascii="宋体" w:hAnsi="宋体"/>
          <w:color w:val="auto"/>
          <w:lang w:val="en-US"/>
        </w:rPr>
        <w:t>如采用</w:t>
      </w:r>
      <w:r>
        <w:rPr>
          <w:rStyle w:val="333"/>
          <w:rFonts w:hint="eastAsia" w:ascii="宋体" w:hAnsi="宋体" w:eastAsia="宋体" w:cs="MingLiU_HKSCS"/>
          <w:color w:val="auto"/>
          <w:sz w:val="24"/>
          <w:lang w:val="en-US"/>
        </w:rPr>
        <w:t>其他</w:t>
      </w:r>
      <w:r>
        <w:rPr>
          <w:rStyle w:val="333"/>
          <w:rFonts w:hint="eastAsia" w:ascii="宋体" w:hAnsi="宋体" w:eastAsia="宋体" w:cs="MingLiU_HKSCS"/>
          <w:color w:val="auto"/>
          <w:sz w:val="24"/>
        </w:rPr>
        <w:t>形式提交，</w:t>
      </w:r>
      <w:r>
        <w:rPr>
          <w:rStyle w:val="333"/>
          <w:rFonts w:hint="eastAsia" w:ascii="宋体" w:hAnsi="宋体" w:eastAsia="宋体" w:cs="MingLiU_HKSCS"/>
          <w:color w:val="auto"/>
          <w:sz w:val="24"/>
          <w:lang w:val="en-US"/>
        </w:rPr>
        <w:t>应满足须知前附表3.4.1项的规定。</w:t>
      </w:r>
    </w:p>
    <w:p>
      <w:pPr>
        <w:spacing w:line="400" w:lineRule="exact"/>
        <w:ind w:firstLine="560" w:firstLineChars="200"/>
        <w:jc w:val="center"/>
        <w:rPr>
          <w:rFonts w:hint="eastAsia" w:ascii="宋体" w:hAnsi="宋体" w:cs="黑体"/>
          <w:bCs/>
          <w:color w:val="auto"/>
          <w:kern w:val="44"/>
          <w:sz w:val="28"/>
          <w:szCs w:val="28"/>
        </w:rPr>
      </w:pPr>
    </w:p>
    <w:p>
      <w:pPr>
        <w:spacing w:line="400" w:lineRule="exact"/>
        <w:ind w:firstLine="560" w:firstLineChars="200"/>
        <w:jc w:val="center"/>
        <w:rPr>
          <w:rFonts w:hint="eastAsia" w:ascii="宋体" w:hAnsi="宋体" w:cs="黑体"/>
          <w:bCs/>
          <w:color w:val="auto"/>
          <w:kern w:val="44"/>
          <w:sz w:val="28"/>
          <w:szCs w:val="28"/>
        </w:rPr>
      </w:pPr>
      <w:r>
        <w:rPr>
          <w:rFonts w:hint="eastAsia" w:ascii="宋体" w:hAnsi="宋体" w:cs="黑体"/>
          <w:bCs/>
          <w:color w:val="auto"/>
          <w:kern w:val="44"/>
          <w:sz w:val="28"/>
          <w:szCs w:val="28"/>
        </w:rPr>
        <w:t>投标银行保函格式</w:t>
      </w:r>
    </w:p>
    <w:p>
      <w:pPr>
        <w:spacing w:line="400" w:lineRule="exact"/>
        <w:ind w:firstLine="560" w:firstLineChars="200"/>
        <w:jc w:val="center"/>
        <w:rPr>
          <w:rFonts w:ascii="宋体" w:hAnsi="宋体" w:cs="黑体"/>
          <w:bCs/>
          <w:color w:val="auto"/>
          <w:kern w:val="44"/>
          <w:sz w:val="28"/>
          <w:szCs w:val="28"/>
        </w:rPr>
      </w:pPr>
    </w:p>
    <w:p>
      <w:pPr>
        <w:spacing w:line="400" w:lineRule="exact"/>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p>
    <w:p>
      <w:pPr>
        <w:spacing w:line="400" w:lineRule="exact"/>
        <w:ind w:firstLine="480" w:firstLineChars="200"/>
        <w:rPr>
          <w:rFonts w:ascii="宋体" w:hAnsi="宋体" w:cs="Times New Roman"/>
          <w:color w:val="auto"/>
        </w:rPr>
      </w:pPr>
      <w:r>
        <w:rPr>
          <w:rFonts w:hint="eastAsia" w:ascii="宋体" w:hAnsi="宋体"/>
          <w:color w:val="auto"/>
        </w:rPr>
        <w:t>鉴于</w:t>
      </w:r>
      <w:r>
        <w:rPr>
          <w:rFonts w:ascii="宋体" w:hAnsi="宋体" w:cs="宋体"/>
          <w:color w:val="auto"/>
          <w:u w:val="single"/>
        </w:rPr>
        <w:t xml:space="preserve">           </w:t>
      </w:r>
      <w:r>
        <w:rPr>
          <w:rFonts w:hint="eastAsia" w:ascii="宋体" w:hAnsi="宋体"/>
          <w:color w:val="auto"/>
        </w:rPr>
        <w:t>（投标人名称）（以下称</w:t>
      </w:r>
      <w:r>
        <w:rPr>
          <w:rFonts w:hint="eastAsia" w:ascii="宋体" w:hAnsi="宋体" w:cs="宋体"/>
          <w:color w:val="auto"/>
        </w:rPr>
        <w:t>“</w:t>
      </w:r>
      <w:r>
        <w:rPr>
          <w:rFonts w:hint="eastAsia" w:ascii="宋体" w:hAnsi="宋体"/>
          <w:color w:val="auto"/>
        </w:rPr>
        <w:t>投标人</w:t>
      </w:r>
      <w:r>
        <w:rPr>
          <w:rFonts w:hint="eastAsia" w:ascii="宋体" w:hAnsi="宋体" w:cs="宋体"/>
          <w:color w:val="auto"/>
        </w:rPr>
        <w:t>”</w:t>
      </w:r>
      <w:r>
        <w:rPr>
          <w:rFonts w:hint="eastAsia" w:ascii="宋体" w:hAnsi="宋体"/>
          <w:color w:val="auto"/>
        </w:rPr>
        <w:t>）于</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日参加</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lang w:val="en-US"/>
        </w:rPr>
        <w:t>勘察设计</w:t>
      </w:r>
      <w:r>
        <w:rPr>
          <w:rFonts w:hint="eastAsia" w:ascii="宋体" w:hAnsi="宋体"/>
          <w:color w:val="auto"/>
        </w:rPr>
        <w:t>的投标，</w:t>
      </w:r>
      <w:r>
        <w:rPr>
          <w:rFonts w:ascii="宋体" w:hAnsi="宋体" w:cs="宋体"/>
          <w:color w:val="auto"/>
          <w:u w:val="single"/>
        </w:rPr>
        <w:t xml:space="preserve">             </w:t>
      </w:r>
      <w:r>
        <w:rPr>
          <w:rFonts w:hint="eastAsia" w:ascii="宋体" w:hAnsi="宋体"/>
          <w:color w:val="auto"/>
        </w:rPr>
        <w:t>（担保人名称，以下简称</w:t>
      </w:r>
      <w:r>
        <w:rPr>
          <w:rFonts w:hint="eastAsia" w:ascii="宋体" w:hAnsi="宋体" w:cs="宋体"/>
          <w:color w:val="auto"/>
        </w:rPr>
        <w:t>“</w:t>
      </w:r>
      <w:r>
        <w:rPr>
          <w:rFonts w:hint="eastAsia" w:ascii="宋体" w:hAnsi="宋体"/>
          <w:color w:val="auto"/>
        </w:rPr>
        <w:t>我方</w:t>
      </w:r>
      <w:r>
        <w:rPr>
          <w:rFonts w:hint="eastAsia" w:ascii="宋体" w:hAnsi="宋体" w:cs="宋体"/>
          <w:color w:val="auto"/>
        </w:rPr>
        <w:t>”</w:t>
      </w:r>
      <w:r>
        <w:rPr>
          <w:rFonts w:hint="eastAsia" w:ascii="宋体" w:hAnsi="宋体"/>
          <w:color w:val="auto"/>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rFonts w:ascii="宋体" w:hAnsi="宋体" w:cs="宋体"/>
          <w:color w:val="auto"/>
        </w:rPr>
        <w:t>7</w:t>
      </w:r>
      <w:r>
        <w:rPr>
          <w:rFonts w:hint="eastAsia" w:ascii="宋体" w:hAnsi="宋体"/>
          <w:color w:val="auto"/>
        </w:rPr>
        <w:t>日内向你方无条件支付人民币（大写）</w:t>
      </w:r>
      <w:r>
        <w:rPr>
          <w:rFonts w:ascii="宋体" w:hAnsi="宋体" w:cs="宋体"/>
          <w:color w:val="auto"/>
          <w:u w:val="single"/>
        </w:rPr>
        <w:t xml:space="preserve">             </w:t>
      </w:r>
      <w:r>
        <w:rPr>
          <w:rFonts w:hint="eastAsia" w:ascii="宋体" w:hAnsi="宋体"/>
          <w:color w:val="auto"/>
        </w:rPr>
        <w:t>元。</w:t>
      </w:r>
    </w:p>
    <w:p>
      <w:pPr>
        <w:pStyle w:val="215"/>
        <w:shd w:val="clear" w:color="auto" w:fill="auto"/>
        <w:spacing w:before="0"/>
        <w:ind w:firstLine="520"/>
        <w:jc w:val="left"/>
        <w:rPr>
          <w:rFonts w:hint="eastAsia" w:ascii="宋体" w:hAnsi="宋体" w:eastAsia="宋体" w:cs="MingLiU_HKSCS"/>
          <w:sz w:val="24"/>
          <w:szCs w:val="24"/>
        </w:rPr>
      </w:pPr>
      <w:r>
        <w:rPr>
          <w:rFonts w:hint="eastAsia" w:ascii="宋体" w:hAnsi="宋体" w:eastAsia="宋体" w:cs="MingLiU_HKSCS"/>
          <w:sz w:val="24"/>
          <w:szCs w:val="24"/>
        </w:rPr>
        <w:t>本保函在投标有效期或经延长的投标有效期内保持有效。要求我方承担保证责任的通知应在上述期限内送达我方。你方延长投标有效期的决</w:t>
      </w:r>
    </w:p>
    <w:p>
      <w:pPr>
        <w:pStyle w:val="215"/>
        <w:shd w:val="clear" w:color="auto" w:fill="auto"/>
        <w:spacing w:before="0"/>
        <w:jc w:val="left"/>
        <w:rPr>
          <w:rFonts w:ascii="宋体" w:hAnsi="宋体" w:eastAsia="宋体"/>
          <w:spacing w:val="0"/>
          <w:sz w:val="24"/>
          <w:szCs w:val="24"/>
        </w:rPr>
      </w:pPr>
      <w:r>
        <w:rPr>
          <w:rFonts w:hint="eastAsia" w:ascii="宋体" w:hAnsi="宋体" w:eastAsia="宋体" w:cs="MingLiU_HKSCS"/>
          <w:sz w:val="24"/>
          <w:szCs w:val="24"/>
        </w:rPr>
        <w:t>定，应通知我方。</w:t>
      </w:r>
    </w:p>
    <w:p>
      <w:pPr>
        <w:rPr>
          <w:rFonts w:ascii="宋体" w:hAnsi="宋体" w:cs="Times New Roman"/>
          <w:color w:val="auto"/>
        </w:rPr>
      </w:pPr>
    </w:p>
    <w:p>
      <w:pPr>
        <w:rPr>
          <w:rFonts w:ascii="宋体" w:hAnsi="宋体" w:cs="Times New Roman"/>
          <w:color w:val="auto"/>
        </w:rPr>
      </w:pP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担保人名称：</w:t>
      </w:r>
      <w:r>
        <w:rPr>
          <w:rFonts w:ascii="宋体" w:hAnsi="宋体" w:cs="宋体"/>
          <w:color w:val="auto"/>
          <w:u w:val="single"/>
        </w:rPr>
        <w:t xml:space="preserve">                          </w:t>
      </w:r>
      <w:r>
        <w:rPr>
          <w:rFonts w:hint="eastAsia" w:ascii="宋体" w:hAnsi="宋体"/>
          <w:color w:val="auto"/>
        </w:rPr>
        <w:t>（盖单位章）</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地</w:t>
      </w:r>
      <w:r>
        <w:rPr>
          <w:rFonts w:ascii="宋体" w:hAnsi="宋体" w:cs="宋体"/>
          <w:color w:val="auto"/>
        </w:rPr>
        <w:t xml:space="preserve">    </w:t>
      </w:r>
      <w:r>
        <w:rPr>
          <w:rFonts w:hint="eastAsia" w:ascii="宋体" w:hAnsi="宋体"/>
          <w:color w:val="auto"/>
        </w:rPr>
        <w:t>址：</w:t>
      </w:r>
      <w:r>
        <w:rPr>
          <w:rFonts w:ascii="宋体" w:hAnsi="宋体" w:cs="宋体"/>
          <w:color w:val="auto"/>
          <w:u w:val="single"/>
        </w:rPr>
        <w:t xml:space="preserve">                                        </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邮政编码：</w:t>
      </w:r>
      <w:r>
        <w:rPr>
          <w:rFonts w:ascii="宋体" w:hAnsi="宋体" w:cs="宋体"/>
          <w:color w:val="auto"/>
          <w:u w:val="single"/>
        </w:rPr>
        <w:t xml:space="preserve">                                        </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电</w:t>
      </w:r>
      <w:r>
        <w:rPr>
          <w:rFonts w:ascii="宋体" w:hAnsi="宋体" w:cs="宋体"/>
          <w:color w:val="auto"/>
        </w:rPr>
        <w:t xml:space="preserve">    </w:t>
      </w:r>
      <w:r>
        <w:rPr>
          <w:rFonts w:hint="eastAsia" w:ascii="宋体" w:hAnsi="宋体"/>
          <w:color w:val="auto"/>
        </w:rPr>
        <w:t>话：</w:t>
      </w:r>
      <w:r>
        <w:rPr>
          <w:rFonts w:ascii="宋体" w:hAnsi="宋体" w:cs="宋体"/>
          <w:color w:val="auto"/>
          <w:u w:val="single"/>
        </w:rPr>
        <w:t xml:space="preserve">                                        </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传</w:t>
      </w:r>
      <w:r>
        <w:rPr>
          <w:rFonts w:ascii="宋体" w:hAnsi="宋体" w:cs="宋体"/>
          <w:color w:val="auto"/>
        </w:rPr>
        <w:t xml:space="preserve">    </w:t>
      </w:r>
      <w:r>
        <w:rPr>
          <w:rFonts w:hint="eastAsia" w:ascii="宋体" w:hAnsi="宋体"/>
          <w:color w:val="auto"/>
        </w:rPr>
        <w:t>真：</w:t>
      </w:r>
      <w:r>
        <w:rPr>
          <w:rFonts w:ascii="宋体" w:hAnsi="宋体" w:cs="宋体"/>
          <w:color w:val="auto"/>
          <w:u w:val="single"/>
        </w:rPr>
        <w:t xml:space="preserve">                                        </w:t>
      </w:r>
    </w:p>
    <w:p>
      <w:pPr>
        <w:rPr>
          <w:rFonts w:ascii="宋体" w:hAnsi="宋体" w:cs="Times New Roman"/>
          <w:color w:val="auto"/>
        </w:rPr>
      </w:pPr>
    </w:p>
    <w:p>
      <w:pPr>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rPr>
          <w:rFonts w:ascii="宋体" w:hAnsi="宋体" w:cs="Times New Roman"/>
          <w:color w:val="auto"/>
        </w:rPr>
      </w:pPr>
    </w:p>
    <w:p>
      <w:pPr>
        <w:rPr>
          <w:rFonts w:ascii="宋体" w:hAnsi="宋体" w:cs="Times New Roman"/>
          <w:color w:val="auto"/>
        </w:rPr>
      </w:pPr>
      <w:r>
        <w:rPr>
          <w:rFonts w:hint="eastAsia" w:ascii="宋体" w:hAnsi="宋体" w:cs="宋体"/>
          <w:color w:val="auto"/>
          <w:sz w:val="18"/>
          <w:szCs w:val="18"/>
        </w:rPr>
        <w:t>注：本保函格式只作为参考，投标人可根据当地银行及相关规定的格式填写，但主要内容须与本保函内容原则上保持一致。如：“本保函在投标有效期或经延长的投标有效期内保持有效”可改为本保函自</w:t>
      </w:r>
      <w:r>
        <w:rPr>
          <w:rFonts w:hint="eastAsia" w:ascii="宋体" w:hAnsi="宋体" w:cs="宋体"/>
          <w:color w:val="auto"/>
          <w:sz w:val="18"/>
          <w:szCs w:val="18"/>
          <w:u w:val="single"/>
        </w:rPr>
        <w:t xml:space="preserve">     （生效日期）</w:t>
      </w:r>
      <w:r>
        <w:rPr>
          <w:rFonts w:hint="eastAsia" w:ascii="宋体" w:hAnsi="宋体" w:cs="宋体"/>
          <w:color w:val="auto"/>
          <w:sz w:val="18"/>
          <w:szCs w:val="18"/>
        </w:rPr>
        <w:t>之日起生效，至</w:t>
      </w:r>
      <w:r>
        <w:rPr>
          <w:rFonts w:hint="eastAsia" w:ascii="宋体" w:hAnsi="宋体" w:cs="宋体"/>
          <w:color w:val="auto"/>
          <w:sz w:val="18"/>
          <w:szCs w:val="18"/>
          <w:u w:val="single"/>
        </w:rPr>
        <w:t xml:space="preserve">  （失效日期）</w:t>
      </w:r>
      <w:r>
        <w:rPr>
          <w:rFonts w:hint="eastAsia" w:ascii="宋体" w:hAnsi="宋体" w:cs="宋体"/>
          <w:color w:val="auto"/>
          <w:sz w:val="18"/>
          <w:szCs w:val="18"/>
        </w:rPr>
        <w:t>之日失效。</w:t>
      </w:r>
    </w:p>
    <w:p>
      <w:pPr>
        <w:pStyle w:val="84"/>
        <w:snapToGrid w:val="0"/>
        <w:spacing w:line="360" w:lineRule="auto"/>
        <w:outlineLvl w:val="1"/>
        <w:rPr>
          <w:rFonts w:ascii="宋体" w:hAnsi="宋体"/>
          <w:sz w:val="28"/>
          <w:szCs w:val="28"/>
        </w:rPr>
      </w:pPr>
      <w:r>
        <w:rPr>
          <w:rFonts w:ascii="宋体" w:hAnsi="宋体"/>
        </w:rPr>
        <w:br w:type="page"/>
      </w:r>
      <w:r>
        <w:rPr>
          <w:rFonts w:hint="eastAsia" w:ascii="宋体" w:hAnsi="宋体"/>
          <w:sz w:val="28"/>
          <w:szCs w:val="28"/>
        </w:rPr>
        <w:t>五、拟分包项目情况表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8"/>
        <w:gridCol w:w="1622"/>
        <w:gridCol w:w="1622"/>
        <w:gridCol w:w="2070"/>
        <w:gridCol w:w="1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848" w:type="dxa"/>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r>
              <w:rPr>
                <w:rFonts w:hint="eastAsia" w:ascii="宋体" w:hAnsi="宋体"/>
                <w:bCs/>
                <w:color w:val="auto"/>
                <w:sz w:val="21"/>
                <w:szCs w:val="21"/>
              </w:rPr>
              <w:t>拟分包的工程</w:t>
            </w:r>
          </w:p>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r>
              <w:rPr>
                <w:rFonts w:hint="eastAsia" w:ascii="宋体" w:hAnsi="宋体"/>
                <w:bCs/>
                <w:color w:val="auto"/>
                <w:sz w:val="21"/>
                <w:szCs w:val="21"/>
              </w:rPr>
              <w:t>项目</w:t>
            </w:r>
          </w:p>
        </w:tc>
        <w:tc>
          <w:tcPr>
            <w:tcW w:w="1622" w:type="dxa"/>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r>
              <w:rPr>
                <w:rFonts w:hint="eastAsia" w:ascii="宋体" w:hAnsi="宋体"/>
                <w:bCs/>
                <w:color w:val="auto"/>
                <w:sz w:val="21"/>
                <w:szCs w:val="21"/>
              </w:rPr>
              <w:t>主要工程内容</w:t>
            </w:r>
          </w:p>
        </w:tc>
        <w:tc>
          <w:tcPr>
            <w:tcW w:w="1622" w:type="dxa"/>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bCs/>
                <w:color w:val="auto"/>
                <w:sz w:val="21"/>
                <w:szCs w:val="21"/>
                <w:lang w:val="en-US"/>
              </w:rPr>
            </w:pPr>
            <w:r>
              <w:rPr>
                <w:rFonts w:hint="eastAsia" w:ascii="宋体" w:hAnsi="宋体"/>
                <w:bCs/>
                <w:color w:val="auto"/>
                <w:sz w:val="21"/>
                <w:szCs w:val="21"/>
                <w:lang w:val="en-US"/>
              </w:rPr>
              <w:t>勘察设计任务</w:t>
            </w:r>
          </w:p>
        </w:tc>
        <w:tc>
          <w:tcPr>
            <w:tcW w:w="2070" w:type="dxa"/>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r>
              <w:rPr>
                <w:rStyle w:val="333"/>
                <w:rFonts w:hint="eastAsia" w:ascii="宋体" w:hAnsi="宋体" w:eastAsia="宋体"/>
                <w:color w:val="auto"/>
                <w:sz w:val="21"/>
                <w:szCs w:val="21"/>
              </w:rPr>
              <w:t>分包</w:t>
            </w:r>
            <w:r>
              <w:rPr>
                <w:rStyle w:val="333"/>
                <w:rFonts w:hint="eastAsia" w:ascii="宋体" w:hAnsi="宋体" w:eastAsia="宋体"/>
                <w:color w:val="auto"/>
                <w:sz w:val="21"/>
                <w:szCs w:val="21"/>
                <w:lang w:val="en-US"/>
              </w:rPr>
              <w:t>工作量占总工作量的比例</w:t>
            </w:r>
            <w:r>
              <w:rPr>
                <w:rStyle w:val="333"/>
                <w:rFonts w:hint="eastAsia" w:ascii="宋体" w:hAnsi="宋体" w:eastAsia="宋体"/>
                <w:color w:val="auto"/>
                <w:sz w:val="21"/>
                <w:szCs w:val="21"/>
              </w:rPr>
              <w:t>（</w:t>
            </w:r>
            <w:r>
              <w:rPr>
                <w:rStyle w:val="333"/>
                <w:rFonts w:hint="eastAsia" w:ascii="宋体" w:hAnsi="宋体" w:eastAsia="宋体"/>
                <w:color w:val="auto"/>
                <w:sz w:val="21"/>
                <w:szCs w:val="21"/>
                <w:lang w:val="en-US"/>
              </w:rPr>
              <w:t>%</w:t>
            </w:r>
            <w:r>
              <w:rPr>
                <w:rStyle w:val="333"/>
                <w:rFonts w:hint="eastAsia" w:ascii="宋体" w:hAnsi="宋体" w:eastAsia="宋体"/>
                <w:color w:val="auto"/>
                <w:sz w:val="21"/>
                <w:szCs w:val="21"/>
              </w:rPr>
              <w:t>）</w:t>
            </w:r>
          </w:p>
        </w:tc>
        <w:tc>
          <w:tcPr>
            <w:tcW w:w="1622" w:type="dxa"/>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r>
              <w:rPr>
                <w:rFonts w:hint="eastAsia" w:ascii="宋体" w:hAnsi="宋体"/>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p>
        </w:tc>
        <w:tc>
          <w:tcPr>
            <w:tcW w:w="1622"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bCs/>
                <w:color w:val="auto"/>
                <w:sz w:val="21"/>
                <w:szCs w:val="21"/>
              </w:rPr>
            </w:pPr>
            <w:r>
              <w:rPr>
                <w:rFonts w:hint="eastAsia" w:ascii="宋体" w:hAnsi="宋体"/>
                <w:bCs/>
                <w:color w:val="auto"/>
                <w:sz w:val="21"/>
                <w:szCs w:val="21"/>
              </w:rPr>
              <w:t>注：若无分包计划，则投标人应在本表填写“无。”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44"/>
                <w:sz w:val="21"/>
                <w:szCs w:val="21"/>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44"/>
                <w:sz w:val="21"/>
                <w:szCs w:val="21"/>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4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2070"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470" w:type="dxa"/>
            <w:gridSpan w:val="2"/>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r>
              <w:rPr>
                <w:rStyle w:val="333"/>
                <w:rFonts w:hint="eastAsia" w:ascii="宋体" w:hAnsi="宋体" w:eastAsia="宋体"/>
                <w:color w:val="auto"/>
                <w:sz w:val="21"/>
                <w:szCs w:val="21"/>
              </w:rPr>
              <w:t>拟分包</w:t>
            </w:r>
            <w:r>
              <w:rPr>
                <w:rStyle w:val="333"/>
                <w:rFonts w:hint="eastAsia" w:ascii="宋体" w:hAnsi="宋体" w:eastAsia="宋体"/>
                <w:color w:val="auto"/>
                <w:sz w:val="21"/>
                <w:szCs w:val="21"/>
                <w:lang w:val="en-US"/>
              </w:rPr>
              <w:t>工作量合计比例</w:t>
            </w:r>
            <w:r>
              <w:rPr>
                <w:rStyle w:val="333"/>
                <w:rFonts w:hint="eastAsia" w:ascii="宋体" w:hAnsi="宋体" w:eastAsia="宋体"/>
                <w:color w:val="auto"/>
                <w:sz w:val="21"/>
                <w:szCs w:val="21"/>
              </w:rPr>
              <w:t>（</w:t>
            </w:r>
            <w:r>
              <w:rPr>
                <w:rStyle w:val="333"/>
                <w:rFonts w:hint="eastAsia" w:ascii="宋体" w:hAnsi="宋体" w:eastAsia="宋体"/>
                <w:color w:val="auto"/>
                <w:sz w:val="21"/>
                <w:szCs w:val="21"/>
                <w:lang w:val="en-US"/>
              </w:rPr>
              <w:t>%</w:t>
            </w:r>
            <w:r>
              <w:rPr>
                <w:rStyle w:val="333"/>
                <w:rFonts w:hint="eastAsia" w:ascii="宋体" w:hAnsi="宋体" w:eastAsia="宋体"/>
                <w:color w:val="auto"/>
                <w:sz w:val="21"/>
                <w:szCs w:val="21"/>
              </w:rPr>
              <w:t>）</w:t>
            </w:r>
          </w:p>
        </w:tc>
        <w:tc>
          <w:tcPr>
            <w:tcW w:w="1622" w:type="dxa"/>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Style w:val="333"/>
                <w:rFonts w:hint="eastAsia" w:ascii="宋体" w:hAnsi="宋体" w:eastAsia="宋体"/>
                <w:color w:val="auto"/>
              </w:rPr>
            </w:pPr>
          </w:p>
        </w:tc>
        <w:tc>
          <w:tcPr>
            <w:tcW w:w="2070" w:type="dxa"/>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c>
          <w:tcPr>
            <w:tcW w:w="1622" w:type="dxa"/>
            <w:vMerge w:val="continue"/>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rPr>
            </w:pPr>
          </w:p>
        </w:tc>
      </w:tr>
    </w:tbl>
    <w:p>
      <w:pPr>
        <w:rPr>
          <w:rFonts w:hint="eastAsia" w:ascii="宋体" w:hAnsi="宋体"/>
          <w:color w:val="auto"/>
        </w:rPr>
      </w:pPr>
      <w:bookmarkStart w:id="93" w:name="_Toc234382976"/>
    </w:p>
    <w:p>
      <w:pPr>
        <w:rPr>
          <w:rFonts w:hint="eastAsia" w:ascii="宋体" w:hAnsi="宋体"/>
          <w:color w:val="auto"/>
          <w:sz w:val="21"/>
          <w:szCs w:val="21"/>
        </w:rPr>
      </w:pPr>
      <w:r>
        <w:rPr>
          <w:rFonts w:hint="eastAsia" w:ascii="宋体" w:hAnsi="宋体"/>
          <w:color w:val="auto"/>
          <w:sz w:val="21"/>
          <w:szCs w:val="21"/>
        </w:rPr>
        <w:t>注：1、若投标人中标须按本招标文件的约定执行。</w:t>
      </w:r>
    </w:p>
    <w:p>
      <w:pPr>
        <w:ind w:firstLine="420" w:firstLineChars="200"/>
        <w:rPr>
          <w:rFonts w:ascii="宋体" w:hAnsi="宋体"/>
          <w:color w:val="auto"/>
          <w:sz w:val="21"/>
          <w:szCs w:val="21"/>
        </w:rPr>
      </w:pPr>
      <w:r>
        <w:rPr>
          <w:rFonts w:hint="eastAsia" w:ascii="宋体" w:hAnsi="宋体"/>
          <w:color w:val="auto"/>
          <w:sz w:val="21"/>
          <w:szCs w:val="21"/>
        </w:rPr>
        <w:t>2、本表填写的造价不属于投标报价的内容。</w:t>
      </w: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pStyle w:val="84"/>
        <w:snapToGrid w:val="0"/>
        <w:spacing w:line="360" w:lineRule="auto"/>
        <w:outlineLvl w:val="1"/>
        <w:rPr>
          <w:rFonts w:ascii="宋体" w:hAnsi="宋体"/>
          <w:sz w:val="28"/>
          <w:szCs w:val="28"/>
        </w:rPr>
      </w:pPr>
      <w:r>
        <w:rPr>
          <w:rFonts w:ascii="宋体" w:hAnsi="宋体"/>
          <w:lang w:val="en-US"/>
        </w:rPr>
        <w:br w:type="page"/>
      </w:r>
      <w:bookmarkEnd w:id="93"/>
      <w:r>
        <w:rPr>
          <w:rFonts w:hint="eastAsia" w:ascii="宋体" w:hAnsi="宋体"/>
          <w:sz w:val="28"/>
          <w:szCs w:val="28"/>
          <w:lang w:val="en-US" w:eastAsia="zh-CN"/>
        </w:rPr>
        <w:t>六</w:t>
      </w:r>
      <w:r>
        <w:rPr>
          <w:rFonts w:hint="eastAsia" w:ascii="宋体" w:hAnsi="宋体"/>
          <w:sz w:val="28"/>
          <w:szCs w:val="28"/>
        </w:rPr>
        <w:t>、资格审查资料</w:t>
      </w:r>
    </w:p>
    <w:p>
      <w:pPr>
        <w:spacing w:line="360" w:lineRule="auto"/>
        <w:jc w:val="center"/>
        <w:rPr>
          <w:rFonts w:ascii="宋体" w:hAnsi="宋体" w:cs="黑体"/>
          <w:b/>
          <w:color w:val="auto"/>
          <w:sz w:val="28"/>
          <w:szCs w:val="28"/>
        </w:rPr>
      </w:pPr>
      <w:r>
        <w:rPr>
          <w:rFonts w:hint="eastAsia" w:ascii="宋体" w:hAnsi="宋体" w:cs="黑体"/>
          <w:b/>
          <w:color w:val="auto"/>
          <w:sz w:val="28"/>
          <w:szCs w:val="28"/>
        </w:rPr>
        <w:t>（</w:t>
      </w:r>
      <w:r>
        <w:rPr>
          <w:rFonts w:hint="eastAsia" w:ascii="宋体" w:hAnsi="宋体" w:cs="黑体"/>
          <w:b/>
          <w:color w:val="auto"/>
          <w:sz w:val="28"/>
          <w:szCs w:val="28"/>
          <w:lang w:val="en-US"/>
        </w:rPr>
        <w:t>一</w:t>
      </w:r>
      <w:r>
        <w:rPr>
          <w:rFonts w:hint="eastAsia" w:ascii="宋体" w:hAnsi="宋体" w:cs="黑体"/>
          <w:b/>
          <w:color w:val="auto"/>
          <w:sz w:val="28"/>
          <w:szCs w:val="28"/>
        </w:rPr>
        <w:t>）</w:t>
      </w:r>
      <w:r>
        <w:rPr>
          <w:rFonts w:ascii="宋体" w:hAnsi="宋体" w:cs="黑体"/>
          <w:b/>
          <w:color w:val="auto"/>
          <w:sz w:val="28"/>
          <w:szCs w:val="28"/>
        </w:rPr>
        <w:t>投标人基本情况表</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1"/>
        <w:gridCol w:w="927"/>
        <w:gridCol w:w="1050"/>
        <w:gridCol w:w="1122"/>
        <w:gridCol w:w="487"/>
        <w:gridCol w:w="777"/>
        <w:gridCol w:w="778"/>
        <w:gridCol w:w="351"/>
        <w:gridCol w:w="16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投标人名称</w:t>
            </w:r>
          </w:p>
        </w:tc>
        <w:tc>
          <w:tcPr>
            <w:tcW w:w="709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注册地址</w:t>
            </w:r>
          </w:p>
        </w:tc>
        <w:tc>
          <w:tcPr>
            <w:tcW w:w="30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邮政编码</w:t>
            </w:r>
          </w:p>
        </w:tc>
        <w:tc>
          <w:tcPr>
            <w:tcW w:w="273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联系方式</w:t>
            </w: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联系人</w:t>
            </w: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电 话</w:t>
            </w:r>
          </w:p>
        </w:tc>
        <w:tc>
          <w:tcPr>
            <w:tcW w:w="273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传  真</w:t>
            </w: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电子邮件</w:t>
            </w:r>
          </w:p>
        </w:tc>
        <w:tc>
          <w:tcPr>
            <w:tcW w:w="273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法定代表人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技术职称</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电话</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技术负责人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技术职称</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电话</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企业勘察资质证书</w:t>
            </w:r>
          </w:p>
        </w:tc>
        <w:tc>
          <w:tcPr>
            <w:tcW w:w="709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firstLine="840" w:firstLineChars="400"/>
              <w:rPr>
                <w:rFonts w:hint="default" w:ascii="宋体" w:hAnsi="宋体" w:cs="宋体"/>
                <w:color w:val="auto"/>
                <w:sz w:val="21"/>
                <w:szCs w:val="21"/>
                <w:lang w:val="en-US"/>
              </w:rPr>
            </w:pPr>
            <w:r>
              <w:rPr>
                <w:rFonts w:hint="eastAsia" w:ascii="宋体" w:hAnsi="宋体" w:cs="宋体"/>
                <w:color w:val="auto"/>
                <w:sz w:val="21"/>
                <w:szCs w:val="21"/>
                <w:lang w:val="en-US"/>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企业设计资质证书</w:t>
            </w:r>
          </w:p>
        </w:tc>
        <w:tc>
          <w:tcPr>
            <w:tcW w:w="709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firstLine="840" w:firstLineChars="400"/>
              <w:rPr>
                <w:rFonts w:hint="eastAsia" w:ascii="宋体" w:hAnsi="宋体" w:cs="宋体"/>
                <w:color w:val="auto"/>
                <w:sz w:val="21"/>
                <w:szCs w:val="21"/>
                <w:lang w:val="en-US"/>
              </w:rPr>
            </w:pPr>
            <w:r>
              <w:rPr>
                <w:rFonts w:hint="eastAsia" w:ascii="宋体" w:hAnsi="宋体" w:cs="宋体"/>
                <w:color w:val="auto"/>
                <w:sz w:val="21"/>
                <w:szCs w:val="21"/>
                <w:lang w:val="en-US"/>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营业执照号</w:t>
            </w:r>
          </w:p>
        </w:tc>
        <w:tc>
          <w:tcPr>
            <w:tcW w:w="30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firstLine="1050" w:firstLineChars="500"/>
              <w:rPr>
                <w:rFonts w:hint="eastAsia" w:ascii="宋体" w:hAnsi="宋体" w:cs="宋体"/>
                <w:color w:val="auto"/>
                <w:sz w:val="21"/>
                <w:szCs w:val="21"/>
              </w:rPr>
            </w:pPr>
          </w:p>
        </w:tc>
        <w:tc>
          <w:tcPr>
            <w:tcW w:w="39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firstLine="1050" w:firstLineChars="500"/>
              <w:rPr>
                <w:rFonts w:hint="eastAsia" w:ascii="宋体" w:hAnsi="宋体" w:cs="宋体"/>
                <w:color w:val="auto"/>
                <w:sz w:val="21"/>
                <w:szCs w:val="21"/>
              </w:rPr>
            </w:pPr>
            <w:r>
              <w:rPr>
                <w:rFonts w:hint="eastAsia" w:ascii="宋体" w:hAnsi="宋体" w:cs="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注册资本</w:t>
            </w:r>
          </w:p>
        </w:tc>
        <w:tc>
          <w:tcPr>
            <w:tcW w:w="30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487"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其中</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高级职称人员</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成立日期</w:t>
            </w:r>
          </w:p>
        </w:tc>
        <w:tc>
          <w:tcPr>
            <w:tcW w:w="30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487" w:type="dxa"/>
            <w:vMerge w:val="continue"/>
            <w:tcBorders>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中级职称人员</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基本账户开户银行</w:t>
            </w:r>
          </w:p>
        </w:tc>
        <w:tc>
          <w:tcPr>
            <w:tcW w:w="30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487" w:type="dxa"/>
            <w:vMerge w:val="continue"/>
            <w:tcBorders>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初级职称人员</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基本账户银行账号</w:t>
            </w:r>
          </w:p>
        </w:tc>
        <w:tc>
          <w:tcPr>
            <w:tcW w:w="30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c>
          <w:tcPr>
            <w:tcW w:w="487" w:type="dxa"/>
            <w:vMerge w:val="continue"/>
            <w:tcBorders>
              <w:left w:val="single" w:color="auto" w:sz="4" w:space="0"/>
              <w:bottom w:val="single" w:color="auto" w:sz="4" w:space="0"/>
              <w:right w:val="single" w:color="auto" w:sz="4" w:space="0"/>
            </w:tcBorders>
            <w:noWrap w:val="0"/>
            <w:vAlign w:val="center"/>
          </w:tcPr>
          <w:p>
            <w:pPr>
              <w:pStyle w:val="59"/>
              <w:keepNext w:val="0"/>
              <w:keepLines w:val="0"/>
              <w:suppressLineNumbers w:val="0"/>
              <w:spacing w:before="0" w:beforeAutospacing="0" w:after="0" w:afterAutospacing="0" w:line="400" w:lineRule="atLeast"/>
              <w:ind w:left="0" w:right="0"/>
              <w:rPr>
                <w:rFonts w:hint="eastAsia" w:ascii="宋体" w:hAnsi="宋体" w:cs="宋体"/>
                <w:color w:val="auto"/>
                <w:sz w:val="21"/>
                <w:szCs w:val="21"/>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suppressLineNumbers w:val="0"/>
              <w:spacing w:before="0" w:beforeAutospacing="0" w:after="0" w:afterAutospacing="0" w:line="400" w:lineRule="atLeast"/>
              <w:ind w:left="0" w:right="0"/>
              <w:rPr>
                <w:rFonts w:hint="eastAsia" w:ascii="宋体" w:hAnsi="宋体" w:cs="宋体"/>
                <w:color w:val="auto"/>
                <w:sz w:val="21"/>
                <w:szCs w:val="21"/>
              </w:rPr>
            </w:pPr>
            <w:r>
              <w:rPr>
                <w:rFonts w:hint="eastAsia" w:ascii="宋体" w:hAnsi="宋体" w:cs="宋体"/>
                <w:color w:val="auto"/>
                <w:sz w:val="21"/>
                <w:szCs w:val="21"/>
              </w:rPr>
              <w:t>技工</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971"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firstLine="210" w:firstLineChars="100"/>
              <w:jc w:val="center"/>
              <w:rPr>
                <w:rFonts w:hint="eastAsia" w:ascii="宋体" w:hAnsi="宋体" w:cs="宋体"/>
                <w:color w:val="auto"/>
                <w:sz w:val="21"/>
                <w:szCs w:val="21"/>
              </w:rPr>
            </w:pPr>
            <w:r>
              <w:rPr>
                <w:rFonts w:hint="eastAsia" w:ascii="宋体" w:hAnsi="宋体" w:cs="宋体"/>
                <w:color w:val="auto"/>
                <w:sz w:val="21"/>
                <w:szCs w:val="21"/>
              </w:rPr>
              <w:t>经营范围</w:t>
            </w:r>
          </w:p>
        </w:tc>
        <w:tc>
          <w:tcPr>
            <w:tcW w:w="7095" w:type="dxa"/>
            <w:gridSpan w:val="8"/>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p>
            <w:pPr>
              <w:keepNext w:val="0"/>
              <w:keepLines w:val="0"/>
              <w:suppressLineNumbers w:val="0"/>
              <w:topLinePunct/>
              <w:spacing w:before="0" w:beforeAutospacing="0" w:after="0" w:afterAutospacing="0" w:line="400" w:lineRule="atLeast"/>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trPr>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投标人关联企业情况</w:t>
            </w:r>
          </w:p>
        </w:tc>
        <w:tc>
          <w:tcPr>
            <w:tcW w:w="709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rPr>
                <w:rFonts w:hint="eastAsia" w:ascii="宋体" w:hAnsi="宋体" w:cs="宋体"/>
                <w:color w:val="auto"/>
                <w:sz w:val="21"/>
                <w:szCs w:val="21"/>
              </w:rPr>
            </w:pPr>
            <w:r>
              <w:rPr>
                <w:rFonts w:hint="eastAsia" w:ascii="宋体" w:hAnsi="宋体" w:cs="宋体"/>
                <w:color w:val="auto"/>
                <w:sz w:val="21"/>
                <w:szCs w:val="21"/>
              </w:rPr>
              <w:t>投标人应提供关联企业情况，包括：</w:t>
            </w:r>
          </w:p>
          <w:p>
            <w:pPr>
              <w:keepNext w:val="0"/>
              <w:keepLines w:val="0"/>
              <w:suppressLineNumbers w:val="0"/>
              <w:topLinePunct/>
              <w:spacing w:before="0" w:beforeAutospacing="0" w:after="0" w:afterAutospacing="0" w:line="400" w:lineRule="atLeast"/>
              <w:ind w:left="0" w:right="0"/>
              <w:rPr>
                <w:rFonts w:hint="eastAsia" w:ascii="宋体" w:hAnsi="宋体" w:cs="宋体"/>
                <w:color w:val="auto"/>
                <w:sz w:val="21"/>
                <w:szCs w:val="21"/>
              </w:rPr>
            </w:pPr>
            <w:r>
              <w:rPr>
                <w:rFonts w:hint="eastAsia" w:ascii="宋体" w:hAnsi="宋体" w:cs="宋体"/>
                <w:color w:val="auto"/>
                <w:sz w:val="21"/>
                <w:szCs w:val="21"/>
              </w:rPr>
              <w:t>（1）投标人的所有股东名称及相应股权（出资额）比例；如投标人为上市公司，投标人应提供股权占公司股份总数</w:t>
            </w:r>
            <w:r>
              <w:rPr>
                <w:rFonts w:hint="eastAsia" w:ascii="宋体" w:hAnsi="宋体" w:cs="宋体"/>
                <w:color w:val="auto"/>
                <w:sz w:val="21"/>
                <w:szCs w:val="21"/>
                <w:u w:val="single"/>
              </w:rPr>
              <w:t xml:space="preserve">   </w:t>
            </w:r>
            <w:r>
              <w:rPr>
                <w:rFonts w:hint="eastAsia" w:ascii="宋体" w:hAnsi="宋体" w:cs="宋体"/>
                <w:color w:val="auto"/>
                <w:sz w:val="21"/>
                <w:szCs w:val="21"/>
              </w:rPr>
              <w:t>%以上的所有股东名称及相应股权比例；</w:t>
            </w:r>
          </w:p>
          <w:p>
            <w:pPr>
              <w:keepNext w:val="0"/>
              <w:keepLines w:val="0"/>
              <w:suppressLineNumbers w:val="0"/>
              <w:topLinePunct/>
              <w:spacing w:before="0" w:beforeAutospacing="0" w:after="0" w:afterAutospacing="0" w:line="400" w:lineRule="atLeast"/>
              <w:ind w:left="0" w:right="0"/>
              <w:rPr>
                <w:rFonts w:hint="eastAsia" w:ascii="宋体" w:hAnsi="宋体" w:cs="宋体"/>
                <w:color w:val="auto"/>
                <w:sz w:val="21"/>
                <w:szCs w:val="21"/>
              </w:rPr>
            </w:pPr>
            <w:r>
              <w:rPr>
                <w:rFonts w:hint="eastAsia" w:ascii="宋体" w:hAnsi="宋体" w:cs="宋体"/>
                <w:color w:val="auto"/>
                <w:sz w:val="21"/>
                <w:szCs w:val="21"/>
              </w:rPr>
              <w:t>（2）投标人投资（控股）或管理的下属企业名称、持有股权（出资额）比例；</w:t>
            </w:r>
          </w:p>
          <w:p>
            <w:pPr>
              <w:keepNext w:val="0"/>
              <w:keepLines w:val="0"/>
              <w:suppressLineNumbers w:val="0"/>
              <w:topLinePunct/>
              <w:spacing w:before="0" w:beforeAutospacing="0" w:after="0" w:afterAutospacing="0" w:line="400" w:lineRule="atLeast"/>
              <w:ind w:left="0" w:right="0"/>
              <w:rPr>
                <w:rFonts w:hint="eastAsia" w:ascii="宋体" w:hAnsi="宋体" w:cs="宋体"/>
                <w:color w:val="auto"/>
                <w:sz w:val="21"/>
                <w:szCs w:val="21"/>
              </w:rPr>
            </w:pPr>
            <w:r>
              <w:rPr>
                <w:rFonts w:hint="eastAsia" w:ascii="宋体" w:hAnsi="宋体" w:cs="宋体"/>
                <w:color w:val="auto"/>
                <w:sz w:val="21"/>
                <w:szCs w:val="21"/>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r>
              <w:rPr>
                <w:rFonts w:hint="eastAsia" w:ascii="宋体" w:hAnsi="宋体" w:cs="宋体"/>
                <w:color w:val="auto"/>
                <w:sz w:val="21"/>
                <w:szCs w:val="21"/>
              </w:rPr>
              <w:t>备注</w:t>
            </w:r>
          </w:p>
        </w:tc>
        <w:tc>
          <w:tcPr>
            <w:tcW w:w="709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atLeast"/>
              <w:ind w:left="0" w:right="0"/>
              <w:jc w:val="center"/>
              <w:rPr>
                <w:rFonts w:hint="eastAsia" w:ascii="宋体" w:hAnsi="宋体" w:cs="宋体"/>
                <w:color w:val="auto"/>
                <w:sz w:val="21"/>
                <w:szCs w:val="21"/>
              </w:rPr>
            </w:pPr>
          </w:p>
        </w:tc>
      </w:tr>
    </w:tbl>
    <w:p>
      <w:pPr>
        <w:widowControl/>
        <w:autoSpaceDE w:val="0"/>
        <w:autoSpaceDN w:val="0"/>
        <w:spacing w:line="320" w:lineRule="atLeast"/>
        <w:ind w:left="743" w:leftChars="86" w:hanging="537" w:hangingChars="256"/>
        <w:textAlignment w:val="bottom"/>
        <w:rPr>
          <w:rFonts w:ascii="宋体" w:hAnsi="宋体"/>
          <w:color w:val="auto"/>
          <w:sz w:val="21"/>
          <w:szCs w:val="21"/>
        </w:rPr>
      </w:pPr>
      <w:r>
        <w:rPr>
          <w:rFonts w:ascii="宋体" w:hAnsi="宋体"/>
          <w:color w:val="auto"/>
          <w:sz w:val="21"/>
          <w:szCs w:val="21"/>
        </w:rPr>
        <w:t>注：</w:t>
      </w:r>
      <w:r>
        <w:rPr>
          <w:rFonts w:hint="eastAsia" w:ascii="宋体" w:hAnsi="宋体"/>
          <w:color w:val="auto"/>
          <w:sz w:val="21"/>
          <w:szCs w:val="21"/>
        </w:rPr>
        <w:t>1.投标人应根据招标文件第二章“投标人须知”第3.</w:t>
      </w: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项的要求在本表后附相关证明材料</w:t>
      </w:r>
      <w:r>
        <w:rPr>
          <w:rFonts w:ascii="宋体" w:hAnsi="宋体"/>
          <w:color w:val="auto"/>
          <w:sz w:val="21"/>
          <w:szCs w:val="21"/>
        </w:rPr>
        <w:t>。</w:t>
      </w:r>
    </w:p>
    <w:p>
      <w:pPr>
        <w:widowControl/>
        <w:autoSpaceDE w:val="0"/>
        <w:autoSpaceDN w:val="0"/>
        <w:spacing w:line="320" w:lineRule="atLeast"/>
        <w:ind w:left="206" w:leftChars="86" w:firstLine="420" w:firstLineChars="200"/>
        <w:textAlignment w:val="bottom"/>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w:t>
      </w:r>
      <w:r>
        <w:rPr>
          <w:rFonts w:ascii="宋体" w:hAnsi="宋体"/>
          <w:color w:val="auto"/>
          <w:sz w:val="21"/>
          <w:szCs w:val="21"/>
        </w:rPr>
        <w:t>以联合体形式</w:t>
      </w:r>
      <w:r>
        <w:rPr>
          <w:rFonts w:hint="eastAsia" w:ascii="宋体" w:hAnsi="宋体"/>
          <w:color w:val="auto"/>
          <w:sz w:val="21"/>
          <w:szCs w:val="21"/>
        </w:rPr>
        <w:t>投标</w:t>
      </w:r>
      <w:r>
        <w:rPr>
          <w:rFonts w:ascii="宋体" w:hAnsi="宋体"/>
          <w:color w:val="auto"/>
          <w:sz w:val="21"/>
          <w:szCs w:val="21"/>
        </w:rPr>
        <w:t>的，联合体各成员应分别填写。</w:t>
      </w:r>
    </w:p>
    <w:p>
      <w:pPr>
        <w:widowControl/>
        <w:autoSpaceDE w:val="0"/>
        <w:autoSpaceDN w:val="0"/>
        <w:spacing w:line="320" w:lineRule="atLeast"/>
        <w:ind w:left="829" w:leftChars="258" w:hanging="210" w:hangingChars="100"/>
        <w:textAlignment w:val="bottom"/>
        <w:rPr>
          <w:rFonts w:hint="eastAsia" w:ascii="宋体" w:hAnsi="宋体"/>
          <w:color w:val="auto"/>
          <w:sz w:val="21"/>
          <w:szCs w:val="21"/>
        </w:rPr>
        <w:sectPr>
          <w:footnotePr>
            <w:numRestart w:val="eachPage"/>
          </w:footnotePr>
          <w:pgSz w:w="11900" w:h="16838"/>
          <w:pgMar w:top="1803" w:right="1440" w:bottom="1803" w:left="1440" w:header="680" w:footer="680" w:gutter="0"/>
          <w:cols w:space="720" w:num="1"/>
          <w:docGrid w:linePitch="312" w:charSpace="0"/>
        </w:sectPr>
      </w:pPr>
      <w:r>
        <w:rPr>
          <w:rFonts w:hint="eastAsia" w:ascii="宋体" w:hAnsi="宋体"/>
          <w:color w:val="auto"/>
          <w:sz w:val="21"/>
          <w:szCs w:val="21"/>
        </w:rPr>
        <w:t>3.上述信息如经调查核实未如实填写的，按提供虚假材料对待。</w:t>
      </w:r>
    </w:p>
    <w:p>
      <w:pPr>
        <w:spacing w:line="360" w:lineRule="auto"/>
        <w:jc w:val="center"/>
        <w:rPr>
          <w:rFonts w:hint="eastAsia" w:ascii="宋体" w:hAnsi="宋体" w:cs="黑体"/>
          <w:b/>
          <w:color w:val="auto"/>
          <w:sz w:val="28"/>
          <w:szCs w:val="28"/>
        </w:rPr>
        <w:sectPr>
          <w:headerReference r:id="rId11" w:type="even"/>
          <w:footnotePr>
            <w:numRestart w:val="eachPage"/>
          </w:footnotePr>
          <w:type w:val="continuous"/>
          <w:pgSz w:w="11900" w:h="16838"/>
          <w:pgMar w:top="1803" w:right="1440" w:bottom="1803" w:left="1440" w:header="680" w:footer="680" w:gutter="0"/>
          <w:cols w:space="720" w:num="1"/>
          <w:docGrid w:linePitch="360" w:charSpace="0"/>
        </w:sectPr>
      </w:pPr>
    </w:p>
    <w:p>
      <w:pPr>
        <w:spacing w:line="360" w:lineRule="auto"/>
        <w:jc w:val="center"/>
        <w:rPr>
          <w:rFonts w:ascii="宋体" w:hAnsi="宋体" w:cs="黑体"/>
          <w:b/>
          <w:color w:val="auto"/>
          <w:sz w:val="28"/>
          <w:szCs w:val="28"/>
        </w:rPr>
      </w:pPr>
      <w:r>
        <w:rPr>
          <w:rFonts w:hint="eastAsia" w:ascii="宋体" w:hAnsi="宋体" w:cs="黑体"/>
          <w:b/>
          <w:color w:val="auto"/>
          <w:sz w:val="28"/>
          <w:szCs w:val="28"/>
        </w:rPr>
        <w:t>（</w:t>
      </w:r>
      <w:r>
        <w:rPr>
          <w:rFonts w:hint="eastAsia" w:ascii="宋体" w:hAnsi="宋体" w:cs="黑体"/>
          <w:b/>
          <w:color w:val="auto"/>
          <w:sz w:val="28"/>
          <w:szCs w:val="28"/>
          <w:lang w:val="en-US"/>
        </w:rPr>
        <w:t>二</w:t>
      </w:r>
      <w:r>
        <w:rPr>
          <w:rFonts w:hint="eastAsia" w:ascii="宋体" w:hAnsi="宋体" w:cs="黑体"/>
          <w:b/>
          <w:color w:val="auto"/>
          <w:sz w:val="28"/>
          <w:szCs w:val="28"/>
        </w:rPr>
        <w:t>）</w:t>
      </w:r>
      <w:r>
        <w:rPr>
          <w:rFonts w:ascii="宋体" w:hAnsi="宋体" w:cs="黑体"/>
          <w:b/>
          <w:color w:val="auto"/>
          <w:sz w:val="28"/>
          <w:szCs w:val="28"/>
        </w:rPr>
        <w:t>投标人企业组织机构框图</w:t>
      </w:r>
    </w:p>
    <w:p>
      <w:pPr>
        <w:widowControl/>
        <w:autoSpaceDE w:val="0"/>
        <w:autoSpaceDN w:val="0"/>
        <w:spacing w:line="400" w:lineRule="atLeast"/>
        <w:ind w:left="180"/>
        <w:textAlignment w:val="bottom"/>
        <w:rPr>
          <w:rFonts w:ascii="宋体" w:hAnsi="宋体"/>
          <w:color w:val="auto"/>
          <w:sz w:val="20"/>
          <w:szCs w:val="20"/>
        </w:rPr>
      </w:pPr>
    </w:p>
    <w:tbl>
      <w:tblPr>
        <w:tblStyle w:val="8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p>
          <w:p>
            <w:pPr>
              <w:keepNext w:val="0"/>
              <w:keepLines w:val="0"/>
              <w:suppressLineNumbers w:val="0"/>
              <w:spacing w:before="0" w:beforeAutospacing="0" w:after="0" w:afterAutospacing="0" w:line="520" w:lineRule="atLeast"/>
              <w:ind w:left="266" w:right="199" w:rightChars="83" w:firstLine="4"/>
              <w:rPr>
                <w:rFonts w:hint="default" w:ascii="宋体" w:hAnsi="宋体"/>
                <w:color w:val="auto"/>
                <w:szCs w:val="21"/>
              </w:rPr>
            </w:pPr>
            <w:r>
              <w:rPr>
                <w:rFonts w:hint="default" w:ascii="宋体" w:hAnsi="宋体"/>
                <w:color w:val="auto"/>
                <w:szCs w:val="21"/>
              </w:rPr>
              <w:t>以框图方式表示。</w:t>
            </w:r>
          </w:p>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p>
            <w:pPr>
              <w:keepNext w:val="0"/>
              <w:keepLines w:val="0"/>
              <w:suppressLineNumbers w:val="0"/>
              <w:spacing w:before="0" w:beforeAutospacing="0" w:after="0" w:afterAutospacing="0" w:line="400" w:lineRule="atLeast"/>
              <w:ind w:left="0" w:right="199" w:rightChars="83" w:firstLine="4"/>
              <w:rPr>
                <w:rFonts w:hint="eastAsia" w:ascii="宋体" w:hAnsi="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r>
              <w:rPr>
                <w:rFonts w:hint="default" w:ascii="宋体" w:hAnsi="宋体"/>
                <w:color w:val="auto"/>
                <w:szCs w:val="21"/>
              </w:rPr>
              <w:t>说明</w:t>
            </w:r>
          </w:p>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p>
          <w:p>
            <w:pPr>
              <w:keepNext w:val="0"/>
              <w:keepLines w:val="0"/>
              <w:suppressLineNumbers w:val="0"/>
              <w:spacing w:before="0" w:beforeAutospacing="0" w:after="0" w:afterAutospacing="0" w:line="400" w:lineRule="atLeast"/>
              <w:ind w:left="266" w:right="199" w:rightChars="83" w:firstLine="4"/>
              <w:rPr>
                <w:rFonts w:hint="default" w:ascii="宋体" w:hAnsi="宋体"/>
                <w:color w:val="auto"/>
                <w:szCs w:val="21"/>
              </w:rPr>
            </w:pPr>
          </w:p>
        </w:tc>
      </w:tr>
    </w:tbl>
    <w:p>
      <w:pPr>
        <w:topLinePunct/>
        <w:spacing w:line="400" w:lineRule="atLeast"/>
        <w:jc w:val="center"/>
        <w:rPr>
          <w:rFonts w:hint="eastAsia" w:ascii="宋体" w:hAnsi="宋体"/>
          <w:color w:val="auto"/>
        </w:rPr>
      </w:pPr>
      <w:r>
        <w:rPr>
          <w:rFonts w:ascii="宋体" w:hAnsi="宋体"/>
          <w:color w:val="auto"/>
          <w:sz w:val="20"/>
        </w:rPr>
        <w:br w:type="page"/>
      </w:r>
      <w:r>
        <w:rPr>
          <w:rFonts w:hint="eastAsia" w:ascii="宋体" w:hAnsi="宋体"/>
          <w:b/>
          <w:bCs/>
          <w:color w:val="auto"/>
          <w:sz w:val="28"/>
          <w:szCs w:val="28"/>
        </w:rPr>
        <w:t>（</w:t>
      </w:r>
      <w:r>
        <w:rPr>
          <w:rFonts w:hint="eastAsia" w:ascii="宋体" w:hAnsi="宋体"/>
          <w:b/>
          <w:bCs/>
          <w:color w:val="auto"/>
          <w:sz w:val="28"/>
          <w:szCs w:val="28"/>
          <w:lang w:val="en-US"/>
        </w:rPr>
        <w:t>三</w:t>
      </w:r>
      <w:r>
        <w:rPr>
          <w:rFonts w:hint="eastAsia" w:ascii="宋体" w:hAnsi="宋体"/>
          <w:b/>
          <w:bCs/>
          <w:color w:val="auto"/>
          <w:sz w:val="28"/>
          <w:szCs w:val="28"/>
        </w:rPr>
        <w:t>）</w:t>
      </w:r>
      <w:r>
        <w:rPr>
          <w:rFonts w:hint="eastAsia" w:ascii="宋体" w:hAnsi="宋体"/>
          <w:b/>
          <w:bCs/>
          <w:color w:val="auto"/>
          <w:sz w:val="28"/>
          <w:szCs w:val="28"/>
          <w:lang w:val="en-US"/>
        </w:rPr>
        <w:t>近年</w:t>
      </w:r>
      <w:r>
        <w:rPr>
          <w:rFonts w:ascii="宋体" w:hAnsi="宋体"/>
          <w:b/>
          <w:bCs/>
          <w:color w:val="auto"/>
          <w:sz w:val="28"/>
          <w:szCs w:val="28"/>
        </w:rPr>
        <w:t>完成的类似项目情况</w:t>
      </w:r>
      <w:r>
        <w:rPr>
          <w:rFonts w:hint="eastAsia" w:ascii="宋体" w:hAnsi="宋体"/>
          <w:b/>
          <w:bCs/>
          <w:color w:val="auto"/>
          <w:sz w:val="28"/>
          <w:szCs w:val="28"/>
        </w:rPr>
        <w:t>汇总</w:t>
      </w:r>
      <w:r>
        <w:rPr>
          <w:rFonts w:ascii="宋体" w:hAnsi="宋体"/>
          <w:b/>
          <w:bCs/>
          <w:color w:val="auto"/>
          <w:sz w:val="28"/>
          <w:szCs w:val="28"/>
        </w:rPr>
        <w:t>表</w:t>
      </w:r>
    </w:p>
    <w:p>
      <w:pPr>
        <w:topLinePunct/>
        <w:spacing w:line="400" w:lineRule="atLeast"/>
        <w:jc w:val="center"/>
        <w:rPr>
          <w:rFonts w:hint="eastAsia" w:ascii="宋体" w:hAnsi="宋体"/>
          <w:color w:val="auto"/>
          <w:sz w:val="28"/>
          <w:szCs w:val="28"/>
        </w:rPr>
      </w:pPr>
    </w:p>
    <w:tbl>
      <w:tblPr>
        <w:tblStyle w:val="88"/>
        <w:tblW w:w="8809" w:type="dxa"/>
        <w:tblInd w:w="0" w:type="dxa"/>
        <w:tblLayout w:type="fixed"/>
        <w:tblCellMar>
          <w:top w:w="0" w:type="dxa"/>
          <w:left w:w="15" w:type="dxa"/>
          <w:bottom w:w="0" w:type="dxa"/>
          <w:right w:w="15" w:type="dxa"/>
        </w:tblCellMar>
      </w:tblPr>
      <w:tblGrid>
        <w:gridCol w:w="531"/>
        <w:gridCol w:w="2033"/>
        <w:gridCol w:w="1404"/>
        <w:gridCol w:w="1405"/>
        <w:gridCol w:w="1322"/>
        <w:gridCol w:w="1187"/>
        <w:gridCol w:w="927"/>
      </w:tblGrid>
      <w:tr>
        <w:tblPrEx>
          <w:tblCellMar>
            <w:top w:w="0" w:type="dxa"/>
            <w:left w:w="15" w:type="dxa"/>
            <w:bottom w:w="0" w:type="dxa"/>
            <w:right w:w="15" w:type="dxa"/>
          </w:tblCellMar>
        </w:tblPrEx>
        <w:trPr>
          <w:trHeight w:val="882"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序号</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项目名称</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lang w:val="en-US"/>
              </w:rPr>
            </w:pPr>
            <w:r>
              <w:rPr>
                <w:rFonts w:hint="eastAsia" w:ascii="宋体" w:hAnsi="宋体" w:cs="宋体"/>
                <w:color w:val="auto"/>
                <w:szCs w:val="21"/>
                <w:lang w:val="en-US"/>
              </w:rPr>
              <w:t>起讫时间</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lang w:val="en-US"/>
              </w:rPr>
            </w:pPr>
            <w:r>
              <w:rPr>
                <w:rFonts w:hint="eastAsia" w:ascii="宋体" w:hAnsi="宋体" w:cs="宋体"/>
                <w:color w:val="auto"/>
                <w:szCs w:val="21"/>
                <w:lang w:val="en-US"/>
              </w:rPr>
              <w:t>建设单位</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lang w:val="en-US"/>
              </w:rPr>
            </w:pPr>
            <w:r>
              <w:rPr>
                <w:rFonts w:hint="eastAsia" w:ascii="宋体" w:hAnsi="宋体" w:cs="宋体"/>
                <w:color w:val="auto"/>
                <w:szCs w:val="21"/>
                <w:lang w:val="en-US"/>
              </w:rPr>
              <w:t>工程投资</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lang w:val="en-US"/>
              </w:rPr>
            </w:pPr>
            <w:r>
              <w:rPr>
                <w:rFonts w:hint="eastAsia" w:ascii="宋体" w:hAnsi="宋体" w:cs="宋体"/>
                <w:color w:val="auto"/>
                <w:szCs w:val="21"/>
                <w:lang w:val="en-US"/>
              </w:rPr>
              <w:t>完成情况</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备注</w:t>
            </w: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1</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2</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3</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4</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5</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6</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right"/>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right"/>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7</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right"/>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right"/>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right"/>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right"/>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25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r>
              <w:rPr>
                <w:rFonts w:hint="eastAsia" w:ascii="宋体" w:hAnsi="宋体" w:cs="宋体"/>
                <w:color w:val="auto"/>
                <w:szCs w:val="21"/>
              </w:rPr>
              <w:t>业绩合计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textAlignment w:val="center"/>
              <w:rPr>
                <w:rFonts w:hint="eastAsia" w:ascii="宋体" w:hAnsi="宋体" w:cs="宋体"/>
                <w:color w:val="auto"/>
                <w:szCs w:val="21"/>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N w:val="0"/>
              <w:spacing w:before="0" w:beforeAutospacing="0" w:after="0" w:afterAutospacing="0"/>
              <w:ind w:left="0" w:right="0"/>
              <w:jc w:val="center"/>
              <w:textAlignment w:val="center"/>
              <w:rPr>
                <w:rFonts w:hint="eastAsia" w:ascii="宋体" w:hAnsi="宋体" w:cs="宋体"/>
                <w:color w:val="auto"/>
                <w:szCs w:val="21"/>
              </w:rPr>
            </w:pPr>
          </w:p>
        </w:tc>
      </w:tr>
    </w:tbl>
    <w:p>
      <w:pPr>
        <w:rPr>
          <w:rFonts w:hint="eastAsia" w:ascii="宋体" w:hAnsi="宋体" w:cs="宋体"/>
          <w:color w:val="auto"/>
          <w:szCs w:val="21"/>
        </w:rPr>
      </w:pPr>
      <w:r>
        <w:rPr>
          <w:rFonts w:hint="eastAsia" w:ascii="宋体" w:hAnsi="宋体" w:cs="宋体"/>
          <w:color w:val="auto"/>
          <w:szCs w:val="21"/>
        </w:rPr>
        <w:t xml:space="preserve"> </w:t>
      </w:r>
    </w:p>
    <w:p>
      <w:pPr>
        <w:rPr>
          <w:rFonts w:hint="eastAsia" w:ascii="宋体" w:hAnsi="宋体" w:cs="宋体"/>
          <w:color w:val="auto"/>
          <w:szCs w:val="21"/>
        </w:rPr>
      </w:pPr>
      <w:r>
        <w:rPr>
          <w:rFonts w:hint="eastAsia" w:ascii="宋体" w:hAnsi="宋体" w:cs="宋体"/>
          <w:color w:val="auto"/>
          <w:szCs w:val="21"/>
        </w:rPr>
        <w:t>注：业绩要求应符合投标人须知前附表3.</w:t>
      </w:r>
      <w:r>
        <w:rPr>
          <w:rFonts w:ascii="宋体" w:hAnsi="宋体" w:cs="宋体"/>
          <w:color w:val="auto"/>
          <w:szCs w:val="21"/>
        </w:rPr>
        <w:t>5</w:t>
      </w:r>
      <w:r>
        <w:rPr>
          <w:rFonts w:hint="eastAsia" w:ascii="宋体" w:hAnsi="宋体" w:cs="宋体"/>
          <w:color w:val="auto"/>
          <w:szCs w:val="21"/>
        </w:rPr>
        <w:t>.</w:t>
      </w:r>
      <w:r>
        <w:rPr>
          <w:rFonts w:hint="eastAsia" w:ascii="宋体" w:hAnsi="宋体" w:cs="宋体"/>
          <w:color w:val="auto"/>
          <w:szCs w:val="21"/>
          <w:lang w:val="en-US"/>
        </w:rPr>
        <w:t>2</w:t>
      </w:r>
      <w:r>
        <w:rPr>
          <w:rFonts w:hint="eastAsia" w:ascii="宋体" w:hAnsi="宋体" w:cs="宋体"/>
          <w:color w:val="auto"/>
          <w:szCs w:val="21"/>
        </w:rPr>
        <w:t>款的要求。</w:t>
      </w:r>
    </w:p>
    <w:p>
      <w:pPr>
        <w:topLinePunct/>
        <w:spacing w:line="400" w:lineRule="atLeast"/>
        <w:jc w:val="center"/>
        <w:rPr>
          <w:rFonts w:ascii="宋体" w:hAnsi="宋体" w:cs="宋体"/>
          <w:color w:val="auto"/>
          <w:szCs w:val="21"/>
        </w:rPr>
      </w:pPr>
      <w:r>
        <w:rPr>
          <w:rFonts w:hint="eastAsia" w:ascii="宋体" w:hAnsi="宋体" w:cs="宋体"/>
          <w:color w:val="auto"/>
          <w:szCs w:val="21"/>
        </w:rPr>
        <w:t xml:space="preserve">  </w:t>
      </w:r>
    </w:p>
    <w:p>
      <w:pPr>
        <w:topLinePunct/>
        <w:spacing w:line="400" w:lineRule="atLeast"/>
        <w:jc w:val="center"/>
        <w:rPr>
          <w:rFonts w:hint="eastAsia" w:ascii="宋体" w:hAnsi="宋体"/>
          <w:b/>
          <w:bCs/>
          <w:color w:val="auto"/>
          <w:sz w:val="28"/>
          <w:szCs w:val="28"/>
        </w:rPr>
      </w:pPr>
      <w:r>
        <w:rPr>
          <w:rFonts w:ascii="宋体" w:hAnsi="宋体" w:cs="宋体"/>
          <w:color w:val="auto"/>
          <w:szCs w:val="21"/>
        </w:rPr>
        <w:br w:type="page"/>
      </w:r>
      <w:r>
        <w:rPr>
          <w:rFonts w:hint="eastAsia" w:ascii="宋体" w:hAnsi="宋体" w:cs="宋体"/>
          <w:b/>
          <w:bCs/>
          <w:color w:val="auto"/>
          <w:sz w:val="28"/>
          <w:szCs w:val="28"/>
        </w:rPr>
        <w:t>（</w:t>
      </w:r>
      <w:r>
        <w:rPr>
          <w:rFonts w:hint="eastAsia" w:ascii="宋体" w:hAnsi="宋体" w:cs="宋体"/>
          <w:b/>
          <w:bCs/>
          <w:color w:val="auto"/>
          <w:sz w:val="28"/>
          <w:szCs w:val="28"/>
          <w:lang w:val="en-US"/>
        </w:rPr>
        <w:t>四</w:t>
      </w:r>
      <w:r>
        <w:rPr>
          <w:rFonts w:hint="eastAsia" w:ascii="宋体" w:hAnsi="宋体" w:cs="宋体"/>
          <w:b/>
          <w:bCs/>
          <w:color w:val="auto"/>
          <w:sz w:val="28"/>
          <w:szCs w:val="28"/>
        </w:rPr>
        <w:t>）</w:t>
      </w:r>
      <w:r>
        <w:rPr>
          <w:rFonts w:hint="eastAsia" w:ascii="宋体" w:hAnsi="宋体"/>
          <w:b/>
          <w:bCs/>
          <w:color w:val="auto"/>
          <w:sz w:val="28"/>
          <w:szCs w:val="28"/>
          <w:lang w:val="en-US"/>
        </w:rPr>
        <w:t>近年</w:t>
      </w:r>
      <w:r>
        <w:rPr>
          <w:rFonts w:hint="eastAsia" w:ascii="宋体" w:hAnsi="宋体"/>
          <w:b/>
          <w:bCs/>
          <w:color w:val="auto"/>
          <w:sz w:val="28"/>
          <w:szCs w:val="28"/>
        </w:rPr>
        <w:t>完成的类似项目情况表</w:t>
      </w:r>
    </w:p>
    <w:p>
      <w:pPr>
        <w:topLinePunct/>
        <w:spacing w:line="400" w:lineRule="atLeast"/>
        <w:jc w:val="center"/>
        <w:rPr>
          <w:rFonts w:ascii="宋体" w:hAnsi="宋体"/>
          <w:color w:val="auto"/>
          <w:sz w:val="20"/>
          <w:szCs w:val="20"/>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eastAsia" w:ascii="宋体" w:hAnsi="宋体"/>
                <w:color w:val="auto"/>
                <w:szCs w:val="21"/>
              </w:rPr>
              <w:t>序    号</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项目名称</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项目所在地</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发包人名称</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发包人地址</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发包人电话</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lang w:val="en-US"/>
              </w:rPr>
            </w:pPr>
            <w:r>
              <w:rPr>
                <w:rFonts w:hint="eastAsia" w:ascii="宋体" w:hAnsi="宋体"/>
                <w:color w:val="auto"/>
                <w:szCs w:val="21"/>
                <w:lang w:val="en-US"/>
              </w:rPr>
              <w:t>项目总投资</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合同价格</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lang w:val="en-US"/>
              </w:rPr>
            </w:pPr>
            <w:r>
              <w:rPr>
                <w:rFonts w:hint="eastAsia" w:ascii="宋体" w:hAnsi="宋体"/>
                <w:color w:val="auto"/>
                <w:szCs w:val="21"/>
                <w:lang w:val="en-US"/>
              </w:rPr>
              <w:t>承担的勘察设计工作</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lang w:val="en-US"/>
              </w:rPr>
            </w:pPr>
            <w:r>
              <w:rPr>
                <w:rFonts w:hint="eastAsia" w:ascii="宋体" w:hAnsi="宋体"/>
                <w:color w:val="auto"/>
                <w:szCs w:val="21"/>
                <w:lang w:val="en-US"/>
              </w:rPr>
              <w:t>勘察设计服务期限</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eastAsia" w:ascii="宋体" w:hAnsi="宋体"/>
                <w:color w:val="auto"/>
                <w:szCs w:val="21"/>
              </w:rPr>
            </w:pPr>
            <w:r>
              <w:rPr>
                <w:rFonts w:hint="eastAsia" w:ascii="宋体" w:hAnsi="宋体"/>
                <w:color w:val="auto"/>
                <w:szCs w:val="21"/>
              </w:rPr>
              <w:t>项目负责人</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lang w:val="en-US"/>
              </w:rPr>
            </w:pPr>
            <w:r>
              <w:rPr>
                <w:rFonts w:hint="eastAsia" w:ascii="宋体" w:hAnsi="宋体"/>
                <w:color w:val="auto"/>
                <w:szCs w:val="21"/>
              </w:rPr>
              <w:t>项目</w:t>
            </w:r>
            <w:r>
              <w:rPr>
                <w:rFonts w:hint="eastAsia" w:ascii="宋体" w:hAnsi="宋体"/>
                <w:color w:val="auto"/>
                <w:szCs w:val="21"/>
                <w:lang w:val="en-US"/>
              </w:rPr>
              <w:t>完成情况</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项目描述</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34" w:type="dxa"/>
            <w:noWrap w:val="0"/>
            <w:vAlign w:val="center"/>
          </w:tcPr>
          <w:p>
            <w:pPr>
              <w:keepNext w:val="0"/>
              <w:keepLines w:val="0"/>
              <w:suppressLineNumbers w:val="0"/>
              <w:topLinePunct/>
              <w:spacing w:before="0" w:beforeAutospacing="0" w:after="0" w:afterAutospacing="0" w:line="280" w:lineRule="exact"/>
              <w:ind w:left="0" w:right="0"/>
              <w:jc w:val="center"/>
              <w:rPr>
                <w:rFonts w:hint="default" w:ascii="宋体" w:hAnsi="宋体"/>
                <w:color w:val="auto"/>
                <w:szCs w:val="21"/>
              </w:rPr>
            </w:pPr>
            <w:r>
              <w:rPr>
                <w:rFonts w:hint="default" w:ascii="宋体" w:hAnsi="宋体"/>
                <w:color w:val="auto"/>
                <w:szCs w:val="21"/>
              </w:rPr>
              <w:t>备注</w:t>
            </w:r>
          </w:p>
        </w:tc>
        <w:tc>
          <w:tcPr>
            <w:tcW w:w="6243" w:type="dxa"/>
            <w:noWrap w:val="0"/>
            <w:vAlign w:val="top"/>
          </w:tcPr>
          <w:p>
            <w:pPr>
              <w:keepNext w:val="0"/>
              <w:keepLines w:val="0"/>
              <w:suppressLineNumbers w:val="0"/>
              <w:topLinePunct/>
              <w:spacing w:before="0" w:beforeAutospacing="0" w:after="0" w:afterAutospacing="0" w:line="280" w:lineRule="exact"/>
              <w:ind w:left="0" w:right="0"/>
              <w:rPr>
                <w:rFonts w:hint="default" w:ascii="宋体" w:hAnsi="宋体"/>
                <w:color w:val="auto"/>
                <w:szCs w:val="21"/>
              </w:rPr>
            </w:pPr>
          </w:p>
        </w:tc>
      </w:tr>
    </w:tbl>
    <w:p>
      <w:pPr>
        <w:spacing w:line="320" w:lineRule="atLeast"/>
        <w:rPr>
          <w:rFonts w:hint="eastAsia" w:ascii="宋体" w:hAnsi="宋体"/>
          <w:color w:val="auto"/>
          <w:sz w:val="18"/>
          <w:szCs w:val="18"/>
        </w:rPr>
      </w:pPr>
      <w:r>
        <w:rPr>
          <w:rFonts w:hint="eastAsia" w:ascii="宋体" w:hAnsi="宋体"/>
          <w:color w:val="auto"/>
          <w:sz w:val="18"/>
          <w:szCs w:val="18"/>
        </w:rPr>
        <w:t>注：1.每张表格只填写一个项目，并标明序号。</w:t>
      </w:r>
    </w:p>
    <w:p>
      <w:pPr>
        <w:spacing w:line="320" w:lineRule="atLeast"/>
        <w:ind w:firstLine="360" w:firstLineChars="200"/>
        <w:rPr>
          <w:rFonts w:ascii="宋体" w:hAnsi="宋体"/>
          <w:color w:val="auto"/>
          <w:sz w:val="18"/>
          <w:szCs w:val="18"/>
          <w:lang w:val="en-US"/>
        </w:rPr>
      </w:pPr>
      <w:r>
        <w:rPr>
          <w:rFonts w:hint="eastAsia" w:ascii="宋体" w:hAnsi="宋体"/>
          <w:color w:val="auto"/>
          <w:sz w:val="18"/>
          <w:szCs w:val="18"/>
          <w:lang w:val="en-US"/>
        </w:rPr>
        <w:t>2.项目完成情况：根据先后顺序分为“勘察成果已完成”“初步设计已批复”“施工图设计已审批”等不同阶段， 投标人应根据项目实际完成情况进行填报。</w:t>
      </w:r>
    </w:p>
    <w:p>
      <w:pPr>
        <w:spacing w:line="320" w:lineRule="atLeast"/>
        <w:ind w:firstLine="360" w:firstLineChars="200"/>
        <w:rPr>
          <w:rFonts w:hint="eastAsia" w:ascii="宋体" w:hAnsi="宋体"/>
          <w:color w:val="auto"/>
          <w:sz w:val="18"/>
          <w:szCs w:val="18"/>
        </w:rPr>
      </w:pPr>
      <w:r>
        <w:rPr>
          <w:rFonts w:hint="eastAsia" w:ascii="宋体" w:hAnsi="宋体"/>
          <w:color w:val="auto"/>
          <w:sz w:val="18"/>
          <w:szCs w:val="18"/>
          <w:lang w:val="en-US"/>
        </w:rPr>
        <w:t>3</w:t>
      </w:r>
      <w:r>
        <w:rPr>
          <w:rFonts w:hint="eastAsia" w:ascii="宋体" w:hAnsi="宋体"/>
          <w:color w:val="auto"/>
          <w:sz w:val="18"/>
          <w:szCs w:val="18"/>
        </w:rPr>
        <w:t>.投标人应根据招标文件第二章“投标人须知”第3.</w:t>
      </w:r>
      <w:r>
        <w:rPr>
          <w:rFonts w:ascii="宋体" w:hAnsi="宋体"/>
          <w:color w:val="auto"/>
          <w:sz w:val="18"/>
          <w:szCs w:val="18"/>
        </w:rPr>
        <w:t>5</w:t>
      </w:r>
      <w:r>
        <w:rPr>
          <w:rFonts w:hint="eastAsia" w:ascii="宋体" w:hAnsi="宋体"/>
          <w:color w:val="auto"/>
          <w:sz w:val="18"/>
          <w:szCs w:val="18"/>
        </w:rPr>
        <w:t>.</w:t>
      </w:r>
      <w:r>
        <w:rPr>
          <w:rFonts w:hint="eastAsia" w:ascii="宋体" w:hAnsi="宋体"/>
          <w:color w:val="auto"/>
          <w:sz w:val="18"/>
          <w:szCs w:val="18"/>
          <w:lang w:val="en-US"/>
        </w:rPr>
        <w:t>2</w:t>
      </w:r>
      <w:r>
        <w:rPr>
          <w:rFonts w:hint="eastAsia" w:ascii="宋体" w:hAnsi="宋体"/>
          <w:color w:val="auto"/>
          <w:sz w:val="18"/>
          <w:szCs w:val="18"/>
        </w:rPr>
        <w:t>项的要求在本表后附相关证明材料。</w:t>
      </w:r>
    </w:p>
    <w:p>
      <w:pPr>
        <w:spacing w:line="320" w:lineRule="atLeast"/>
        <w:ind w:left="540" w:leftChars="150" w:hanging="180" w:hangingChars="100"/>
        <w:rPr>
          <w:rFonts w:hint="eastAsia" w:ascii="宋体" w:hAnsi="宋体"/>
          <w:color w:val="auto"/>
          <w:sz w:val="18"/>
          <w:szCs w:val="18"/>
        </w:rPr>
      </w:pPr>
      <w:r>
        <w:rPr>
          <w:rFonts w:hint="eastAsia" w:ascii="宋体" w:hAnsi="宋体"/>
          <w:color w:val="auto"/>
          <w:sz w:val="18"/>
          <w:szCs w:val="18"/>
          <w:lang w:val="en-US"/>
        </w:rPr>
        <w:t>4</w:t>
      </w:r>
      <w:r>
        <w:rPr>
          <w:rFonts w:hint="eastAsia" w:ascii="宋体" w:hAnsi="宋体"/>
          <w:color w:val="auto"/>
          <w:sz w:val="18"/>
          <w:szCs w:val="18"/>
        </w:rPr>
        <w:t>.如近年来，投标人法人机构发生合法变更或重组或法人名称变更时，应提供相关部门的合法批件或其他相关</w:t>
      </w:r>
    </w:p>
    <w:p>
      <w:pPr>
        <w:spacing w:line="320" w:lineRule="atLeast"/>
        <w:rPr>
          <w:rFonts w:hint="eastAsia" w:ascii="宋体" w:hAnsi="宋体"/>
          <w:color w:val="auto"/>
          <w:sz w:val="18"/>
          <w:szCs w:val="18"/>
        </w:rPr>
      </w:pPr>
      <w:r>
        <w:rPr>
          <w:rFonts w:hint="eastAsia" w:ascii="宋体" w:hAnsi="宋体"/>
          <w:color w:val="auto"/>
          <w:sz w:val="18"/>
          <w:szCs w:val="18"/>
        </w:rPr>
        <w:t>证明材料来证明其所附业绩的继承性。</w:t>
      </w:r>
    </w:p>
    <w:p>
      <w:pPr>
        <w:spacing w:line="320" w:lineRule="atLeast"/>
        <w:ind w:firstLine="360" w:firstLineChars="200"/>
        <w:rPr>
          <w:rFonts w:hint="eastAsia" w:ascii="宋体" w:hAnsi="宋体"/>
          <w:color w:val="auto"/>
          <w:sz w:val="18"/>
          <w:szCs w:val="18"/>
        </w:rPr>
      </w:pPr>
      <w:r>
        <w:rPr>
          <w:rFonts w:hint="eastAsia" w:ascii="宋体" w:hAnsi="宋体"/>
          <w:color w:val="auto"/>
          <w:sz w:val="18"/>
          <w:szCs w:val="18"/>
          <w:lang w:val="en-US"/>
        </w:rPr>
        <w:t>5</w:t>
      </w:r>
      <w:r>
        <w:rPr>
          <w:rFonts w:hint="eastAsia" w:ascii="宋体" w:hAnsi="宋体"/>
          <w:color w:val="auto"/>
          <w:sz w:val="18"/>
          <w:szCs w:val="18"/>
        </w:rPr>
        <w:t>.以联合体形式投标的，联合体各成员应分别填写。</w:t>
      </w:r>
    </w:p>
    <w:p>
      <w:pPr>
        <w:topLinePunct/>
        <w:spacing w:line="400" w:lineRule="atLeast"/>
        <w:jc w:val="center"/>
        <w:rPr>
          <w:rFonts w:ascii="宋体" w:hAnsi="宋体"/>
          <w:color w:val="auto"/>
          <w:sz w:val="28"/>
          <w:szCs w:val="28"/>
        </w:rPr>
      </w:pPr>
    </w:p>
    <w:p>
      <w:pPr>
        <w:topLinePunct/>
        <w:spacing w:line="400" w:lineRule="atLeast"/>
        <w:ind w:left="591" w:hanging="213"/>
        <w:jc w:val="center"/>
        <w:rPr>
          <w:rFonts w:hint="eastAsia" w:ascii="宋体" w:hAnsi="宋体" w:cs="黑体"/>
          <w:b/>
          <w:color w:val="auto"/>
          <w:sz w:val="28"/>
          <w:szCs w:val="28"/>
          <w:lang w:val="en-US"/>
        </w:rPr>
      </w:pPr>
      <w:r>
        <w:rPr>
          <w:rFonts w:ascii="宋体" w:hAnsi="宋体"/>
          <w:color w:val="auto"/>
          <w:sz w:val="28"/>
          <w:szCs w:val="28"/>
        </w:rPr>
        <w:br w:type="page"/>
      </w:r>
      <w:r>
        <w:rPr>
          <w:rFonts w:hint="eastAsia" w:ascii="宋体" w:hAnsi="宋体" w:cs="黑体"/>
          <w:b/>
          <w:color w:val="auto"/>
          <w:sz w:val="28"/>
          <w:szCs w:val="28"/>
        </w:rPr>
        <w:t>（</w:t>
      </w:r>
      <w:r>
        <w:rPr>
          <w:rFonts w:hint="eastAsia" w:ascii="宋体" w:hAnsi="宋体" w:cs="黑体"/>
          <w:b/>
          <w:color w:val="auto"/>
          <w:sz w:val="28"/>
          <w:szCs w:val="28"/>
          <w:lang w:val="en-US"/>
        </w:rPr>
        <w:t>五</w:t>
      </w:r>
      <w:r>
        <w:rPr>
          <w:rFonts w:hint="eastAsia" w:ascii="宋体" w:hAnsi="宋体" w:cs="黑体"/>
          <w:b/>
          <w:color w:val="auto"/>
          <w:sz w:val="28"/>
          <w:szCs w:val="28"/>
        </w:rPr>
        <w:t>）投标人的信誉情况</w:t>
      </w:r>
      <w:r>
        <w:rPr>
          <w:rFonts w:hint="eastAsia" w:ascii="宋体" w:hAnsi="宋体" w:cs="黑体"/>
          <w:b/>
          <w:color w:val="auto"/>
          <w:sz w:val="28"/>
          <w:szCs w:val="28"/>
          <w:lang w:val="en-US"/>
        </w:rPr>
        <w:t>表</w:t>
      </w:r>
    </w:p>
    <w:p>
      <w:pPr>
        <w:topLinePunct/>
        <w:spacing w:line="400" w:lineRule="atLeast"/>
        <w:rPr>
          <w:rFonts w:ascii="宋体" w:hAnsi="宋体"/>
          <w:bCs/>
          <w:color w:val="auto"/>
          <w:sz w:val="23"/>
          <w:szCs w:val="23"/>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noWrap w:val="0"/>
            <w:vAlign w:val="top"/>
          </w:tcPr>
          <w:p>
            <w:pPr>
              <w:keepNext w:val="0"/>
              <w:keepLines w:val="0"/>
              <w:suppressLineNumbers w:val="0"/>
              <w:topLinePunct/>
              <w:spacing w:before="0" w:beforeAutospacing="0" w:after="0" w:afterAutospacing="0" w:line="400" w:lineRule="atLeast"/>
              <w:ind w:left="0" w:right="0"/>
              <w:jc w:val="center"/>
              <w:rPr>
                <w:rFonts w:hint="default" w:ascii="宋体" w:hAnsi="宋体"/>
                <w:bCs/>
                <w:color w:val="auto"/>
                <w:szCs w:val="21"/>
              </w:rPr>
            </w:pPr>
            <w:r>
              <w:rPr>
                <w:rFonts w:hint="default" w:ascii="宋体" w:hAnsi="宋体"/>
                <w:bCs/>
                <w:color w:val="auto"/>
                <w:szCs w:val="21"/>
              </w:rPr>
              <w:t>项 目</w:t>
            </w:r>
          </w:p>
        </w:tc>
        <w:tc>
          <w:tcPr>
            <w:tcW w:w="3828" w:type="dxa"/>
            <w:noWrap w:val="0"/>
            <w:vAlign w:val="top"/>
          </w:tcPr>
          <w:p>
            <w:pPr>
              <w:keepNext w:val="0"/>
              <w:keepLines w:val="0"/>
              <w:suppressLineNumbers w:val="0"/>
              <w:topLinePunct/>
              <w:spacing w:before="0" w:beforeAutospacing="0" w:after="0" w:afterAutospacing="0" w:line="400" w:lineRule="atLeast"/>
              <w:ind w:left="0" w:right="0"/>
              <w:jc w:val="center"/>
              <w:rPr>
                <w:rFonts w:hint="default" w:ascii="宋体" w:hAnsi="宋体"/>
                <w:bCs/>
                <w:color w:val="auto"/>
                <w:szCs w:val="21"/>
              </w:rPr>
            </w:pPr>
            <w:r>
              <w:rPr>
                <w:rFonts w:hint="default" w:ascii="宋体" w:hAnsi="宋体"/>
                <w:bCs/>
                <w:color w:val="auto"/>
                <w:szCs w:val="21"/>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auto"/>
                <w:sz w:val="21"/>
                <w:szCs w:val="21"/>
              </w:rPr>
            </w:pPr>
            <w:r>
              <w:rPr>
                <w:rFonts w:hint="eastAsia" w:ascii="宋体" w:hAnsi="宋体"/>
                <w:bCs/>
                <w:color w:val="auto"/>
                <w:sz w:val="21"/>
                <w:szCs w:val="21"/>
              </w:rPr>
              <w:t>（1）在最新年度</w:t>
            </w:r>
            <w:r>
              <w:rPr>
                <w:rFonts w:hint="eastAsia" w:ascii="宋体" w:hAnsi="宋体"/>
                <w:bCs/>
                <w:color w:val="auto"/>
                <w:sz w:val="21"/>
                <w:szCs w:val="21"/>
                <w:lang w:eastAsia="zh-CN"/>
              </w:rPr>
              <w:t>湛江市水运工程从业单位（设计单位）信用评价</w:t>
            </w:r>
            <w:r>
              <w:rPr>
                <w:rFonts w:hint="eastAsia" w:ascii="宋体" w:hAnsi="宋体"/>
                <w:bCs/>
                <w:color w:val="auto"/>
                <w:sz w:val="21"/>
                <w:szCs w:val="21"/>
              </w:rPr>
              <w:t>（含无最新年度而上一年度有信用评价）中，信用等级被评为D级；初次进入</w:t>
            </w:r>
            <w:r>
              <w:rPr>
                <w:rFonts w:hint="eastAsia" w:ascii="宋体" w:hAnsi="宋体"/>
                <w:bCs/>
                <w:color w:val="auto"/>
                <w:sz w:val="21"/>
                <w:szCs w:val="21"/>
                <w:lang w:eastAsia="zh-CN"/>
              </w:rPr>
              <w:t>湛江市</w:t>
            </w:r>
            <w:r>
              <w:rPr>
                <w:rFonts w:hint="eastAsia" w:ascii="宋体" w:hAnsi="宋体"/>
                <w:bCs/>
                <w:color w:val="auto"/>
                <w:sz w:val="21"/>
                <w:szCs w:val="21"/>
              </w:rPr>
              <w:t>的投标人，在最新年度的全国</w:t>
            </w:r>
            <w:r>
              <w:rPr>
                <w:rFonts w:hint="eastAsia" w:ascii="宋体" w:hAnsi="宋体"/>
                <w:bCs/>
                <w:color w:val="auto"/>
                <w:sz w:val="21"/>
                <w:szCs w:val="21"/>
                <w:lang w:val="en-US"/>
              </w:rPr>
              <w:t>水运</w:t>
            </w:r>
            <w:r>
              <w:rPr>
                <w:rFonts w:hint="eastAsia" w:ascii="宋体" w:hAnsi="宋体"/>
                <w:bCs/>
                <w:color w:val="auto"/>
                <w:sz w:val="21"/>
                <w:szCs w:val="21"/>
              </w:rPr>
              <w:t>从业单位（</w:t>
            </w:r>
            <w:r>
              <w:rPr>
                <w:rFonts w:hint="eastAsia" w:ascii="宋体" w:hAnsi="宋体"/>
                <w:bCs/>
                <w:color w:val="auto"/>
                <w:sz w:val="21"/>
                <w:szCs w:val="21"/>
                <w:lang w:val="en-US"/>
              </w:rPr>
              <w:t>设计</w:t>
            </w:r>
            <w:r>
              <w:rPr>
                <w:rFonts w:hint="eastAsia" w:ascii="宋体" w:hAnsi="宋体"/>
                <w:bCs/>
                <w:color w:val="auto"/>
                <w:sz w:val="21"/>
                <w:szCs w:val="21"/>
              </w:rPr>
              <w:t>单位）信用评价结果中被评为D级。</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（2）被省级及以上交通运输主管部门取消</w:t>
            </w:r>
            <w:r>
              <w:rPr>
                <w:rFonts w:hint="eastAsia" w:ascii="宋体" w:hAnsi="宋体"/>
                <w:bCs/>
                <w:color w:val="auto"/>
                <w:sz w:val="21"/>
                <w:szCs w:val="21"/>
                <w:lang w:val="en-US"/>
              </w:rPr>
              <w:t>广东省</w:t>
            </w:r>
            <w:r>
              <w:rPr>
                <w:rFonts w:hint="eastAsia" w:ascii="宋体" w:hAnsi="宋体"/>
                <w:bCs/>
                <w:color w:val="auto"/>
                <w:sz w:val="21"/>
                <w:szCs w:val="21"/>
              </w:rPr>
              <w:t>的投标资格且处于有效期内；</w:t>
            </w:r>
            <w:r>
              <w:rPr>
                <w:rFonts w:hint="default" w:ascii="宋体" w:hAnsi="宋体"/>
                <w:bCs/>
                <w:color w:val="auto"/>
                <w:sz w:val="21"/>
                <w:szCs w:val="21"/>
              </w:rPr>
              <w:t xml:space="preserve"> </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（3）被责令停业，暂扣或吊销执照，或吊销资质证书；</w:t>
            </w:r>
            <w:r>
              <w:rPr>
                <w:rFonts w:hint="default" w:ascii="宋体" w:hAnsi="宋体"/>
                <w:bCs/>
                <w:color w:val="auto"/>
                <w:sz w:val="21"/>
                <w:szCs w:val="21"/>
              </w:rPr>
              <w:t xml:space="preserve"> </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（4）进入清算程序，或被宣告破产，或其他丧失履约能力的情形；</w:t>
            </w:r>
            <w:r>
              <w:rPr>
                <w:rFonts w:hint="default" w:ascii="宋体" w:hAnsi="宋体"/>
                <w:bCs/>
                <w:color w:val="auto"/>
                <w:sz w:val="21"/>
                <w:szCs w:val="21"/>
              </w:rPr>
              <w:t xml:space="preserve"> </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（5）在国家企业信用信息公示系统（</w:t>
            </w:r>
            <w:r>
              <w:rPr>
                <w:rFonts w:hint="default" w:ascii="宋体" w:hAnsi="宋体"/>
                <w:bCs/>
                <w:color w:val="auto"/>
                <w:sz w:val="21"/>
                <w:szCs w:val="21"/>
              </w:rPr>
              <w:t>http://www.gsxt.gov.cn/</w:t>
            </w:r>
            <w:r>
              <w:rPr>
                <w:rFonts w:hint="eastAsia" w:ascii="宋体" w:hAnsi="宋体"/>
                <w:bCs/>
                <w:color w:val="auto"/>
                <w:sz w:val="21"/>
                <w:szCs w:val="21"/>
              </w:rPr>
              <w:t>）中被列入严重违法失信企业名单；</w:t>
            </w:r>
            <w:r>
              <w:rPr>
                <w:rFonts w:hint="default" w:ascii="宋体" w:hAnsi="宋体"/>
                <w:bCs/>
                <w:color w:val="auto"/>
                <w:sz w:val="21"/>
                <w:szCs w:val="21"/>
              </w:rPr>
              <w:t xml:space="preserve"> </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（6）在</w:t>
            </w:r>
            <w:r>
              <w:rPr>
                <w:rFonts w:hint="default" w:ascii="宋体" w:hAnsi="宋体"/>
                <w:bCs/>
                <w:color w:val="auto"/>
                <w:sz w:val="21"/>
                <w:szCs w:val="21"/>
              </w:rPr>
              <w:t>“</w:t>
            </w:r>
            <w:r>
              <w:rPr>
                <w:rFonts w:hint="eastAsia" w:ascii="宋体" w:hAnsi="宋体"/>
                <w:bCs/>
                <w:color w:val="auto"/>
                <w:sz w:val="21"/>
                <w:szCs w:val="21"/>
              </w:rPr>
              <w:t>信用中国</w:t>
            </w:r>
            <w:r>
              <w:rPr>
                <w:rFonts w:hint="default" w:ascii="宋体" w:hAnsi="宋体"/>
                <w:bCs/>
                <w:color w:val="auto"/>
                <w:sz w:val="21"/>
                <w:szCs w:val="21"/>
              </w:rPr>
              <w:t>”</w:t>
            </w:r>
            <w:r>
              <w:rPr>
                <w:rFonts w:hint="eastAsia" w:ascii="宋体" w:hAnsi="宋体"/>
                <w:bCs/>
                <w:color w:val="auto"/>
                <w:sz w:val="21"/>
                <w:szCs w:val="21"/>
              </w:rPr>
              <w:t>网站（</w:t>
            </w:r>
            <w:r>
              <w:rPr>
                <w:rFonts w:hint="default" w:ascii="宋体" w:hAnsi="宋体"/>
                <w:bCs/>
                <w:color w:val="auto"/>
                <w:sz w:val="21"/>
                <w:szCs w:val="21"/>
              </w:rPr>
              <w:t>http://www.creditchina.gov.cn/</w:t>
            </w:r>
            <w:r>
              <w:rPr>
                <w:rFonts w:hint="eastAsia" w:ascii="宋体" w:hAnsi="宋体"/>
                <w:bCs/>
                <w:color w:val="auto"/>
                <w:sz w:val="21"/>
                <w:szCs w:val="21"/>
              </w:rPr>
              <w:t>）中被列入失信被执行人名单；</w:t>
            </w:r>
            <w:r>
              <w:rPr>
                <w:rFonts w:hint="default" w:ascii="宋体" w:hAnsi="宋体"/>
                <w:bCs/>
                <w:color w:val="auto"/>
                <w:sz w:val="21"/>
                <w:szCs w:val="21"/>
              </w:rPr>
              <w:t xml:space="preserve"> </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（7）投标人及其法定代表人、拟委任的项目负责人在近三年内有行贿犯罪行为的</w:t>
            </w:r>
            <w:r>
              <w:rPr>
                <w:rFonts w:hint="eastAsia" w:ascii="宋体" w:hAnsi="宋体"/>
                <w:color w:val="auto"/>
                <w:sz w:val="21"/>
                <w:szCs w:val="21"/>
              </w:rPr>
              <w:t>（以投标人投标函中的承诺为准）</w:t>
            </w:r>
            <w:r>
              <w:rPr>
                <w:rFonts w:hint="eastAsia" w:ascii="宋体" w:hAnsi="宋体"/>
                <w:bCs/>
                <w:color w:val="auto"/>
                <w:sz w:val="21"/>
                <w:szCs w:val="21"/>
              </w:rPr>
              <w:t>；</w:t>
            </w:r>
            <w:r>
              <w:rPr>
                <w:rFonts w:hint="default" w:ascii="宋体" w:hAnsi="宋体"/>
                <w:bCs/>
                <w:color w:val="auto"/>
                <w:sz w:val="21"/>
                <w:szCs w:val="21"/>
              </w:rPr>
              <w:t xml:space="preserve"> </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default" w:ascii="宋体" w:hAnsi="宋体"/>
                <w:bCs/>
                <w:color w:val="auto"/>
                <w:sz w:val="21"/>
                <w:szCs w:val="21"/>
              </w:rPr>
            </w:pPr>
            <w:r>
              <w:rPr>
                <w:rFonts w:hint="eastAsia" w:ascii="宋体" w:hAnsi="宋体"/>
                <w:bCs/>
                <w:color w:val="auto"/>
                <w:sz w:val="21"/>
                <w:szCs w:val="21"/>
              </w:rPr>
              <w:t>（8）法律法规或投标人须知前附表规定的其他情形。</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noWrap w:val="0"/>
            <w:vAlign w:val="top"/>
          </w:tcPr>
          <w:p>
            <w:pPr>
              <w:keepNext w:val="0"/>
              <w:keepLines w:val="0"/>
              <w:suppressLineNumbers w:val="0"/>
              <w:topLinePunct/>
              <w:spacing w:before="0" w:beforeAutospacing="0" w:after="0" w:afterAutospacing="0" w:line="400" w:lineRule="atLeast"/>
              <w:ind w:left="0" w:right="0"/>
              <w:rPr>
                <w:rFonts w:hint="eastAsia" w:ascii="宋体" w:hAnsi="宋体"/>
                <w:bCs/>
                <w:color w:val="auto"/>
                <w:szCs w:val="21"/>
              </w:rPr>
            </w:pPr>
            <w:r>
              <w:rPr>
                <w:rFonts w:hint="default" w:ascii="宋体" w:hAnsi="宋体"/>
                <w:bCs/>
                <w:color w:val="auto"/>
                <w:szCs w:val="21"/>
              </w:rPr>
              <w:t>……</w:t>
            </w:r>
          </w:p>
        </w:tc>
        <w:tc>
          <w:tcPr>
            <w:tcW w:w="3828" w:type="dxa"/>
            <w:noWrap w:val="0"/>
            <w:vAlign w:val="top"/>
          </w:tcPr>
          <w:p>
            <w:pPr>
              <w:keepNext w:val="0"/>
              <w:keepLines w:val="0"/>
              <w:suppressLineNumbers w:val="0"/>
              <w:topLinePunct/>
              <w:spacing w:before="0" w:beforeAutospacing="0" w:after="0" w:afterAutospacing="0" w:line="400" w:lineRule="atLeast"/>
              <w:ind w:left="0" w:right="0"/>
              <w:rPr>
                <w:rFonts w:hint="eastAsia" w:ascii="宋体" w:hAnsi="宋体"/>
                <w:bCs/>
                <w:color w:val="auto"/>
                <w:szCs w:val="21"/>
              </w:rPr>
            </w:pPr>
          </w:p>
        </w:tc>
      </w:tr>
    </w:tbl>
    <w:p>
      <w:pPr>
        <w:spacing w:line="320" w:lineRule="atLeast"/>
        <w:ind w:firstLine="360" w:firstLineChars="200"/>
        <w:rPr>
          <w:rFonts w:hint="eastAsia" w:ascii="宋体" w:hAnsi="宋体"/>
          <w:color w:val="auto"/>
          <w:sz w:val="18"/>
          <w:szCs w:val="18"/>
          <w:lang w:val="en-US"/>
        </w:rPr>
      </w:pPr>
      <w:r>
        <w:rPr>
          <w:rFonts w:hint="eastAsia" w:ascii="宋体" w:hAnsi="宋体"/>
          <w:color w:val="auto"/>
          <w:sz w:val="18"/>
          <w:szCs w:val="18"/>
          <w:lang w:val="en-US"/>
        </w:rPr>
        <w:t>注：1.投标人应按照招标文件第二章“投标人须知”前附表附录3和“投标人须知”第1.4.4项规定，逐条说明其信誉情况。</w:t>
      </w:r>
    </w:p>
    <w:p>
      <w:pPr>
        <w:spacing w:line="320" w:lineRule="atLeast"/>
        <w:ind w:firstLine="360" w:firstLineChars="200"/>
        <w:rPr>
          <w:rFonts w:hint="eastAsia" w:ascii="宋体" w:hAnsi="宋体"/>
          <w:color w:val="auto"/>
          <w:sz w:val="18"/>
          <w:szCs w:val="18"/>
          <w:lang w:val="en-US"/>
        </w:rPr>
      </w:pPr>
      <w:r>
        <w:rPr>
          <w:rFonts w:hint="eastAsia" w:ascii="宋体" w:hAnsi="宋体"/>
          <w:color w:val="auto"/>
          <w:sz w:val="18"/>
          <w:szCs w:val="18"/>
          <w:lang w:val="en-US"/>
        </w:rPr>
        <w:t>2.投标人应根据招标文件第二章“投标人须知”第3.5.3项的要求在本表后附相关证明材料。</w:t>
      </w:r>
    </w:p>
    <w:p>
      <w:pPr>
        <w:spacing w:line="320" w:lineRule="atLeast"/>
        <w:ind w:firstLine="360" w:firstLineChars="200"/>
        <w:rPr>
          <w:rFonts w:hint="eastAsia" w:ascii="宋体" w:hAnsi="宋体"/>
          <w:color w:val="auto"/>
          <w:sz w:val="18"/>
          <w:szCs w:val="18"/>
          <w:lang w:val="en-US"/>
        </w:rPr>
      </w:pPr>
      <w:r>
        <w:rPr>
          <w:rFonts w:hint="eastAsia" w:ascii="宋体" w:hAnsi="宋体"/>
          <w:color w:val="auto"/>
          <w:sz w:val="18"/>
          <w:szCs w:val="18"/>
          <w:lang w:val="en-US"/>
        </w:rPr>
        <w:t>3.以联合体形式投标的，联合体各成员应分别填写。</w:t>
      </w:r>
    </w:p>
    <w:p>
      <w:pPr>
        <w:widowControl/>
        <w:autoSpaceDE w:val="0"/>
        <w:autoSpaceDN w:val="0"/>
        <w:spacing w:line="400" w:lineRule="atLeast"/>
        <w:ind w:left="180"/>
        <w:jc w:val="center"/>
        <w:textAlignment w:val="bottom"/>
        <w:rPr>
          <w:rFonts w:ascii="宋体" w:hAnsi="宋体"/>
          <w:color w:val="auto"/>
        </w:rPr>
      </w:pPr>
      <w:r>
        <w:rPr>
          <w:rFonts w:ascii="宋体" w:hAnsi="宋体"/>
          <w:color w:val="auto"/>
          <w:szCs w:val="21"/>
        </w:rPr>
        <w:br w:type="page"/>
      </w:r>
      <w:r>
        <w:rPr>
          <w:rFonts w:hint="eastAsia" w:ascii="宋体" w:hAnsi="宋体"/>
          <w:b/>
          <w:bCs/>
          <w:color w:val="auto"/>
          <w:sz w:val="28"/>
          <w:szCs w:val="28"/>
        </w:rPr>
        <w:t>（</w:t>
      </w:r>
      <w:r>
        <w:rPr>
          <w:rFonts w:hint="eastAsia" w:ascii="宋体" w:hAnsi="宋体"/>
          <w:b/>
          <w:bCs/>
          <w:color w:val="auto"/>
          <w:sz w:val="28"/>
          <w:szCs w:val="28"/>
          <w:lang w:val="en-US"/>
        </w:rPr>
        <w:t>六</w:t>
      </w:r>
      <w:r>
        <w:rPr>
          <w:rFonts w:hint="eastAsia" w:ascii="宋体" w:hAnsi="宋体"/>
          <w:b/>
          <w:bCs/>
          <w:color w:val="auto"/>
          <w:sz w:val="28"/>
          <w:szCs w:val="28"/>
        </w:rPr>
        <w:t>）拟委任的项目负责人</w:t>
      </w:r>
      <w:r>
        <w:rPr>
          <w:rFonts w:hint="eastAsia" w:ascii="宋体" w:hAnsi="宋体"/>
          <w:b/>
          <w:bCs/>
          <w:color w:val="auto"/>
          <w:sz w:val="28"/>
          <w:szCs w:val="28"/>
          <w:lang w:val="en-US"/>
        </w:rPr>
        <w:t>资历</w:t>
      </w:r>
      <w:r>
        <w:rPr>
          <w:rFonts w:hint="eastAsia" w:ascii="宋体" w:hAnsi="宋体"/>
          <w:b/>
          <w:bCs/>
          <w:color w:val="auto"/>
          <w:sz w:val="28"/>
          <w:szCs w:val="28"/>
        </w:rPr>
        <w:t>表</w:t>
      </w:r>
    </w:p>
    <w:p>
      <w:pPr>
        <w:widowControl/>
        <w:autoSpaceDE w:val="0"/>
        <w:autoSpaceDN w:val="0"/>
        <w:spacing w:line="400" w:lineRule="atLeast"/>
        <w:jc w:val="center"/>
        <w:textAlignment w:val="bottom"/>
        <w:rPr>
          <w:rFonts w:ascii="宋体" w:hAnsi="宋体"/>
          <w:color w:val="auto"/>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4" w:hRule="atLeast"/>
        </w:trPr>
        <w:tc>
          <w:tcPr>
            <w:tcW w:w="12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姓    名</w:t>
            </w:r>
          </w:p>
        </w:tc>
        <w:tc>
          <w:tcPr>
            <w:tcW w:w="1473"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0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年    龄</w:t>
            </w:r>
          </w:p>
        </w:tc>
        <w:tc>
          <w:tcPr>
            <w:tcW w:w="1354"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84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执业或职业资格</w:t>
            </w:r>
          </w:p>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证书名称</w:t>
            </w:r>
          </w:p>
        </w:tc>
        <w:tc>
          <w:tcPr>
            <w:tcW w:w="1830"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2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技术职称</w:t>
            </w:r>
          </w:p>
        </w:tc>
        <w:tc>
          <w:tcPr>
            <w:tcW w:w="1473"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0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学</w:t>
            </w:r>
            <w:r>
              <w:rPr>
                <w:rFonts w:hint="eastAsia" w:ascii="宋体" w:hAnsi="宋体" w:cs="宋体"/>
                <w:color w:val="auto"/>
                <w:sz w:val="21"/>
                <w:szCs w:val="21"/>
                <w:lang w:val="en-US"/>
              </w:rPr>
              <w:t xml:space="preserve">   </w:t>
            </w:r>
            <w:r>
              <w:rPr>
                <w:rFonts w:hint="eastAsia" w:ascii="宋体" w:hAnsi="宋体" w:cs="宋体"/>
                <w:color w:val="auto"/>
                <w:sz w:val="21"/>
                <w:szCs w:val="21"/>
              </w:rPr>
              <w:t>历</w:t>
            </w:r>
          </w:p>
        </w:tc>
        <w:tc>
          <w:tcPr>
            <w:tcW w:w="1354"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84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拟在本标段</w:t>
            </w:r>
          </w:p>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工程任职</w:t>
            </w:r>
          </w:p>
        </w:tc>
        <w:tc>
          <w:tcPr>
            <w:tcW w:w="1830"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工作年限</w:t>
            </w:r>
          </w:p>
        </w:tc>
        <w:tc>
          <w:tcPr>
            <w:tcW w:w="3865"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842"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从事勘察设计</w:t>
            </w:r>
          </w:p>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工作年限</w:t>
            </w:r>
          </w:p>
        </w:tc>
        <w:tc>
          <w:tcPr>
            <w:tcW w:w="1830"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毕业学校</w:t>
            </w:r>
          </w:p>
        </w:tc>
        <w:tc>
          <w:tcPr>
            <w:tcW w:w="7537" w:type="dxa"/>
            <w:gridSpan w:val="9"/>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时</w:t>
            </w:r>
            <w:r>
              <w:rPr>
                <w:rFonts w:hint="eastAsia" w:ascii="宋体" w:hAnsi="宋体" w:cs="宋体"/>
                <w:color w:val="auto"/>
                <w:sz w:val="21"/>
                <w:szCs w:val="21"/>
                <w:lang w:val="en-US"/>
              </w:rPr>
              <w:t xml:space="preserve"> </w:t>
            </w:r>
            <w:r>
              <w:rPr>
                <w:rFonts w:hint="eastAsia" w:ascii="宋体" w:hAnsi="宋体" w:cs="宋体"/>
                <w:color w:val="auto"/>
                <w:sz w:val="21"/>
                <w:szCs w:val="21"/>
              </w:rPr>
              <w:t>间</w:t>
            </w:r>
          </w:p>
        </w:tc>
        <w:tc>
          <w:tcPr>
            <w:tcW w:w="4145"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参加过的类似工程项目名称</w:t>
            </w:r>
          </w:p>
        </w:tc>
        <w:tc>
          <w:tcPr>
            <w:tcW w:w="188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担任职务</w:t>
            </w:r>
          </w:p>
        </w:tc>
        <w:tc>
          <w:tcPr>
            <w:tcW w:w="14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获奖情况</w:t>
            </w:r>
          </w:p>
        </w:tc>
        <w:tc>
          <w:tcPr>
            <w:tcW w:w="6328" w:type="dxa"/>
            <w:gridSpan w:val="7"/>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目前承担的任务</w:t>
            </w:r>
          </w:p>
        </w:tc>
        <w:tc>
          <w:tcPr>
            <w:tcW w:w="6328" w:type="dxa"/>
            <w:gridSpan w:val="7"/>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备注</w:t>
            </w:r>
          </w:p>
        </w:tc>
        <w:tc>
          <w:tcPr>
            <w:tcW w:w="6328" w:type="dxa"/>
            <w:gridSpan w:val="7"/>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bl>
    <w:p>
      <w:pPr>
        <w:widowControl/>
        <w:rPr>
          <w:rFonts w:hint="eastAsia" w:ascii="宋体" w:hAnsi="宋体"/>
          <w:color w:val="auto"/>
          <w:sz w:val="18"/>
          <w:szCs w:val="18"/>
        </w:rPr>
      </w:pPr>
    </w:p>
    <w:p>
      <w:pPr>
        <w:widowControl/>
        <w:tabs>
          <w:tab w:val="left" w:pos="426"/>
        </w:tabs>
        <w:rPr>
          <w:rFonts w:hint="eastAsia" w:ascii="宋体" w:hAnsi="宋体"/>
          <w:color w:val="auto"/>
          <w:sz w:val="18"/>
          <w:szCs w:val="18"/>
        </w:rPr>
      </w:pPr>
      <w:r>
        <w:rPr>
          <w:rFonts w:hint="eastAsia" w:ascii="宋体" w:hAnsi="宋体"/>
          <w:color w:val="auto"/>
          <w:sz w:val="18"/>
          <w:szCs w:val="18"/>
        </w:rPr>
        <w:t>注：1.本表应填写</w:t>
      </w:r>
      <w:r>
        <w:rPr>
          <w:rFonts w:hint="eastAsia" w:ascii="宋体" w:hAnsi="宋体"/>
          <w:color w:val="auto"/>
          <w:sz w:val="18"/>
          <w:szCs w:val="18"/>
          <w:lang w:val="en-US"/>
        </w:rPr>
        <w:t>项目负责人</w:t>
      </w:r>
      <w:r>
        <w:rPr>
          <w:rFonts w:hint="eastAsia" w:ascii="宋体" w:hAnsi="宋体"/>
          <w:color w:val="auto"/>
          <w:sz w:val="18"/>
          <w:szCs w:val="18"/>
        </w:rPr>
        <w:t>相关情况。</w:t>
      </w:r>
    </w:p>
    <w:p>
      <w:pPr>
        <w:ind w:firstLine="360" w:firstLineChars="200"/>
        <w:rPr>
          <w:rFonts w:ascii="宋体" w:hAnsi="宋体"/>
          <w:color w:val="auto"/>
          <w:sz w:val="18"/>
          <w:szCs w:val="18"/>
        </w:rPr>
      </w:pPr>
      <w:r>
        <w:rPr>
          <w:rFonts w:hint="eastAsia" w:ascii="宋体" w:hAnsi="宋体"/>
          <w:color w:val="auto"/>
          <w:sz w:val="18"/>
          <w:szCs w:val="18"/>
        </w:rPr>
        <w:t>2.投标人应根据招标文件第二章“投标人须知”第3.</w:t>
      </w:r>
      <w:r>
        <w:rPr>
          <w:rFonts w:ascii="宋体" w:hAnsi="宋体"/>
          <w:color w:val="auto"/>
          <w:sz w:val="18"/>
          <w:szCs w:val="18"/>
        </w:rPr>
        <w:t>5</w:t>
      </w:r>
      <w:r>
        <w:rPr>
          <w:rFonts w:hint="eastAsia" w:ascii="宋体" w:hAnsi="宋体"/>
          <w:color w:val="auto"/>
          <w:sz w:val="18"/>
          <w:szCs w:val="18"/>
        </w:rPr>
        <w:t>.</w:t>
      </w:r>
      <w:r>
        <w:rPr>
          <w:rFonts w:hint="eastAsia" w:ascii="宋体" w:hAnsi="宋体"/>
          <w:color w:val="auto"/>
          <w:sz w:val="18"/>
          <w:szCs w:val="18"/>
          <w:lang w:val="en-US"/>
        </w:rPr>
        <w:t>4</w:t>
      </w:r>
      <w:r>
        <w:rPr>
          <w:rFonts w:hint="eastAsia" w:ascii="宋体" w:hAnsi="宋体"/>
          <w:color w:val="auto"/>
          <w:sz w:val="18"/>
          <w:szCs w:val="18"/>
        </w:rPr>
        <w:t>项的要求在本表后附相关证明材料。</w:t>
      </w:r>
    </w:p>
    <w:p>
      <w:pPr>
        <w:widowControl/>
        <w:autoSpaceDE w:val="0"/>
        <w:autoSpaceDN w:val="0"/>
        <w:spacing w:line="400" w:lineRule="atLeast"/>
        <w:ind w:left="180"/>
        <w:jc w:val="center"/>
        <w:textAlignment w:val="bottom"/>
        <w:rPr>
          <w:rFonts w:ascii="宋体" w:hAnsi="宋体"/>
          <w:color w:val="auto"/>
          <w:szCs w:val="21"/>
        </w:rPr>
        <w:sectPr>
          <w:footnotePr>
            <w:numRestart w:val="eachPage"/>
          </w:footnotePr>
          <w:pgSz w:w="11900" w:h="16838"/>
          <w:pgMar w:top="1803" w:right="1440" w:bottom="1803" w:left="1440" w:header="680" w:footer="680" w:gutter="0"/>
          <w:cols w:space="720" w:num="1"/>
          <w:docGrid w:linePitch="360" w:charSpace="0"/>
        </w:sectPr>
      </w:pPr>
    </w:p>
    <w:p>
      <w:pPr>
        <w:widowControl/>
        <w:autoSpaceDE w:val="0"/>
        <w:autoSpaceDN w:val="0"/>
        <w:spacing w:line="400" w:lineRule="atLeast"/>
        <w:ind w:left="180"/>
        <w:jc w:val="center"/>
        <w:textAlignment w:val="bottom"/>
        <w:rPr>
          <w:rFonts w:ascii="宋体" w:hAnsi="宋体" w:cs="黑体"/>
          <w:b/>
          <w:color w:val="auto"/>
          <w:sz w:val="28"/>
          <w:szCs w:val="28"/>
        </w:rPr>
      </w:pPr>
      <w:r>
        <w:rPr>
          <w:rFonts w:hint="eastAsia" w:ascii="宋体" w:hAnsi="宋体" w:cs="黑体"/>
          <w:b/>
          <w:color w:val="auto"/>
          <w:sz w:val="28"/>
          <w:szCs w:val="28"/>
        </w:rPr>
        <w:t>（</w:t>
      </w:r>
      <w:r>
        <w:rPr>
          <w:rFonts w:hint="eastAsia" w:ascii="宋体" w:hAnsi="宋体" w:cs="黑体"/>
          <w:b/>
          <w:color w:val="auto"/>
          <w:sz w:val="28"/>
          <w:szCs w:val="28"/>
          <w:lang w:val="en-US"/>
        </w:rPr>
        <w:t>七</w:t>
      </w:r>
      <w:r>
        <w:rPr>
          <w:rFonts w:hint="eastAsia" w:ascii="宋体" w:hAnsi="宋体" w:cs="黑体"/>
          <w:b/>
          <w:color w:val="auto"/>
          <w:sz w:val="28"/>
          <w:szCs w:val="28"/>
        </w:rPr>
        <w:t>）</w:t>
      </w:r>
      <w:r>
        <w:rPr>
          <w:rFonts w:ascii="宋体" w:hAnsi="宋体" w:cs="黑体"/>
          <w:b/>
          <w:color w:val="auto"/>
          <w:sz w:val="28"/>
          <w:szCs w:val="28"/>
        </w:rPr>
        <w:t>拟委任的</w:t>
      </w:r>
      <w:r>
        <w:rPr>
          <w:rFonts w:hint="eastAsia" w:ascii="宋体" w:hAnsi="宋体" w:cs="黑体"/>
          <w:b/>
          <w:color w:val="auto"/>
          <w:sz w:val="28"/>
          <w:szCs w:val="28"/>
        </w:rPr>
        <w:t>其他</w:t>
      </w:r>
      <w:r>
        <w:rPr>
          <w:rFonts w:hint="eastAsia" w:ascii="宋体" w:hAnsi="宋体" w:cs="黑体"/>
          <w:b/>
          <w:color w:val="auto"/>
          <w:sz w:val="28"/>
          <w:szCs w:val="28"/>
          <w:lang w:val="en-US"/>
        </w:rPr>
        <w:t>主要人员</w:t>
      </w:r>
      <w:r>
        <w:rPr>
          <w:rFonts w:ascii="宋体" w:hAnsi="宋体" w:cs="黑体"/>
          <w:b/>
          <w:color w:val="auto"/>
          <w:sz w:val="28"/>
          <w:szCs w:val="28"/>
        </w:rPr>
        <w:t>汇总表</w:t>
      </w:r>
      <w:r>
        <w:rPr>
          <w:rStyle w:val="101"/>
          <w:rFonts w:ascii="宋体" w:hAnsi="宋体" w:cs="黑体"/>
          <w:b/>
          <w:color w:val="auto"/>
          <w:sz w:val="28"/>
          <w:szCs w:val="28"/>
        </w:rPr>
        <w:footnoteReference w:id="112"/>
      </w:r>
    </w:p>
    <w:p>
      <w:pPr>
        <w:wordWrap w:val="0"/>
        <w:topLinePunct/>
        <w:spacing w:line="300" w:lineRule="exact"/>
        <w:jc w:val="center"/>
        <w:rPr>
          <w:rFonts w:ascii="宋体" w:hAnsi="宋体"/>
          <w:color w:val="auto"/>
          <w:sz w:val="18"/>
          <w:szCs w:val="18"/>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75"/>
        <w:gridCol w:w="675"/>
        <w:gridCol w:w="1488"/>
        <w:gridCol w:w="1037"/>
        <w:gridCol w:w="1038"/>
        <w:gridCol w:w="625"/>
        <w:gridCol w:w="800"/>
        <w:gridCol w:w="112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8" w:type="dxa"/>
            <w:vMerge w:val="restart"/>
            <w:noWrap w:val="0"/>
            <w:vAlign w:val="center"/>
          </w:tcPr>
          <w:p>
            <w:pPr>
              <w:keepNext w:val="0"/>
              <w:keepLines w:val="0"/>
              <w:suppressLineNumbers w:val="0"/>
              <w:snapToGrid w:val="0"/>
              <w:spacing w:before="0" w:beforeAutospacing="0" w:after="0" w:afterAutospacing="0" w:line="240" w:lineRule="atLeast"/>
              <w:ind w:left="0" w:right="-144" w:rightChars="-60"/>
              <w:jc w:val="center"/>
              <w:rPr>
                <w:rFonts w:hint="default" w:ascii="宋体" w:hAnsi="宋体"/>
                <w:color w:val="auto"/>
                <w:sz w:val="21"/>
                <w:szCs w:val="21"/>
                <w:lang w:val="en-US"/>
              </w:rPr>
            </w:pPr>
            <w:r>
              <w:rPr>
                <w:rFonts w:hint="eastAsia" w:ascii="宋体" w:hAnsi="宋体"/>
                <w:color w:val="auto"/>
                <w:sz w:val="21"/>
                <w:szCs w:val="21"/>
                <w:lang w:val="en-US"/>
              </w:rPr>
              <w:t>序号</w:t>
            </w:r>
          </w:p>
        </w:tc>
        <w:tc>
          <w:tcPr>
            <w:tcW w:w="675" w:type="dxa"/>
            <w:vMerge w:val="restart"/>
            <w:noWrap w:val="0"/>
            <w:vAlign w:val="center"/>
          </w:tcPr>
          <w:p>
            <w:pPr>
              <w:keepNext w:val="0"/>
              <w:keepLines w:val="0"/>
              <w:suppressLineNumbers w:val="0"/>
              <w:snapToGrid w:val="0"/>
              <w:spacing w:before="0" w:beforeAutospacing="0" w:after="0" w:afterAutospacing="0" w:line="240" w:lineRule="atLeast"/>
              <w:ind w:left="0" w:right="-58" w:rightChars="-24"/>
              <w:jc w:val="center"/>
              <w:rPr>
                <w:rFonts w:hint="default" w:ascii="宋体" w:hAnsi="宋体"/>
                <w:color w:val="auto"/>
                <w:sz w:val="21"/>
                <w:szCs w:val="21"/>
                <w:lang w:val="en-US"/>
              </w:rPr>
            </w:pPr>
            <w:r>
              <w:rPr>
                <w:rFonts w:hint="eastAsia" w:ascii="宋体" w:hAnsi="宋体"/>
                <w:color w:val="auto"/>
                <w:sz w:val="21"/>
                <w:szCs w:val="21"/>
                <w:lang w:val="en-US"/>
              </w:rPr>
              <w:t>姓名</w:t>
            </w:r>
          </w:p>
        </w:tc>
        <w:tc>
          <w:tcPr>
            <w:tcW w:w="675" w:type="dxa"/>
            <w:vMerge w:val="restart"/>
            <w:noWrap w:val="0"/>
            <w:vAlign w:val="center"/>
          </w:tcPr>
          <w:p>
            <w:pPr>
              <w:keepNext w:val="0"/>
              <w:keepLines w:val="0"/>
              <w:suppressLineNumbers w:val="0"/>
              <w:snapToGrid w:val="0"/>
              <w:spacing w:before="0" w:beforeAutospacing="0" w:after="0" w:afterAutospacing="0" w:line="240" w:lineRule="atLeast"/>
              <w:ind w:left="0" w:right="-96" w:rightChars="-40"/>
              <w:jc w:val="center"/>
              <w:rPr>
                <w:rFonts w:hint="default" w:ascii="宋体" w:hAnsi="宋体"/>
                <w:color w:val="auto"/>
                <w:sz w:val="21"/>
                <w:szCs w:val="21"/>
              </w:rPr>
            </w:pPr>
            <w:r>
              <w:rPr>
                <w:rFonts w:hint="default" w:ascii="宋体" w:hAnsi="宋体"/>
                <w:color w:val="auto"/>
                <w:sz w:val="21"/>
                <w:szCs w:val="21"/>
              </w:rPr>
              <w:t>年龄</w:t>
            </w:r>
          </w:p>
        </w:tc>
        <w:tc>
          <w:tcPr>
            <w:tcW w:w="1488" w:type="dxa"/>
            <w:vMerge w:val="restart"/>
            <w:noWrap w:val="0"/>
            <w:vAlign w:val="center"/>
          </w:tcPr>
          <w:p>
            <w:pPr>
              <w:keepNext w:val="0"/>
              <w:keepLines w:val="0"/>
              <w:suppressLineNumbers w:val="0"/>
              <w:snapToGrid w:val="0"/>
              <w:spacing w:before="0" w:beforeAutospacing="0" w:after="0" w:afterAutospacing="0" w:line="240" w:lineRule="atLeast"/>
              <w:ind w:left="0" w:right="-72" w:rightChars="-30"/>
              <w:jc w:val="center"/>
              <w:rPr>
                <w:rFonts w:hint="default" w:ascii="宋体" w:hAnsi="宋体"/>
                <w:color w:val="auto"/>
                <w:sz w:val="21"/>
                <w:szCs w:val="21"/>
              </w:rPr>
            </w:pPr>
            <w:r>
              <w:rPr>
                <w:rFonts w:hint="default" w:ascii="宋体" w:hAnsi="宋体"/>
                <w:color w:val="auto"/>
                <w:sz w:val="21"/>
                <w:szCs w:val="21"/>
              </w:rPr>
              <w:t>拟在本项目中</w:t>
            </w:r>
          </w:p>
          <w:p>
            <w:pPr>
              <w:keepNext w:val="0"/>
              <w:keepLines w:val="0"/>
              <w:suppressLineNumbers w:val="0"/>
              <w:snapToGrid w:val="0"/>
              <w:spacing w:before="0" w:beforeAutospacing="0" w:after="0" w:afterAutospacing="0" w:line="240" w:lineRule="atLeast"/>
              <w:ind w:left="0" w:right="-72" w:rightChars="-30"/>
              <w:jc w:val="center"/>
              <w:rPr>
                <w:rFonts w:hint="default" w:ascii="宋体" w:hAnsi="宋体"/>
                <w:color w:val="auto"/>
                <w:sz w:val="21"/>
                <w:szCs w:val="21"/>
              </w:rPr>
            </w:pPr>
            <w:r>
              <w:rPr>
                <w:rFonts w:hint="default" w:ascii="宋体" w:hAnsi="宋体"/>
                <w:color w:val="auto"/>
                <w:sz w:val="21"/>
                <w:szCs w:val="21"/>
              </w:rPr>
              <w:t>担任的职务</w:t>
            </w:r>
          </w:p>
        </w:tc>
        <w:tc>
          <w:tcPr>
            <w:tcW w:w="1037" w:type="dxa"/>
            <w:vMerge w:val="restart"/>
            <w:noWrap w:val="0"/>
            <w:vAlign w:val="center"/>
          </w:tcPr>
          <w:p>
            <w:pPr>
              <w:keepNext w:val="0"/>
              <w:keepLines w:val="0"/>
              <w:suppressLineNumbers w:val="0"/>
              <w:snapToGrid w:val="0"/>
              <w:spacing w:before="0" w:beforeAutospacing="0" w:after="0" w:afterAutospacing="0" w:line="240" w:lineRule="atLeast"/>
              <w:ind w:left="0" w:right="-91" w:rightChars="-38"/>
              <w:jc w:val="both"/>
              <w:rPr>
                <w:rFonts w:hint="default" w:ascii="宋体" w:hAnsi="宋体"/>
                <w:color w:val="auto"/>
                <w:sz w:val="21"/>
                <w:szCs w:val="21"/>
              </w:rPr>
            </w:pPr>
            <w:r>
              <w:rPr>
                <w:rFonts w:hint="default" w:ascii="宋体" w:hAnsi="宋体"/>
                <w:color w:val="auto"/>
                <w:sz w:val="21"/>
                <w:szCs w:val="21"/>
              </w:rPr>
              <w:t>技术职称</w:t>
            </w:r>
          </w:p>
        </w:tc>
        <w:tc>
          <w:tcPr>
            <w:tcW w:w="2463" w:type="dxa"/>
            <w:gridSpan w:val="3"/>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宋体" w:hAnsi="宋体"/>
                <w:color w:val="auto"/>
                <w:sz w:val="21"/>
                <w:szCs w:val="21"/>
                <w:lang w:val="en-US"/>
              </w:rPr>
            </w:pPr>
            <w:r>
              <w:rPr>
                <w:rFonts w:hint="eastAsia" w:ascii="宋体" w:hAnsi="宋体"/>
                <w:color w:val="auto"/>
                <w:sz w:val="21"/>
                <w:szCs w:val="21"/>
                <w:lang w:val="en-US"/>
              </w:rPr>
              <w:t>执业或职业资格证明</w:t>
            </w:r>
          </w:p>
        </w:tc>
        <w:tc>
          <w:tcPr>
            <w:tcW w:w="1127" w:type="dxa"/>
            <w:vMerge w:val="restart"/>
            <w:noWrap w:val="0"/>
            <w:vAlign w:val="center"/>
          </w:tcPr>
          <w:p>
            <w:pPr>
              <w:keepNext w:val="0"/>
              <w:keepLines w:val="0"/>
              <w:suppressLineNumbers w:val="0"/>
              <w:snapToGrid w:val="0"/>
              <w:spacing w:before="0" w:beforeAutospacing="0" w:after="0" w:afterAutospacing="0" w:line="240" w:lineRule="atLeast"/>
              <w:ind w:left="0" w:right="-67" w:rightChars="-28"/>
              <w:jc w:val="center"/>
              <w:rPr>
                <w:rFonts w:hint="default" w:ascii="宋体" w:hAnsi="宋体"/>
                <w:color w:val="auto"/>
                <w:sz w:val="21"/>
                <w:szCs w:val="21"/>
              </w:rPr>
            </w:pPr>
            <w:r>
              <w:rPr>
                <w:rFonts w:hint="eastAsia" w:ascii="宋体" w:hAnsi="宋体"/>
                <w:color w:val="auto"/>
                <w:sz w:val="21"/>
                <w:szCs w:val="21"/>
              </w:rPr>
              <w:t>工作经验年限（年）</w:t>
            </w:r>
          </w:p>
        </w:tc>
        <w:tc>
          <w:tcPr>
            <w:tcW w:w="735" w:type="dxa"/>
            <w:vMerge w:val="restart"/>
            <w:noWrap w:val="0"/>
            <w:vAlign w:val="center"/>
          </w:tcPr>
          <w:p>
            <w:pPr>
              <w:keepNext w:val="0"/>
              <w:keepLines w:val="0"/>
              <w:suppressLineNumbers w:val="0"/>
              <w:tabs>
                <w:tab w:val="left" w:pos="480"/>
              </w:tabs>
              <w:snapToGrid w:val="0"/>
              <w:spacing w:before="0" w:beforeAutospacing="0" w:after="0" w:afterAutospacing="0" w:line="240" w:lineRule="atLeast"/>
              <w:ind w:left="0" w:right="-137" w:rightChars="-57"/>
              <w:jc w:val="center"/>
              <w:rPr>
                <w:rFonts w:hint="eastAsia" w:ascii="宋体" w:hAnsi="宋体"/>
                <w:color w:val="auto"/>
                <w:sz w:val="21"/>
                <w:szCs w:val="21"/>
              </w:rPr>
            </w:pPr>
            <w:r>
              <w:rPr>
                <w:rFonts w:hint="eastAsia" w:ascii="宋体"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58"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Times New Roman" w:hAnsi="Times New Roman"/>
                <w:color w:val="auto"/>
              </w:rPr>
            </w:pPr>
          </w:p>
        </w:tc>
        <w:tc>
          <w:tcPr>
            <w:tcW w:w="675"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Times New Roman" w:hAnsi="Times New Roman"/>
                <w:color w:val="auto"/>
              </w:rPr>
            </w:pPr>
          </w:p>
        </w:tc>
        <w:tc>
          <w:tcPr>
            <w:tcW w:w="675"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Times New Roman" w:hAnsi="Times New Roman"/>
                <w:color w:val="auto"/>
              </w:rPr>
            </w:pPr>
          </w:p>
        </w:tc>
        <w:tc>
          <w:tcPr>
            <w:tcW w:w="1488"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Times New Roman" w:hAnsi="Times New Roman"/>
                <w:color w:val="auto"/>
              </w:rPr>
            </w:pPr>
          </w:p>
        </w:tc>
        <w:tc>
          <w:tcPr>
            <w:tcW w:w="1037"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Times New Roman" w:hAnsi="Times New Roman"/>
                <w:color w:val="auto"/>
              </w:rPr>
            </w:pPr>
          </w:p>
        </w:tc>
        <w:tc>
          <w:tcPr>
            <w:tcW w:w="1038" w:type="dxa"/>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宋体" w:hAnsi="宋体"/>
                <w:color w:val="auto"/>
                <w:sz w:val="21"/>
                <w:szCs w:val="21"/>
                <w:lang w:val="en-US"/>
              </w:rPr>
            </w:pPr>
            <w:r>
              <w:rPr>
                <w:rFonts w:hint="eastAsia" w:ascii="宋体" w:hAnsi="宋体"/>
                <w:color w:val="auto"/>
                <w:sz w:val="21"/>
                <w:szCs w:val="21"/>
                <w:lang w:val="en-US"/>
              </w:rPr>
              <w:t>证书名称</w:t>
            </w:r>
          </w:p>
        </w:tc>
        <w:tc>
          <w:tcPr>
            <w:tcW w:w="625" w:type="dxa"/>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宋体" w:hAnsi="宋体"/>
                <w:color w:val="auto"/>
                <w:sz w:val="21"/>
                <w:szCs w:val="21"/>
                <w:lang w:val="en-US"/>
              </w:rPr>
            </w:pPr>
            <w:r>
              <w:rPr>
                <w:rFonts w:hint="eastAsia" w:ascii="宋体" w:hAnsi="宋体"/>
                <w:color w:val="auto"/>
                <w:sz w:val="21"/>
                <w:szCs w:val="21"/>
                <w:lang w:val="en-US"/>
              </w:rPr>
              <w:t>级别</w:t>
            </w:r>
          </w:p>
        </w:tc>
        <w:tc>
          <w:tcPr>
            <w:tcW w:w="800" w:type="dxa"/>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default" w:ascii="宋体" w:hAnsi="宋体"/>
                <w:color w:val="auto"/>
                <w:sz w:val="21"/>
                <w:szCs w:val="21"/>
                <w:lang w:val="en-US"/>
              </w:rPr>
            </w:pPr>
            <w:r>
              <w:rPr>
                <w:rFonts w:hint="eastAsia" w:ascii="宋体" w:hAnsi="宋体"/>
                <w:color w:val="auto"/>
                <w:sz w:val="21"/>
                <w:szCs w:val="21"/>
                <w:lang w:val="en-US"/>
              </w:rPr>
              <w:t>证号</w:t>
            </w:r>
          </w:p>
        </w:tc>
        <w:tc>
          <w:tcPr>
            <w:tcW w:w="1127"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eastAsia" w:ascii="宋体" w:hAnsi="宋体"/>
                <w:color w:val="auto"/>
                <w:sz w:val="21"/>
                <w:szCs w:val="21"/>
                <w:lang w:val="en-US"/>
              </w:rPr>
            </w:pPr>
          </w:p>
        </w:tc>
        <w:tc>
          <w:tcPr>
            <w:tcW w:w="735" w:type="dxa"/>
            <w:vMerge w:val="continue"/>
            <w:noWrap w:val="0"/>
            <w:vAlign w:val="center"/>
          </w:tcPr>
          <w:p>
            <w:pPr>
              <w:keepNext w:val="0"/>
              <w:keepLines w:val="0"/>
              <w:suppressLineNumbers w:val="0"/>
              <w:snapToGrid w:val="0"/>
              <w:spacing w:before="0" w:beforeAutospacing="0" w:after="0" w:afterAutospacing="0" w:line="240" w:lineRule="atLeast"/>
              <w:ind w:left="0" w:right="-43" w:rightChars="-18"/>
              <w:jc w:val="center"/>
              <w:rPr>
                <w:rFonts w:hint="eastAsia" w:ascii="宋体" w:hAnsi="宋体"/>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48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2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800"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12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73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48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2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800"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12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73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48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2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800"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12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73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7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48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038"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62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800"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1127"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default" w:ascii="宋体" w:hAnsi="宋体"/>
                <w:color w:val="auto"/>
              </w:rPr>
            </w:pPr>
          </w:p>
        </w:tc>
        <w:tc>
          <w:tcPr>
            <w:tcW w:w="735" w:type="dxa"/>
            <w:noWrap w:val="0"/>
            <w:vAlign w:val="center"/>
          </w:tcPr>
          <w:p>
            <w:pPr>
              <w:keepNext w:val="0"/>
              <w:keepLines w:val="0"/>
              <w:suppressLineNumbers w:val="0"/>
              <w:topLinePunct/>
              <w:snapToGrid w:val="0"/>
              <w:spacing w:before="0" w:beforeAutospacing="0" w:after="0" w:afterAutospacing="0" w:line="240" w:lineRule="atLeast"/>
              <w:ind w:left="0" w:right="0"/>
              <w:jc w:val="center"/>
              <w:rPr>
                <w:rFonts w:hint="eastAsia" w:ascii="宋体" w:hAnsi="宋体"/>
                <w:color w:val="auto"/>
              </w:rPr>
            </w:pPr>
          </w:p>
        </w:tc>
      </w:tr>
    </w:tbl>
    <w:p>
      <w:pPr>
        <w:widowControl/>
        <w:autoSpaceDE w:val="0"/>
        <w:autoSpaceDN w:val="0"/>
        <w:spacing w:line="400" w:lineRule="atLeast"/>
        <w:ind w:left="180"/>
        <w:jc w:val="center"/>
        <w:textAlignment w:val="bottom"/>
        <w:rPr>
          <w:rFonts w:ascii="宋体" w:hAnsi="宋体"/>
          <w:color w:val="auto"/>
        </w:rPr>
      </w:pPr>
      <w:r>
        <w:rPr>
          <w:rFonts w:ascii="宋体" w:hAnsi="宋体"/>
          <w:color w:val="auto"/>
        </w:rPr>
        <w:br w:type="page"/>
      </w:r>
      <w:r>
        <w:rPr>
          <w:rFonts w:hint="eastAsia" w:ascii="宋体" w:hAnsi="宋体"/>
          <w:b/>
          <w:bCs/>
          <w:color w:val="auto"/>
          <w:sz w:val="28"/>
          <w:szCs w:val="28"/>
        </w:rPr>
        <w:t>（</w:t>
      </w:r>
      <w:r>
        <w:rPr>
          <w:rFonts w:hint="eastAsia" w:ascii="宋体" w:hAnsi="宋体"/>
          <w:b/>
          <w:bCs/>
          <w:color w:val="auto"/>
          <w:sz w:val="28"/>
          <w:szCs w:val="28"/>
          <w:lang w:val="en-US"/>
        </w:rPr>
        <w:t>八</w:t>
      </w:r>
      <w:r>
        <w:rPr>
          <w:rFonts w:hint="eastAsia" w:ascii="宋体" w:hAnsi="宋体"/>
          <w:b/>
          <w:bCs/>
          <w:color w:val="auto"/>
          <w:sz w:val="28"/>
          <w:szCs w:val="28"/>
        </w:rPr>
        <w:t>）拟委任的其他</w:t>
      </w:r>
      <w:r>
        <w:rPr>
          <w:rFonts w:hint="eastAsia" w:ascii="宋体" w:hAnsi="宋体"/>
          <w:b/>
          <w:bCs/>
          <w:color w:val="auto"/>
          <w:sz w:val="28"/>
          <w:szCs w:val="28"/>
          <w:lang w:val="en-US"/>
        </w:rPr>
        <w:t>主要人员资历</w:t>
      </w:r>
      <w:r>
        <w:rPr>
          <w:rFonts w:hint="eastAsia" w:ascii="宋体" w:hAnsi="宋体"/>
          <w:b/>
          <w:bCs/>
          <w:color w:val="auto"/>
          <w:sz w:val="28"/>
          <w:szCs w:val="28"/>
        </w:rPr>
        <w:t>表</w:t>
      </w:r>
      <w:r>
        <w:rPr>
          <w:rStyle w:val="101"/>
          <w:rFonts w:hint="eastAsia" w:ascii="宋体" w:hAnsi="宋体"/>
          <w:b/>
          <w:bCs/>
          <w:color w:val="auto"/>
          <w:sz w:val="28"/>
          <w:szCs w:val="28"/>
        </w:rPr>
        <w:footnoteReference w:id="113"/>
      </w:r>
    </w:p>
    <w:p>
      <w:pPr>
        <w:widowControl/>
        <w:autoSpaceDE w:val="0"/>
        <w:autoSpaceDN w:val="0"/>
        <w:spacing w:line="400" w:lineRule="atLeast"/>
        <w:jc w:val="center"/>
        <w:textAlignment w:val="bottom"/>
        <w:rPr>
          <w:rFonts w:ascii="宋体" w:hAnsi="宋体"/>
          <w:color w:val="auto"/>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4" w:hRule="atLeast"/>
        </w:trPr>
        <w:tc>
          <w:tcPr>
            <w:tcW w:w="12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姓    名</w:t>
            </w:r>
          </w:p>
        </w:tc>
        <w:tc>
          <w:tcPr>
            <w:tcW w:w="1473"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0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年    龄</w:t>
            </w:r>
          </w:p>
        </w:tc>
        <w:tc>
          <w:tcPr>
            <w:tcW w:w="1354"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84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执业或职业资格</w:t>
            </w:r>
          </w:p>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证书名称</w:t>
            </w:r>
          </w:p>
        </w:tc>
        <w:tc>
          <w:tcPr>
            <w:tcW w:w="1830"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2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技术职称</w:t>
            </w:r>
          </w:p>
        </w:tc>
        <w:tc>
          <w:tcPr>
            <w:tcW w:w="1473"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0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学</w:t>
            </w:r>
            <w:r>
              <w:rPr>
                <w:rFonts w:hint="eastAsia" w:ascii="宋体" w:hAnsi="宋体" w:cs="宋体"/>
                <w:color w:val="auto"/>
                <w:sz w:val="21"/>
                <w:szCs w:val="21"/>
                <w:lang w:val="en-US"/>
              </w:rPr>
              <w:t xml:space="preserve">   </w:t>
            </w:r>
            <w:r>
              <w:rPr>
                <w:rFonts w:hint="eastAsia" w:ascii="宋体" w:hAnsi="宋体" w:cs="宋体"/>
                <w:color w:val="auto"/>
                <w:sz w:val="21"/>
                <w:szCs w:val="21"/>
              </w:rPr>
              <w:t>历</w:t>
            </w:r>
          </w:p>
        </w:tc>
        <w:tc>
          <w:tcPr>
            <w:tcW w:w="1354"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84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拟在本标段</w:t>
            </w:r>
          </w:p>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工程任职</w:t>
            </w:r>
          </w:p>
        </w:tc>
        <w:tc>
          <w:tcPr>
            <w:tcW w:w="1830"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工作年限</w:t>
            </w:r>
          </w:p>
        </w:tc>
        <w:tc>
          <w:tcPr>
            <w:tcW w:w="3865"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c>
          <w:tcPr>
            <w:tcW w:w="1842"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rPr>
            </w:pPr>
            <w:r>
              <w:rPr>
                <w:rFonts w:hint="eastAsia" w:ascii="宋体" w:hAnsi="宋体" w:cs="宋体"/>
                <w:color w:val="auto"/>
                <w:sz w:val="21"/>
                <w:szCs w:val="21"/>
                <w:lang w:val="en-US"/>
              </w:rPr>
              <w:t>从事勘察设计</w:t>
            </w:r>
          </w:p>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工作年限</w:t>
            </w:r>
          </w:p>
        </w:tc>
        <w:tc>
          <w:tcPr>
            <w:tcW w:w="1830"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trPr>
        <w:tc>
          <w:tcPr>
            <w:tcW w:w="1211"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毕业学校</w:t>
            </w:r>
          </w:p>
        </w:tc>
        <w:tc>
          <w:tcPr>
            <w:tcW w:w="7537" w:type="dxa"/>
            <w:gridSpan w:val="9"/>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时</w:t>
            </w:r>
            <w:r>
              <w:rPr>
                <w:rFonts w:hint="eastAsia" w:ascii="宋体" w:hAnsi="宋体" w:cs="宋体"/>
                <w:color w:val="auto"/>
                <w:sz w:val="21"/>
                <w:szCs w:val="21"/>
                <w:lang w:val="en-US"/>
              </w:rPr>
              <w:t xml:space="preserve"> </w:t>
            </w:r>
            <w:r>
              <w:rPr>
                <w:rFonts w:hint="eastAsia" w:ascii="宋体" w:hAnsi="宋体" w:cs="宋体"/>
                <w:color w:val="auto"/>
                <w:sz w:val="21"/>
                <w:szCs w:val="21"/>
              </w:rPr>
              <w:t>间</w:t>
            </w:r>
          </w:p>
        </w:tc>
        <w:tc>
          <w:tcPr>
            <w:tcW w:w="4145"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参加过的类似工程项目名称</w:t>
            </w:r>
          </w:p>
        </w:tc>
        <w:tc>
          <w:tcPr>
            <w:tcW w:w="188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担任职务</w:t>
            </w:r>
          </w:p>
        </w:tc>
        <w:tc>
          <w:tcPr>
            <w:tcW w:w="14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1"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4145"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889" w:type="dxa"/>
            <w:gridSpan w:val="2"/>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c>
          <w:tcPr>
            <w:tcW w:w="1454"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获奖情况</w:t>
            </w:r>
          </w:p>
        </w:tc>
        <w:tc>
          <w:tcPr>
            <w:tcW w:w="6328" w:type="dxa"/>
            <w:gridSpan w:val="7"/>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目前承担的任务</w:t>
            </w:r>
          </w:p>
        </w:tc>
        <w:tc>
          <w:tcPr>
            <w:tcW w:w="6328" w:type="dxa"/>
            <w:gridSpan w:val="7"/>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rPr>
            </w:pPr>
            <w:r>
              <w:rPr>
                <w:rFonts w:hint="eastAsia" w:ascii="宋体" w:hAnsi="宋体" w:cs="宋体"/>
                <w:color w:val="auto"/>
                <w:sz w:val="21"/>
                <w:szCs w:val="21"/>
                <w:lang w:val="en-US"/>
              </w:rPr>
              <w:t>备注</w:t>
            </w:r>
          </w:p>
        </w:tc>
        <w:tc>
          <w:tcPr>
            <w:tcW w:w="6328" w:type="dxa"/>
            <w:gridSpan w:val="7"/>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rPr>
            </w:pPr>
          </w:p>
        </w:tc>
      </w:tr>
    </w:tbl>
    <w:p>
      <w:pPr>
        <w:widowControl/>
        <w:rPr>
          <w:rFonts w:hint="eastAsia" w:ascii="宋体" w:hAnsi="宋体"/>
          <w:color w:val="auto"/>
          <w:sz w:val="18"/>
          <w:szCs w:val="18"/>
        </w:rPr>
      </w:pPr>
    </w:p>
    <w:p>
      <w:pPr>
        <w:widowControl/>
        <w:tabs>
          <w:tab w:val="left" w:pos="426"/>
        </w:tabs>
        <w:rPr>
          <w:rFonts w:hint="eastAsia" w:ascii="宋体" w:hAnsi="宋体"/>
          <w:color w:val="auto"/>
          <w:sz w:val="18"/>
          <w:szCs w:val="18"/>
        </w:rPr>
      </w:pPr>
      <w:r>
        <w:rPr>
          <w:rFonts w:hint="eastAsia" w:ascii="宋体" w:hAnsi="宋体"/>
          <w:color w:val="auto"/>
          <w:sz w:val="18"/>
          <w:szCs w:val="18"/>
        </w:rPr>
        <w:t>注：1.本表应填写其他</w:t>
      </w:r>
      <w:r>
        <w:rPr>
          <w:rFonts w:hint="eastAsia" w:ascii="宋体" w:hAnsi="宋体"/>
          <w:color w:val="auto"/>
          <w:sz w:val="18"/>
          <w:szCs w:val="18"/>
          <w:lang w:val="en-US"/>
        </w:rPr>
        <w:t>主要人员</w:t>
      </w:r>
      <w:r>
        <w:rPr>
          <w:rFonts w:hint="eastAsia" w:ascii="宋体" w:hAnsi="宋体"/>
          <w:color w:val="auto"/>
          <w:sz w:val="18"/>
          <w:szCs w:val="18"/>
        </w:rPr>
        <w:t>相关情况。</w:t>
      </w:r>
    </w:p>
    <w:p>
      <w:pPr>
        <w:ind w:firstLine="360" w:firstLineChars="200"/>
        <w:rPr>
          <w:rFonts w:ascii="宋体" w:hAnsi="宋体"/>
          <w:color w:val="auto"/>
          <w:sz w:val="18"/>
          <w:szCs w:val="18"/>
        </w:rPr>
      </w:pPr>
      <w:r>
        <w:rPr>
          <w:rFonts w:hint="eastAsia" w:ascii="宋体" w:hAnsi="宋体"/>
          <w:color w:val="auto"/>
          <w:sz w:val="18"/>
          <w:szCs w:val="18"/>
        </w:rPr>
        <w:t>2.投标人应根据招标文件第二章“投标人须知”第3.</w:t>
      </w:r>
      <w:r>
        <w:rPr>
          <w:rFonts w:ascii="宋体" w:hAnsi="宋体"/>
          <w:color w:val="auto"/>
          <w:sz w:val="18"/>
          <w:szCs w:val="18"/>
        </w:rPr>
        <w:t>5</w:t>
      </w:r>
      <w:r>
        <w:rPr>
          <w:rFonts w:hint="eastAsia" w:ascii="宋体" w:hAnsi="宋体"/>
          <w:color w:val="auto"/>
          <w:sz w:val="18"/>
          <w:szCs w:val="18"/>
        </w:rPr>
        <w:t>.</w:t>
      </w:r>
      <w:r>
        <w:rPr>
          <w:rFonts w:hint="eastAsia" w:ascii="宋体" w:hAnsi="宋体"/>
          <w:color w:val="auto"/>
          <w:sz w:val="18"/>
          <w:szCs w:val="18"/>
          <w:lang w:val="en-US"/>
        </w:rPr>
        <w:t>5</w:t>
      </w:r>
      <w:r>
        <w:rPr>
          <w:rFonts w:hint="eastAsia" w:ascii="宋体" w:hAnsi="宋体"/>
          <w:color w:val="auto"/>
          <w:sz w:val="18"/>
          <w:szCs w:val="18"/>
        </w:rPr>
        <w:t>项的要求在本表后附相关证明材料。</w:t>
      </w:r>
    </w:p>
    <w:p>
      <w:pPr>
        <w:widowControl/>
        <w:autoSpaceDE w:val="0"/>
        <w:autoSpaceDN w:val="0"/>
        <w:spacing w:line="400" w:lineRule="atLeast"/>
        <w:ind w:left="180"/>
        <w:jc w:val="center"/>
        <w:textAlignment w:val="bottom"/>
        <w:rPr>
          <w:rFonts w:hint="eastAsia" w:ascii="宋体" w:hAnsi="宋体"/>
          <w:color w:val="auto"/>
          <w:sz w:val="18"/>
          <w:szCs w:val="18"/>
        </w:rPr>
        <w:sectPr>
          <w:footnotePr>
            <w:numRestart w:val="eachPage"/>
          </w:footnotePr>
          <w:pgSz w:w="11900" w:h="16838"/>
          <w:pgMar w:top="1803" w:right="1440" w:bottom="1803" w:left="1440" w:header="680" w:footer="680" w:gutter="0"/>
          <w:cols w:space="720" w:num="1"/>
          <w:docGrid w:linePitch="360" w:charSpace="0"/>
        </w:sectPr>
      </w:pPr>
    </w:p>
    <w:p>
      <w:pPr>
        <w:pStyle w:val="84"/>
        <w:snapToGrid w:val="0"/>
        <w:spacing w:line="360" w:lineRule="auto"/>
        <w:outlineLvl w:val="1"/>
        <w:rPr>
          <w:rFonts w:ascii="宋体" w:hAnsi="宋体"/>
          <w:sz w:val="28"/>
          <w:szCs w:val="28"/>
        </w:rPr>
      </w:pPr>
      <w:r>
        <w:rPr>
          <w:rFonts w:hint="eastAsia" w:ascii="宋体" w:hAnsi="宋体"/>
          <w:sz w:val="28"/>
          <w:szCs w:val="28"/>
          <w:lang w:val="en-US" w:eastAsia="zh-CN"/>
        </w:rPr>
        <w:t>七</w:t>
      </w:r>
      <w:r>
        <w:rPr>
          <w:rFonts w:hint="eastAsia" w:ascii="宋体" w:hAnsi="宋体"/>
          <w:sz w:val="28"/>
          <w:szCs w:val="28"/>
        </w:rPr>
        <w:t>、其他资料</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noWrap w:val="0"/>
            <w:vAlign w:val="top"/>
          </w:tcPr>
          <w:p>
            <w:pPr>
              <w:keepNext w:val="0"/>
              <w:keepLines w:val="0"/>
              <w:numPr>
                <w:ilvl w:val="0"/>
                <w:numId w:val="4"/>
              </w:numPr>
              <w:suppressLineNumbers w:val="0"/>
              <w:topLinePunct/>
              <w:spacing w:before="0" w:beforeAutospacing="0" w:after="0" w:afterAutospacing="0" w:line="360" w:lineRule="auto"/>
              <w:ind w:left="900" w:right="0" w:hanging="480"/>
              <w:jc w:val="both"/>
              <w:rPr>
                <w:rFonts w:hint="eastAsia" w:ascii="宋体" w:hAnsi="宋体"/>
                <w:color w:val="auto"/>
              </w:rPr>
            </w:pPr>
            <w:r>
              <w:rPr>
                <w:rFonts w:hint="eastAsia" w:ascii="宋体" w:hAnsi="宋体"/>
                <w:color w:val="auto"/>
              </w:rPr>
              <w:t>提供“</w:t>
            </w:r>
            <w:r>
              <w:rPr>
                <w:rFonts w:hint="eastAsia" w:ascii="宋体" w:hAnsi="宋体"/>
                <w:color w:val="auto"/>
                <w:lang w:val="en-US"/>
              </w:rPr>
              <w:t>七</w:t>
            </w:r>
            <w:r>
              <w:rPr>
                <w:rFonts w:hint="eastAsia" w:ascii="宋体" w:hAnsi="宋体"/>
                <w:color w:val="auto"/>
              </w:rPr>
              <w:t>-1、承诺书”。</w:t>
            </w:r>
          </w:p>
          <w:p>
            <w:pPr>
              <w:keepNext w:val="0"/>
              <w:keepLines w:val="0"/>
              <w:numPr>
                <w:ilvl w:val="0"/>
                <w:numId w:val="4"/>
              </w:numPr>
              <w:suppressLineNumbers w:val="0"/>
              <w:topLinePunct/>
              <w:spacing w:before="0" w:beforeAutospacing="0" w:after="0" w:afterAutospacing="0" w:line="360" w:lineRule="auto"/>
              <w:ind w:left="900" w:right="0" w:hanging="480"/>
              <w:jc w:val="both"/>
              <w:rPr>
                <w:rFonts w:hint="eastAsia" w:ascii="宋体" w:hAnsi="宋体"/>
                <w:color w:val="auto"/>
              </w:rPr>
            </w:pPr>
            <w:r>
              <w:rPr>
                <w:rFonts w:hint="eastAsia" w:ascii="宋体" w:hAnsi="宋体"/>
                <w:color w:val="auto"/>
              </w:rPr>
              <w:t>提供“</w:t>
            </w:r>
            <w:r>
              <w:rPr>
                <w:rFonts w:hint="eastAsia" w:ascii="宋体" w:hAnsi="宋体"/>
                <w:color w:val="auto"/>
                <w:lang w:val="en-US"/>
              </w:rPr>
              <w:t>七</w:t>
            </w:r>
            <w:r>
              <w:rPr>
                <w:rFonts w:hint="eastAsia" w:ascii="宋体" w:hAnsi="宋体"/>
                <w:color w:val="auto"/>
              </w:rPr>
              <w:t>-2、投标人的自评分表”。</w:t>
            </w:r>
          </w:p>
          <w:p>
            <w:pPr>
              <w:keepNext w:val="0"/>
              <w:keepLines w:val="0"/>
              <w:numPr>
                <w:ilvl w:val="0"/>
                <w:numId w:val="4"/>
              </w:numPr>
              <w:suppressLineNumbers w:val="0"/>
              <w:topLinePunct/>
              <w:spacing w:before="0" w:beforeAutospacing="0" w:after="0" w:afterAutospacing="0" w:line="360" w:lineRule="auto"/>
              <w:ind w:left="900" w:right="0" w:hanging="480"/>
              <w:jc w:val="both"/>
              <w:rPr>
                <w:rFonts w:hint="eastAsia" w:ascii="宋体" w:hAnsi="宋体"/>
                <w:color w:val="auto"/>
              </w:rPr>
            </w:pPr>
            <w:r>
              <w:rPr>
                <w:rFonts w:hint="eastAsia" w:ascii="宋体" w:hAnsi="宋体"/>
                <w:color w:val="auto"/>
              </w:rPr>
              <w:t>提供最新年度</w:t>
            </w:r>
            <w:r>
              <w:rPr>
                <w:rFonts w:hint="eastAsia" w:ascii="宋体" w:hAnsi="宋体"/>
                <w:color w:val="auto"/>
                <w:lang w:eastAsia="zh-CN"/>
              </w:rPr>
              <w:t>湛江市</w:t>
            </w:r>
            <w:r>
              <w:rPr>
                <w:rFonts w:hint="eastAsia" w:ascii="宋体" w:hAnsi="宋体"/>
                <w:color w:val="auto"/>
              </w:rPr>
              <w:t>水运工程从业单位信用评价等级（若有），并标识单位所在位置。</w:t>
            </w:r>
          </w:p>
          <w:p>
            <w:pPr>
              <w:keepNext w:val="0"/>
              <w:keepLines w:val="0"/>
              <w:numPr>
                <w:ilvl w:val="0"/>
                <w:numId w:val="4"/>
              </w:numPr>
              <w:suppressLineNumbers w:val="0"/>
              <w:topLinePunct/>
              <w:spacing w:before="0" w:beforeAutospacing="0" w:after="0" w:afterAutospacing="0" w:line="360" w:lineRule="auto"/>
              <w:ind w:left="900" w:right="0" w:hanging="480"/>
              <w:jc w:val="both"/>
              <w:rPr>
                <w:rFonts w:hint="eastAsia" w:ascii="宋体" w:hAnsi="宋体"/>
                <w:color w:val="auto"/>
              </w:rPr>
            </w:pPr>
            <w:r>
              <w:rPr>
                <w:rFonts w:hint="eastAsia" w:ascii="宋体" w:hAnsi="宋体"/>
                <w:color w:val="auto"/>
              </w:rPr>
              <w:t>初次进入且无</w:t>
            </w:r>
            <w:r>
              <w:rPr>
                <w:rFonts w:hint="eastAsia" w:ascii="宋体" w:hAnsi="宋体"/>
                <w:color w:val="auto"/>
                <w:lang w:eastAsia="zh-CN"/>
              </w:rPr>
              <w:t>湛江市</w:t>
            </w:r>
            <w:r>
              <w:rPr>
                <w:rFonts w:hint="eastAsia" w:ascii="宋体" w:hAnsi="宋体"/>
                <w:color w:val="auto"/>
              </w:rPr>
              <w:t>最新年度信用评价等级的，但在最新年度的全国综合评价结果为C级或D级的，提供最新年度的全国综合评价结果单位查询所在页；</w:t>
            </w:r>
          </w:p>
          <w:p>
            <w:pPr>
              <w:keepNext w:val="0"/>
              <w:keepLines w:val="0"/>
              <w:numPr>
                <w:ilvl w:val="0"/>
                <w:numId w:val="4"/>
              </w:numPr>
              <w:suppressLineNumbers w:val="0"/>
              <w:topLinePunct/>
              <w:spacing w:before="0" w:beforeAutospacing="0" w:after="0" w:afterAutospacing="0" w:line="360" w:lineRule="auto"/>
              <w:ind w:left="900" w:right="0" w:hanging="480"/>
              <w:jc w:val="both"/>
              <w:rPr>
                <w:rFonts w:hint="eastAsia" w:ascii="宋体" w:hAnsi="宋体"/>
                <w:color w:val="auto"/>
              </w:rPr>
            </w:pPr>
            <w:r>
              <w:rPr>
                <w:rFonts w:hint="eastAsia" w:ascii="宋体" w:hAnsi="宋体"/>
                <w:color w:val="auto"/>
              </w:rPr>
              <w:t>如上一年度有信用评价而最新年度在</w:t>
            </w:r>
            <w:r>
              <w:rPr>
                <w:rFonts w:hint="eastAsia" w:ascii="宋体" w:hAnsi="宋体"/>
                <w:color w:val="auto"/>
                <w:lang w:eastAsia="zh-CN"/>
              </w:rPr>
              <w:t>湛江市</w:t>
            </w:r>
            <w:r>
              <w:rPr>
                <w:rFonts w:hint="eastAsia" w:ascii="宋体" w:hAnsi="宋体"/>
                <w:color w:val="auto"/>
              </w:rPr>
              <w:t>无信用等级的需提供上一年度有信用评价（若有），并标识单位所在位置。</w:t>
            </w:r>
          </w:p>
          <w:p>
            <w:pPr>
              <w:keepNext w:val="0"/>
              <w:keepLines w:val="0"/>
              <w:suppressLineNumbers w:val="0"/>
              <w:topLinePunct/>
              <w:spacing w:before="0" w:beforeAutospacing="0" w:after="0" w:afterAutospacing="0" w:line="360" w:lineRule="auto"/>
              <w:ind w:left="707" w:leftChars="178" w:right="0" w:hanging="280" w:hangingChars="117"/>
              <w:jc w:val="both"/>
              <w:rPr>
                <w:rFonts w:hint="default" w:ascii="宋体" w:hAnsi="宋体" w:cs="Times New Roman"/>
                <w:color w:val="auto"/>
                <w:kern w:val="2"/>
                <w:lang w:val="en-US"/>
              </w:rPr>
            </w:pPr>
            <w:r>
              <w:rPr>
                <w:rFonts w:hint="eastAsia" w:ascii="宋体" w:hAnsi="宋体" w:cs="宋体"/>
                <w:color w:val="auto"/>
                <w:kern w:val="2"/>
                <w:lang w:val="en-US"/>
              </w:rPr>
              <w:t>6、详细说明投标人在递交投标文件截止日前</w:t>
            </w:r>
            <w:r>
              <w:rPr>
                <w:rFonts w:hint="default" w:ascii="宋体" w:hAnsi="宋体" w:cs="宋体"/>
                <w:color w:val="auto"/>
                <w:kern w:val="2"/>
                <w:lang w:val="en-US"/>
              </w:rPr>
              <w:t>1</w:t>
            </w:r>
            <w:r>
              <w:rPr>
                <w:rFonts w:hint="eastAsia" w:ascii="宋体" w:hAnsi="宋体" w:cs="宋体"/>
                <w:color w:val="auto"/>
                <w:kern w:val="2"/>
                <w:lang w:val="en-US"/>
              </w:rPr>
              <w:t>年内</w:t>
            </w:r>
            <w:r>
              <w:rPr>
                <w:rFonts w:hint="eastAsia" w:ascii="宋体" w:hAnsi="宋体" w:cs="宋体"/>
              </w:rPr>
              <w:t>因水运工程（含附属设施）质量、安全、履约或招标投标问题等原因</w:t>
            </w:r>
            <w:r>
              <w:rPr>
                <w:rFonts w:hint="eastAsia" w:ascii="宋体" w:hAnsi="宋体" w:cs="宋体"/>
                <w:color w:val="auto"/>
              </w:rPr>
              <w:t>被交通运输部行政处罚、广东省交通运输厅行政处罚或正式约谈</w:t>
            </w:r>
            <w:r>
              <w:rPr>
                <w:rFonts w:hint="eastAsia" w:ascii="宋体" w:hAnsi="宋体" w:cs="宋体"/>
                <w:color w:val="auto"/>
                <w:u w:val="single"/>
              </w:rPr>
              <w:t>、招标项目所在地地级以上市交通运输局行政处罚</w:t>
            </w:r>
            <w:r>
              <w:rPr>
                <w:rFonts w:hint="eastAsia" w:ascii="宋体" w:hAnsi="宋体" w:cs="宋体"/>
                <w:color w:val="auto"/>
              </w:rPr>
              <w:t>的文件</w:t>
            </w:r>
            <w:r>
              <w:rPr>
                <w:rFonts w:hint="eastAsia" w:ascii="宋体" w:hAnsi="宋体" w:cs="宋体"/>
                <w:color w:val="auto"/>
                <w:kern w:val="2"/>
                <w:lang w:val="en-US"/>
              </w:rPr>
              <w:t>。</w:t>
            </w:r>
          </w:p>
          <w:p>
            <w:pPr>
              <w:keepNext w:val="0"/>
              <w:keepLines w:val="0"/>
              <w:suppressLineNumbers w:val="0"/>
              <w:topLinePunct/>
              <w:spacing w:before="0" w:beforeAutospacing="0" w:after="0" w:afterAutospacing="0" w:line="360" w:lineRule="auto"/>
              <w:ind w:left="0" w:right="0" w:firstLine="424" w:firstLineChars="177"/>
              <w:jc w:val="both"/>
              <w:rPr>
                <w:rFonts w:hint="default" w:ascii="宋体" w:hAnsi="宋体" w:cs="Times New Roman"/>
                <w:color w:val="auto"/>
                <w:kern w:val="2"/>
                <w:lang w:val="en-US"/>
              </w:rPr>
            </w:pPr>
            <w:r>
              <w:rPr>
                <w:rFonts w:hint="eastAsia" w:ascii="宋体" w:hAnsi="宋体" w:cs="宋体"/>
                <w:color w:val="auto"/>
                <w:kern w:val="2"/>
                <w:lang w:val="en-US"/>
              </w:rPr>
              <w:t>7、投标人认为需要的其它内容（如体现企业综合能力的相关证明材料）。</w:t>
            </w:r>
          </w:p>
          <w:p>
            <w:pPr>
              <w:keepNext w:val="0"/>
              <w:keepLines w:val="0"/>
              <w:suppressLineNumbers w:val="0"/>
              <w:spacing w:before="0" w:beforeAutospacing="0" w:after="0" w:afterAutospacing="0" w:line="360" w:lineRule="auto"/>
              <w:ind w:left="0" w:right="0"/>
              <w:jc w:val="both"/>
              <w:rPr>
                <w:rFonts w:hint="default" w:ascii="宋体" w:hAnsi="宋体" w:cs="Times New Roman"/>
                <w:bCs/>
                <w:color w:val="auto"/>
                <w:kern w:val="2"/>
                <w:sz w:val="20"/>
                <w:szCs w:val="20"/>
                <w:lang w:val="en-US"/>
              </w:rPr>
            </w:pPr>
          </w:p>
        </w:tc>
      </w:tr>
    </w:tbl>
    <w:p>
      <w:pPr>
        <w:spacing w:line="360" w:lineRule="auto"/>
        <w:rPr>
          <w:rFonts w:ascii="宋体" w:hAnsi="宋体" w:cs="Times New Roman"/>
          <w:bCs/>
          <w:color w:val="auto"/>
          <w:sz w:val="2"/>
          <w:szCs w:val="2"/>
          <w:lang w:val="en-US"/>
        </w:rPr>
        <w:sectPr>
          <w:footnotePr>
            <w:numRestart w:val="eachPage"/>
          </w:footnotePr>
          <w:pgSz w:w="11900" w:h="16838"/>
          <w:pgMar w:top="1803" w:right="1440" w:bottom="1803" w:left="1440" w:header="680" w:footer="680" w:gutter="0"/>
          <w:cols w:space="720" w:num="1"/>
          <w:docGrid w:linePitch="360" w:charSpace="0"/>
        </w:sectPr>
      </w:pPr>
    </w:p>
    <w:p>
      <w:pPr>
        <w:spacing w:line="360" w:lineRule="auto"/>
        <w:jc w:val="center"/>
        <w:rPr>
          <w:rFonts w:ascii="宋体" w:hAnsi="宋体" w:cs="Times New Roman"/>
          <w:bCs/>
          <w:color w:val="auto"/>
          <w:kern w:val="2"/>
          <w:lang w:val="en-US"/>
        </w:rPr>
      </w:pPr>
      <w:r>
        <w:rPr>
          <w:rFonts w:ascii="宋体" w:hAnsi="宋体" w:cs="宋体"/>
          <w:bCs/>
          <w:color w:val="auto"/>
          <w:kern w:val="2"/>
          <w:lang w:val="en-US"/>
        </w:rPr>
        <w:t xml:space="preserve">    </w:t>
      </w:r>
      <w:r>
        <w:rPr>
          <w:rFonts w:hint="eastAsia" w:ascii="宋体" w:hAnsi="宋体" w:cs="宋体"/>
          <w:b/>
          <w:color w:val="auto"/>
          <w:kern w:val="2"/>
          <w:sz w:val="28"/>
          <w:szCs w:val="28"/>
          <w:lang w:val="en-US"/>
        </w:rPr>
        <w:t>七-1、承诺书</w:t>
      </w:r>
    </w:p>
    <w:p>
      <w:pPr>
        <w:autoSpaceDE w:val="0"/>
        <w:autoSpaceDN w:val="0"/>
        <w:jc w:val="center"/>
        <w:rPr>
          <w:rFonts w:hint="eastAsia" w:ascii="宋体" w:hAnsi="宋体" w:cs="宋体"/>
          <w:color w:val="auto"/>
        </w:rPr>
      </w:pPr>
      <w:r>
        <w:rPr>
          <w:rFonts w:hint="eastAsia" w:ascii="宋体" w:hAnsi="宋体" w:cs="宋体"/>
          <w:b/>
          <w:color w:val="auto"/>
          <w:sz w:val="28"/>
          <w:szCs w:val="28"/>
        </w:rPr>
        <w:t>使用</w:t>
      </w:r>
      <w:r>
        <w:rPr>
          <w:rFonts w:hint="eastAsia" w:ascii="宋体" w:hAnsi="宋体" w:cs="宋体"/>
          <w:b/>
          <w:color w:val="auto"/>
          <w:sz w:val="28"/>
          <w:szCs w:val="28"/>
          <w:lang w:eastAsia="zh-CN"/>
        </w:rPr>
        <w:t>湛江市</w:t>
      </w:r>
      <w:r>
        <w:rPr>
          <w:rFonts w:hint="eastAsia" w:ascii="宋体" w:hAnsi="宋体" w:cs="宋体"/>
          <w:b/>
          <w:color w:val="auto"/>
          <w:sz w:val="28"/>
          <w:szCs w:val="28"/>
        </w:rPr>
        <w:t>信用评价等级的申请承诺书</w:t>
      </w:r>
      <w:r>
        <w:rPr>
          <w:rFonts w:hint="eastAsia" w:ascii="宋体" w:hAnsi="宋体" w:cs="宋体"/>
          <w:color w:val="auto"/>
        </w:rPr>
        <w:t>（格式）</w:t>
      </w:r>
    </w:p>
    <w:p>
      <w:pPr>
        <w:autoSpaceDE w:val="0"/>
        <w:autoSpaceDN w:val="0"/>
        <w:jc w:val="center"/>
        <w:rPr>
          <w:rFonts w:hint="eastAsia" w:ascii="宋体" w:hAnsi="宋体" w:cs="宋体"/>
          <w:color w:val="auto"/>
          <w:szCs w:val="21"/>
        </w:rPr>
      </w:pPr>
    </w:p>
    <w:p>
      <w:pPr>
        <w:topLinePunct/>
        <w:spacing w:line="400" w:lineRule="atLeast"/>
        <w:rPr>
          <w:rFonts w:ascii="宋体" w:hAnsi="宋体" w:cs="宋体"/>
        </w:rPr>
      </w:pPr>
      <w:r>
        <w:rPr>
          <w:rFonts w:hint="eastAsia" w:ascii="宋体" w:hAnsi="宋体" w:cs="宋体"/>
        </w:rPr>
        <w:t>致招标人：</w:t>
      </w:r>
      <w:r>
        <w:rPr>
          <w:rFonts w:hint="eastAsia" w:ascii="宋体" w:hAnsi="宋体" w:cs="宋体"/>
          <w:u w:val="single"/>
        </w:rPr>
        <w:t xml:space="preserve"> （招标人全称）</w:t>
      </w:r>
    </w:p>
    <w:p>
      <w:pPr>
        <w:topLinePunct/>
        <w:spacing w:line="400" w:lineRule="atLeast"/>
        <w:ind w:firstLine="480" w:firstLineChars="200"/>
        <w:rPr>
          <w:rFonts w:ascii="宋体" w:hAnsi="宋体" w:cs="宋体"/>
        </w:rPr>
      </w:pPr>
      <w:r>
        <w:rPr>
          <w:rFonts w:hint="eastAsia" w:ascii="宋体" w:hAnsi="宋体" w:cs="宋体"/>
        </w:rPr>
        <w:t>按照相关要求，现我单位对使用信用等级申请如下：</w:t>
      </w:r>
    </w:p>
    <w:p>
      <w:pPr>
        <w:topLinePunct/>
        <w:spacing w:line="400" w:lineRule="atLeast"/>
        <w:ind w:firstLine="480" w:firstLineChars="200"/>
        <w:rPr>
          <w:rFonts w:ascii="宋体" w:hAnsi="宋体" w:cs="宋体"/>
        </w:rPr>
      </w:pPr>
      <w:r>
        <w:rPr>
          <w:rFonts w:hint="eastAsia" w:ascii="宋体" w:hAnsi="宋体" w:cs="宋体"/>
        </w:rPr>
        <w:t>一、我单位在</w:t>
      </w:r>
      <w:r>
        <w:rPr>
          <w:rFonts w:hint="eastAsia" w:ascii="宋体" w:hAnsi="宋体" w:cs="宋体"/>
          <w:u w:val="single"/>
        </w:rPr>
        <w:t xml:space="preserve">                      </w:t>
      </w:r>
      <w:r>
        <w:rPr>
          <w:rFonts w:hint="eastAsia" w:ascii="宋体" w:hAnsi="宋体" w:cs="宋体"/>
        </w:rPr>
        <w:t>招标（第</w:t>
      </w:r>
      <w:r>
        <w:rPr>
          <w:rFonts w:hint="eastAsia" w:ascii="宋体" w:hAnsi="宋体" w:cs="宋体"/>
          <w:u w:val="single"/>
        </w:rPr>
        <w:t xml:space="preserve">      标类（或标段））</w:t>
      </w:r>
      <w:r>
        <w:rPr>
          <w:rFonts w:hint="eastAsia" w:ascii="宋体" w:hAnsi="宋体" w:cs="宋体"/>
        </w:rPr>
        <w:t>的招标中，</w:t>
      </w:r>
      <w:r>
        <w:rPr>
          <w:rFonts w:hint="eastAsia" w:ascii="宋体" w:hAnsi="宋体" w:cs="宋体"/>
          <w:b/>
        </w:rPr>
        <w:t>第</w:t>
      </w:r>
      <w:r>
        <w:rPr>
          <w:rFonts w:hint="eastAsia" w:ascii="宋体" w:hAnsi="宋体" w:cs="宋体"/>
          <w:b/>
          <w:u w:val="single"/>
        </w:rPr>
        <w:t xml:space="preserve">    </w:t>
      </w:r>
      <w:r>
        <w:rPr>
          <w:rFonts w:hint="eastAsia" w:ascii="宋体" w:hAnsi="宋体" w:cs="宋体"/>
          <w:b/>
        </w:rPr>
        <w:t>次使用（</w:t>
      </w:r>
      <w:r>
        <w:rPr>
          <w:rFonts w:hint="eastAsia" w:ascii="宋体" w:hAnsi="宋体" w:cs="宋体"/>
          <w:b/>
          <w:u w:val="single"/>
        </w:rPr>
        <w:t>或不使用</w:t>
      </w:r>
      <w:r>
        <w:rPr>
          <w:rFonts w:hint="eastAsia" w:ascii="宋体" w:hAnsi="宋体" w:cs="宋体"/>
          <w:b/>
        </w:rPr>
        <w:t>）</w:t>
      </w:r>
      <w:r>
        <w:rPr>
          <w:rFonts w:hint="eastAsia" w:ascii="宋体" w:hAnsi="宋体" w:cs="宋体"/>
          <w:lang w:eastAsia="zh-CN"/>
        </w:rPr>
        <w:t>湛江市</w:t>
      </w:r>
      <w:r>
        <w:rPr>
          <w:rFonts w:hint="eastAsia" w:ascii="宋体" w:hAnsi="宋体" w:cs="宋体"/>
        </w:rPr>
        <w:t>交通运输</w:t>
      </w:r>
      <w:r>
        <w:rPr>
          <w:rFonts w:hint="eastAsia" w:ascii="宋体" w:hAnsi="宋体" w:cs="宋体"/>
          <w:lang w:eastAsia="zh-CN"/>
        </w:rPr>
        <w:t>局</w:t>
      </w:r>
      <w:r>
        <w:rPr>
          <w:rFonts w:hint="eastAsia" w:ascii="宋体" w:hAnsi="宋体" w:cs="宋体"/>
        </w:rPr>
        <w:t>发布的</w:t>
      </w:r>
      <w:r>
        <w:rPr>
          <w:rFonts w:hint="eastAsia" w:ascii="宋体" w:hAnsi="宋体" w:cs="宋体"/>
          <w:u w:val="single"/>
        </w:rPr>
        <w:t xml:space="preserve">     </w:t>
      </w:r>
      <w:r>
        <w:rPr>
          <w:rFonts w:hint="eastAsia" w:ascii="宋体" w:hAnsi="宋体" w:cs="宋体"/>
        </w:rPr>
        <w:t>年度信用评价</w:t>
      </w:r>
      <w:r>
        <w:rPr>
          <w:rFonts w:hint="eastAsia" w:ascii="宋体" w:hAnsi="宋体" w:cs="宋体"/>
          <w:u w:val="single"/>
        </w:rPr>
        <w:t xml:space="preserve">    </w:t>
      </w:r>
      <w:r>
        <w:rPr>
          <w:rFonts w:hint="eastAsia" w:ascii="宋体" w:hAnsi="宋体" w:cs="宋体"/>
        </w:rPr>
        <w:t>等级结果和对应等级分值。</w:t>
      </w:r>
    </w:p>
    <w:p>
      <w:pPr>
        <w:topLinePunct/>
        <w:spacing w:line="400" w:lineRule="atLeast"/>
        <w:ind w:firstLine="480" w:firstLineChars="200"/>
        <w:rPr>
          <w:rFonts w:ascii="宋体" w:hAnsi="宋体" w:cs="宋体"/>
        </w:rPr>
      </w:pPr>
      <w:r>
        <w:rPr>
          <w:rFonts w:hint="eastAsia" w:ascii="宋体" w:hAnsi="宋体" w:cs="宋体"/>
        </w:rPr>
        <w:t>二、我单位承诺，在递交本次申请后，我单位将失去一次使用</w:t>
      </w:r>
      <w:r>
        <w:rPr>
          <w:rFonts w:hint="eastAsia" w:ascii="宋体" w:hAnsi="宋体" w:cs="宋体"/>
          <w:u w:val="single"/>
        </w:rPr>
        <w:t xml:space="preserve">      </w:t>
      </w:r>
      <w:r>
        <w:rPr>
          <w:rFonts w:hint="eastAsia" w:ascii="宋体" w:hAnsi="宋体" w:cs="宋体"/>
        </w:rPr>
        <w:t>等级结果（</w:t>
      </w:r>
      <w:r>
        <w:rPr>
          <w:rFonts w:hint="eastAsia" w:ascii="宋体" w:hAnsi="宋体" w:cs="宋体"/>
          <w:b/>
          <w:u w:val="single"/>
        </w:rPr>
        <w:t>不使用时上述填“/”）</w:t>
      </w:r>
      <w:r>
        <w:rPr>
          <w:rFonts w:hint="eastAsia" w:ascii="宋体" w:hAnsi="宋体" w:cs="宋体"/>
        </w:rPr>
        <w:t>参与投标的机会。当累计使用超过规定的次数，我单位同意按降低一个信用等级对应分值来认定参与投标评审。</w:t>
      </w:r>
    </w:p>
    <w:p>
      <w:pPr>
        <w:topLinePunct/>
        <w:spacing w:line="400" w:lineRule="atLeast"/>
        <w:ind w:firstLine="480" w:firstLineChars="200"/>
        <w:rPr>
          <w:rFonts w:ascii="宋体" w:hAnsi="宋体" w:cs="宋体"/>
        </w:rPr>
      </w:pPr>
      <w:r>
        <w:rPr>
          <w:rFonts w:hint="eastAsia" w:ascii="宋体" w:hAnsi="宋体" w:cs="宋体"/>
        </w:rPr>
        <w:t>三、如果我单位发生违反规定使用信用等级结果的情形，自愿接受省级交通运输主管部门的处理。</w:t>
      </w:r>
    </w:p>
    <w:p>
      <w:pPr>
        <w:topLinePunct/>
        <w:spacing w:line="400" w:lineRule="atLeast"/>
        <w:ind w:firstLine="480" w:firstLineChars="200"/>
        <w:rPr>
          <w:rFonts w:ascii="宋体" w:hAnsi="宋体" w:cs="宋体"/>
        </w:rPr>
      </w:pPr>
      <w:r>
        <w:rPr>
          <w:rFonts w:hint="eastAsia" w:ascii="宋体" w:hAnsi="宋体" w:cs="宋体"/>
        </w:rPr>
        <w:t xml:space="preserve">附件：本单位使用 </w:t>
      </w:r>
      <w:r>
        <w:rPr>
          <w:rFonts w:hint="eastAsia" w:ascii="宋体" w:hAnsi="宋体" w:cs="宋体"/>
          <w:u w:val="single"/>
        </w:rPr>
        <w:t xml:space="preserve">    </w:t>
      </w:r>
      <w:r>
        <w:rPr>
          <w:rFonts w:hint="eastAsia" w:ascii="宋体" w:hAnsi="宋体" w:cs="宋体"/>
        </w:rPr>
        <w:t>年度</w:t>
      </w:r>
      <w:r>
        <w:rPr>
          <w:rFonts w:hint="eastAsia" w:ascii="宋体" w:hAnsi="宋体" w:cs="宋体"/>
          <w:lang w:eastAsia="zh-CN"/>
        </w:rPr>
        <w:t>湛江市</w:t>
      </w:r>
      <w:r>
        <w:rPr>
          <w:rFonts w:hint="eastAsia" w:ascii="宋体" w:hAnsi="宋体" w:cs="宋体"/>
        </w:rPr>
        <w:t>公路水运工程从业单位信用等级情况汇总表</w:t>
      </w:r>
    </w:p>
    <w:p>
      <w:pPr>
        <w:topLinePunct/>
        <w:spacing w:line="400" w:lineRule="atLeast"/>
        <w:ind w:firstLine="480" w:firstLineChars="200"/>
        <w:rPr>
          <w:rFonts w:ascii="宋体" w:hAnsi="宋体" w:cs="宋体"/>
        </w:rPr>
      </w:pPr>
      <w:r>
        <w:rPr>
          <w:rFonts w:hint="eastAsia" w:ascii="宋体" w:hAnsi="宋体" w:cs="宋体"/>
        </w:rPr>
        <w:t>特此承诺</w:t>
      </w:r>
    </w:p>
    <w:p>
      <w:pPr>
        <w:wordWrap w:val="0"/>
        <w:topLinePunct/>
        <w:spacing w:line="400" w:lineRule="atLeast"/>
        <w:ind w:right="480"/>
        <w:jc w:val="center"/>
        <w:rPr>
          <w:rFonts w:ascii="宋体" w:hAnsi="宋体" w:cs="宋体"/>
        </w:rPr>
      </w:pPr>
    </w:p>
    <w:p>
      <w:pPr>
        <w:wordWrap w:val="0"/>
        <w:topLinePunct/>
        <w:spacing w:line="720" w:lineRule="auto"/>
        <w:ind w:right="482"/>
        <w:jc w:val="center"/>
        <w:rPr>
          <w:rFonts w:ascii="宋体" w:hAnsi="宋体" w:cs="宋体"/>
        </w:rPr>
      </w:pPr>
      <w:r>
        <w:rPr>
          <w:rFonts w:hint="eastAsia" w:ascii="宋体" w:hAnsi="宋体" w:cs="宋体"/>
        </w:rPr>
        <w:t xml:space="preserve">          投标人（单位全称）：</w:t>
      </w:r>
      <w:r>
        <w:rPr>
          <w:rFonts w:hint="eastAsia" w:ascii="宋体" w:hAnsi="宋体" w:cs="宋体"/>
          <w:u w:val="single"/>
        </w:rPr>
        <w:t xml:space="preserve">                          </w:t>
      </w:r>
    </w:p>
    <w:p>
      <w:pPr>
        <w:wordWrap w:val="0"/>
        <w:topLinePunct/>
        <w:spacing w:line="720" w:lineRule="auto"/>
        <w:ind w:right="482"/>
        <w:jc w:val="center"/>
        <w:rPr>
          <w:rFonts w:ascii="宋体" w:hAnsi="宋体" w:cs="宋体"/>
        </w:rPr>
      </w:pPr>
      <w:r>
        <w:rPr>
          <w:rFonts w:hint="eastAsia" w:ascii="宋体" w:hAnsi="宋体" w:cs="宋体"/>
        </w:rPr>
        <w:t xml:space="preserve">              投标人的法定代表人或其委托代理人签名：</w:t>
      </w:r>
      <w:r>
        <w:rPr>
          <w:rFonts w:hint="eastAsia" w:ascii="宋体" w:hAnsi="宋体" w:cs="宋体"/>
          <w:b/>
          <w:u w:val="single"/>
        </w:rPr>
        <w:t xml:space="preserve">           </w:t>
      </w:r>
    </w:p>
    <w:p>
      <w:pPr>
        <w:wordWrap w:val="0"/>
        <w:topLinePunct/>
        <w:spacing w:line="400" w:lineRule="atLeast"/>
        <w:jc w:val="right"/>
        <w:rPr>
          <w:rFonts w:ascii="宋体" w:hAnsi="宋体" w:cs="宋体"/>
        </w:rPr>
      </w:pPr>
      <w:r>
        <w:rPr>
          <w:rFonts w:hint="eastAsia" w:ascii="宋体" w:hAnsi="宋体" w:cs="宋体"/>
        </w:rPr>
        <w:t xml:space="preserve">    年    月    日</w:t>
      </w:r>
    </w:p>
    <w:p>
      <w:pPr>
        <w:topLinePunct/>
        <w:spacing w:line="400" w:lineRule="atLeast"/>
        <w:ind w:firstLine="426" w:firstLineChars="213"/>
        <w:rPr>
          <w:rFonts w:ascii="宋体" w:hAnsi="宋体" w:cs="宋体"/>
          <w:sz w:val="20"/>
          <w:szCs w:val="21"/>
        </w:rPr>
      </w:pPr>
      <w:r>
        <w:rPr>
          <w:rFonts w:hint="eastAsia" w:ascii="宋体" w:hAnsi="宋体" w:cs="宋体"/>
          <w:sz w:val="20"/>
          <w:szCs w:val="21"/>
        </w:rPr>
        <w:t>备注：</w:t>
      </w:r>
    </w:p>
    <w:p>
      <w:pPr>
        <w:topLinePunct/>
        <w:spacing w:line="400" w:lineRule="atLeast"/>
        <w:ind w:firstLine="426" w:firstLineChars="213"/>
        <w:rPr>
          <w:rFonts w:ascii="宋体" w:hAnsi="宋体" w:cs="宋体"/>
          <w:sz w:val="20"/>
          <w:szCs w:val="21"/>
        </w:rPr>
      </w:pPr>
      <w:r>
        <w:rPr>
          <w:rFonts w:hint="eastAsia" w:ascii="宋体" w:hAnsi="宋体" w:cs="宋体"/>
          <w:sz w:val="20"/>
          <w:szCs w:val="21"/>
        </w:rPr>
        <w:t>1、AA、A级信用等级企业必须填写此申请承诺书；选择“使用”时需和附表（情况汇总表）一起编入投标文件中。</w:t>
      </w:r>
    </w:p>
    <w:p>
      <w:pPr>
        <w:topLinePunct/>
        <w:spacing w:line="400" w:lineRule="atLeast"/>
        <w:ind w:firstLine="426" w:firstLineChars="213"/>
        <w:rPr>
          <w:rFonts w:ascii="宋体" w:hAnsi="宋体" w:cs="宋体"/>
          <w:sz w:val="20"/>
          <w:szCs w:val="21"/>
        </w:rPr>
      </w:pPr>
      <w:r>
        <w:rPr>
          <w:rFonts w:hint="eastAsia" w:ascii="宋体" w:hAnsi="宋体" w:cs="宋体"/>
          <w:sz w:val="20"/>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topLinePunct/>
        <w:spacing w:line="400" w:lineRule="atLeast"/>
        <w:ind w:firstLine="426" w:firstLineChars="213"/>
        <w:rPr>
          <w:rFonts w:hint="eastAsia" w:ascii="宋体" w:hAnsi="宋体" w:cs="宋体"/>
          <w:sz w:val="20"/>
          <w:szCs w:val="21"/>
        </w:rPr>
      </w:pPr>
      <w:r>
        <w:rPr>
          <w:rFonts w:hint="eastAsia" w:ascii="宋体" w:hAnsi="宋体" w:cs="宋体"/>
          <w:sz w:val="20"/>
          <w:szCs w:val="21"/>
        </w:rPr>
        <w:t>3、中标候选人公示将对所有承诺使用最新一年度AA、A级投标人的年度信用等级使用情况进行公开。</w:t>
      </w:r>
    </w:p>
    <w:p>
      <w:pPr>
        <w:topLinePunct/>
        <w:spacing w:line="400" w:lineRule="atLeast"/>
        <w:ind w:firstLine="426" w:firstLineChars="213"/>
        <w:rPr>
          <w:rFonts w:hint="eastAsia"/>
          <w:color w:val="auto"/>
          <w:sz w:val="20"/>
          <w:szCs w:val="21"/>
        </w:rPr>
      </w:pPr>
      <w:r>
        <w:rPr>
          <w:rFonts w:hint="eastAsia" w:ascii="宋体" w:hAnsi="宋体" w:cs="宋体"/>
          <w:sz w:val="20"/>
          <w:szCs w:val="21"/>
        </w:rPr>
        <w:t>4、以联合体形式投标的，联合体各成员应分别填写</w:t>
      </w:r>
      <w:r>
        <w:rPr>
          <w:rFonts w:hint="eastAsia"/>
          <w:color w:val="auto"/>
          <w:sz w:val="20"/>
          <w:szCs w:val="21"/>
        </w:rPr>
        <w:t>。</w:t>
      </w:r>
    </w:p>
    <w:p>
      <w:pPr>
        <w:topLinePunct/>
        <w:spacing w:line="400" w:lineRule="atLeast"/>
        <w:rPr>
          <w:rFonts w:hint="eastAsia" w:ascii="宋体" w:hAnsi="宋体" w:cs="宋体"/>
          <w:color w:val="auto"/>
          <w:sz w:val="20"/>
          <w:szCs w:val="21"/>
        </w:rPr>
      </w:pPr>
    </w:p>
    <w:p>
      <w:pPr>
        <w:autoSpaceDE w:val="0"/>
        <w:autoSpaceDN w:val="0"/>
        <w:rPr>
          <w:rFonts w:hint="eastAsia" w:ascii="宋体" w:hAnsi="宋体" w:cs="宋体"/>
          <w:color w:val="auto"/>
          <w:sz w:val="28"/>
          <w:szCs w:val="28"/>
        </w:rPr>
      </w:pPr>
      <w:r>
        <w:rPr>
          <w:rFonts w:ascii="宋体" w:hAnsi="宋体" w:cs="宋体"/>
          <w:color w:val="auto"/>
          <w:sz w:val="28"/>
          <w:szCs w:val="28"/>
        </w:rPr>
        <w:br w:type="page"/>
      </w:r>
      <w:r>
        <w:rPr>
          <w:rFonts w:hint="eastAsia" w:ascii="宋体" w:hAnsi="宋体" w:cs="宋体"/>
          <w:color w:val="auto"/>
          <w:sz w:val="28"/>
          <w:szCs w:val="28"/>
        </w:rPr>
        <w:t>附表：</w:t>
      </w:r>
    </w:p>
    <w:p>
      <w:pPr>
        <w:autoSpaceDE w:val="0"/>
        <w:autoSpaceDN w:val="0"/>
        <w:jc w:val="center"/>
        <w:rPr>
          <w:rFonts w:hint="eastAsia"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单位使用</w:t>
      </w:r>
      <w:r>
        <w:rPr>
          <w:rFonts w:hint="eastAsia" w:ascii="宋体" w:hAnsi="宋体" w:cs="宋体"/>
          <w:color w:val="auto"/>
          <w:sz w:val="28"/>
          <w:szCs w:val="28"/>
          <w:u w:val="single"/>
        </w:rPr>
        <w:t xml:space="preserve">          </w:t>
      </w:r>
      <w:r>
        <w:rPr>
          <w:rFonts w:hint="eastAsia" w:ascii="宋体" w:hAnsi="宋体" w:cs="宋体"/>
          <w:color w:val="auto"/>
          <w:sz w:val="28"/>
          <w:szCs w:val="28"/>
        </w:rPr>
        <w:t>年度</w:t>
      </w:r>
      <w:r>
        <w:rPr>
          <w:rFonts w:hint="eastAsia" w:ascii="宋体" w:hAnsi="宋体" w:cs="宋体"/>
          <w:color w:val="auto"/>
          <w:sz w:val="28"/>
          <w:szCs w:val="28"/>
          <w:lang w:eastAsia="zh-CN"/>
        </w:rPr>
        <w:t>湛江市</w:t>
      </w:r>
      <w:r>
        <w:rPr>
          <w:rFonts w:hint="eastAsia" w:ascii="宋体" w:hAnsi="宋体" w:cs="宋体"/>
          <w:color w:val="auto"/>
          <w:sz w:val="28"/>
          <w:szCs w:val="28"/>
        </w:rPr>
        <w:t>水运工程从业单位</w:t>
      </w:r>
    </w:p>
    <w:p>
      <w:pPr>
        <w:autoSpaceDE w:val="0"/>
        <w:autoSpaceDN w:val="0"/>
        <w:jc w:val="center"/>
        <w:rPr>
          <w:rFonts w:hint="eastAsia" w:ascii="宋体" w:hAnsi="宋体" w:cs="宋体"/>
          <w:color w:val="auto"/>
          <w:sz w:val="28"/>
          <w:szCs w:val="28"/>
        </w:rPr>
      </w:pPr>
      <w:r>
        <w:rPr>
          <w:rFonts w:hint="eastAsia" w:ascii="宋体" w:hAnsi="宋体" w:cs="宋体"/>
          <w:color w:val="auto"/>
          <w:sz w:val="28"/>
          <w:szCs w:val="28"/>
        </w:rPr>
        <w:t>信用等级情况汇总表</w:t>
      </w:r>
    </w:p>
    <w:p>
      <w:pPr>
        <w:autoSpaceDE w:val="0"/>
        <w:autoSpaceDN w:val="0"/>
        <w:jc w:val="center"/>
        <w:rPr>
          <w:rFonts w:hint="eastAsia" w:ascii="宋体" w:hAnsi="宋体" w:cs="宋体"/>
          <w:color w:val="auto"/>
          <w:sz w:val="28"/>
          <w:szCs w:val="28"/>
        </w:rPr>
      </w:pPr>
    </w:p>
    <w:p>
      <w:pPr>
        <w:autoSpaceDE w:val="0"/>
        <w:autoSpaceDN w:val="0"/>
        <w:jc w:val="center"/>
        <w:rPr>
          <w:rFonts w:hint="eastAsia" w:ascii="宋体" w:hAnsi="宋体" w:cs="宋体"/>
          <w:color w:val="auto"/>
          <w:sz w:val="28"/>
          <w:szCs w:val="28"/>
        </w:rPr>
      </w:pPr>
    </w:p>
    <w:p>
      <w:pPr>
        <w:autoSpaceDE w:val="0"/>
        <w:autoSpaceDN w:val="0"/>
        <w:rPr>
          <w:rFonts w:hint="eastAsia" w:ascii="宋体" w:hAnsi="宋体" w:cs="宋体"/>
          <w:color w:val="auto"/>
          <w:szCs w:val="21"/>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序号</w:t>
            </w:r>
          </w:p>
        </w:tc>
        <w:tc>
          <w:tcPr>
            <w:tcW w:w="2053" w:type="dxa"/>
            <w:noWrap w:val="0"/>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招标人名称</w:t>
            </w:r>
          </w:p>
        </w:tc>
        <w:tc>
          <w:tcPr>
            <w:tcW w:w="1463" w:type="dxa"/>
            <w:noWrap w:val="0"/>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标段（标类）名称</w:t>
            </w:r>
          </w:p>
        </w:tc>
        <w:tc>
          <w:tcPr>
            <w:tcW w:w="1626" w:type="dxa"/>
            <w:noWrap w:val="0"/>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递交文件时间</w:t>
            </w:r>
          </w:p>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（年月日）</w:t>
            </w:r>
          </w:p>
        </w:tc>
        <w:tc>
          <w:tcPr>
            <w:tcW w:w="1581" w:type="dxa"/>
            <w:noWrap w:val="0"/>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使用信用等级（AA/A）</w:t>
            </w:r>
          </w:p>
        </w:tc>
        <w:tc>
          <w:tcPr>
            <w:tcW w:w="1182" w:type="dxa"/>
            <w:noWrap w:val="0"/>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3</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4</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5</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6</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7</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8</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keepNext w:val="0"/>
              <w:keepLines w:val="0"/>
              <w:suppressLineNumbers w:val="0"/>
              <w:autoSpaceDE w:val="0"/>
              <w:autoSpaceDN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w:t>
            </w:r>
          </w:p>
        </w:tc>
        <w:tc>
          <w:tcPr>
            <w:tcW w:w="205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463"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626"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581"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c>
          <w:tcPr>
            <w:tcW w:w="1182" w:type="dxa"/>
            <w:noWrap w:val="0"/>
            <w:vAlign w:val="top"/>
          </w:tcPr>
          <w:p>
            <w:pPr>
              <w:keepNext w:val="0"/>
              <w:keepLines w:val="0"/>
              <w:suppressLineNumbers w:val="0"/>
              <w:autoSpaceDE w:val="0"/>
              <w:autoSpaceDN w:val="0"/>
              <w:spacing w:before="0" w:beforeAutospacing="0" w:after="0" w:afterAutospacing="0"/>
              <w:ind w:left="0" w:right="0"/>
              <w:rPr>
                <w:rFonts w:hint="eastAsia" w:ascii="宋体" w:hAnsi="宋体" w:cs="宋体"/>
                <w:color w:val="auto"/>
                <w:sz w:val="21"/>
                <w:szCs w:val="21"/>
              </w:rPr>
            </w:pPr>
          </w:p>
        </w:tc>
      </w:tr>
    </w:tbl>
    <w:p>
      <w:pPr>
        <w:spacing w:line="400" w:lineRule="atLeast"/>
        <w:rPr>
          <w:rFonts w:hint="eastAsia" w:ascii="宋体" w:hAnsi="宋体" w:cs="宋体"/>
          <w:color w:val="auto"/>
          <w:sz w:val="21"/>
          <w:szCs w:val="21"/>
        </w:rPr>
      </w:pPr>
      <w:r>
        <w:rPr>
          <w:rFonts w:hint="eastAsia" w:ascii="宋体" w:hAnsi="宋体" w:cs="宋体"/>
          <w:color w:val="auto"/>
          <w:sz w:val="21"/>
          <w:szCs w:val="21"/>
        </w:rPr>
        <w:t>备注：1、应如实填报信用评价等级使用情况。</w:t>
      </w:r>
    </w:p>
    <w:p>
      <w:pPr>
        <w:spacing w:line="400" w:lineRule="atLeast"/>
        <w:ind w:firstLine="630" w:firstLineChars="300"/>
        <w:rPr>
          <w:rFonts w:hint="eastAsia" w:ascii="宋体" w:hAnsi="宋体" w:cs="宋体"/>
          <w:color w:val="auto"/>
          <w:sz w:val="21"/>
          <w:szCs w:val="21"/>
        </w:rPr>
      </w:pPr>
      <w:r>
        <w:rPr>
          <w:rFonts w:hint="eastAsia" w:ascii="宋体" w:hAnsi="宋体" w:cs="宋体"/>
          <w:color w:val="auto"/>
          <w:sz w:val="21"/>
          <w:szCs w:val="21"/>
        </w:rPr>
        <w:t>2、以联合体形式投标的，联合体各成员应分别填写。</w:t>
      </w: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spacing w:line="360" w:lineRule="auto"/>
        <w:jc w:val="center"/>
        <w:rPr>
          <w:rFonts w:hint="eastAsia" w:ascii="宋体" w:hAnsi="宋体" w:cs="宋体"/>
          <w:bCs/>
          <w:color w:val="auto"/>
          <w:kern w:val="2"/>
          <w:sz w:val="28"/>
          <w:szCs w:val="28"/>
          <w:lang w:val="en-US"/>
        </w:rPr>
      </w:pPr>
      <w:r>
        <w:rPr>
          <w:rStyle w:val="529"/>
          <w:rFonts w:ascii="宋体" w:hAnsi="宋体" w:eastAsia="宋体" w:cs="Times New Roman"/>
          <w:color w:val="auto"/>
        </w:rPr>
        <w:br w:type="page"/>
      </w:r>
      <w:r>
        <w:rPr>
          <w:rFonts w:hint="eastAsia" w:ascii="宋体" w:hAnsi="宋体" w:cs="宋体"/>
          <w:b/>
          <w:color w:val="auto"/>
          <w:kern w:val="2"/>
          <w:sz w:val="28"/>
          <w:szCs w:val="28"/>
          <w:lang w:val="en-US"/>
        </w:rPr>
        <w:t>七-2、投标人的自评分表</w:t>
      </w:r>
    </w:p>
    <w:p>
      <w:pPr>
        <w:tabs>
          <w:tab w:val="left" w:pos="3060"/>
        </w:tabs>
        <w:topLinePunct/>
        <w:spacing w:line="360" w:lineRule="auto"/>
        <w:jc w:val="both"/>
        <w:rPr>
          <w:rFonts w:ascii="宋体" w:hAnsi="宋体" w:cs="Times New Roman"/>
          <w:bCs/>
          <w:color w:val="auto"/>
          <w:kern w:val="2"/>
          <w:sz w:val="28"/>
          <w:szCs w:val="28"/>
          <w:lang w:val="en-US"/>
        </w:rPr>
      </w:pPr>
    </w:p>
    <w:tbl>
      <w:tblPr>
        <w:tblStyle w:val="8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018"/>
        <w:gridCol w:w="1797"/>
        <w:gridCol w:w="1224"/>
        <w:gridCol w:w="1410"/>
        <w:gridCol w:w="1026"/>
        <w:gridCol w:w="1170"/>
        <w:gridCol w:w="1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39" w:hRule="atLeast"/>
          <w:jc w:val="center"/>
        </w:trPr>
        <w:tc>
          <w:tcPr>
            <w:tcW w:w="101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序号</w:t>
            </w:r>
          </w:p>
        </w:tc>
        <w:tc>
          <w:tcPr>
            <w:tcW w:w="179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评分因素</w:t>
            </w:r>
          </w:p>
        </w:tc>
        <w:tc>
          <w:tcPr>
            <w:tcW w:w="12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满分</w:t>
            </w:r>
          </w:p>
        </w:tc>
        <w:tc>
          <w:tcPr>
            <w:tcW w:w="1410" w:type="dxa"/>
            <w:tcBorders>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评分标准</w:t>
            </w:r>
          </w:p>
        </w:tc>
        <w:tc>
          <w:tcPr>
            <w:tcW w:w="1026"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自评分</w:t>
            </w:r>
          </w:p>
        </w:tc>
        <w:tc>
          <w:tcPr>
            <w:tcW w:w="1170"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评分情况说明</w:t>
            </w:r>
          </w:p>
        </w:tc>
        <w:tc>
          <w:tcPr>
            <w:tcW w:w="1314"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01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79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2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410" w:type="dxa"/>
            <w:tcBorders>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026"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170"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314"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018" w:type="dxa"/>
            <w:noWrap w:val="0"/>
            <w:vAlign w:val="center"/>
          </w:tcPr>
          <w:p>
            <w:pPr>
              <w:keepNext w:val="0"/>
              <w:keepLines w:val="0"/>
              <w:suppressLineNumbers w:val="0"/>
              <w:spacing w:before="0" w:beforeAutospacing="0" w:after="0" w:afterAutospacing="0"/>
              <w:ind w:left="0" w:right="0"/>
              <w:rPr>
                <w:rFonts w:hint="default" w:ascii="宋体" w:hAnsi="宋体" w:cs="Times New Roman"/>
                <w:bCs/>
                <w:color w:val="auto"/>
                <w:kern w:val="2"/>
                <w:sz w:val="21"/>
                <w:szCs w:val="21"/>
                <w:lang w:val="en-US"/>
              </w:rPr>
            </w:pPr>
          </w:p>
        </w:tc>
        <w:tc>
          <w:tcPr>
            <w:tcW w:w="1797" w:type="dxa"/>
            <w:noWrap w:val="0"/>
            <w:vAlign w:val="center"/>
          </w:tcPr>
          <w:p>
            <w:pPr>
              <w:keepNext w:val="0"/>
              <w:keepLines w:val="0"/>
              <w:suppressLineNumbers w:val="0"/>
              <w:spacing w:before="0" w:beforeAutospacing="0" w:after="0" w:afterAutospacing="0"/>
              <w:ind w:left="0" w:right="0"/>
              <w:rPr>
                <w:rFonts w:hint="default" w:ascii="宋体" w:hAnsi="宋体" w:cs="Times New Roman"/>
                <w:bCs/>
                <w:color w:val="auto"/>
                <w:kern w:val="2"/>
                <w:sz w:val="21"/>
                <w:szCs w:val="21"/>
                <w:lang w:val="en-US"/>
              </w:rPr>
            </w:pPr>
          </w:p>
        </w:tc>
        <w:tc>
          <w:tcPr>
            <w:tcW w:w="1224" w:type="dxa"/>
            <w:noWrap w:val="0"/>
            <w:vAlign w:val="center"/>
          </w:tcPr>
          <w:p>
            <w:pPr>
              <w:keepNext w:val="0"/>
              <w:keepLines w:val="0"/>
              <w:suppressLineNumbers w:val="0"/>
              <w:spacing w:before="0" w:beforeAutospacing="0" w:after="0" w:afterAutospacing="0"/>
              <w:ind w:left="0" w:right="0"/>
              <w:rPr>
                <w:rFonts w:hint="default" w:ascii="宋体" w:hAnsi="宋体" w:cs="Times New Roman"/>
                <w:bCs/>
                <w:color w:val="auto"/>
                <w:kern w:val="2"/>
                <w:sz w:val="21"/>
                <w:szCs w:val="21"/>
                <w:lang w:val="en-US"/>
              </w:rPr>
            </w:pPr>
          </w:p>
        </w:tc>
        <w:tc>
          <w:tcPr>
            <w:tcW w:w="1410" w:type="dxa"/>
            <w:tcBorders>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firstLine="105" w:firstLineChars="50"/>
              <w:jc w:val="both"/>
              <w:rPr>
                <w:rFonts w:hint="default" w:ascii="宋体" w:hAnsi="宋体" w:cs="Times New Roman"/>
                <w:bCs/>
                <w:color w:val="auto"/>
                <w:kern w:val="2"/>
                <w:sz w:val="21"/>
                <w:szCs w:val="21"/>
                <w:lang w:val="en-US"/>
              </w:rPr>
            </w:pPr>
          </w:p>
        </w:tc>
        <w:tc>
          <w:tcPr>
            <w:tcW w:w="1026"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firstLine="105" w:firstLineChars="50"/>
              <w:jc w:val="both"/>
              <w:rPr>
                <w:rFonts w:hint="default" w:ascii="宋体" w:hAnsi="宋体" w:cs="Times New Roman"/>
                <w:bCs/>
                <w:color w:val="auto"/>
                <w:kern w:val="2"/>
                <w:sz w:val="21"/>
                <w:szCs w:val="21"/>
                <w:lang w:val="en-US"/>
              </w:rPr>
            </w:pPr>
          </w:p>
        </w:tc>
        <w:tc>
          <w:tcPr>
            <w:tcW w:w="1170"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firstLine="105" w:firstLineChars="50"/>
              <w:jc w:val="both"/>
              <w:rPr>
                <w:rFonts w:hint="default" w:ascii="宋体" w:hAnsi="宋体" w:cs="Times New Roman"/>
                <w:bCs/>
                <w:color w:val="auto"/>
                <w:kern w:val="2"/>
                <w:sz w:val="21"/>
                <w:szCs w:val="21"/>
                <w:lang w:val="en-US"/>
              </w:rPr>
            </w:pPr>
          </w:p>
        </w:tc>
        <w:tc>
          <w:tcPr>
            <w:tcW w:w="1314"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firstLine="105" w:firstLineChars="50"/>
              <w:jc w:val="both"/>
              <w:rPr>
                <w:rFonts w:hint="default"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2029" w:hRule="atLeast"/>
          <w:jc w:val="center"/>
        </w:trPr>
        <w:tc>
          <w:tcPr>
            <w:tcW w:w="101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797" w:type="dxa"/>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2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410"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firstLine="8" w:firstLineChars="4"/>
              <w:jc w:val="both"/>
              <w:rPr>
                <w:rFonts w:hint="default" w:ascii="宋体" w:hAnsi="宋体" w:cs="Times New Roman"/>
                <w:bCs/>
                <w:color w:val="auto"/>
                <w:kern w:val="2"/>
                <w:sz w:val="21"/>
                <w:szCs w:val="21"/>
                <w:lang w:val="en-US"/>
              </w:rPr>
            </w:pPr>
          </w:p>
        </w:tc>
        <w:tc>
          <w:tcPr>
            <w:tcW w:w="10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8" w:firstLineChars="4"/>
              <w:jc w:val="both"/>
              <w:rPr>
                <w:rFonts w:hint="default" w:ascii="宋体" w:hAnsi="宋体" w:cs="Times New Roman"/>
                <w:bCs/>
                <w:color w:val="auto"/>
                <w:kern w:val="2"/>
                <w:sz w:val="21"/>
                <w:szCs w:val="21"/>
                <w:lang w:val="en-US"/>
              </w:rPr>
            </w:pPr>
          </w:p>
        </w:tc>
        <w:tc>
          <w:tcPr>
            <w:tcW w:w="11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8" w:firstLineChars="4"/>
              <w:jc w:val="both"/>
              <w:rPr>
                <w:rFonts w:hint="default" w:ascii="宋体" w:hAnsi="宋体" w:cs="Times New Roman"/>
                <w:bCs/>
                <w:color w:val="auto"/>
                <w:kern w:val="2"/>
                <w:sz w:val="21"/>
                <w:szCs w:val="21"/>
                <w:lang w:val="en-US"/>
              </w:rPr>
            </w:pPr>
          </w:p>
        </w:tc>
        <w:tc>
          <w:tcPr>
            <w:tcW w:w="1314"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firstLine="8" w:firstLineChars="4"/>
              <w:jc w:val="both"/>
              <w:rPr>
                <w:rFonts w:hint="default"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018" w:type="dxa"/>
            <w:tcBorders>
              <w:top w:val="single" w:color="auto" w:sz="6" w:space="0"/>
              <w:left w:val="single" w:color="auto" w:sz="4" w:space="0"/>
              <w:bottom w:val="outset" w:color="808080"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797" w:type="dxa"/>
            <w:tcBorders>
              <w:top w:val="single" w:color="auto" w:sz="6" w:space="0"/>
              <w:left w:val="single" w:color="auto" w:sz="6" w:space="0"/>
              <w:bottom w:val="outset" w:color="808080"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224" w:type="dxa"/>
            <w:tcBorders>
              <w:top w:val="single" w:color="auto" w:sz="6" w:space="0"/>
              <w:left w:val="single" w:color="auto" w:sz="6" w:space="0"/>
              <w:bottom w:val="outset" w:color="808080"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815" w:type="dxa"/>
            <w:gridSpan w:val="2"/>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r>
              <w:rPr>
                <w:rFonts w:hint="eastAsia" w:ascii="宋体" w:hAnsi="宋体" w:cs="宋体"/>
                <w:bCs/>
                <w:color w:val="auto"/>
                <w:kern w:val="2"/>
                <w:sz w:val="21"/>
                <w:szCs w:val="21"/>
                <w:lang w:val="en-US"/>
              </w:rPr>
              <w:t>合计</w:t>
            </w:r>
          </w:p>
        </w:tc>
        <w:tc>
          <w:tcPr>
            <w:tcW w:w="1224"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1410"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8" w:firstLineChars="4"/>
              <w:jc w:val="center"/>
              <w:rPr>
                <w:rFonts w:hint="default" w:ascii="宋体" w:hAnsi="宋体" w:cs="宋体"/>
                <w:bCs/>
                <w:color w:val="auto"/>
                <w:kern w:val="2"/>
                <w:sz w:val="21"/>
                <w:szCs w:val="21"/>
                <w:lang w:val="en-US"/>
              </w:rPr>
            </w:pPr>
            <w:r>
              <w:rPr>
                <w:rFonts w:hint="default" w:ascii="宋体" w:hAnsi="宋体" w:cs="宋体"/>
                <w:bCs/>
                <w:color w:val="auto"/>
                <w:kern w:val="2"/>
                <w:sz w:val="21"/>
                <w:szCs w:val="21"/>
                <w:lang w:val="en-US"/>
              </w:rPr>
              <w:t>-</w:t>
            </w:r>
          </w:p>
        </w:tc>
        <w:tc>
          <w:tcPr>
            <w:tcW w:w="1026" w:type="dxa"/>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Cs/>
                <w:color w:val="auto"/>
                <w:kern w:val="2"/>
                <w:sz w:val="21"/>
                <w:szCs w:val="21"/>
                <w:lang w:val="en-US"/>
              </w:rPr>
            </w:pPr>
          </w:p>
        </w:tc>
        <w:tc>
          <w:tcPr>
            <w:tcW w:w="2484" w:type="dxa"/>
            <w:gridSpan w:val="2"/>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kern w:val="2"/>
                <w:sz w:val="21"/>
                <w:szCs w:val="21"/>
                <w:lang w:val="en-US"/>
              </w:rPr>
            </w:pPr>
            <w:r>
              <w:rPr>
                <w:rFonts w:hint="default" w:ascii="宋体" w:hAnsi="宋体" w:cs="宋体"/>
                <w:bCs/>
                <w:color w:val="auto"/>
                <w:kern w:val="2"/>
                <w:sz w:val="21"/>
                <w:szCs w:val="21"/>
                <w:lang w:val="en-US"/>
              </w:rPr>
              <w:t>-</w:t>
            </w:r>
          </w:p>
        </w:tc>
      </w:tr>
    </w:tbl>
    <w:p>
      <w:pPr>
        <w:snapToGrid w:val="0"/>
        <w:spacing w:line="360" w:lineRule="auto"/>
        <w:ind w:firstLine="2835" w:firstLineChars="1350"/>
        <w:jc w:val="both"/>
        <w:rPr>
          <w:rFonts w:ascii="宋体" w:hAnsi="宋体" w:cs="Times New Roman"/>
          <w:bCs/>
          <w:color w:val="auto"/>
          <w:kern w:val="2"/>
          <w:sz w:val="21"/>
          <w:szCs w:val="21"/>
          <w:lang w:val="en-US"/>
        </w:rPr>
      </w:pPr>
    </w:p>
    <w:p>
      <w:pPr>
        <w:snapToGrid w:val="0"/>
        <w:spacing w:line="360" w:lineRule="auto"/>
        <w:ind w:firstLine="3885" w:firstLineChars="1850"/>
        <w:jc w:val="both"/>
        <w:rPr>
          <w:rFonts w:ascii="宋体" w:hAnsi="宋体" w:cs="宋体"/>
          <w:bCs/>
          <w:color w:val="auto"/>
          <w:kern w:val="2"/>
          <w:sz w:val="21"/>
          <w:szCs w:val="21"/>
          <w:lang w:val="en-US"/>
        </w:rPr>
      </w:pPr>
      <w:r>
        <w:rPr>
          <w:rFonts w:hint="eastAsia" w:ascii="宋体" w:hAnsi="宋体" w:cs="宋体"/>
          <w:bCs/>
          <w:color w:val="auto"/>
          <w:kern w:val="2"/>
          <w:sz w:val="21"/>
          <w:szCs w:val="21"/>
          <w:lang w:val="en-US"/>
        </w:rPr>
        <w:t>投标人：</w:t>
      </w:r>
      <w:r>
        <w:rPr>
          <w:rFonts w:ascii="宋体" w:hAnsi="宋体" w:cs="宋体"/>
          <w:bCs/>
          <w:color w:val="auto"/>
          <w:kern w:val="2"/>
          <w:sz w:val="21"/>
          <w:szCs w:val="21"/>
          <w:u w:val="single"/>
          <w:lang w:val="en-US"/>
        </w:rPr>
        <w:t xml:space="preserve">                      </w:t>
      </w:r>
      <w:r>
        <w:rPr>
          <w:rFonts w:ascii="宋体" w:hAnsi="宋体" w:cs="宋体"/>
          <w:bCs/>
          <w:color w:val="auto"/>
          <w:kern w:val="2"/>
          <w:sz w:val="21"/>
          <w:szCs w:val="21"/>
          <w:lang w:val="en-US"/>
        </w:rPr>
        <w:t>(</w:t>
      </w:r>
      <w:r>
        <w:rPr>
          <w:rFonts w:hint="eastAsia" w:ascii="宋体" w:hAnsi="宋体" w:cs="宋体"/>
          <w:bCs/>
          <w:color w:val="auto"/>
          <w:kern w:val="2"/>
          <w:sz w:val="21"/>
          <w:szCs w:val="21"/>
          <w:lang w:val="en-US"/>
        </w:rPr>
        <w:t>盖单位章</w:t>
      </w:r>
      <w:r>
        <w:rPr>
          <w:rFonts w:ascii="宋体" w:hAnsi="宋体" w:cs="宋体"/>
          <w:bCs/>
          <w:color w:val="auto"/>
          <w:kern w:val="2"/>
          <w:sz w:val="21"/>
          <w:szCs w:val="21"/>
          <w:lang w:val="en-US"/>
        </w:rPr>
        <w:t>)</w:t>
      </w:r>
    </w:p>
    <w:p>
      <w:pPr>
        <w:pStyle w:val="620"/>
        <w:shd w:val="clear" w:color="auto" w:fill="auto"/>
        <w:spacing w:line="560" w:lineRule="exact"/>
        <w:ind w:left="600" w:firstLine="2610" w:firstLineChars="900"/>
        <w:rPr>
          <w:rFonts w:hint="eastAsia" w:ascii="宋体" w:hAnsi="宋体" w:eastAsia="宋体" w:cs="宋体"/>
          <w:bCs/>
          <w:spacing w:val="0"/>
          <w:kern w:val="2"/>
          <w:sz w:val="21"/>
          <w:szCs w:val="21"/>
          <w:lang w:val="en-US"/>
        </w:rPr>
        <w:sectPr>
          <w:headerReference r:id="rId12" w:type="even"/>
          <w:footnotePr>
            <w:numRestart w:val="eachPage"/>
          </w:footnotePr>
          <w:pgSz w:w="11900" w:h="16838"/>
          <w:pgMar w:top="1803" w:right="1440" w:bottom="1803" w:left="1440" w:header="680" w:footer="680" w:gutter="0"/>
          <w:cols w:space="720" w:num="1"/>
          <w:docGrid w:linePitch="360" w:charSpace="0"/>
        </w:sectPr>
      </w:pPr>
      <w:r>
        <w:rPr>
          <w:rFonts w:hint="eastAsia" w:ascii="宋体" w:hAnsi="宋体" w:eastAsia="宋体"/>
          <w:bCs/>
          <w:kern w:val="2"/>
          <w:sz w:val="21"/>
          <w:szCs w:val="21"/>
          <w:lang w:val="en-US"/>
        </w:rPr>
        <w:t xml:space="preserve">   </w:t>
      </w:r>
      <w:r>
        <w:rPr>
          <w:rFonts w:hint="eastAsia" w:ascii="宋体" w:hAnsi="宋体" w:eastAsia="宋体" w:cs="宋体"/>
          <w:bCs/>
          <w:spacing w:val="0"/>
          <w:kern w:val="2"/>
          <w:sz w:val="21"/>
          <w:szCs w:val="21"/>
          <w:lang w:val="en-US"/>
        </w:rPr>
        <w:t>法定代表人或其委托代理人：</w:t>
      </w:r>
      <w:r>
        <w:rPr>
          <w:rFonts w:ascii="宋体" w:hAnsi="宋体" w:eastAsia="宋体" w:cs="宋体"/>
          <w:bCs/>
          <w:kern w:val="2"/>
          <w:sz w:val="21"/>
          <w:szCs w:val="21"/>
          <w:u w:val="single"/>
          <w:lang w:val="en-US"/>
        </w:rPr>
        <w:t xml:space="preserve">       </w:t>
      </w:r>
      <w:r>
        <w:rPr>
          <w:rFonts w:hint="eastAsia" w:ascii="宋体" w:hAnsi="宋体" w:eastAsia="宋体" w:cs="宋体"/>
          <w:bCs/>
          <w:spacing w:val="0"/>
          <w:kern w:val="2"/>
          <w:sz w:val="21"/>
          <w:szCs w:val="21"/>
          <w:lang w:val="en-US"/>
        </w:rPr>
        <w:t>（签字）</w:t>
      </w:r>
    </w:p>
    <w:p>
      <w:pPr>
        <w:pStyle w:val="84"/>
        <w:snapToGrid w:val="0"/>
        <w:spacing w:line="360" w:lineRule="auto"/>
        <w:outlineLvl w:val="1"/>
        <w:rPr>
          <w:rFonts w:hint="eastAsia" w:ascii="宋体" w:hAnsi="宋体"/>
          <w:sz w:val="28"/>
          <w:szCs w:val="28"/>
          <w:lang w:val="en-US" w:eastAsia="zh-CN"/>
        </w:rPr>
      </w:pPr>
      <w:r>
        <w:rPr>
          <w:rFonts w:hint="eastAsia" w:ascii="宋体" w:hAnsi="宋体"/>
          <w:sz w:val="28"/>
          <w:szCs w:val="28"/>
          <w:lang w:val="en-US" w:eastAsia="zh-CN"/>
        </w:rPr>
        <w:t>八、技术建议书</w:t>
      </w:r>
    </w:p>
    <w:p>
      <w:pPr>
        <w:pStyle w:val="84"/>
        <w:snapToGrid w:val="0"/>
        <w:spacing w:line="360" w:lineRule="auto"/>
        <w:jc w:val="left"/>
        <w:outlineLvl w:val="1"/>
        <w:rPr>
          <w:rFonts w:hint="eastAsia" w:ascii="宋体" w:hAnsi="宋体"/>
          <w:b w:val="0"/>
          <w:bCs/>
          <w:sz w:val="28"/>
          <w:szCs w:val="28"/>
          <w:lang w:val="en-US" w:eastAsia="zh-CN"/>
        </w:rPr>
      </w:pPr>
      <w:r>
        <w:rPr>
          <w:rFonts w:hint="eastAsia" w:ascii="宋体" w:hAnsi="宋体"/>
          <w:b w:val="0"/>
          <w:bCs/>
          <w:sz w:val="28"/>
          <w:szCs w:val="28"/>
          <w:lang w:val="en-US" w:eastAsia="zh-CN"/>
        </w:rPr>
        <w:t>主要内容包括：</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1.对勘察的目的、技术要求和工作量的理解</w:t>
      </w:r>
    </w:p>
    <w:p>
      <w:pPr>
        <w:pStyle w:val="84"/>
        <w:snapToGrid w:val="0"/>
        <w:spacing w:line="360" w:lineRule="auto"/>
        <w:jc w:val="left"/>
        <w:outlineLvl w:val="1"/>
        <w:rPr>
          <w:rStyle w:val="461"/>
          <w:rFonts w:hint="eastAsia" w:ascii="宋体" w:hAnsi="宋体" w:eastAsia="宋体"/>
          <w:b w:val="0"/>
          <w:bCs/>
          <w:sz w:val="24"/>
          <w:szCs w:val="24"/>
          <w:lang w:val="en-US"/>
        </w:rPr>
      </w:pPr>
      <w:r>
        <w:rPr>
          <w:rStyle w:val="461"/>
          <w:rFonts w:hint="eastAsia" w:ascii="宋体" w:hAnsi="宋体" w:eastAsia="宋体"/>
          <w:b w:val="0"/>
          <w:bCs/>
          <w:sz w:val="24"/>
          <w:szCs w:val="24"/>
          <w:lang w:val="en-US" w:eastAsia="zh-CN"/>
        </w:rPr>
        <w:t>2.</w:t>
      </w:r>
      <w:r>
        <w:rPr>
          <w:rStyle w:val="461"/>
          <w:rFonts w:hint="eastAsia" w:ascii="宋体" w:hAnsi="宋体" w:eastAsia="宋体"/>
          <w:b w:val="0"/>
          <w:bCs/>
          <w:sz w:val="24"/>
          <w:szCs w:val="24"/>
          <w:lang w:val="en-US"/>
        </w:rPr>
        <w:t>总体勘察思路和组织管理</w:t>
      </w:r>
    </w:p>
    <w:p>
      <w:pPr>
        <w:pStyle w:val="84"/>
        <w:snapToGrid w:val="0"/>
        <w:spacing w:line="360" w:lineRule="auto"/>
        <w:jc w:val="left"/>
        <w:outlineLvl w:val="1"/>
        <w:rPr>
          <w:rStyle w:val="461"/>
          <w:rFonts w:hint="eastAsia" w:ascii="宋体" w:hAnsi="宋体" w:eastAsia="宋体"/>
          <w:b w:val="0"/>
          <w:bCs/>
          <w:sz w:val="24"/>
          <w:szCs w:val="24"/>
          <w:lang w:val="en-US"/>
        </w:rPr>
      </w:pPr>
      <w:r>
        <w:rPr>
          <w:rStyle w:val="461"/>
          <w:rFonts w:hint="eastAsia" w:ascii="宋体" w:hAnsi="宋体" w:eastAsia="宋体"/>
          <w:b w:val="0"/>
          <w:bCs/>
          <w:sz w:val="24"/>
          <w:szCs w:val="24"/>
          <w:lang w:val="en-US" w:eastAsia="zh-CN"/>
        </w:rPr>
        <w:t>3.</w:t>
      </w:r>
      <w:r>
        <w:rPr>
          <w:rStyle w:val="461"/>
          <w:rFonts w:hint="eastAsia" w:ascii="宋体" w:hAnsi="宋体" w:eastAsia="宋体"/>
          <w:b w:val="0"/>
          <w:bCs/>
          <w:sz w:val="24"/>
          <w:szCs w:val="24"/>
          <w:lang w:val="en-US"/>
        </w:rPr>
        <w:t>拟投入现场和室内的仪器设备</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4.关键技术问题和难点及其解决方法</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5.质量管理措施</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6.安全、环保与健康管理措施</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7.工期与进度计划</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8.后续服务计划及保证措施</w:t>
      </w:r>
    </w:p>
    <w:p>
      <w:pPr>
        <w:pStyle w:val="84"/>
        <w:snapToGrid w:val="0"/>
        <w:spacing w:line="360" w:lineRule="auto"/>
        <w:jc w:val="left"/>
        <w:outlineLvl w:val="1"/>
        <w:rPr>
          <w:rFonts w:hint="eastAsia" w:ascii="宋体" w:hAnsi="宋体"/>
          <w:b w:val="0"/>
          <w:bCs/>
          <w:sz w:val="24"/>
          <w:szCs w:val="24"/>
          <w:lang w:val="en-US" w:eastAsia="zh-CN"/>
        </w:rPr>
      </w:pPr>
      <w:r>
        <w:rPr>
          <w:rFonts w:hint="eastAsia" w:ascii="宋体" w:hAnsi="宋体"/>
          <w:b w:val="0"/>
          <w:bCs/>
          <w:sz w:val="24"/>
          <w:szCs w:val="24"/>
          <w:lang w:val="en-US" w:eastAsia="zh-CN"/>
        </w:rPr>
        <w:t>9.其他</w:t>
      </w:r>
    </w:p>
    <w:p>
      <w:pPr>
        <w:pStyle w:val="84"/>
        <w:snapToGrid w:val="0"/>
        <w:spacing w:line="360" w:lineRule="auto"/>
        <w:jc w:val="left"/>
        <w:outlineLvl w:val="1"/>
        <w:rPr>
          <w:rFonts w:ascii="宋体" w:hAnsi="宋体"/>
          <w:sz w:val="28"/>
          <w:szCs w:val="28"/>
          <w:lang w:val="en-US" w:eastAsia="zh-CN"/>
        </w:rPr>
      </w:pPr>
      <w:r>
        <w:rPr>
          <w:rFonts w:hint="eastAsia" w:ascii="宋体" w:hAnsi="宋体"/>
          <w:sz w:val="28"/>
          <w:szCs w:val="28"/>
          <w:lang w:val="en-US" w:eastAsia="zh-CN"/>
        </w:rPr>
        <w:br w:type="page"/>
      </w:r>
    </w:p>
    <w:p>
      <w:pPr>
        <w:pStyle w:val="620"/>
        <w:shd w:val="clear" w:color="auto" w:fill="auto"/>
        <w:spacing w:line="560" w:lineRule="exact"/>
        <w:ind w:left="600" w:firstLine="6300" w:firstLineChars="900"/>
        <w:rPr>
          <w:rStyle w:val="529"/>
          <w:rFonts w:ascii="宋体" w:hAnsi="宋体" w:eastAsia="宋体" w:cs="Times New Roman"/>
        </w:rPr>
      </w:pPr>
    </w:p>
    <w:p>
      <w:pPr>
        <w:spacing w:line="360" w:lineRule="auto"/>
        <w:jc w:val="center"/>
        <w:rPr>
          <w:rFonts w:ascii="宋体" w:hAnsi="宋体" w:cs="Times New Roman"/>
          <w:bCs/>
          <w:color w:val="auto"/>
          <w:kern w:val="2"/>
          <w:sz w:val="44"/>
          <w:szCs w:val="44"/>
          <w:lang w:val="en-US"/>
        </w:rPr>
      </w:pPr>
      <w:r>
        <w:rPr>
          <w:rFonts w:hint="eastAsia" w:ascii="宋体" w:hAnsi="宋体" w:cs="宋体"/>
          <w:bCs/>
          <w:color w:val="auto"/>
          <w:kern w:val="2"/>
          <w:sz w:val="44"/>
          <w:szCs w:val="44"/>
          <w:lang w:val="en-US" w:eastAsia="zh-CN"/>
        </w:rPr>
        <w:t>湛江市</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center"/>
        <w:rPr>
          <w:rFonts w:hint="eastAsia" w:ascii="宋体" w:hAnsi="宋体" w:cs="宋体"/>
          <w:bCs/>
          <w:color w:val="auto"/>
          <w:kern w:val="2"/>
          <w:sz w:val="44"/>
          <w:szCs w:val="44"/>
          <w:lang w:val="en-US"/>
        </w:rPr>
      </w:pPr>
      <w:r>
        <w:rPr>
          <w:rFonts w:ascii="宋体" w:hAnsi="宋体" w:cs="宋体"/>
          <w:bCs/>
          <w:color w:val="auto"/>
          <w:kern w:val="2"/>
          <w:sz w:val="44"/>
          <w:szCs w:val="44"/>
          <w:u w:val="single"/>
          <w:lang w:val="en-US"/>
        </w:rPr>
        <w:t xml:space="preserve">      (</w:t>
      </w:r>
      <w:r>
        <w:rPr>
          <w:rFonts w:hint="eastAsia" w:ascii="宋体" w:hAnsi="宋体" w:cs="宋体"/>
          <w:bCs/>
          <w:color w:val="auto"/>
          <w:kern w:val="2"/>
          <w:sz w:val="44"/>
          <w:szCs w:val="44"/>
          <w:u w:val="single"/>
          <w:lang w:val="en-US"/>
        </w:rPr>
        <w:t>项目名称</w:t>
      </w:r>
      <w:r>
        <w:rPr>
          <w:rFonts w:ascii="宋体" w:hAnsi="宋体" w:cs="宋体"/>
          <w:bCs/>
          <w:color w:val="auto"/>
          <w:kern w:val="2"/>
          <w:sz w:val="44"/>
          <w:szCs w:val="44"/>
          <w:u w:val="single"/>
          <w:lang w:val="en-US"/>
        </w:rPr>
        <w:t xml:space="preserve">)     </w:t>
      </w:r>
      <w:r>
        <w:rPr>
          <w:rFonts w:hint="eastAsia" w:ascii="宋体" w:hAnsi="宋体" w:cs="宋体"/>
          <w:bCs/>
          <w:color w:val="auto"/>
          <w:kern w:val="2"/>
          <w:sz w:val="44"/>
          <w:szCs w:val="44"/>
          <w:u w:val="single"/>
          <w:lang w:val="en-US"/>
        </w:rPr>
        <w:t>标类（或标段）</w:t>
      </w:r>
    </w:p>
    <w:p>
      <w:pPr>
        <w:spacing w:line="360" w:lineRule="auto"/>
        <w:jc w:val="center"/>
        <w:rPr>
          <w:rFonts w:ascii="宋体" w:hAnsi="宋体" w:cs="Times New Roman"/>
          <w:bCs/>
          <w:color w:val="auto"/>
          <w:kern w:val="2"/>
          <w:sz w:val="31"/>
          <w:szCs w:val="31"/>
          <w:u w:val="single"/>
          <w:lang w:val="en-US"/>
        </w:rPr>
      </w:pPr>
      <w:r>
        <w:rPr>
          <w:rFonts w:hint="eastAsia" w:ascii="宋体" w:hAnsi="宋体" w:cs="宋体"/>
          <w:bCs/>
          <w:color w:val="auto"/>
          <w:kern w:val="2"/>
          <w:sz w:val="44"/>
          <w:szCs w:val="44"/>
          <w:lang w:val="en-US"/>
        </w:rPr>
        <w:t>勘察设计招标</w:t>
      </w:r>
    </w:p>
    <w:p>
      <w:pPr>
        <w:spacing w:line="360" w:lineRule="auto"/>
        <w:jc w:val="both"/>
        <w:rPr>
          <w:rFonts w:ascii="宋体" w:hAnsi="宋体" w:cs="宋体"/>
          <w:bCs/>
          <w:color w:val="auto"/>
          <w:kern w:val="2"/>
          <w:sz w:val="20"/>
          <w:szCs w:val="20"/>
          <w:lang w:val="en-US"/>
        </w:rPr>
      </w:pPr>
      <w:r>
        <w:rPr>
          <w:rFonts w:ascii="宋体" w:hAnsi="宋体" w:cs="宋体"/>
          <w:bCs/>
          <w:color w:val="auto"/>
          <w:kern w:val="2"/>
          <w:sz w:val="20"/>
          <w:szCs w:val="20"/>
          <w:lang w:val="en-US"/>
        </w:rPr>
        <w:t xml:space="preserve"> </w:t>
      </w:r>
    </w:p>
    <w:p>
      <w:pPr>
        <w:spacing w:line="360" w:lineRule="auto"/>
        <w:jc w:val="both"/>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50"/>
          <w:szCs w:val="50"/>
          <w:lang w:val="en-US"/>
        </w:rPr>
      </w:pPr>
      <w:r>
        <w:rPr>
          <w:rFonts w:hint="eastAsia" w:ascii="宋体" w:hAnsi="宋体" w:cs="宋体"/>
          <w:bCs/>
          <w:color w:val="auto"/>
          <w:kern w:val="2"/>
          <w:sz w:val="50"/>
          <w:szCs w:val="50"/>
          <w:lang w:val="en-US"/>
        </w:rPr>
        <w:t>投</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件</w:t>
      </w:r>
    </w:p>
    <w:p>
      <w:pPr>
        <w:jc w:val="center"/>
        <w:outlineLvl w:val="0"/>
        <w:rPr>
          <w:rFonts w:ascii="宋体" w:hAnsi="宋体" w:cs="宋体"/>
          <w:bCs/>
          <w:color w:val="auto"/>
          <w:kern w:val="2"/>
          <w:sz w:val="44"/>
          <w:szCs w:val="44"/>
          <w:lang w:val="en-US"/>
        </w:rPr>
      </w:pPr>
      <w:r>
        <w:rPr>
          <w:rFonts w:hint="eastAsia" w:ascii="宋体" w:hAnsi="宋体" w:cs="宋体"/>
          <w:bCs/>
          <w:color w:val="auto"/>
          <w:kern w:val="2"/>
          <w:sz w:val="44"/>
          <w:szCs w:val="44"/>
          <w:lang w:val="en-US"/>
        </w:rPr>
        <w:t>（第二个信封：报价文件）</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center"/>
        <w:rPr>
          <w:rFonts w:ascii="宋体" w:hAnsi="宋体" w:cs="宋体"/>
          <w:bCs/>
          <w:color w:val="auto"/>
          <w:kern w:val="2"/>
          <w:sz w:val="28"/>
          <w:szCs w:val="28"/>
          <w:lang w:val="en-US"/>
        </w:rPr>
      </w:pPr>
      <w:r>
        <w:rPr>
          <w:rFonts w:hint="eastAsia" w:ascii="宋体" w:hAnsi="宋体" w:cs="宋体"/>
          <w:bCs/>
          <w:color w:val="auto"/>
          <w:kern w:val="2"/>
          <w:sz w:val="28"/>
          <w:szCs w:val="28"/>
          <w:lang w:val="en-US"/>
        </w:rPr>
        <w:t>投标人：</w:t>
      </w:r>
      <w:r>
        <w:rPr>
          <w:rFonts w:ascii="宋体" w:hAnsi="宋体" w:cs="宋体"/>
          <w:bCs/>
          <w:color w:val="auto"/>
          <w:kern w:val="2"/>
          <w:sz w:val="28"/>
          <w:szCs w:val="28"/>
          <w:u w:val="single"/>
          <w:lang w:val="en-US"/>
        </w:rPr>
        <w:t xml:space="preserve">                                  </w:t>
      </w:r>
      <w:r>
        <w:rPr>
          <w:rFonts w:ascii="宋体" w:hAnsi="宋体" w:cs="宋体"/>
          <w:bCs/>
          <w:color w:val="auto"/>
          <w:kern w:val="2"/>
          <w:sz w:val="28"/>
          <w:szCs w:val="28"/>
          <w:lang w:val="en-US"/>
        </w:rPr>
        <w:t>(</w:t>
      </w:r>
      <w:r>
        <w:rPr>
          <w:rFonts w:hint="eastAsia" w:ascii="宋体" w:hAnsi="宋体" w:cs="宋体"/>
          <w:bCs/>
          <w:color w:val="auto"/>
          <w:kern w:val="2"/>
          <w:sz w:val="28"/>
          <w:szCs w:val="28"/>
          <w:lang w:val="en-US"/>
        </w:rPr>
        <w:t>盖单位章</w:t>
      </w:r>
      <w:r>
        <w:rPr>
          <w:rFonts w:ascii="宋体" w:hAnsi="宋体" w:cs="宋体"/>
          <w:bCs/>
          <w:color w:val="auto"/>
          <w:kern w:val="2"/>
          <w:sz w:val="28"/>
          <w:szCs w:val="28"/>
          <w:lang w:val="en-US"/>
        </w:rPr>
        <w:t>)</w:t>
      </w:r>
    </w:p>
    <w:p>
      <w:pPr>
        <w:spacing w:line="360" w:lineRule="auto"/>
        <w:jc w:val="both"/>
        <w:rPr>
          <w:rFonts w:ascii="宋体" w:hAnsi="宋体" w:cs="Times New Roman"/>
          <w:bCs/>
          <w:color w:val="auto"/>
          <w:kern w:val="2"/>
          <w:sz w:val="28"/>
          <w:szCs w:val="28"/>
          <w:lang w:val="en-US"/>
        </w:rPr>
      </w:pPr>
    </w:p>
    <w:p>
      <w:pPr>
        <w:spacing w:line="360" w:lineRule="auto"/>
        <w:jc w:val="center"/>
        <w:rPr>
          <w:rFonts w:ascii="宋体" w:hAnsi="宋体" w:cs="Times New Roman"/>
          <w:bCs/>
          <w:color w:val="auto"/>
          <w:sz w:val="44"/>
          <w:szCs w:val="44"/>
          <w:lang w:val="en-US"/>
        </w:rPr>
      </w:pPr>
      <w:r>
        <w:rPr>
          <w:rFonts w:ascii="宋体" w:hAnsi="宋体" w:cs="宋体"/>
          <w:bCs/>
          <w:color w:val="auto"/>
          <w:kern w:val="2"/>
          <w:sz w:val="28"/>
          <w:szCs w:val="28"/>
          <w:u w:val="single"/>
          <w:lang w:val="en-US"/>
        </w:rPr>
        <w:t xml:space="preserve">        </w:t>
      </w:r>
      <w:r>
        <w:rPr>
          <w:rFonts w:hint="eastAsia" w:ascii="宋体" w:hAnsi="宋体" w:cs="宋体"/>
          <w:bCs/>
          <w:color w:val="auto"/>
          <w:kern w:val="2"/>
          <w:sz w:val="28"/>
          <w:szCs w:val="28"/>
          <w:lang w:val="en-US"/>
        </w:rPr>
        <w:t>年</w:t>
      </w:r>
      <w:r>
        <w:rPr>
          <w:rFonts w:ascii="宋体" w:hAnsi="宋体" w:cs="宋体"/>
          <w:bCs/>
          <w:color w:val="auto"/>
          <w:kern w:val="2"/>
          <w:sz w:val="28"/>
          <w:szCs w:val="28"/>
          <w:u w:val="single"/>
          <w:lang w:val="en-US"/>
        </w:rPr>
        <w:t xml:space="preserve">        </w:t>
      </w:r>
      <w:r>
        <w:rPr>
          <w:rFonts w:hint="eastAsia" w:ascii="宋体" w:hAnsi="宋体" w:cs="宋体"/>
          <w:bCs/>
          <w:color w:val="auto"/>
          <w:kern w:val="2"/>
          <w:sz w:val="28"/>
          <w:szCs w:val="28"/>
          <w:lang w:val="en-US"/>
        </w:rPr>
        <w:t>月</w:t>
      </w:r>
      <w:r>
        <w:rPr>
          <w:rFonts w:ascii="宋体" w:hAnsi="宋体" w:cs="宋体"/>
          <w:bCs/>
          <w:color w:val="auto"/>
          <w:kern w:val="2"/>
          <w:sz w:val="28"/>
          <w:szCs w:val="28"/>
          <w:u w:val="single"/>
          <w:lang w:val="en-US"/>
        </w:rPr>
        <w:t xml:space="preserve">         </w:t>
      </w:r>
      <w:r>
        <w:rPr>
          <w:rFonts w:hint="eastAsia" w:ascii="宋体" w:hAnsi="宋体" w:cs="宋体"/>
          <w:bCs/>
          <w:color w:val="auto"/>
          <w:kern w:val="2"/>
          <w:sz w:val="28"/>
          <w:szCs w:val="28"/>
          <w:lang w:val="en-US"/>
        </w:rPr>
        <w:t>日</w:t>
      </w:r>
      <w:r>
        <w:rPr>
          <w:rFonts w:ascii="宋体" w:hAnsi="宋体" w:cs="Times New Roman"/>
          <w:bCs/>
          <w:color w:val="auto"/>
          <w:sz w:val="44"/>
          <w:szCs w:val="44"/>
          <w:lang w:val="en-US"/>
        </w:rPr>
        <w:br w:type="page"/>
      </w:r>
    </w:p>
    <w:p>
      <w:pPr>
        <w:pStyle w:val="84"/>
        <w:snapToGrid w:val="0"/>
        <w:spacing w:line="360" w:lineRule="auto"/>
        <w:outlineLvl w:val="1"/>
        <w:rPr>
          <w:rFonts w:ascii="宋体" w:hAnsi="宋体"/>
          <w:sz w:val="30"/>
          <w:szCs w:val="30"/>
        </w:rPr>
      </w:pPr>
      <w:r>
        <w:rPr>
          <w:rFonts w:hint="eastAsia" w:ascii="宋体" w:hAnsi="宋体"/>
          <w:sz w:val="30"/>
          <w:szCs w:val="30"/>
        </w:rPr>
        <w:t>目</w:t>
      </w:r>
      <w:r>
        <w:rPr>
          <w:rFonts w:hint="eastAsia" w:ascii="宋体" w:hAnsi="宋体"/>
          <w:sz w:val="30"/>
          <w:szCs w:val="30"/>
          <w:lang w:val="en-US" w:eastAsia="zh-CN"/>
        </w:rPr>
        <w:t xml:space="preserve"> </w:t>
      </w:r>
      <w:r>
        <w:rPr>
          <w:rFonts w:hint="eastAsia" w:ascii="宋体" w:hAnsi="宋体"/>
          <w:sz w:val="30"/>
          <w:szCs w:val="30"/>
        </w:rPr>
        <w:t>录</w:t>
      </w:r>
    </w:p>
    <w:p>
      <w:pPr>
        <w:spacing w:line="360" w:lineRule="auto"/>
        <w:jc w:val="center"/>
        <w:rPr>
          <w:rFonts w:ascii="宋体" w:hAnsi="宋体" w:cs="黑体"/>
          <w:b/>
          <w:color w:val="auto"/>
          <w:sz w:val="28"/>
          <w:szCs w:val="28"/>
        </w:rPr>
      </w:pPr>
    </w:p>
    <w:p>
      <w:pPr>
        <w:jc w:val="both"/>
        <w:outlineLvl w:val="0"/>
        <w:rPr>
          <w:rFonts w:ascii="宋体" w:hAnsi="宋体" w:cs="Times New Roman"/>
          <w:bCs/>
          <w:color w:val="auto"/>
          <w:kern w:val="2"/>
          <w:lang w:val="en-US"/>
        </w:rPr>
      </w:pPr>
      <w:r>
        <w:rPr>
          <w:rFonts w:hint="eastAsia" w:ascii="宋体" w:hAnsi="宋体" w:cs="宋体"/>
          <w:bCs/>
          <w:color w:val="auto"/>
          <w:kern w:val="2"/>
          <w:lang w:val="en-US"/>
        </w:rPr>
        <w:t>第二个信封</w:t>
      </w:r>
      <w:r>
        <w:rPr>
          <w:rFonts w:ascii="宋体" w:hAnsi="宋体" w:cs="宋体"/>
          <w:bCs/>
          <w:color w:val="auto"/>
          <w:kern w:val="2"/>
          <w:lang w:val="en-US"/>
        </w:rPr>
        <w:t>(</w:t>
      </w:r>
      <w:r>
        <w:rPr>
          <w:rFonts w:hint="eastAsia" w:ascii="宋体" w:hAnsi="宋体" w:cs="宋体"/>
          <w:bCs/>
          <w:color w:val="auto"/>
          <w:kern w:val="2"/>
          <w:lang w:val="en-US"/>
        </w:rPr>
        <w:t>报价文件</w:t>
      </w:r>
      <w:r>
        <w:rPr>
          <w:rFonts w:ascii="宋体" w:hAnsi="宋体" w:cs="宋体"/>
          <w:bCs/>
          <w:color w:val="auto"/>
          <w:kern w:val="2"/>
          <w:lang w:val="en-US"/>
        </w:rPr>
        <w:t>)</w:t>
      </w:r>
    </w:p>
    <w:p>
      <w:pPr>
        <w:rPr>
          <w:color w:val="auto"/>
        </w:rPr>
      </w:pPr>
    </w:p>
    <w:p>
      <w:pPr>
        <w:spacing w:line="440" w:lineRule="exact"/>
        <w:rPr>
          <w:rFonts w:ascii="宋体" w:hAnsi="宋体" w:cs="Times New Roman"/>
          <w:bCs/>
          <w:color w:val="auto"/>
        </w:rPr>
      </w:pPr>
      <w:r>
        <w:rPr>
          <w:rFonts w:hint="eastAsia" w:ascii="宋体" w:hAnsi="宋体"/>
          <w:bCs/>
          <w:color w:val="auto"/>
        </w:rPr>
        <w:t>一、投标函</w:t>
      </w:r>
    </w:p>
    <w:p>
      <w:pPr>
        <w:spacing w:line="440" w:lineRule="exact"/>
        <w:rPr>
          <w:rFonts w:ascii="宋体" w:hAnsi="宋体" w:cs="Times New Roman"/>
          <w:bCs/>
          <w:color w:val="auto"/>
        </w:rPr>
      </w:pPr>
      <w:r>
        <w:rPr>
          <w:rFonts w:hint="eastAsia" w:ascii="宋体" w:hAnsi="宋体"/>
          <w:bCs/>
          <w:color w:val="auto"/>
        </w:rPr>
        <w:t>二、</w:t>
      </w:r>
      <w:r>
        <w:rPr>
          <w:rFonts w:hint="eastAsia" w:ascii="宋体" w:hAnsi="宋体" w:cs="宋体"/>
          <w:bCs/>
          <w:color w:val="auto"/>
          <w:lang w:val="en-US"/>
        </w:rPr>
        <w:t>勘察设计费用</w:t>
      </w:r>
      <w:r>
        <w:rPr>
          <w:rFonts w:hint="eastAsia" w:ascii="宋体" w:hAnsi="宋体" w:cs="宋体"/>
          <w:bCs/>
          <w:color w:val="auto"/>
        </w:rPr>
        <w:t>清单</w:t>
      </w: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pStyle w:val="84"/>
        <w:snapToGrid w:val="0"/>
        <w:spacing w:line="360" w:lineRule="auto"/>
        <w:outlineLvl w:val="1"/>
        <w:rPr>
          <w:rFonts w:ascii="宋体" w:hAnsi="宋体"/>
          <w:sz w:val="28"/>
          <w:szCs w:val="28"/>
        </w:rPr>
      </w:pPr>
      <w:r>
        <w:rPr>
          <w:rFonts w:hint="eastAsia" w:ascii="宋体" w:hAnsi="宋体"/>
          <w:sz w:val="28"/>
          <w:szCs w:val="28"/>
        </w:rPr>
        <w:t>一、投标函</w:t>
      </w:r>
    </w:p>
    <w:p>
      <w:pPr>
        <w:spacing w:line="360" w:lineRule="exact"/>
        <w:ind w:firstLine="560" w:firstLineChars="200"/>
        <w:jc w:val="center"/>
        <w:rPr>
          <w:rFonts w:ascii="宋体" w:hAnsi="宋体" w:cs="Times New Roman"/>
          <w:bCs/>
          <w:color w:val="auto"/>
          <w:sz w:val="28"/>
          <w:szCs w:val="28"/>
        </w:rPr>
      </w:pPr>
    </w:p>
    <w:p>
      <w:pPr>
        <w:spacing w:line="360" w:lineRule="exact"/>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r>
        <w:rPr>
          <w:rFonts w:hint="eastAsia" w:ascii="宋体" w:hAnsi="宋体" w:cs="宋体"/>
          <w:color w:val="auto"/>
        </w:rPr>
        <w:t>：</w:t>
      </w:r>
    </w:p>
    <w:p>
      <w:pPr>
        <w:spacing w:line="360" w:lineRule="exact"/>
        <w:rPr>
          <w:rFonts w:ascii="宋体" w:hAnsi="宋体" w:cs="Times New Roman"/>
          <w:color w:val="auto"/>
        </w:rPr>
      </w:pPr>
    </w:p>
    <w:p>
      <w:pPr>
        <w:spacing w:line="360" w:lineRule="exact"/>
        <w:ind w:firstLine="480" w:firstLineChars="200"/>
        <w:rPr>
          <w:rFonts w:ascii="宋体" w:hAnsi="宋体" w:cs="宋体"/>
          <w:color w:val="auto"/>
        </w:rPr>
      </w:pPr>
      <w:r>
        <w:rPr>
          <w:rFonts w:ascii="宋体" w:hAnsi="宋体" w:cs="宋体"/>
          <w:color w:val="auto"/>
        </w:rPr>
        <w:t xml:space="preserve">1. </w:t>
      </w:r>
      <w:r>
        <w:rPr>
          <w:rFonts w:hint="eastAsia" w:ascii="宋体" w:hAnsi="宋体"/>
          <w:color w:val="auto"/>
        </w:rPr>
        <w:t>我方已仔细研究</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lang w:val="en-US"/>
        </w:rPr>
        <w:t>勘察设计</w:t>
      </w:r>
      <w:r>
        <w:rPr>
          <w:rFonts w:hint="eastAsia" w:ascii="宋体" w:hAnsi="宋体"/>
          <w:color w:val="auto"/>
        </w:rPr>
        <w:t>招标文件的全部内容</w:t>
      </w:r>
      <w:r>
        <w:rPr>
          <w:rFonts w:hint="eastAsia" w:ascii="宋体" w:hAnsi="宋体"/>
          <w:color w:val="auto"/>
          <w:highlight w:val="none"/>
        </w:rPr>
        <w:t>（含补遗书），在</w:t>
      </w:r>
      <w:r>
        <w:rPr>
          <w:rFonts w:hint="eastAsia" w:ascii="宋体" w:hAnsi="宋体"/>
          <w:color w:val="auto"/>
        </w:rPr>
        <w:t>考察工程现场后，愿意以</w:t>
      </w:r>
      <w:r>
        <w:rPr>
          <w:rFonts w:hint="eastAsia" w:ascii="宋体" w:hAnsi="宋体" w:cs="宋体"/>
          <w:color w:val="auto"/>
        </w:rPr>
        <w:t>人民币（大写）</w:t>
      </w:r>
      <w:r>
        <w:rPr>
          <w:rFonts w:ascii="宋体" w:hAnsi="宋体" w:cs="宋体"/>
          <w:color w:val="auto"/>
          <w:u w:val="single"/>
        </w:rPr>
        <w:t xml:space="preserve">            </w:t>
      </w:r>
      <w:r>
        <w:rPr>
          <w:rFonts w:hint="eastAsia" w:ascii="宋体" w:hAnsi="宋体" w:cs="宋体"/>
          <w:color w:val="auto"/>
        </w:rPr>
        <w:t>元（</w:t>
      </w:r>
      <w:r>
        <w:rPr>
          <w:rFonts w:ascii="宋体" w:hAnsi="宋体" w:cs="Times New Roman"/>
          <w:color w:val="auto"/>
        </w:rPr>
        <w:t>¥</w:t>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rPr>
        <w:t>的投标总报价</w:t>
      </w:r>
      <w:r>
        <w:rPr>
          <w:rFonts w:ascii="宋体" w:hAnsi="宋体" w:cs="宋体"/>
          <w:color w:val="auto"/>
        </w:rPr>
        <w:t xml:space="preserve"> </w:t>
      </w:r>
      <w:r>
        <w:rPr>
          <w:rFonts w:hint="eastAsia" w:ascii="宋体" w:hAnsi="宋体"/>
          <w:color w:val="auto"/>
        </w:rPr>
        <w:t>（或根据招标文件规定修正核实后确定的另一金额</w:t>
      </w:r>
      <w:r>
        <w:rPr>
          <w:rFonts w:hint="eastAsia" w:ascii="宋体" w:hAnsi="宋体" w:cs="宋体"/>
          <w:color w:val="auto"/>
        </w:rPr>
        <w:t>，</w:t>
      </w:r>
      <w:r>
        <w:rPr>
          <w:rFonts w:hint="eastAsia" w:ascii="宋体" w:hAnsi="宋体"/>
          <w:color w:val="auto"/>
        </w:rPr>
        <w:t>其中，增值税税率为</w:t>
      </w:r>
      <w:r>
        <w:rPr>
          <w:rFonts w:ascii="宋体" w:hAnsi="宋体" w:cs="宋体"/>
          <w:color w:val="auto"/>
          <w:u w:val="single"/>
        </w:rPr>
        <w:t xml:space="preserve">            </w:t>
      </w:r>
      <w:r>
        <w:rPr>
          <w:rFonts w:hint="eastAsia" w:ascii="宋体" w:hAnsi="宋体"/>
          <w:color w:val="auto"/>
        </w:rPr>
        <w:t>），按合同约定</w:t>
      </w:r>
      <w:r>
        <w:rPr>
          <w:rFonts w:hint="eastAsia" w:ascii="宋体" w:hAnsi="宋体"/>
          <w:color w:val="auto"/>
          <w:lang w:val="en-US"/>
        </w:rPr>
        <w:t>完成勘察设计工作</w:t>
      </w:r>
      <w:r>
        <w:rPr>
          <w:rFonts w:hint="eastAsia" w:ascii="宋体" w:hAnsi="宋体"/>
          <w:color w:val="auto"/>
        </w:rPr>
        <w:t>。</w:t>
      </w:r>
    </w:p>
    <w:p>
      <w:pPr>
        <w:spacing w:line="360" w:lineRule="exact"/>
        <w:ind w:firstLine="480" w:firstLineChars="200"/>
        <w:rPr>
          <w:rFonts w:ascii="宋体" w:hAnsi="宋体" w:cs="Times New Roman"/>
          <w:color w:val="auto"/>
        </w:rPr>
      </w:pPr>
      <w:r>
        <w:rPr>
          <w:rFonts w:ascii="宋体" w:hAnsi="宋体" w:cs="宋体"/>
          <w:color w:val="auto"/>
        </w:rPr>
        <w:t xml:space="preserve">2. </w:t>
      </w:r>
      <w:r>
        <w:rPr>
          <w:rFonts w:hint="eastAsia" w:ascii="宋体" w:hAnsi="宋体"/>
          <w:color w:val="auto"/>
        </w:rPr>
        <w:t>在合同协议书正式签署生效之前，本投标函连同你方的中标通知书将构成我们双方之间共同遵守的文件，对双方具有约束力。</w:t>
      </w:r>
    </w:p>
    <w:p>
      <w:pPr>
        <w:spacing w:line="360" w:lineRule="exact"/>
        <w:ind w:firstLine="480" w:firstLineChars="200"/>
        <w:rPr>
          <w:rFonts w:ascii="宋体" w:hAnsi="宋体" w:cs="Times New Roman"/>
          <w:color w:val="auto"/>
        </w:rPr>
      </w:pPr>
      <w:r>
        <w:rPr>
          <w:rFonts w:ascii="宋体" w:hAnsi="宋体" w:cs="宋体"/>
          <w:color w:val="auto"/>
        </w:rPr>
        <w:t xml:space="preserve">3. </w:t>
      </w:r>
      <w:r>
        <w:rPr>
          <w:rFonts w:ascii="宋体" w:hAnsi="宋体" w:cs="宋体"/>
          <w:color w:val="auto"/>
          <w:u w:val="single"/>
        </w:rPr>
        <w:t xml:space="preserve">                                          </w:t>
      </w:r>
      <w:r>
        <w:rPr>
          <w:rStyle w:val="387"/>
          <w:rFonts w:ascii="宋体" w:hAnsi="宋体" w:eastAsia="宋体"/>
          <w:color w:val="auto"/>
        </w:rPr>
        <w:t>(</w:t>
      </w:r>
      <w:r>
        <w:rPr>
          <w:rStyle w:val="387"/>
          <w:rFonts w:hint="eastAsia" w:ascii="宋体" w:hAnsi="宋体" w:eastAsia="宋体"/>
          <w:color w:val="auto"/>
        </w:rPr>
        <w:t>其他补充说明）</w:t>
      </w:r>
      <w:r>
        <w:rPr>
          <w:rFonts w:hint="eastAsia" w:ascii="宋体" w:hAnsi="宋体"/>
          <w:color w:val="auto"/>
        </w:rPr>
        <w:t>。</w:t>
      </w:r>
    </w:p>
    <w:p>
      <w:pPr>
        <w:spacing w:line="360" w:lineRule="exact"/>
        <w:ind w:firstLine="480" w:firstLineChars="200"/>
        <w:rPr>
          <w:rFonts w:ascii="宋体" w:hAnsi="宋体" w:cs="Times New Roman"/>
          <w:color w:val="auto"/>
        </w:rPr>
      </w:pPr>
    </w:p>
    <w:p>
      <w:pPr>
        <w:tabs>
          <w:tab w:val="left" w:pos="2977"/>
          <w:tab w:val="left" w:pos="3261"/>
        </w:tabs>
        <w:spacing w:line="360" w:lineRule="exact"/>
        <w:rPr>
          <w:rFonts w:ascii="宋体" w:hAnsi="宋体" w:cs="Times New Roman"/>
          <w:color w:val="auto"/>
        </w:rPr>
      </w:pPr>
      <w:r>
        <w:rPr>
          <w:rFonts w:ascii="宋体" w:hAnsi="宋体" w:cs="宋体"/>
          <w:color w:val="auto"/>
          <w:sz w:val="18"/>
          <w:szCs w:val="18"/>
        </w:rPr>
        <w:t xml:space="preserve"> </w:t>
      </w:r>
      <w:r>
        <w:rPr>
          <w:rFonts w:ascii="宋体" w:hAnsi="宋体" w:cs="宋体"/>
          <w:color w:val="auto"/>
        </w:rPr>
        <w:t xml:space="preserve">                         </w:t>
      </w:r>
      <w:r>
        <w:rPr>
          <w:rFonts w:hint="eastAsia" w:ascii="宋体" w:hAnsi="宋体"/>
          <w:color w:val="auto"/>
        </w:rPr>
        <w:t>投</w:t>
      </w:r>
      <w:r>
        <w:rPr>
          <w:rFonts w:ascii="宋体" w:hAnsi="宋体" w:cs="宋体"/>
          <w:color w:val="auto"/>
        </w:rPr>
        <w:t xml:space="preserve"> </w:t>
      </w:r>
      <w:r>
        <w:rPr>
          <w:rFonts w:hint="eastAsia" w:ascii="宋体" w:hAnsi="宋体"/>
          <w:color w:val="auto"/>
        </w:rPr>
        <w:t>标</w:t>
      </w:r>
      <w:r>
        <w:rPr>
          <w:rFonts w:ascii="宋体" w:hAnsi="宋体" w:cs="宋体"/>
          <w:color w:val="auto"/>
        </w:rPr>
        <w:t xml:space="preserve"> </w:t>
      </w:r>
      <w:r>
        <w:rPr>
          <w:rFonts w:hint="eastAsia" w:ascii="宋体" w:hAnsi="宋体"/>
          <w:color w:val="auto"/>
        </w:rPr>
        <w:t>人：</w:t>
      </w:r>
      <w:r>
        <w:rPr>
          <w:rFonts w:ascii="宋体" w:hAnsi="宋体" w:cs="宋体"/>
          <w:color w:val="auto"/>
          <w:u w:val="single"/>
        </w:rPr>
        <w:t xml:space="preserve">                       </w:t>
      </w:r>
      <w:r>
        <w:rPr>
          <w:rFonts w:hint="eastAsia" w:ascii="宋体" w:hAnsi="宋体"/>
          <w:color w:val="auto"/>
        </w:rPr>
        <w:t>（盖单位章）</w:t>
      </w:r>
      <w:r>
        <w:rPr>
          <w:rStyle w:val="101"/>
          <w:rFonts w:hint="eastAsia" w:ascii="宋体" w:hAnsi="宋体" w:cs="Times New Roman"/>
          <w:color w:val="auto"/>
          <w:sz w:val="30"/>
          <w:lang w:val="en-US"/>
        </w:rPr>
        <w:footnoteReference w:id="114"/>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p>
    <w:p>
      <w:pPr>
        <w:spacing w:line="360" w:lineRule="exact"/>
        <w:rPr>
          <w:rFonts w:ascii="宋体" w:hAnsi="宋体" w:cs="Times New Roman"/>
          <w:color w:val="auto"/>
          <w:u w:val="single"/>
        </w:rPr>
      </w:pPr>
      <w:r>
        <w:rPr>
          <w:rFonts w:ascii="宋体" w:hAnsi="宋体" w:cs="宋体"/>
          <w:color w:val="auto"/>
        </w:rPr>
        <w:t xml:space="preserve">                          </w:t>
      </w:r>
      <w:r>
        <w:rPr>
          <w:rFonts w:hint="eastAsia" w:ascii="宋体" w:hAnsi="宋体"/>
          <w:color w:val="auto"/>
        </w:rPr>
        <w:t>地址：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网址：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电话：</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传真：</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邮政编码：</w:t>
      </w:r>
      <w:r>
        <w:rPr>
          <w:rFonts w:ascii="宋体" w:hAnsi="宋体" w:cs="宋体"/>
          <w:color w:val="auto"/>
          <w:u w:val="single"/>
        </w:rPr>
        <w:t xml:space="preserve">                                    </w:t>
      </w:r>
    </w:p>
    <w:p>
      <w:pPr>
        <w:spacing w:line="360" w:lineRule="exact"/>
        <w:rPr>
          <w:rFonts w:ascii="宋体" w:hAnsi="宋体" w:cs="Times New Roman"/>
          <w:color w:val="auto"/>
        </w:rPr>
      </w:pPr>
    </w:p>
    <w:p>
      <w:pPr>
        <w:spacing w:line="360" w:lineRule="exact"/>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620"/>
        <w:shd w:val="clear" w:color="auto" w:fill="auto"/>
        <w:spacing w:line="560" w:lineRule="exact"/>
        <w:ind w:left="600"/>
        <w:rPr>
          <w:rStyle w:val="529"/>
          <w:rFonts w:ascii="宋体" w:hAnsi="宋体" w:eastAsia="宋体" w:cs="Times New Roman"/>
        </w:rPr>
      </w:pPr>
    </w:p>
    <w:p>
      <w:pPr>
        <w:pStyle w:val="84"/>
        <w:snapToGrid w:val="0"/>
        <w:spacing w:line="360" w:lineRule="auto"/>
        <w:outlineLvl w:val="1"/>
        <w:rPr>
          <w:rFonts w:hint="eastAsia" w:ascii="宋体" w:hAnsi="宋体"/>
          <w:sz w:val="28"/>
          <w:szCs w:val="28"/>
        </w:rPr>
        <w:sectPr>
          <w:footnotePr>
            <w:numRestart w:val="eachPage"/>
          </w:footnotePr>
          <w:pgSz w:w="11900" w:h="16838"/>
          <w:pgMar w:top="1803" w:right="1440" w:bottom="1803" w:left="1440" w:header="680" w:footer="680" w:gutter="0"/>
          <w:cols w:space="720" w:num="1"/>
          <w:docGrid w:linePitch="360" w:charSpace="0"/>
        </w:sectPr>
      </w:pPr>
      <w:bookmarkStart w:id="94" w:name="_Toc234382965"/>
    </w:p>
    <w:p>
      <w:pPr>
        <w:pStyle w:val="84"/>
        <w:snapToGrid w:val="0"/>
        <w:spacing w:line="360" w:lineRule="auto"/>
        <w:outlineLvl w:val="1"/>
        <w:rPr>
          <w:rFonts w:ascii="宋体" w:hAnsi="宋体"/>
          <w:sz w:val="28"/>
          <w:szCs w:val="28"/>
        </w:rPr>
      </w:pPr>
      <w:r>
        <w:rPr>
          <w:rFonts w:hint="eastAsia" w:ascii="宋体" w:hAnsi="宋体"/>
          <w:sz w:val="28"/>
          <w:szCs w:val="28"/>
        </w:rPr>
        <w:t>二、</w:t>
      </w:r>
      <w:r>
        <w:rPr>
          <w:rFonts w:hint="eastAsia" w:ascii="宋体" w:hAnsi="宋体"/>
          <w:sz w:val="28"/>
          <w:szCs w:val="28"/>
          <w:lang w:val="en-US" w:eastAsia="zh-CN"/>
        </w:rPr>
        <w:t>勘察设计费用</w:t>
      </w:r>
      <w:r>
        <w:rPr>
          <w:rFonts w:hint="eastAsia" w:ascii="宋体" w:hAnsi="宋体"/>
          <w:sz w:val="28"/>
          <w:szCs w:val="28"/>
        </w:rPr>
        <w:t>清单</w:t>
      </w:r>
      <w:bookmarkEnd w:id="94"/>
      <w:r>
        <w:rPr>
          <w:rStyle w:val="101"/>
          <w:rFonts w:hint="eastAsia" w:ascii="宋体" w:hAnsi="宋体"/>
          <w:sz w:val="28"/>
          <w:szCs w:val="28"/>
        </w:rPr>
        <w:footnoteReference w:id="115"/>
      </w:r>
    </w:p>
    <w:p>
      <w:pPr>
        <w:spacing w:line="360" w:lineRule="auto"/>
        <w:jc w:val="center"/>
        <w:rPr>
          <w:rFonts w:hint="eastAsia" w:ascii="宋体" w:hAnsi="宋体" w:cs="宋体"/>
          <w:color w:val="auto"/>
        </w:rPr>
      </w:pPr>
      <w:r>
        <w:rPr>
          <w:rFonts w:hint="eastAsia" w:ascii="宋体" w:hAnsi="宋体" w:cs="宋体"/>
          <w:b/>
          <w:bCs/>
          <w:color w:val="auto"/>
          <w:sz w:val="28"/>
          <w:szCs w:val="28"/>
        </w:rPr>
        <w:t>（一） 报价清单说明</w:t>
      </w:r>
    </w:p>
    <w:p>
      <w:pPr>
        <w:spacing w:line="360" w:lineRule="auto"/>
        <w:ind w:firstLine="480" w:firstLineChars="200"/>
        <w:rPr>
          <w:rFonts w:hint="eastAsia" w:ascii="宋体" w:hAnsi="宋体" w:cs="宋体"/>
          <w:color w:val="auto"/>
        </w:rPr>
      </w:pPr>
      <w:r>
        <w:rPr>
          <w:rFonts w:hint="eastAsia" w:ascii="宋体" w:hAnsi="宋体" w:cs="宋体"/>
          <w:color w:val="auto"/>
        </w:rPr>
        <w:t>1. “报价清单”应与“投标人须知”“通用合同条款”“专用合同条款”和“发包人要求”一起使用。投标人应根据本招标项目前一阶段（工可阶段或初步设计阶段）批复意见和强制性要求，按照本招标文件规定的勘察设计工作内容和计划工作量，认真阅读分析本招标项目勘察设计原始资料，在编制完成技术建议书的前提下，慎重提出“报价清单”，并以此做为本招标项目勘察设计费的基础。</w:t>
      </w:r>
    </w:p>
    <w:p>
      <w:pPr>
        <w:spacing w:line="360" w:lineRule="auto"/>
        <w:ind w:firstLine="480" w:firstLineChars="200"/>
        <w:rPr>
          <w:rFonts w:hint="eastAsia" w:ascii="宋体" w:hAnsi="宋体" w:cs="宋体"/>
          <w:color w:val="auto"/>
        </w:rPr>
      </w:pPr>
      <w:r>
        <w:rPr>
          <w:rFonts w:hint="eastAsia" w:ascii="宋体" w:hAnsi="宋体" w:cs="宋体"/>
          <w:color w:val="auto"/>
        </w:rPr>
        <w:t>2. 设计人应按照国家有关工程建设标准强制性条文和交通运输部有关标准、规范、规程、定额、办法、示例等要求的内容和深度，开展本招标项目的勘察设计工作，并将勘察设计费计入相应的报价项目中。“报价清单”所列的报价，应包括测量、勘察、测试、设计、专题研究等为完成本招标项目勘察设计全过程的一切费用，包括按合同规定应完成的勘察设计费和后续服务费（招标配合与施工配合）、 勘察设计文件审查有关的各种会议的会务费以及设计人自行委托咨询的咨询费、利润、税金等与此有关的一切费用。</w:t>
      </w:r>
    </w:p>
    <w:p>
      <w:pPr>
        <w:spacing w:line="360" w:lineRule="auto"/>
        <w:ind w:firstLine="480" w:firstLineChars="200"/>
        <w:rPr>
          <w:rFonts w:hint="eastAsia" w:ascii="宋体" w:hAnsi="宋体" w:cs="宋体"/>
          <w:color w:val="auto"/>
        </w:rPr>
      </w:pPr>
      <w:r>
        <w:rPr>
          <w:rFonts w:hint="eastAsia" w:ascii="宋体" w:hAnsi="宋体" w:cs="宋体"/>
          <w:color w:val="auto"/>
        </w:rPr>
        <w:t>3. “报价清单”为通用表格，投标人应根据本招标项目工作内容，按照表格格式</w:t>
      </w:r>
      <w:r>
        <w:rPr>
          <w:rFonts w:hint="eastAsia" w:ascii="宋体" w:hAnsi="宋体" w:cs="宋体"/>
          <w:color w:val="auto"/>
        </w:rPr>
        <w:br w:type="textWrapping"/>
      </w:r>
      <w:r>
        <w:rPr>
          <w:rFonts w:hint="eastAsia" w:ascii="宋体" w:hAnsi="宋体" w:cs="宋体"/>
          <w:color w:val="auto"/>
        </w:rPr>
        <w:t>详细填写，以免遗漏或有误。投标人没有报价的项目，发包人将认为有关费用已包含在其他项目之中，不另行支付。凡清单项目中未包含的但在勘察设计中又必须完成的工作内容，均被认为已包含在清单各项目报价中，发包人不另行支付。</w:t>
      </w:r>
    </w:p>
    <w:p>
      <w:pPr>
        <w:spacing w:line="360" w:lineRule="auto"/>
        <w:ind w:firstLine="480" w:firstLineChars="200"/>
        <w:rPr>
          <w:rFonts w:hint="eastAsia" w:ascii="宋体" w:hAnsi="宋体" w:cs="宋体"/>
          <w:color w:val="auto"/>
        </w:rPr>
      </w:pPr>
      <w:r>
        <w:rPr>
          <w:rFonts w:hint="eastAsia" w:ascii="宋体" w:hAnsi="宋体" w:cs="宋体"/>
          <w:color w:val="auto"/>
        </w:rPr>
        <w:t>4. 投标人在“报价清单”中报价应以人民币为单位。</w:t>
      </w:r>
    </w:p>
    <w:p>
      <w:pPr>
        <w:spacing w:line="360" w:lineRule="auto"/>
        <w:ind w:firstLine="480" w:firstLineChars="200"/>
        <w:rPr>
          <w:rFonts w:hint="eastAsia" w:ascii="宋体" w:hAnsi="宋体" w:cs="宋体"/>
          <w:color w:val="auto"/>
        </w:rPr>
        <w:sectPr>
          <w:footnotePr>
            <w:numRestart w:val="eachPage"/>
          </w:footnotePr>
          <w:pgSz w:w="11900" w:h="16838"/>
          <w:pgMar w:top="1803" w:right="1440" w:bottom="1803" w:left="1440" w:header="680" w:footer="680" w:gutter="0"/>
          <w:cols w:space="720" w:num="1"/>
          <w:docGrid w:linePitch="360" w:charSpace="0"/>
        </w:sectPr>
      </w:pPr>
      <w:r>
        <w:rPr>
          <w:rFonts w:hint="eastAsia" w:ascii="宋体" w:hAnsi="宋体" w:cs="宋体"/>
          <w:color w:val="auto"/>
        </w:rPr>
        <w:t>5. 投标人应在“报价清单”后附详细的计算说明，包括计算方法、取费依据等，</w:t>
      </w:r>
      <w:r>
        <w:rPr>
          <w:rFonts w:hint="eastAsia" w:ascii="宋体" w:hAnsi="宋体" w:cs="宋体"/>
          <w:color w:val="auto"/>
        </w:rPr>
        <w:br w:type="textWrapping"/>
      </w:r>
      <w:r>
        <w:rPr>
          <w:rFonts w:hint="eastAsia" w:ascii="宋体" w:hAnsi="宋体" w:cs="宋体"/>
          <w:color w:val="auto"/>
        </w:rPr>
        <w:t xml:space="preserve">以便招标人对投标人勘察设计报价的合理性作出判断。 </w:t>
      </w:r>
    </w:p>
    <w:p>
      <w:pPr>
        <w:spacing w:line="500" w:lineRule="exact"/>
        <w:jc w:val="center"/>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rPr>
        <w:t>二</w:t>
      </w:r>
      <w:r>
        <w:rPr>
          <w:rFonts w:hint="eastAsia" w:ascii="宋体" w:hAnsi="宋体"/>
          <w:b/>
          <w:color w:val="auto"/>
          <w:sz w:val="28"/>
          <w:szCs w:val="28"/>
        </w:rPr>
        <w:t>）报价清单汇总表</w:t>
      </w:r>
    </w:p>
    <w:p>
      <w:pPr>
        <w:spacing w:line="500" w:lineRule="exact"/>
        <w:jc w:val="right"/>
        <w:rPr>
          <w:rFonts w:ascii="宋体" w:hAnsi="宋体"/>
          <w:color w:val="auto"/>
        </w:rPr>
      </w:pPr>
      <w:r>
        <w:rPr>
          <w:rFonts w:hint="eastAsia" w:ascii="宋体" w:hAnsi="宋体"/>
          <w:color w:val="auto"/>
        </w:rPr>
        <w:t>单位：元（人民币）</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814"/>
        <w:gridCol w:w="2322"/>
        <w:gridCol w:w="2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序号</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项目</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费用合计</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（1）</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工程勘察</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（2）</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工程设计</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u w:val="single"/>
              </w:rPr>
            </w:pPr>
            <w:r>
              <w:rPr>
                <w:rFonts w:hint="eastAsia" w:ascii="宋体" w:hAnsi="宋体" w:cs="宋体"/>
                <w:color w:val="auto"/>
                <w:sz w:val="21"/>
                <w:szCs w:val="21"/>
                <w:u w:val="single"/>
              </w:rPr>
              <w:t>初步设计费</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宋体"/>
                <w:color w:val="auto"/>
                <w:sz w:val="21"/>
                <w:szCs w:val="21"/>
                <w:u w:val="single"/>
                <w:lang w:val="en-US"/>
              </w:rPr>
            </w:pPr>
            <w:r>
              <w:rPr>
                <w:rFonts w:hint="eastAsia" w:ascii="宋体" w:hAnsi="宋体" w:cs="宋体"/>
                <w:color w:val="auto"/>
                <w:sz w:val="21"/>
                <w:szCs w:val="21"/>
                <w:u w:val="single"/>
                <w:lang w:val="en-US"/>
              </w:rPr>
              <w:t>施工图设计费</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u w:val="single"/>
              </w:rPr>
            </w:pPr>
            <w:r>
              <w:rPr>
                <w:rFonts w:hint="eastAsia" w:ascii="宋体" w:hAnsi="宋体" w:cs="宋体"/>
                <w:color w:val="auto"/>
                <w:sz w:val="21"/>
                <w:szCs w:val="21"/>
                <w:u w:val="single"/>
                <w:lang w:val="en-US"/>
              </w:rPr>
              <w:t>概算编制费</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宋体"/>
                <w:color w:val="auto"/>
                <w:sz w:val="21"/>
                <w:szCs w:val="21"/>
                <w:u w:val="single"/>
                <w:lang w:val="en-US"/>
              </w:rPr>
            </w:pPr>
            <w:r>
              <w:rPr>
                <w:rFonts w:hint="eastAsia" w:ascii="宋体" w:hAnsi="宋体" w:cs="宋体"/>
                <w:color w:val="auto"/>
                <w:sz w:val="21"/>
                <w:szCs w:val="21"/>
                <w:u w:val="single"/>
                <w:lang w:val="en-US"/>
              </w:rPr>
              <w:t>施工图预算编审费</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宋体"/>
                <w:color w:val="auto"/>
                <w:sz w:val="21"/>
                <w:szCs w:val="21"/>
                <w:u w:val="single"/>
                <w:lang w:val="en-US"/>
              </w:rPr>
            </w:pPr>
            <w:r>
              <w:rPr>
                <w:rFonts w:hint="eastAsia" w:ascii="宋体" w:hAnsi="宋体" w:cs="宋体"/>
                <w:color w:val="auto"/>
                <w:sz w:val="21"/>
                <w:szCs w:val="21"/>
                <w:u w:val="single"/>
                <w:lang w:val="en-US"/>
              </w:rPr>
              <w:t>施工期服务费</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u w:val="single"/>
              </w:rPr>
            </w:pPr>
            <w:r>
              <w:rPr>
                <w:rFonts w:hint="eastAsia" w:ascii="宋体" w:hAnsi="宋体" w:cs="宋体"/>
                <w:color w:val="auto"/>
                <w:sz w:val="21"/>
                <w:szCs w:val="21"/>
                <w:u w:val="single"/>
              </w:rPr>
              <w:t>其他设计费（如有）</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（3）</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专题研究（如有）</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（4）</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合计</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（5）</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暂列金额（如有）</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（6）</w:t>
            </w:r>
          </w:p>
        </w:tc>
        <w:tc>
          <w:tcPr>
            <w:tcW w:w="3814"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投标报价总计</w:t>
            </w: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p>
        </w:tc>
        <w:tc>
          <w:tcPr>
            <w:tcW w:w="2322" w:type="dxa"/>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color w:val="auto"/>
                <w:sz w:val="21"/>
                <w:szCs w:val="21"/>
              </w:rPr>
            </w:pPr>
            <w:r>
              <w:rPr>
                <w:rFonts w:hint="eastAsia" w:ascii="宋体" w:hAnsi="宋体" w:cs="宋体"/>
                <w:color w:val="auto"/>
                <w:sz w:val="21"/>
                <w:szCs w:val="21"/>
              </w:rPr>
              <w:t>（4）+（5）</w:t>
            </w:r>
          </w:p>
        </w:tc>
      </w:tr>
    </w:tbl>
    <w:p>
      <w:pPr>
        <w:spacing w:line="400" w:lineRule="exact"/>
        <w:rPr>
          <w:rFonts w:ascii="宋体" w:hAnsi="宋体"/>
          <w:color w:val="auto"/>
          <w:sz w:val="21"/>
          <w:szCs w:val="21"/>
        </w:rPr>
      </w:pPr>
      <w:r>
        <w:rPr>
          <w:rFonts w:hint="eastAsia" w:ascii="宋体" w:hAnsi="宋体"/>
          <w:color w:val="auto"/>
          <w:sz w:val="21"/>
          <w:szCs w:val="21"/>
        </w:rPr>
        <w:t>注：①投标人应根据本招标项目工程特点和设计工作内容，分别列出并填写本表各勘察设计项目；</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②表中“其他设计费”是指工程设计实际需要或提供相关服务收取的费用，包括总体设计费、主体设计协调费、施工图预算编制费、竣工图编制费、非标准设备设计文件编制费，根据招标文件要求填写；</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③投标人应将详细的计算依据、计算过程及优惠附在报价清单后。</w:t>
      </w:r>
    </w:p>
    <w:p>
      <w:pPr>
        <w:spacing w:line="500" w:lineRule="exact"/>
        <w:jc w:val="right"/>
        <w:rPr>
          <w:rFonts w:hint="eastAsia" w:ascii="宋体" w:hAnsi="宋体"/>
          <w:color w:val="auto"/>
          <w:sz w:val="21"/>
          <w:szCs w:val="21"/>
        </w:rPr>
      </w:pPr>
      <w:r>
        <w:rPr>
          <w:rFonts w:hint="eastAsia" w:ascii="宋体" w:hAnsi="宋体"/>
          <w:color w:val="auto"/>
          <w:sz w:val="21"/>
          <w:szCs w:val="21"/>
        </w:rPr>
        <w:t>投标人：</w:t>
      </w:r>
      <w:r>
        <w:rPr>
          <w:rFonts w:hint="eastAsia" w:ascii="宋体" w:hAnsi="宋体"/>
          <w:color w:val="auto"/>
          <w:sz w:val="21"/>
          <w:szCs w:val="21"/>
          <w:u w:val="single"/>
        </w:rPr>
        <w:t xml:space="preserve">                      </w:t>
      </w:r>
      <w:r>
        <w:rPr>
          <w:rFonts w:hint="eastAsia" w:ascii="宋体" w:hAnsi="宋体"/>
          <w:color w:val="auto"/>
          <w:sz w:val="21"/>
          <w:szCs w:val="21"/>
        </w:rPr>
        <w:t>(盖单位章)</w:t>
      </w:r>
    </w:p>
    <w:p>
      <w:pPr>
        <w:spacing w:line="500" w:lineRule="exact"/>
        <w:jc w:val="right"/>
        <w:rPr>
          <w:rFonts w:ascii="宋体" w:hAnsi="宋体"/>
          <w:color w:val="auto"/>
          <w:sz w:val="21"/>
          <w:szCs w:val="21"/>
        </w:rPr>
      </w:pPr>
      <w:r>
        <w:rPr>
          <w:rFonts w:hint="eastAsia" w:ascii="宋体" w:hAnsi="宋体"/>
          <w:color w:val="auto"/>
          <w:sz w:val="21"/>
          <w:szCs w:val="21"/>
        </w:rPr>
        <w:t xml:space="preserve">   法定代表人或其委托代理人：</w:t>
      </w:r>
      <w:r>
        <w:rPr>
          <w:rFonts w:hint="eastAsia" w:ascii="宋体" w:hAnsi="宋体"/>
          <w:color w:val="auto"/>
          <w:sz w:val="21"/>
          <w:szCs w:val="21"/>
          <w:u w:val="single"/>
        </w:rPr>
        <w:t xml:space="preserve">       </w:t>
      </w:r>
      <w:r>
        <w:rPr>
          <w:rFonts w:hint="eastAsia" w:ascii="宋体" w:hAnsi="宋体"/>
          <w:color w:val="auto"/>
          <w:sz w:val="21"/>
          <w:szCs w:val="21"/>
        </w:rPr>
        <w:t>（签字）</w:t>
      </w:r>
    </w:p>
    <w:p>
      <w:pPr>
        <w:spacing w:line="500" w:lineRule="exact"/>
        <w:jc w:val="right"/>
        <w:rPr>
          <w:rFonts w:ascii="宋体" w:hAnsi="宋体"/>
          <w:color w:val="auto"/>
          <w:sz w:val="21"/>
          <w:szCs w:val="21"/>
        </w:rPr>
      </w:pPr>
      <w:r>
        <w:rPr>
          <w:rFonts w:hint="eastAsia" w:ascii="宋体" w:hAnsi="宋体"/>
          <w:color w:val="auto"/>
          <w:sz w:val="21"/>
          <w:szCs w:val="21"/>
        </w:rPr>
        <w:t>日期：</w:t>
      </w:r>
      <w:r>
        <w:rPr>
          <w:rFonts w:ascii="宋体" w:hAnsi="宋体"/>
          <w:color w:val="auto"/>
          <w:sz w:val="21"/>
          <w:szCs w:val="21"/>
          <w:u w:val="single"/>
        </w:rPr>
        <w:t xml:space="preserve">  </w:t>
      </w:r>
      <w:r>
        <w:rPr>
          <w:rFonts w:hint="eastAsia" w:ascii="宋体" w:hAnsi="宋体"/>
          <w:color w:val="auto"/>
          <w:sz w:val="21"/>
          <w:szCs w:val="21"/>
        </w:rPr>
        <w:t>年</w:t>
      </w:r>
      <w:r>
        <w:rPr>
          <w:rFonts w:ascii="宋体" w:hAnsi="宋体"/>
          <w:color w:val="auto"/>
          <w:sz w:val="21"/>
          <w:szCs w:val="21"/>
          <w:u w:val="single"/>
        </w:rPr>
        <w:t xml:space="preserve">  </w:t>
      </w:r>
      <w:r>
        <w:rPr>
          <w:rFonts w:hint="eastAsia" w:ascii="宋体" w:hAnsi="宋体"/>
          <w:color w:val="auto"/>
          <w:sz w:val="21"/>
          <w:szCs w:val="21"/>
        </w:rPr>
        <w:t>月</w:t>
      </w:r>
      <w:r>
        <w:rPr>
          <w:rFonts w:ascii="宋体" w:hAnsi="宋体"/>
          <w:color w:val="auto"/>
          <w:sz w:val="21"/>
          <w:szCs w:val="21"/>
          <w:u w:val="single"/>
        </w:rPr>
        <w:t xml:space="preserve">  </w:t>
      </w:r>
      <w:r>
        <w:rPr>
          <w:rFonts w:hint="eastAsia" w:ascii="宋体" w:hAnsi="宋体"/>
          <w:color w:val="auto"/>
          <w:sz w:val="21"/>
          <w:szCs w:val="21"/>
        </w:rPr>
        <w:t>日</w:t>
      </w:r>
    </w:p>
    <w:p>
      <w:pPr>
        <w:spacing w:line="500" w:lineRule="exact"/>
        <w:jc w:val="center"/>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rPr>
        <w:t>三</w:t>
      </w:r>
      <w:r>
        <w:rPr>
          <w:rFonts w:hint="eastAsia" w:ascii="宋体" w:hAnsi="宋体"/>
          <w:b/>
          <w:color w:val="auto"/>
          <w:sz w:val="28"/>
          <w:szCs w:val="28"/>
        </w:rPr>
        <w:t>）设计费计算表</w:t>
      </w:r>
    </w:p>
    <w:p>
      <w:pPr>
        <w:spacing w:line="500" w:lineRule="exact"/>
        <w:jc w:val="center"/>
        <w:rPr>
          <w:rFonts w:ascii="宋体" w:hAnsi="宋体"/>
          <w:b/>
          <w:color w:val="auto"/>
          <w:sz w:val="32"/>
          <w:szCs w:val="32"/>
        </w:rPr>
      </w:pP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7" w:hRule="atLeast"/>
        </w:trPr>
        <w:tc>
          <w:tcPr>
            <w:tcW w:w="9286" w:type="dxa"/>
            <w:noWrap w:val="0"/>
            <w:vAlign w:val="top"/>
          </w:tcPr>
          <w:p>
            <w:pPr>
              <w:keepNext w:val="0"/>
              <w:keepLines w:val="0"/>
              <w:suppressLineNumbers w:val="0"/>
              <w:spacing w:before="0" w:beforeAutospacing="0" w:after="0" w:afterAutospacing="0" w:line="500" w:lineRule="exact"/>
              <w:ind w:left="0" w:right="0"/>
              <w:rPr>
                <w:rFonts w:hint="default" w:ascii="宋体" w:hAnsi="宋体"/>
                <w:color w:val="auto"/>
              </w:rPr>
            </w:pPr>
          </w:p>
        </w:tc>
      </w:tr>
    </w:tbl>
    <w:p>
      <w:pPr>
        <w:spacing w:line="500" w:lineRule="exact"/>
        <w:rPr>
          <w:rFonts w:hint="eastAsia" w:ascii="宋体" w:hAnsi="宋体"/>
          <w:color w:val="auto"/>
          <w:lang w:val="en-US"/>
        </w:rPr>
        <w:sectPr>
          <w:footnotePr>
            <w:numRestart w:val="eachPage"/>
          </w:footnotePr>
          <w:pgSz w:w="11900" w:h="16838"/>
          <w:pgMar w:top="1803" w:right="1440" w:bottom="1803" w:left="1440" w:header="680" w:footer="680" w:gutter="0"/>
          <w:cols w:space="720" w:num="1"/>
          <w:docGrid w:linePitch="360" w:charSpace="0"/>
        </w:sectPr>
      </w:pPr>
    </w:p>
    <w:p>
      <w:pPr>
        <w:jc w:val="center"/>
        <w:rPr>
          <w:rFonts w:hint="eastAsia"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rPr>
        <w:t>四</w:t>
      </w:r>
      <w:r>
        <w:rPr>
          <w:rFonts w:hint="eastAsia" w:ascii="宋体" w:hAnsi="宋体" w:cs="宋体"/>
          <w:b/>
          <w:bCs/>
          <w:color w:val="auto"/>
          <w:sz w:val="28"/>
          <w:szCs w:val="28"/>
        </w:rPr>
        <w:t>）工程勘察工作报价清单表</w:t>
      </w:r>
    </w:p>
    <w:p>
      <w:pPr>
        <w:spacing w:line="240" w:lineRule="exact"/>
        <w:jc w:val="center"/>
        <w:rPr>
          <w:rFonts w:ascii="黑体" w:hAnsi="宋体" w:eastAsia="黑体"/>
          <w:color w:val="auto"/>
        </w:rPr>
      </w:pPr>
    </w:p>
    <w:tbl>
      <w:tblPr>
        <w:tblStyle w:val="88"/>
        <w:tblW w:w="9165" w:type="dxa"/>
        <w:tblInd w:w="0" w:type="dxa"/>
        <w:tblLayout w:type="fixed"/>
        <w:tblCellMar>
          <w:top w:w="0" w:type="dxa"/>
          <w:left w:w="0" w:type="dxa"/>
          <w:bottom w:w="0" w:type="dxa"/>
          <w:right w:w="0" w:type="dxa"/>
        </w:tblCellMar>
      </w:tblPr>
      <w:tblGrid>
        <w:gridCol w:w="1432"/>
        <w:gridCol w:w="908"/>
        <w:gridCol w:w="2520"/>
        <w:gridCol w:w="2188"/>
        <w:gridCol w:w="2117"/>
      </w:tblGrid>
      <w:tr>
        <w:tblPrEx>
          <w:tblCellMar>
            <w:top w:w="0" w:type="dxa"/>
            <w:left w:w="0" w:type="dxa"/>
            <w:bottom w:w="0" w:type="dxa"/>
            <w:right w:w="0" w:type="dxa"/>
          </w:tblCellMar>
        </w:tblPrEx>
        <w:trPr>
          <w:trHeight w:val="432" w:hRule="atLeast"/>
        </w:trPr>
        <w:tc>
          <w:tcPr>
            <w:tcW w:w="1432" w:type="dxa"/>
            <w:tcBorders>
              <w:top w:val="single" w:color="auto" w:sz="12" w:space="0"/>
              <w:left w:val="single" w:color="auto" w:sz="12"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专业类别</w:t>
            </w:r>
          </w:p>
        </w:tc>
        <w:tc>
          <w:tcPr>
            <w:tcW w:w="908" w:type="dxa"/>
            <w:tcBorders>
              <w:top w:val="single" w:color="auto" w:sz="12"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序号</w:t>
            </w:r>
          </w:p>
        </w:tc>
        <w:tc>
          <w:tcPr>
            <w:tcW w:w="2520" w:type="dxa"/>
            <w:tcBorders>
              <w:top w:val="single" w:color="auto" w:sz="12"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费用项目</w:t>
            </w:r>
          </w:p>
        </w:tc>
        <w:tc>
          <w:tcPr>
            <w:tcW w:w="2188" w:type="dxa"/>
            <w:tcBorders>
              <w:top w:val="single" w:color="auto" w:sz="12"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费用金额</w:t>
            </w:r>
            <w:r>
              <w:rPr>
                <w:rFonts w:hint="default" w:ascii="宋体" w:hAnsi="Times New Roman" w:cs="宋体"/>
                <w:color w:val="auto"/>
                <w:sz w:val="21"/>
                <w:szCs w:val="21"/>
              </w:rPr>
              <w:t>(</w:t>
            </w:r>
            <w:r>
              <w:rPr>
                <w:rFonts w:hint="eastAsia" w:ascii="宋体" w:hAnsi="Times New Roman" w:cs="宋体"/>
                <w:color w:val="auto"/>
                <w:sz w:val="21"/>
                <w:szCs w:val="21"/>
              </w:rPr>
              <w:t>万元</w:t>
            </w:r>
            <w:r>
              <w:rPr>
                <w:rFonts w:hint="default" w:ascii="宋体" w:hAnsi="Times New Roman" w:cs="宋体"/>
                <w:color w:val="auto"/>
                <w:sz w:val="21"/>
                <w:szCs w:val="21"/>
              </w:rPr>
              <w:t>)</w:t>
            </w:r>
          </w:p>
        </w:tc>
        <w:tc>
          <w:tcPr>
            <w:tcW w:w="2117" w:type="dxa"/>
            <w:tcBorders>
              <w:top w:val="single" w:color="auto" w:sz="12" w:space="0"/>
              <w:left w:val="single" w:color="auto" w:sz="8" w:space="0"/>
              <w:bottom w:val="single" w:color="auto" w:sz="8" w:space="0"/>
              <w:right w:val="single" w:color="auto" w:sz="12"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备注</w:t>
            </w:r>
          </w:p>
        </w:tc>
      </w:tr>
      <w:tr>
        <w:tblPrEx>
          <w:tblCellMar>
            <w:top w:w="0" w:type="dxa"/>
            <w:left w:w="0" w:type="dxa"/>
            <w:bottom w:w="0" w:type="dxa"/>
            <w:right w:w="0" w:type="dxa"/>
          </w:tblCellMar>
        </w:tblPrEx>
        <w:trPr>
          <w:trHeight w:val="432" w:hRule="atLeast"/>
        </w:trPr>
        <w:tc>
          <w:tcPr>
            <w:tcW w:w="1432" w:type="dxa"/>
            <w:vMerge w:val="restart"/>
            <w:tcBorders>
              <w:top w:val="single" w:color="auto" w:sz="8" w:space="0"/>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岩土／地质勘察</w:t>
            </w: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1</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实物工作收费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46"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2</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技术工作收费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3</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收费基准价</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4</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优惠条件</w:t>
            </w:r>
            <w:r>
              <w:rPr>
                <w:rFonts w:hint="default" w:ascii="宋体" w:hAnsi="Times New Roman" w:cs="宋体"/>
                <w:color w:val="auto"/>
                <w:sz w:val="21"/>
                <w:szCs w:val="21"/>
              </w:rPr>
              <w:t>(</w:t>
            </w:r>
            <w:r>
              <w:rPr>
                <w:rFonts w:hint="eastAsia" w:ascii="宋体" w:hAnsi="Times New Roman" w:cs="宋体"/>
                <w:color w:val="auto"/>
                <w:sz w:val="21"/>
                <w:szCs w:val="21"/>
              </w:rPr>
              <w:t>浮动幅度值</w:t>
            </w:r>
            <w:r>
              <w:rPr>
                <w:rFonts w:hint="default" w:ascii="宋体" w:hAnsi="Times New Roman" w:cs="宋体"/>
                <w:color w:val="auto"/>
                <w:sz w:val="21"/>
                <w:szCs w:val="21"/>
              </w:rPr>
              <w:t>)</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5</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工程勘察收费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46"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6</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工程勘察辅助费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82" w:hRule="atLeast"/>
        </w:trPr>
        <w:tc>
          <w:tcPr>
            <w:tcW w:w="1432" w:type="dxa"/>
            <w:vMerge w:val="continue"/>
            <w:tcBorders>
              <w:left w:val="single" w:color="auto" w:sz="12"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7</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最终报价</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396" w:hRule="atLeast"/>
        </w:trPr>
        <w:tc>
          <w:tcPr>
            <w:tcW w:w="9165" w:type="dxa"/>
            <w:gridSpan w:val="5"/>
            <w:tcBorders>
              <w:top w:val="single" w:color="auto" w:sz="8" w:space="0"/>
              <w:left w:val="single" w:color="auto" w:sz="12"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82" w:hRule="atLeast"/>
        </w:trPr>
        <w:tc>
          <w:tcPr>
            <w:tcW w:w="1432" w:type="dxa"/>
            <w:vMerge w:val="restart"/>
            <w:tcBorders>
              <w:top w:val="single" w:color="auto" w:sz="8" w:space="0"/>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工程测量</w:t>
            </w: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l</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实物工作收费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2</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技术工作收费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3</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收费基准价</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46"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4</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优惠条件</w:t>
            </w:r>
            <w:r>
              <w:rPr>
                <w:rFonts w:hint="default" w:ascii="宋体" w:hAnsi="Times New Roman" w:cs="宋体"/>
                <w:color w:val="auto"/>
                <w:sz w:val="21"/>
                <w:szCs w:val="21"/>
              </w:rPr>
              <w:t>(</w:t>
            </w:r>
            <w:r>
              <w:rPr>
                <w:rFonts w:hint="eastAsia" w:ascii="宋体" w:hAnsi="Times New Roman" w:cs="宋体"/>
                <w:color w:val="auto"/>
                <w:sz w:val="21"/>
                <w:szCs w:val="21"/>
              </w:rPr>
              <w:t>浮动幅度值</w:t>
            </w:r>
            <w:r>
              <w:rPr>
                <w:rFonts w:hint="default" w:ascii="宋体" w:hAnsi="Times New Roman" w:cs="宋体"/>
                <w:color w:val="auto"/>
                <w:sz w:val="21"/>
                <w:szCs w:val="21"/>
              </w:rPr>
              <w:t>)</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5</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工程勘察收费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53" w:hRule="atLeast"/>
        </w:trPr>
        <w:tc>
          <w:tcPr>
            <w:tcW w:w="1432" w:type="dxa"/>
            <w:vMerge w:val="continue"/>
            <w:tcBorders>
              <w:left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6</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工程勘察辅助费</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75" w:hRule="atLeast"/>
        </w:trPr>
        <w:tc>
          <w:tcPr>
            <w:tcW w:w="1432" w:type="dxa"/>
            <w:vMerge w:val="continue"/>
            <w:tcBorders>
              <w:left w:val="single" w:color="auto" w:sz="12"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auto"/>
                <w:sz w:val="21"/>
                <w:szCs w:val="21"/>
              </w:rPr>
            </w:pPr>
          </w:p>
        </w:tc>
        <w:tc>
          <w:tcPr>
            <w:tcW w:w="90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default" w:ascii="宋体" w:hAnsi="Times New Roman" w:cs="宋体"/>
                <w:color w:val="auto"/>
                <w:sz w:val="21"/>
                <w:szCs w:val="21"/>
              </w:rPr>
              <w:t>7</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最终报价</w:t>
            </w:r>
          </w:p>
        </w:tc>
        <w:tc>
          <w:tcPr>
            <w:tcW w:w="2188" w:type="dxa"/>
            <w:tcBorders>
              <w:top w:val="single" w:color="auto" w:sz="8" w:space="0"/>
              <w:left w:val="single" w:color="auto" w:sz="8" w:space="0"/>
              <w:bottom w:val="single" w:color="auto" w:sz="8"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8"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r>
        <w:tblPrEx>
          <w:tblCellMar>
            <w:top w:w="0" w:type="dxa"/>
            <w:left w:w="0" w:type="dxa"/>
            <w:bottom w:w="0" w:type="dxa"/>
            <w:right w:w="0" w:type="dxa"/>
          </w:tblCellMar>
        </w:tblPrEx>
        <w:trPr>
          <w:trHeight w:val="403" w:hRule="atLeast"/>
        </w:trPr>
        <w:tc>
          <w:tcPr>
            <w:tcW w:w="9165" w:type="dxa"/>
            <w:gridSpan w:val="5"/>
            <w:tcBorders>
              <w:top w:val="single" w:color="auto" w:sz="8" w:space="0"/>
              <w:left w:val="single" w:color="auto" w:sz="12" w:space="0"/>
              <w:bottom w:val="single" w:color="auto" w:sz="8" w:space="0"/>
              <w:right w:val="single" w:color="auto" w:sz="12" w:space="0"/>
            </w:tcBorders>
            <w:noWrap w:val="0"/>
            <w:vAlign w:val="center"/>
          </w:tcPr>
          <w:p>
            <w:pPr>
              <w:keepNext w:val="0"/>
              <w:keepLines w:val="0"/>
              <w:suppressLineNumbers w:val="0"/>
              <w:spacing w:before="0" w:beforeAutospacing="0" w:after="0" w:afterAutospacing="0"/>
              <w:ind w:left="0" w:right="0"/>
              <w:rPr>
                <w:rFonts w:hint="default" w:ascii="宋体" w:hAnsi="Times New Roman" w:cs="宋体"/>
                <w:color w:val="auto"/>
                <w:sz w:val="21"/>
                <w:szCs w:val="21"/>
              </w:rPr>
            </w:pPr>
            <w:r>
              <w:rPr>
                <w:rFonts w:hint="eastAsia" w:ascii="宋体" w:hAnsi="Times New Roman" w:cs="宋体"/>
                <w:color w:val="auto"/>
                <w:sz w:val="21"/>
                <w:szCs w:val="21"/>
              </w:rPr>
              <w:t>其他：</w:t>
            </w:r>
          </w:p>
        </w:tc>
      </w:tr>
      <w:tr>
        <w:tblPrEx>
          <w:tblCellMar>
            <w:top w:w="0" w:type="dxa"/>
            <w:left w:w="0" w:type="dxa"/>
            <w:bottom w:w="0" w:type="dxa"/>
            <w:right w:w="0" w:type="dxa"/>
          </w:tblCellMar>
        </w:tblPrEx>
        <w:trPr>
          <w:trHeight w:val="482" w:hRule="atLeast"/>
        </w:trPr>
        <w:tc>
          <w:tcPr>
            <w:tcW w:w="4860" w:type="dxa"/>
            <w:gridSpan w:val="3"/>
            <w:tcBorders>
              <w:top w:val="single" w:color="auto" w:sz="8" w:space="0"/>
              <w:left w:val="single" w:color="auto" w:sz="12" w:space="0"/>
              <w:bottom w:val="single" w:color="auto" w:sz="12" w:space="0"/>
              <w:right w:val="single" w:color="auto" w:sz="8" w:space="0"/>
            </w:tcBorders>
            <w:noWrap w:val="0"/>
            <w:vAlign w:val="center"/>
          </w:tcPr>
          <w:p>
            <w:pPr>
              <w:keepNext w:val="0"/>
              <w:keepLines w:val="0"/>
              <w:suppressLineNumbers w:val="0"/>
              <w:autoSpaceDE w:val="0"/>
              <w:autoSpaceDN w:val="0"/>
              <w:spacing w:before="0" w:beforeAutospacing="0" w:after="0" w:afterAutospacing="0"/>
              <w:ind w:left="0" w:right="0"/>
              <w:jc w:val="center"/>
              <w:rPr>
                <w:rFonts w:hint="default" w:ascii="宋体" w:hAnsi="Times New Roman" w:cs="宋体"/>
                <w:color w:val="auto"/>
                <w:sz w:val="21"/>
                <w:szCs w:val="21"/>
              </w:rPr>
            </w:pPr>
            <w:r>
              <w:rPr>
                <w:rFonts w:hint="eastAsia" w:ascii="宋体" w:hAnsi="Times New Roman" w:cs="宋体"/>
                <w:color w:val="auto"/>
                <w:sz w:val="21"/>
                <w:szCs w:val="21"/>
              </w:rPr>
              <w:t>岩土／地质勘察与工程测量最终报价总计</w:t>
            </w:r>
          </w:p>
        </w:tc>
        <w:tc>
          <w:tcPr>
            <w:tcW w:w="2188" w:type="dxa"/>
            <w:tcBorders>
              <w:top w:val="single" w:color="auto" w:sz="8" w:space="0"/>
              <w:left w:val="single" w:color="auto" w:sz="8" w:space="0"/>
              <w:bottom w:val="single" w:color="auto" w:sz="12" w:space="0"/>
              <w:right w:val="single" w:color="auto" w:sz="8"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c>
          <w:tcPr>
            <w:tcW w:w="2117" w:type="dxa"/>
            <w:tcBorders>
              <w:top w:val="single" w:color="auto" w:sz="8" w:space="0"/>
              <w:left w:val="single" w:color="auto" w:sz="8" w:space="0"/>
              <w:bottom w:val="single" w:color="auto" w:sz="12" w:space="0"/>
              <w:right w:val="single" w:color="auto" w:sz="12" w:space="0"/>
            </w:tcBorders>
            <w:noWrap w:val="0"/>
            <w:vAlign w:val="top"/>
          </w:tcPr>
          <w:p>
            <w:pPr>
              <w:keepNext w:val="0"/>
              <w:keepLines w:val="0"/>
              <w:suppressLineNumbers w:val="0"/>
              <w:autoSpaceDE w:val="0"/>
              <w:autoSpaceDN w:val="0"/>
              <w:spacing w:before="0" w:beforeAutospacing="0" w:after="0" w:afterAutospacing="0"/>
              <w:ind w:left="0" w:right="0"/>
              <w:rPr>
                <w:rFonts w:hint="default" w:ascii="Times New Roman" w:hAnsi="Times New Roman"/>
                <w:color w:val="auto"/>
                <w:sz w:val="21"/>
                <w:szCs w:val="21"/>
              </w:rPr>
            </w:pPr>
          </w:p>
        </w:tc>
      </w:tr>
    </w:tbl>
    <w:p>
      <w:pPr>
        <w:rPr>
          <w:rFonts w:ascii="宋体" w:hAnsi="宋体"/>
          <w:color w:val="auto"/>
          <w:sz w:val="21"/>
          <w:szCs w:val="21"/>
        </w:rPr>
      </w:pPr>
      <w:r>
        <w:rPr>
          <w:rFonts w:hint="eastAsia" w:ascii="宋体" w:hAnsi="宋体"/>
          <w:color w:val="auto"/>
          <w:sz w:val="21"/>
          <w:szCs w:val="21"/>
        </w:rPr>
        <w:t>注：①收费基准价</w:t>
      </w:r>
      <w:r>
        <w:rPr>
          <w:rFonts w:ascii="宋体" w:hAnsi="宋体"/>
          <w:color w:val="auto"/>
          <w:sz w:val="21"/>
          <w:szCs w:val="21"/>
        </w:rPr>
        <w:t>=实物工作收费+技术工作收费；</w:t>
      </w:r>
    </w:p>
    <w:p>
      <w:pPr>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 xml:space="preserve">  </w:t>
      </w:r>
      <w:r>
        <w:rPr>
          <w:rFonts w:ascii="宋体" w:hAnsi="宋体"/>
          <w:color w:val="auto"/>
          <w:sz w:val="21"/>
          <w:szCs w:val="21"/>
        </w:rPr>
        <w:t>②工程勘察收费=收费基准价×(1±浮动幅度值)；</w:t>
      </w:r>
    </w:p>
    <w:p>
      <w:pPr>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 xml:space="preserve"> </w:t>
      </w:r>
      <w:r>
        <w:rPr>
          <w:rFonts w:ascii="宋体" w:hAnsi="宋体"/>
          <w:color w:val="auto"/>
          <w:sz w:val="21"/>
          <w:szCs w:val="21"/>
        </w:rPr>
        <w:t xml:space="preserve"> </w:t>
      </w:r>
      <w:r>
        <w:rPr>
          <w:rFonts w:hint="eastAsia" w:ascii="宋体" w:hAnsi="宋体"/>
          <w:color w:val="auto"/>
          <w:sz w:val="21"/>
          <w:szCs w:val="21"/>
        </w:rPr>
        <w:t xml:space="preserve"> </w:t>
      </w:r>
      <w:r>
        <w:rPr>
          <w:rFonts w:ascii="宋体" w:hAnsi="宋体"/>
          <w:color w:val="auto"/>
          <w:sz w:val="21"/>
          <w:szCs w:val="21"/>
        </w:rPr>
        <w:t>③工程勘察辅助费一般指现行《工程勘察设计收费标准》中勘察收费基准价不包括的费用，没有单列的不可预见费也可包含其中；</w:t>
      </w:r>
    </w:p>
    <w:p>
      <w:pPr>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 xml:space="preserve">  </w:t>
      </w:r>
      <w:r>
        <w:rPr>
          <w:rFonts w:ascii="宋体" w:hAnsi="宋体"/>
          <w:color w:val="auto"/>
          <w:sz w:val="21"/>
          <w:szCs w:val="21"/>
        </w:rPr>
        <w:t>④如果勘察内容仅为岩土／地质勘察和工程测量其中之一，可将上表中的相应内容和最后一行“岩土／地质勘察与工程测量报价总计”的内容，在使用时去掉；</w:t>
      </w:r>
    </w:p>
    <w:p>
      <w:pPr>
        <w:pStyle w:val="34"/>
        <w:rPr>
          <w:rFonts w:hint="eastAsia"/>
          <w:szCs w:val="21"/>
          <w:lang w:val="en-US"/>
        </w:rPr>
      </w:pPr>
      <w:r>
        <w:rPr>
          <w:rFonts w:ascii="宋体" w:hAnsi="宋体"/>
          <w:szCs w:val="21"/>
        </w:rPr>
        <w:t xml:space="preserve">  </w:t>
      </w:r>
      <w:r>
        <w:rPr>
          <w:rFonts w:hint="eastAsia" w:ascii="宋体" w:hAnsi="宋体"/>
          <w:szCs w:val="21"/>
        </w:rPr>
        <w:t xml:space="preserve">  </w:t>
      </w:r>
      <w:r>
        <w:rPr>
          <w:rFonts w:ascii="宋体" w:hAnsi="宋体"/>
          <w:szCs w:val="21"/>
        </w:rPr>
        <w:t>⑤如果为了便于比较各投标人费用单价，可增加辅助的实物工作收费说明。</w:t>
      </w:r>
    </w:p>
    <w:sectPr>
      <w:footnotePr>
        <w:numRestart w:val="eachPage"/>
      </w:footnotePr>
      <w:pgSz w:w="11900" w:h="16838"/>
      <w:pgMar w:top="1803" w:right="1440" w:bottom="1803" w:left="1440" w:header="680"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_HKSCS">
    <w:altName w:val="Droid Sans Fallback"/>
    <w:panose1 w:val="02020500000000000000"/>
    <w:charset w:val="00"/>
    <w:family w:val="roman"/>
    <w:pitch w:val="default"/>
    <w:sig w:usb0="00000000" w:usb1="00000000" w:usb2="00000016" w:usb3="00000000" w:csb0="00100001" w:csb1="00000000"/>
  </w:font>
  <w:font w:name="MingLiU">
    <w:altName w:val="MT Extra"/>
    <w:panose1 w:val="02010609000101010101"/>
    <w:charset w:val="00"/>
    <w:family w:val="modern"/>
    <w:pitch w:val="default"/>
    <w:sig w:usb0="00000000" w:usb1="00000000" w:usb2="00000010" w:usb3="00000000" w:csb0="00100000" w:csb1="00000000"/>
  </w:font>
  <w:font w:name="仿宋_GB2312">
    <w:altName w:val="方正仿宋_GBK"/>
    <w:panose1 w:val="02010609030101010101"/>
    <w:charset w:val="00"/>
    <w:family w:val="modern"/>
    <w:pitch w:val="default"/>
    <w:sig w:usb0="00000000" w:usb1="00000000" w:usb2="00000000" w:usb3="00000000" w:csb0="00040000" w:csb1="00000000"/>
  </w:font>
  <w:font w:name="AngsanaUPC">
    <w:altName w:val="Noto Serif"/>
    <w:panose1 w:val="02020603050405020304"/>
    <w:charset w:val="00"/>
    <w:family w:val="roman"/>
    <w:pitch w:val="default"/>
    <w:sig w:usb0="00000000" w:usb1="00000000" w:usb2="00000000" w:usb3="00000000" w:csb0="00010001" w:csb1="00000000"/>
  </w:font>
  <w:font w:name="Sylfaen">
    <w:altName w:val="方正宋体S-超大字符集(SIP)"/>
    <w:panose1 w:val="010A0502050306030303"/>
    <w:charset w:val="00"/>
    <w:family w:val="roman"/>
    <w:pitch w:val="default"/>
    <w:sig w:usb0="00000000" w:usb1="00000000" w:usb2="00000000" w:usb3="00000000" w:csb0="2000009F" w:csb1="00000000"/>
  </w:font>
  <w:font w:name="CordiaUPC">
    <w:altName w:val="Noto Music"/>
    <w:panose1 w:val="020B0304020202020204"/>
    <w:charset w:val="00"/>
    <w:family w:val="swiss"/>
    <w:pitch w:val="default"/>
    <w:sig w:usb0="00000000" w:usb1="00000000" w:usb2="00000000" w:usb3="00000000" w:csb0="00010001" w:csb1="00000000"/>
  </w:font>
  <w:font w:name="Lucida Sans Unicode">
    <w:altName w:val="Noto Music"/>
    <w:panose1 w:val="020B0602030504020204"/>
    <w:charset w:val="00"/>
    <w:family w:val="swiss"/>
    <w:pitch w:val="default"/>
    <w:sig w:usb0="00000000" w:usb1="00000000" w:usb2="00000000" w:usb3="00000000" w:csb0="200000BF" w:csb1="D7F70000"/>
  </w:font>
  <w:font w:name="Cambria">
    <w:altName w:val="Noto Sans Syriac Eastern"/>
    <w:panose1 w:val="02040503050406030204"/>
    <w:charset w:val="00"/>
    <w:family w:val="roman"/>
    <w:pitch w:val="default"/>
    <w:sig w:usb0="00000000" w:usb1="00000000" w:usb2="02000000" w:usb3="00000000" w:csb0="2000019F" w:csb1="00000000"/>
  </w:font>
  <w:font w:name="Impact">
    <w:altName w:val="Noto Kufi Arabic"/>
    <w:panose1 w:val="020B0806030902050204"/>
    <w:charset w:val="00"/>
    <w:family w:val="swiss"/>
    <w:pitch w:val="default"/>
    <w:sig w:usb0="00000000" w:usb1="00000000" w:usb2="00000000" w:usb3="00000000" w:csb0="2000009F" w:csb1="DFD70000"/>
  </w:font>
  <w:font w:name="Microsoft Sans Serif">
    <w:altName w:val="DejaVu Sans"/>
    <w:panose1 w:val="020B0604020202020204"/>
    <w:charset w:val="00"/>
    <w:family w:val="swiss"/>
    <w:pitch w:val="default"/>
    <w:sig w:usb0="00000000" w:usb1="00000000" w:usb2="00000029" w:usb3="00000000" w:csb0="200101FF" w:csb1="20280000"/>
  </w:font>
  <w:font w:name="微软雅黑">
    <w:altName w:val="方正黑体_GBK"/>
    <w:panose1 w:val="020B0503020204020204"/>
    <w:charset w:val="00"/>
    <w:family w:val="swiss"/>
    <w:pitch w:val="default"/>
    <w:sig w:usb0="00000000" w:usb1="00000000" w:usb2="00000016" w:usb3="00000000" w:csb0="0004001F" w:csb1="00000000"/>
  </w:font>
  <w:font w:name="创艺简老宋">
    <w:altName w:val="方正书宋_GBK"/>
    <w:panose1 w:val="00000000000000000000"/>
    <w:charset w:val="00"/>
    <w:family w:val="auto"/>
    <w:pitch w:val="default"/>
    <w:sig w:usb0="00000000" w:usb1="00000000" w:usb2="00000010" w:usb3="00000000" w:csb0="00040000" w:csb1="00000000"/>
  </w:font>
  <w:font w:name="CIDFont + F1">
    <w:altName w:val="Noto Serif CJK JP"/>
    <w:panose1 w:val="00000000000000000000"/>
    <w:charset w:val="00"/>
    <w:family w:val="auto"/>
    <w:pitch w:val="default"/>
    <w:sig w:usb0="00000000" w:usb1="00000000" w:usb2="00000000" w:usb3="00000000" w:csb0="00040001" w:csb1="00000000"/>
  </w:font>
  <w:font w:name="方正宋三简体">
    <w:altName w:val="方正书宋_GBK"/>
    <w:panose1 w:val="00000000000000000000"/>
    <w:charset w:val="00"/>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ˎ̥">
    <w:altName w:val="Noto Serif CJK JP"/>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00"/>
    <w:family w:val="swiss"/>
    <w:pitch w:val="default"/>
    <w:sig w:usb0="00000000" w:usb1="00000000" w:usb2="0000003F" w:usb3="00000000" w:csb0="603F01FF" w:csb1="FFFF0000"/>
  </w:font>
  <w:font w:name="华文细黑">
    <w:altName w:val="汉仪中等线简"/>
    <w:panose1 w:val="02010600040101010101"/>
    <w:charset w:val="00"/>
    <w:family w:val="auto"/>
    <w:pitch w:val="default"/>
    <w:sig w:usb0="00000000" w:usb1="00000000" w:usb2="00000000" w:usb3="00000000" w:csb0="0004009F" w:csb1="DFD70000"/>
  </w:font>
  <w:font w:name="等线">
    <w:altName w:val="汉仪中宋简"/>
    <w:panose1 w:val="02010600030101010101"/>
    <w:charset w:val="00"/>
    <w:family w:val="auto"/>
    <w:pitch w:val="default"/>
    <w:sig w:usb0="00000000" w:usb1="00000000" w:usb2="00000016" w:usb3="00000000" w:csb0="0004000F" w:csb1="00000000"/>
  </w:font>
  <w:font w:name="隶书">
    <w:altName w:val="方正隶书_GBK"/>
    <w:panose1 w:val="02010509060101010101"/>
    <w:charset w:val="00"/>
    <w:family w:val="modern"/>
    <w:pitch w:val="default"/>
    <w:sig w:usb0="00000000" w:usb1="00000000" w:usb2="00000000" w:usb3="00000000" w:csb0="00040000" w:csb1="00000000"/>
  </w:font>
  <w:font w:name="CG Times">
    <w:altName w:val="DejaVu Sans"/>
    <w:panose1 w:val="00000000000000000000"/>
    <w:charset w:val="00"/>
    <w:family w:val="roman"/>
    <w:pitch w:val="default"/>
    <w:sig w:usb0="00000000" w:usb1="00000000" w:usb2="00000000" w:usb3="00000000" w:csb0="00000001" w:csb1="00000000"/>
  </w:font>
  <w:font w:name="MS Sans Serif">
    <w:altName w:val="DejaVu Math TeX Gyre"/>
    <w:panose1 w:val="00000000000000000000"/>
    <w:charset w:val="00"/>
    <w:family w:val="modern"/>
    <w:pitch w:val="default"/>
    <w:sig w:usb0="00000000" w:usb1="00000000" w:usb2="00000000" w:usb3="00000000" w:csb0="00000001" w:csb1="00000000"/>
  </w:font>
  <w:font w:name="Verdana">
    <w:altName w:val="DejaVu Sans"/>
    <w:panose1 w:val="020B0604030504040204"/>
    <w:charset w:val="00"/>
    <w:family w:val="swiss"/>
    <w:pitch w:val="default"/>
    <w:sig w:usb0="00000000" w:usb1="00000000" w:usb2="00000010" w:usb3="00000000" w:csb0="2000019F" w:csb1="00000000"/>
  </w:font>
  <w:font w:name="Albertus (W1)">
    <w:altName w:val="DejaVu Math TeX Gyre"/>
    <w:panose1 w:val="00000000000000000000"/>
    <w:charset w:val="00"/>
    <w:family w:val="swiss"/>
    <w:pitch w:val="default"/>
    <w:sig w:usb0="00000000" w:usb1="00000000" w:usb2="00000000" w:usb3="00000000" w:csb0="00000001" w:csb1="00000000"/>
  </w:font>
  <w:font w:name="楷体_GB2312">
    <w:altName w:val="方正楷体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体">
    <w:altName w:val="方正仿宋_GBK"/>
    <w:panose1 w:val="00000000000000000000"/>
    <w:charset w:val="00"/>
    <w:family w:val="roma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Comic Sans MS">
    <w:altName w:val="方正宋体S-超大字符集(SIP)"/>
    <w:panose1 w:val="030F0702030302020204"/>
    <w:charset w:val="00"/>
    <w:family w:val="script"/>
    <w:pitch w:val="default"/>
    <w:sig w:usb0="00000000" w:usb1="00000000"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MT Extra">
    <w:panose1 w:val="02000609000000000000"/>
    <w:charset w:val="00"/>
    <w:family w:val="auto"/>
    <w:pitch w:val="default"/>
    <w:sig w:usb0="00000001"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汉仪中宋简">
    <w:panose1 w:val="02010600000101010101"/>
    <w:charset w:val="86"/>
    <w:family w:val="auto"/>
    <w:pitch w:val="default"/>
    <w:sig w:usb0="00000001" w:usb1="080E0800" w:usb2="00000002" w:usb3="00000000" w:csb0="00040000" w:csb1="00000000"/>
  </w:font>
  <w:font w:name="Noto Serif CJK JP">
    <w:panose1 w:val="02020400000000000000"/>
    <w:charset w:val="86"/>
    <w:family w:val="auto"/>
    <w:pitch w:val="default"/>
    <w:sig w:usb0="30000083" w:usb1="2BDF3C10" w:usb2="00000016" w:usb3="00000000" w:csb0="602E0107" w:csb1="00000000"/>
  </w:font>
  <w:font w:name="Noto Serif">
    <w:panose1 w:val="02020502060505020204"/>
    <w:charset w:val="00"/>
    <w:family w:val="auto"/>
    <w:pitch w:val="default"/>
    <w:sig w:usb0="E00002FF" w:usb1="4000201F" w:usb2="08000029" w:usb3="00100000" w:csb0="0000019F"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hint="eastAsia"/>
      </w:rPr>
    </w:pPr>
  </w:p>
  <w:p>
    <w:pPr>
      <w:pStyle w:val="55"/>
      <w:spacing w:line="240" w:lineRule="exact"/>
      <w:rPr>
        <w:rFonts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Fonts w:cs="MingLiU_HKSCS"/>
        <w:sz w:val="17"/>
        <w:szCs w:val="17"/>
      </w:rPr>
    </w:pPr>
    <w:r>
      <w:rPr>
        <w:rFonts w:cs="MingLiU_HKSCS"/>
        <w:sz w:val="17"/>
        <w:szCs w:val="17"/>
      </w:rPr>
      <w:fldChar w:fldCharType="begin"/>
    </w:r>
    <w:r>
      <w:rPr>
        <w:rStyle w:val="92"/>
        <w:rFonts w:cs="MingLiU_HKSCS"/>
        <w:sz w:val="17"/>
        <w:szCs w:val="17"/>
      </w:rPr>
      <w:instrText xml:space="preserve">PAGE  </w:instrText>
    </w:r>
    <w:r>
      <w:rPr>
        <w:rFonts w:cs="MingLiU_HKSCS"/>
        <w:sz w:val="17"/>
        <w:szCs w:val="17"/>
      </w:rPr>
      <w:fldChar w:fldCharType="separate"/>
    </w:r>
    <w:r>
      <w:rPr>
        <w:rStyle w:val="92"/>
        <w:rFonts w:cs="MingLiU_HKSCS"/>
        <w:sz w:val="17"/>
        <w:szCs w:val="17"/>
      </w:rPr>
      <w:t>118</w:t>
    </w:r>
    <w:r>
      <w:rPr>
        <w:rFonts w:cs="MingLiU_HKSCS"/>
        <w:sz w:val="17"/>
        <w:szCs w:val="17"/>
      </w:rPr>
      <w:fldChar w:fldCharType="end"/>
    </w:r>
  </w:p>
  <w:p>
    <w:pPr>
      <w:pStyle w:val="55"/>
      <w:jc w:val="center"/>
      <w:rPr>
        <w:sz w:val="17"/>
        <w:szCs w:val="17"/>
      </w:rPr>
    </w:pPr>
    <w:r>
      <w:rPr>
        <w:sz w:val="17"/>
        <w:szCs w:val="17"/>
      </w:rPr>
      <w:t xml:space="preserve">-  </w:t>
    </w:r>
  </w:p>
  <w:p>
    <w:pPr>
      <w:pStyle w:val="55"/>
      <w:jc w:val="center"/>
      <w:rPr>
        <w:sz w:val="17"/>
        <w:szCs w:val="17"/>
      </w:rPr>
    </w:pPr>
  </w:p>
  <w:p>
    <w:pPr>
      <w:pStyle w:val="55"/>
      <w:jc w:val="center"/>
      <w:rPr>
        <w:sz w:val="17"/>
        <w:szCs w:val="17"/>
      </w:rPr>
    </w:pPr>
    <w:r>
      <w:rPr>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 PAGE   \* MERGEFORMAT </w:instrText>
    </w:r>
    <w:r>
      <w:fldChar w:fldCharType="separate"/>
    </w:r>
    <w:r>
      <w:t>24</w:t>
    </w:r>
    <w:r>
      <w:fldChar w:fldCharType="end"/>
    </w:r>
  </w:p>
  <w:p>
    <w:pPr>
      <w:pStyle w:val="55"/>
      <w:spacing w:line="240" w:lineRule="exact"/>
      <w:rPr>
        <w:rFonts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32">
    <w:p>
      <w:r>
        <w:separator/>
      </w:r>
    </w:p>
  </w:footnote>
  <w:footnote w:type="continuationSeparator" w:id="233">
    <w:p>
      <w:r>
        <w:continuationSeparator/>
      </w:r>
    </w:p>
  </w:footnote>
  <w:footnote w:id="0">
    <w:p>
      <w:pPr>
        <w:pStyle w:val="67"/>
        <w:ind w:firstLine="0"/>
        <w:rPr>
          <w:rFonts w:hint="eastAsia"/>
          <w:kern w:val="2"/>
        </w:rPr>
      </w:pPr>
      <w:r>
        <w:rPr>
          <w:rFonts w:ascii="宋体" w:hAnsi="宋体"/>
          <w:szCs w:val="18"/>
        </w:rPr>
        <w:footnoteRef/>
      </w:r>
      <w:r>
        <w:rPr>
          <w:rFonts w:hint="eastAsia" w:ascii="宋体" w:hAnsi="宋体"/>
          <w:szCs w:val="18"/>
        </w:rPr>
        <w:t>正式发售的招标文件应有招标人和招标代理</w:t>
      </w:r>
      <w:r>
        <w:rPr>
          <w:rFonts w:hint="eastAsia" w:ascii="宋体" w:hAnsi="宋体"/>
          <w:szCs w:val="18"/>
          <w:lang w:val="en-US" w:eastAsia="zh-CN"/>
        </w:rPr>
        <w:t>机构</w:t>
      </w:r>
      <w:r>
        <w:rPr>
          <w:rFonts w:hint="eastAsia" w:ascii="宋体" w:hAnsi="宋体"/>
          <w:szCs w:val="18"/>
        </w:rPr>
        <w:t>（如有）加盖的印章。</w:t>
      </w:r>
    </w:p>
  </w:footnote>
  <w:footnote w:id="1">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招标人可根据项目特点和实际需要对本章内容进行补充、细化，但应遵守《中华人民共和国招标投标法》、《中</w:t>
      </w:r>
    </w:p>
    <w:p>
      <w:pPr>
        <w:pStyle w:val="67"/>
        <w:spacing w:line="240" w:lineRule="auto"/>
        <w:ind w:firstLine="0"/>
        <w:rPr>
          <w:rFonts w:hint="eastAsia" w:ascii="宋体" w:hAnsi="宋体"/>
          <w:szCs w:val="18"/>
        </w:rPr>
      </w:pPr>
      <w:r>
        <w:rPr>
          <w:rFonts w:hint="eastAsia" w:ascii="宋体" w:hAnsi="宋体"/>
          <w:szCs w:val="18"/>
        </w:rPr>
        <w:t>华人民共和国招标投标法实施条例》和《招标公告和公示信息发布管理办法》等有关法律法规的规定。</w:t>
      </w:r>
    </w:p>
  </w:footnote>
  <w:footnote w:id="2">
    <w:p>
      <w:pPr>
        <w:pStyle w:val="67"/>
        <w:spacing w:line="240" w:lineRule="auto"/>
        <w:ind w:firstLine="0"/>
        <w:rPr>
          <w:rFonts w:hint="eastAsia" w:ascii="宋体" w:hAnsi="宋体"/>
          <w:szCs w:val="18"/>
          <w:lang w:eastAsia="zh-CN"/>
        </w:rPr>
      </w:pPr>
      <w:r>
        <w:rPr>
          <w:rStyle w:val="101"/>
          <w:rFonts w:hint="eastAsia" w:ascii="宋体" w:hAnsi="宋体"/>
          <w:szCs w:val="18"/>
          <w:vertAlign w:val="baseline"/>
        </w:rPr>
        <w:footnoteRef/>
      </w:r>
      <w:r>
        <w:rPr>
          <w:rFonts w:hint="eastAsia" w:ascii="宋体" w:hAnsi="宋体"/>
          <w:szCs w:val="18"/>
          <w:lang w:eastAsia="zh-CN"/>
        </w:rPr>
        <w:t>招标人按项目实际情况设置是否接受联合体投标。</w:t>
      </w:r>
    </w:p>
  </w:footnote>
  <w:footnote w:id="3">
    <w:p>
      <w:pPr>
        <w:pStyle w:val="67"/>
        <w:spacing w:line="240" w:lineRule="auto"/>
        <w:ind w:firstLine="0"/>
        <w:rPr>
          <w:rFonts w:ascii="宋体" w:hAnsi="宋体"/>
          <w:szCs w:val="18"/>
        </w:rPr>
      </w:pPr>
      <w:r>
        <w:rPr>
          <w:rFonts w:ascii="宋体" w:hAnsi="宋体"/>
          <w:szCs w:val="18"/>
        </w:rPr>
        <w:footnoteRef/>
      </w:r>
      <w:r>
        <w:rPr>
          <w:rFonts w:hint="eastAsia" w:ascii="宋体" w:hAnsi="宋体"/>
          <w:szCs w:val="18"/>
        </w:rPr>
        <w:t>若联合体协议约定同一专业分工由两个及以上单位共同承担的，按照就低不就高的原则确定联合体的资质；不同专业分工由不同单位分别承担的，按照各自的专业资质确定联合体的资质，下同。</w:t>
      </w:r>
    </w:p>
  </w:footnote>
  <w:footnote w:id="4">
    <w:p>
      <w:pPr>
        <w:pStyle w:val="67"/>
        <w:spacing w:line="240" w:lineRule="auto"/>
        <w:ind w:firstLine="0"/>
        <w:rPr>
          <w:rFonts w:ascii="宋体" w:hAnsi="宋体"/>
          <w:szCs w:val="18"/>
          <w:lang w:val="en-US" w:eastAsia="zh-CN"/>
        </w:rPr>
      </w:pPr>
      <w:r>
        <w:rPr>
          <w:rStyle w:val="101"/>
          <w:rFonts w:hint="eastAsia" w:ascii="宋体" w:hAnsi="宋体"/>
          <w:szCs w:val="18"/>
          <w:vertAlign w:val="baseline"/>
        </w:rPr>
        <w:footnoteRef/>
      </w:r>
      <w:bookmarkStart w:id="95" w:name="_Hlk124533512"/>
      <w:r>
        <w:rPr>
          <w:rFonts w:hint="eastAsia" w:ascii="宋体" w:hAnsi="宋体"/>
          <w:szCs w:val="18"/>
          <w:lang w:val="en-US" w:eastAsia="zh-CN"/>
        </w:rPr>
        <w:t>本条</w:t>
      </w:r>
      <w:r>
        <w:rPr>
          <w:rFonts w:hint="eastAsia" w:ascii="宋体" w:hAnsi="宋体"/>
          <w:szCs w:val="18"/>
        </w:rPr>
        <w:t>适用于多个标段同时进行招标的情形</w:t>
      </w:r>
      <w:bookmarkEnd w:id="95"/>
      <w:r>
        <w:rPr>
          <w:rFonts w:hint="eastAsia" w:ascii="宋体" w:hAnsi="宋体"/>
          <w:szCs w:val="18"/>
          <w:lang w:eastAsia="zh-CN"/>
        </w:rPr>
        <w:t>，</w:t>
      </w:r>
      <w:r>
        <w:rPr>
          <w:rFonts w:hint="eastAsia" w:ascii="宋体" w:hAnsi="宋体"/>
          <w:szCs w:val="18"/>
          <w:lang w:val="en-US" w:eastAsia="zh-CN"/>
        </w:rPr>
        <w:t>但不适用单独进行勘察招标的项目。</w:t>
      </w:r>
    </w:p>
  </w:footnote>
  <w:footnote w:id="5">
    <w:p>
      <w:pPr>
        <w:pStyle w:val="67"/>
        <w:spacing w:line="240" w:lineRule="auto"/>
        <w:ind w:firstLine="0"/>
        <w:rPr>
          <w:rFonts w:hint="eastAsia" w:ascii="宋体" w:hAnsi="宋体" w:cs="宋体"/>
          <w:szCs w:val="18"/>
        </w:rPr>
      </w:pPr>
      <w:r>
        <w:rPr>
          <w:rFonts w:hint="eastAsia" w:ascii="宋体" w:hAnsi="宋体" w:cs="宋体"/>
        </w:rPr>
        <w:footnoteRef/>
      </w:r>
      <w:r>
        <w:rPr>
          <w:rFonts w:hint="eastAsia" w:ascii="宋体" w:hAnsi="宋体" w:cs="宋体"/>
          <w:szCs w:val="18"/>
        </w:rPr>
        <w:t>单位负责人是指单位的法定代表人或者法律、行政法规规定代表单位行使职权的主要负责人。</w:t>
      </w:r>
      <w:r>
        <w:rPr>
          <w:rFonts w:hint="eastAsia" w:ascii="宋体" w:hAnsi="宋体" w:cs="宋体"/>
          <w:szCs w:val="18"/>
          <w:lang w:val="en-US"/>
        </w:rPr>
        <w:t xml:space="preserve"> </w:t>
      </w:r>
    </w:p>
  </w:footnote>
  <w:footnote w:id="6">
    <w:p>
      <w:pPr>
        <w:pStyle w:val="67"/>
        <w:spacing w:line="240" w:lineRule="auto"/>
        <w:ind w:firstLine="0"/>
        <w:rPr>
          <w:rFonts w:hint="eastAsia" w:ascii="宋体" w:hAnsi="宋体" w:cs="宋体"/>
        </w:rPr>
      </w:pPr>
      <w:r>
        <w:rPr>
          <w:rFonts w:hint="eastAsia" w:ascii="宋体" w:hAnsi="宋体" w:cs="宋体"/>
        </w:rPr>
        <w:footnoteRef/>
      </w:r>
      <w:r>
        <w:rPr>
          <w:rFonts w:hint="eastAsia" w:ascii="宋体" w:hAnsi="宋体" w:cs="宋体"/>
        </w:rPr>
        <w:t>控股是指：</w:t>
      </w:r>
      <w:r>
        <w:rPr>
          <w:rStyle w:val="101"/>
          <w:rFonts w:hint="eastAsia" w:ascii="宋体" w:hAnsi="宋体" w:cs="宋体"/>
          <w:vertAlign w:val="baseline"/>
        </w:rPr>
        <w:t>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r>
        <w:rPr>
          <w:rFonts w:hint="eastAsia" w:ascii="宋体" w:hAnsi="宋体" w:cs="宋体"/>
        </w:rPr>
        <w:t>。</w:t>
      </w:r>
    </w:p>
  </w:footnote>
  <w:footnote w:id="7">
    <w:p>
      <w:pPr>
        <w:pStyle w:val="67"/>
        <w:spacing w:line="240" w:lineRule="auto"/>
        <w:ind w:firstLine="0"/>
        <w:rPr>
          <w:rFonts w:hint="eastAsia" w:ascii="宋体" w:hAnsi="宋体" w:cs="宋体"/>
        </w:rPr>
      </w:pPr>
      <w:r>
        <w:rPr>
          <w:rFonts w:hint="eastAsia" w:ascii="宋体" w:hAnsi="宋体" w:cs="宋体"/>
        </w:rPr>
        <w:footnoteRef/>
      </w:r>
      <w:r>
        <w:rPr>
          <w:rFonts w:hint="eastAsia" w:ascii="宋体" w:hAnsi="宋体" w:cs="宋体"/>
        </w:rPr>
        <w:t>管理关系是指不具有出资持股关系的其它单位之间存在的管理与被管理关系。</w:t>
      </w:r>
    </w:p>
  </w:footnote>
  <w:footnote w:id="8">
    <w:p>
      <w:pPr>
        <w:pStyle w:val="67"/>
        <w:spacing w:line="240" w:lineRule="auto"/>
        <w:ind w:firstLine="0"/>
        <w:rPr>
          <w:rFonts w:hint="eastAsia" w:ascii="宋体" w:hAnsi="宋体" w:cs="宋体"/>
          <w:lang w:eastAsia="zh-CN"/>
        </w:rPr>
      </w:pPr>
      <w:r>
        <w:rPr>
          <w:rFonts w:hint="eastAsia" w:ascii="宋体" w:hAnsi="宋体" w:cs="宋体"/>
        </w:rPr>
        <w:footnoteRef/>
      </w:r>
      <w:r>
        <w:rPr>
          <w:rFonts w:hint="eastAsia" w:ascii="宋体" w:hAnsi="宋体" w:cs="宋体"/>
        </w:rPr>
        <w:t>本条款一般适用于方案设计招标</w:t>
      </w:r>
      <w:r>
        <w:rPr>
          <w:rFonts w:hint="eastAsia" w:ascii="宋体" w:hAnsi="宋体" w:cs="宋体"/>
          <w:lang w:eastAsia="zh-CN"/>
        </w:rPr>
        <w:t>。</w:t>
      </w:r>
    </w:p>
  </w:footnote>
  <w:footnote w:id="9">
    <w:p>
      <w:pPr>
        <w:pStyle w:val="67"/>
        <w:spacing w:line="240" w:lineRule="auto"/>
        <w:ind w:firstLine="0"/>
        <w:rPr>
          <w:rFonts w:hint="eastAsia" w:ascii="宋体" w:hAnsi="宋体" w:cs="宋体"/>
          <w:lang w:eastAsia="zh-CN"/>
        </w:rPr>
      </w:pPr>
      <w:r>
        <w:rPr>
          <w:rFonts w:hint="eastAsia" w:ascii="宋体" w:hAnsi="宋体" w:cs="宋体"/>
        </w:rPr>
        <w:footnoteRef/>
      </w:r>
      <w:r>
        <w:rPr>
          <w:rFonts w:hint="eastAsia" w:ascii="宋体" w:hAnsi="宋体" w:cs="宋体"/>
        </w:rPr>
        <w:t>招标人可根据交易服务平台要求对此条进行修改完善</w:t>
      </w:r>
      <w:r>
        <w:rPr>
          <w:rFonts w:hint="eastAsia" w:ascii="宋体" w:hAnsi="宋体" w:cs="宋体"/>
          <w:lang w:eastAsia="zh-CN"/>
        </w:rPr>
        <w:t>。</w:t>
      </w:r>
      <w:r>
        <w:rPr>
          <w:rFonts w:hint="eastAsia" w:ascii="宋体" w:hAnsi="宋体" w:cs="宋体"/>
          <w:szCs w:val="18"/>
          <w:lang w:val="en-US" w:eastAsia="zh-CN"/>
        </w:rPr>
        <w:t>采用网上投标登记或购买招标文件的，应根据交易服务平台流程进行修改。</w:t>
      </w:r>
    </w:p>
  </w:footnote>
  <w:footnote w:id="10">
    <w:p>
      <w:pPr>
        <w:pStyle w:val="67"/>
        <w:spacing w:line="240" w:lineRule="auto"/>
        <w:ind w:firstLine="0"/>
        <w:rPr>
          <w:rFonts w:hint="eastAsia" w:ascii="宋体" w:hAnsi="宋体" w:cs="宋体"/>
          <w:szCs w:val="18"/>
        </w:rPr>
      </w:pPr>
      <w:r>
        <w:rPr>
          <w:rFonts w:hint="eastAsia" w:ascii="宋体" w:hAnsi="宋体" w:cs="宋体"/>
        </w:rPr>
        <w:footnoteRef/>
      </w:r>
      <w:r>
        <w:rPr>
          <w:rFonts w:hint="eastAsia" w:ascii="宋体" w:hAnsi="宋体" w:cs="宋体"/>
        </w:rPr>
        <w:t>每套招标文件售价只计工本费，最高不超过1000元（不含</w:t>
      </w:r>
      <w:r>
        <w:rPr>
          <w:rFonts w:hint="eastAsia" w:ascii="宋体" w:hAnsi="宋体" w:cs="宋体"/>
          <w:lang w:val="en-US" w:eastAsia="zh-CN"/>
        </w:rPr>
        <w:t>参考资料</w:t>
      </w:r>
      <w:r>
        <w:rPr>
          <w:rFonts w:hint="eastAsia" w:ascii="宋体" w:hAnsi="宋体" w:cs="宋体"/>
        </w:rPr>
        <w:t>部分）；</w:t>
      </w:r>
      <w:r>
        <w:rPr>
          <w:rFonts w:hint="eastAsia" w:ascii="宋体" w:hAnsi="宋体" w:cs="宋体"/>
          <w:lang w:val="en-US" w:eastAsia="zh-CN"/>
        </w:rPr>
        <w:t>前期技术资料</w:t>
      </w:r>
      <w:r>
        <w:rPr>
          <w:rFonts w:hint="eastAsia" w:ascii="宋体" w:hAnsi="宋体" w:cs="宋体"/>
        </w:rPr>
        <w:t>等参考资料每套</w:t>
      </w:r>
      <w:r>
        <w:rPr>
          <w:rFonts w:hint="eastAsia" w:ascii="宋体" w:hAnsi="宋体" w:cs="宋体"/>
          <w:lang w:val="en-US" w:eastAsia="zh-CN"/>
        </w:rPr>
        <w:t>售</w:t>
      </w:r>
      <w:r>
        <w:rPr>
          <w:rFonts w:hint="eastAsia" w:ascii="宋体" w:hAnsi="宋体" w:cs="宋体"/>
        </w:rPr>
        <w:t>价最高不超过2000元</w:t>
      </w:r>
      <w:r>
        <w:rPr>
          <w:rFonts w:hint="eastAsia" w:ascii="宋体" w:hAnsi="宋体" w:cs="宋体"/>
          <w:szCs w:val="18"/>
          <w:lang w:eastAsia="zh-CN"/>
        </w:rPr>
        <w:t>，</w:t>
      </w:r>
      <w:r>
        <w:rPr>
          <w:rFonts w:hint="eastAsia" w:ascii="宋体" w:hAnsi="宋体" w:cs="宋体"/>
          <w:color w:val="000000"/>
          <w:szCs w:val="18"/>
        </w:rPr>
        <w:t>鼓励以电子本文方式提供</w:t>
      </w:r>
      <w:r>
        <w:rPr>
          <w:rFonts w:hint="eastAsia" w:ascii="宋体" w:hAnsi="宋体" w:cs="宋体"/>
          <w:szCs w:val="18"/>
        </w:rPr>
        <w:t>。</w:t>
      </w:r>
    </w:p>
  </w:footnote>
  <w:footnote w:id="11">
    <w:p>
      <w:pPr>
        <w:pStyle w:val="67"/>
        <w:spacing w:line="240" w:lineRule="auto"/>
        <w:ind w:firstLine="343" w:firstLineChars="0"/>
        <w:rPr>
          <w:rFonts w:hint="eastAsia" w:ascii="宋体" w:hAnsi="宋体"/>
          <w:szCs w:val="18"/>
          <w:lang w:eastAsia="zh-CN"/>
        </w:rPr>
      </w:pPr>
    </w:p>
  </w:footnote>
  <w:footnote w:id="12">
    <w:p>
      <w:pPr>
        <w:pStyle w:val="67"/>
        <w:spacing w:line="240" w:lineRule="auto"/>
        <w:ind w:firstLine="0"/>
        <w:rPr>
          <w:rFonts w:hint="eastAsia" w:ascii="宋体" w:hAnsi="宋体"/>
          <w:szCs w:val="18"/>
        </w:rPr>
      </w:pPr>
      <w:r>
        <w:rPr>
          <w:rFonts w:hint="eastAsia" w:ascii="宋体" w:hAnsi="宋体"/>
          <w:szCs w:val="18"/>
        </w:rPr>
        <w:footnoteRef/>
      </w:r>
      <w:r>
        <w:rPr>
          <w:rFonts w:hint="eastAsia" w:ascii="宋体" w:hAnsi="宋体"/>
          <w:szCs w:val="18"/>
        </w:rPr>
        <w:t>招标公告还可同时在中国招标投标公共服务平台发布。</w:t>
      </w:r>
    </w:p>
  </w:footnote>
  <w:footnote w:id="13">
    <w:p>
      <w:pPr>
        <w:pStyle w:val="67"/>
        <w:spacing w:line="240" w:lineRule="auto"/>
        <w:ind w:firstLine="0"/>
        <w:rPr>
          <w:rFonts w:hint="eastAsia" w:ascii="宋体" w:hAnsi="宋体"/>
        </w:rPr>
      </w:pPr>
      <w:r>
        <w:rPr>
          <w:rStyle w:val="101"/>
          <w:rFonts w:ascii="宋体" w:hAnsi="宋体"/>
          <w:vertAlign w:val="baseline"/>
        </w:rPr>
        <w:footnoteRef/>
      </w:r>
      <w:r>
        <w:rPr>
          <w:rFonts w:hint="eastAsia" w:ascii="宋体" w:hAnsi="宋体"/>
        </w:rPr>
        <w:t>投标登记的单位家数满足</w:t>
      </w:r>
      <w:r>
        <w:rPr>
          <w:rFonts w:ascii="宋体" w:hAnsi="宋体"/>
        </w:rPr>
        <w:t>3家的</w:t>
      </w:r>
      <w:r>
        <w:rPr>
          <w:rFonts w:hint="eastAsia" w:ascii="宋体" w:hAnsi="宋体"/>
        </w:rPr>
        <w:t>标段是否不再延长投标登记时间由招标人根据实际情况自行设定。</w:t>
      </w:r>
    </w:p>
  </w:footnote>
  <w:footnote w:id="14">
    <w:p>
      <w:pPr>
        <w:pStyle w:val="67"/>
        <w:spacing w:line="240" w:lineRule="auto"/>
        <w:ind w:firstLine="0"/>
        <w:rPr>
          <w:rStyle w:val="101"/>
          <w:rFonts w:hint="eastAsia" w:ascii="宋体" w:hAnsi="宋体"/>
          <w:vertAlign w:val="baseline"/>
          <w:lang w:eastAsia="zh-CN"/>
        </w:rPr>
      </w:pPr>
      <w:r>
        <w:rPr>
          <w:rStyle w:val="101"/>
          <w:rFonts w:ascii="宋体" w:hAnsi="宋体"/>
          <w:vertAlign w:val="baseline"/>
        </w:rPr>
        <w:footnoteRef/>
      </w:r>
      <w:r>
        <w:rPr>
          <w:rFonts w:hint="eastAsia" w:ascii="宋体" w:hAnsi="宋体"/>
          <w:lang w:eastAsia="zh-CN"/>
        </w:rPr>
        <w:t>发布招标公告时，应将招标公告附件1和附件2同时发布。</w:t>
      </w:r>
    </w:p>
  </w:footnote>
  <w:footnote w:id="15">
    <w:p>
      <w:pPr>
        <w:pStyle w:val="67"/>
        <w:spacing w:line="240" w:lineRule="auto"/>
        <w:ind w:firstLine="0"/>
        <w:rPr>
          <w:rFonts w:hint="eastAsia" w:ascii="宋体" w:hAnsi="宋体"/>
          <w:lang w:eastAsia="zh-CN"/>
        </w:rPr>
      </w:pPr>
      <w:r>
        <w:rPr>
          <w:rFonts w:ascii="宋体" w:hAnsi="宋体"/>
        </w:rPr>
        <w:footnoteRef/>
      </w:r>
      <w:r>
        <w:rPr>
          <w:rFonts w:ascii="宋体" w:hAnsi="宋体"/>
        </w:rPr>
        <w:t>本章仅适用于采用邀请招标方式</w:t>
      </w:r>
      <w:r>
        <w:rPr>
          <w:rFonts w:hint="eastAsia" w:ascii="宋体" w:hAnsi="宋体"/>
          <w:lang w:eastAsia="zh-CN"/>
        </w:rPr>
        <w:t>。</w:t>
      </w:r>
      <w:r>
        <w:rPr>
          <w:rFonts w:hint="eastAsia"/>
          <w:szCs w:val="18"/>
        </w:rPr>
        <w:t>招标人可根据项目具体特点和实际需要对本章内容进行补充、细化，但应遵守《中华人民共和国招标投标法》和《招标公告和公示信息发布管理办法》等有关法律法规的规定</w:t>
      </w:r>
      <w:r>
        <w:rPr>
          <w:rFonts w:hint="eastAsia"/>
          <w:szCs w:val="18"/>
          <w:lang w:eastAsia="zh-CN"/>
        </w:rPr>
        <w:t>。</w:t>
      </w:r>
    </w:p>
  </w:footnote>
  <w:footnote w:id="16">
    <w:p>
      <w:pPr>
        <w:pStyle w:val="67"/>
        <w:spacing w:line="240" w:lineRule="auto"/>
        <w:ind w:firstLine="0"/>
        <w:rPr>
          <w:rFonts w:ascii="宋体" w:hAnsi="宋体"/>
          <w:szCs w:val="18"/>
        </w:rPr>
      </w:pPr>
      <w:r>
        <w:rPr>
          <w:rFonts w:ascii="宋体" w:hAnsi="宋体"/>
          <w:szCs w:val="18"/>
        </w:rPr>
        <w:footnoteRef/>
      </w:r>
      <w:r>
        <w:rPr>
          <w:rFonts w:ascii="宋体" w:hAnsi="宋体"/>
          <w:szCs w:val="18"/>
          <w:lang w:eastAsia="zh-CN"/>
        </w:rPr>
        <w:t>招标人按项目实际情况设置是否接受联合体投标。</w:t>
      </w:r>
    </w:p>
  </w:footnote>
  <w:footnote w:id="17">
    <w:p>
      <w:pPr>
        <w:pStyle w:val="67"/>
        <w:spacing w:line="240" w:lineRule="auto"/>
        <w:ind w:firstLine="0"/>
        <w:rPr>
          <w:rFonts w:ascii="宋体" w:hAnsi="宋体"/>
          <w:szCs w:val="18"/>
        </w:rPr>
      </w:pPr>
      <w:r>
        <w:rPr>
          <w:rFonts w:ascii="宋体" w:hAnsi="宋体"/>
          <w:szCs w:val="18"/>
        </w:rPr>
        <w:footnoteRef/>
      </w:r>
      <w:r>
        <w:rPr>
          <w:rFonts w:ascii="宋体" w:hAnsi="宋体"/>
          <w:szCs w:val="18"/>
        </w:rPr>
        <w:t>若联合体协议约定同一专业分工由两个及以上单位共同承担的，按照就低不就高的原则确定联合体的资质；不同专业分工由不同单位分别承担的，按照各自的专业资质确定联合体的资质，下同。</w:t>
      </w:r>
    </w:p>
  </w:footnote>
  <w:footnote w:id="18">
    <w:p>
      <w:pPr>
        <w:pStyle w:val="67"/>
        <w:spacing w:line="240" w:lineRule="auto"/>
        <w:ind w:firstLine="0"/>
        <w:rPr>
          <w:rFonts w:ascii="宋体" w:hAnsi="宋体"/>
          <w:szCs w:val="18"/>
          <w:lang w:eastAsia="zh-CN"/>
        </w:rPr>
      </w:pPr>
      <w:r>
        <w:rPr>
          <w:rFonts w:ascii="宋体" w:hAnsi="宋体"/>
          <w:szCs w:val="18"/>
        </w:rPr>
        <w:footnoteRef/>
      </w:r>
      <w:r>
        <w:rPr>
          <w:rFonts w:ascii="宋体" w:hAnsi="宋体"/>
          <w:szCs w:val="18"/>
        </w:rPr>
        <w:t>本条款一般适用于方案设计招标</w:t>
      </w:r>
      <w:r>
        <w:rPr>
          <w:rFonts w:ascii="宋体" w:hAnsi="宋体"/>
          <w:szCs w:val="18"/>
          <w:lang w:eastAsia="zh-CN"/>
        </w:rPr>
        <w:t>。</w:t>
      </w:r>
    </w:p>
  </w:footnote>
  <w:footnote w:id="19">
    <w:p>
      <w:pPr>
        <w:pStyle w:val="67"/>
        <w:spacing w:line="240" w:lineRule="auto"/>
        <w:ind w:firstLine="0"/>
        <w:rPr>
          <w:rFonts w:hint="eastAsia" w:ascii="宋体" w:hAnsi="宋体"/>
        </w:rPr>
      </w:pPr>
      <w:r>
        <w:rPr>
          <w:rFonts w:ascii="宋体" w:hAnsi="宋体"/>
        </w:rPr>
        <w:footnoteRef/>
      </w:r>
      <w:r>
        <w:rPr>
          <w:rFonts w:hint="eastAsia" w:ascii="宋体" w:hAnsi="宋体"/>
        </w:rPr>
        <w:t>每套招标文件售价只计工本费，最高不超过1000元（不含</w:t>
      </w:r>
      <w:r>
        <w:rPr>
          <w:rFonts w:hint="eastAsia" w:ascii="宋体" w:hAnsi="宋体"/>
          <w:lang w:val="en-US" w:eastAsia="zh-CN"/>
        </w:rPr>
        <w:t>参考资料</w:t>
      </w:r>
      <w:r>
        <w:rPr>
          <w:rFonts w:hint="eastAsia" w:ascii="宋体" w:hAnsi="宋体"/>
        </w:rPr>
        <w:t>部分）；</w:t>
      </w:r>
      <w:r>
        <w:rPr>
          <w:rFonts w:hint="eastAsia" w:ascii="宋体" w:hAnsi="宋体"/>
          <w:lang w:val="en-US" w:eastAsia="zh-CN"/>
        </w:rPr>
        <w:t>前期技术资料</w:t>
      </w:r>
      <w:r>
        <w:rPr>
          <w:rFonts w:hint="eastAsia" w:ascii="宋体" w:hAnsi="宋体"/>
        </w:rPr>
        <w:t>等参考资料每套售价最高不超过2000元</w:t>
      </w:r>
      <w:r>
        <w:rPr>
          <w:rFonts w:hint="eastAsia" w:ascii="宋体" w:hAnsi="宋体"/>
          <w:lang w:eastAsia="zh-CN"/>
        </w:rPr>
        <w:t>，</w:t>
      </w:r>
      <w:r>
        <w:rPr>
          <w:rFonts w:hint="eastAsia" w:ascii="宋体" w:hAnsi="宋体"/>
        </w:rPr>
        <w:t>鼓励以电子本文方式提供。</w:t>
      </w:r>
    </w:p>
  </w:footnote>
  <w:footnote w:id="20">
    <w:p>
      <w:pPr>
        <w:pStyle w:val="67"/>
        <w:spacing w:line="240" w:lineRule="auto"/>
        <w:ind w:firstLine="0"/>
        <w:rPr>
          <w:rFonts w:hint="eastAsia"/>
        </w:rPr>
      </w:pPr>
      <w:r>
        <w:rPr>
          <w:rFonts w:ascii="宋体" w:hAnsi="宋体"/>
        </w:rPr>
        <w:footnoteRef/>
      </w:r>
      <w:r>
        <w:rPr>
          <w:rFonts w:ascii="宋体" w:hAnsi="宋体"/>
        </w:rPr>
        <w:t xml:space="preserve"> </w:t>
      </w:r>
      <w:r>
        <w:rPr>
          <w:rFonts w:hint="eastAsia" w:ascii="宋体" w:hAnsi="宋体"/>
          <w:lang w:val="en-US"/>
        </w:rPr>
        <w:t>a.</w:t>
      </w:r>
      <w:r>
        <w:rPr>
          <w:rFonts w:hint="eastAsia" w:ascii="宋体" w:hAnsi="宋体"/>
        </w:rPr>
        <w:t>“投标人须知前附表”用于进一步明确正文中的未尽事宜，由招标人根据招标项目具体特点和实际需要编制和填写，且应与</w:t>
      </w:r>
      <w:r>
        <w:rPr>
          <w:rFonts w:hint="eastAsia"/>
        </w:rPr>
        <w:t>招标文件中其他章节相衔接，并不得与本章正文内容相抵触。</w:t>
      </w:r>
    </w:p>
    <w:p>
      <w:pPr>
        <w:pStyle w:val="67"/>
        <w:spacing w:line="240" w:lineRule="auto"/>
        <w:ind w:firstLine="180" w:firstLineChars="100"/>
        <w:rPr>
          <w:rFonts w:hint="eastAsia" w:ascii="宋体" w:hAnsi="宋体"/>
        </w:rPr>
      </w:pPr>
      <w:r>
        <w:rPr>
          <w:rFonts w:hint="eastAsia" w:ascii="宋体" w:hAnsi="宋体"/>
          <w:lang w:val="en-US"/>
        </w:rPr>
        <w:t>b.</w:t>
      </w:r>
      <w:r>
        <w:rPr>
          <w:rFonts w:hint="eastAsia" w:ascii="宋体" w:hAnsi="宋体"/>
        </w:rPr>
        <w:t>“投标人须知前附表”中的附录表格同属“投标人须知前附表” 内容，具有同等效力。</w:t>
      </w:r>
    </w:p>
  </w:footnote>
  <w:footnote w:id="21">
    <w:p>
      <w:pPr>
        <w:pStyle w:val="67"/>
        <w:spacing w:line="240" w:lineRule="auto"/>
        <w:ind w:firstLine="0"/>
        <w:rPr>
          <w:rFonts w:hint="eastAsia" w:ascii="宋体" w:hAnsi="宋体"/>
        </w:rPr>
      </w:pPr>
      <w:r>
        <w:rPr>
          <w:rFonts w:hint="eastAsia" w:ascii="宋体" w:hAnsi="宋体"/>
        </w:rPr>
        <w:footnoteRef/>
      </w:r>
      <w:r>
        <w:rPr>
          <w:rFonts w:hint="eastAsia" w:ascii="宋体" w:hAnsi="宋体"/>
        </w:rPr>
        <w:t xml:space="preserve"> 招标人应根据招标项目具体特点和实际需要，对工程勘察设计服务质量提出目标要求。</w:t>
      </w:r>
    </w:p>
  </w:footnote>
  <w:footnote w:id="22">
    <w:p>
      <w:pPr>
        <w:pStyle w:val="67"/>
        <w:spacing w:line="240" w:lineRule="auto"/>
        <w:ind w:firstLine="0"/>
        <w:rPr>
          <w:rFonts w:hint="eastAsia" w:ascii="宋体" w:hAnsi="宋体"/>
        </w:rPr>
      </w:pPr>
      <w:r>
        <w:rPr>
          <w:rFonts w:hint="eastAsia" w:ascii="宋体" w:hAnsi="宋体"/>
        </w:rPr>
        <w:footnoteRef/>
      </w:r>
      <w:r>
        <w:rPr>
          <w:rFonts w:hint="eastAsia" w:ascii="宋体" w:hAnsi="宋体"/>
        </w:rPr>
        <w:t xml:space="preserve"> 招标人应根据招标项目具体特点和实际需要，对工程勘察设计过程中的</w:t>
      </w:r>
      <w:r>
        <w:rPr>
          <w:rFonts w:hint="eastAsia" w:ascii="宋体" w:hAnsi="宋体"/>
          <w:lang w:val="en-US" w:eastAsia="zh-CN"/>
        </w:rPr>
        <w:t>人员</w:t>
      </w:r>
      <w:r>
        <w:rPr>
          <w:rFonts w:hint="eastAsia" w:ascii="宋体" w:hAnsi="宋体"/>
        </w:rPr>
        <w:t>安全提出目标要求。</w:t>
      </w:r>
    </w:p>
  </w:footnote>
  <w:footnote w:id="23">
    <w:p>
      <w:pPr>
        <w:pStyle w:val="67"/>
        <w:spacing w:line="240" w:lineRule="auto"/>
        <w:ind w:firstLine="0"/>
        <w:rPr>
          <w:rFonts w:hint="eastAsia" w:ascii="宋体" w:hAnsi="宋体"/>
          <w:lang w:eastAsia="zh-CN"/>
        </w:rPr>
      </w:pPr>
      <w:r>
        <w:rPr>
          <w:rFonts w:hint="eastAsia" w:ascii="宋体" w:hAnsi="宋体"/>
        </w:rPr>
        <w:footnoteRef/>
      </w:r>
      <w:r>
        <w:rPr>
          <w:rFonts w:hint="eastAsia" w:ascii="宋体" w:hAnsi="宋体"/>
        </w:rPr>
        <w:t xml:space="preserve"> 其他要求包括附录 </w:t>
      </w:r>
      <w:r>
        <w:rPr>
          <w:rFonts w:hint="eastAsia" w:ascii="宋体" w:hAnsi="宋体"/>
          <w:lang w:val="en-US" w:eastAsia="zh-CN"/>
        </w:rPr>
        <w:t>5</w:t>
      </w:r>
      <w:r>
        <w:rPr>
          <w:rFonts w:hint="eastAsia" w:ascii="宋体" w:hAnsi="宋体"/>
        </w:rPr>
        <w:t>资格审查条件(其他</w:t>
      </w:r>
      <w:r>
        <w:rPr>
          <w:rFonts w:hint="eastAsia" w:ascii="宋体" w:hAnsi="宋体"/>
          <w:lang w:eastAsia="zh-CN"/>
        </w:rPr>
        <w:t>主要</w:t>
      </w:r>
      <w:r>
        <w:rPr>
          <w:rFonts w:hint="eastAsia" w:ascii="宋体" w:hAnsi="宋体"/>
        </w:rPr>
        <w:t>人员最低要求)和附录</w:t>
      </w:r>
      <w:r>
        <w:rPr>
          <w:rFonts w:hint="eastAsia" w:ascii="宋体" w:hAnsi="宋体"/>
          <w:lang w:val="en-US" w:eastAsia="zh-CN"/>
        </w:rPr>
        <w:t>6</w:t>
      </w:r>
      <w:r>
        <w:rPr>
          <w:rFonts w:hint="eastAsia" w:ascii="宋体" w:hAnsi="宋体"/>
        </w:rPr>
        <w:t>资格审查条件(</w:t>
      </w:r>
      <w:r>
        <w:rPr>
          <w:rFonts w:hint="eastAsia" w:ascii="宋体" w:hAnsi="宋体"/>
          <w:lang w:eastAsia="zh-CN"/>
        </w:rPr>
        <w:t>其他</w:t>
      </w:r>
      <w:r>
        <w:rPr>
          <w:rFonts w:hint="eastAsia" w:ascii="宋体" w:hAnsi="宋体"/>
        </w:rPr>
        <w:t>要求)，招标人根据项目实际情况确定是否在投标阶段设置</w:t>
      </w:r>
      <w:r>
        <w:rPr>
          <w:rFonts w:hint="eastAsia" w:ascii="宋体" w:hAnsi="宋体"/>
          <w:lang w:eastAsia="zh-CN"/>
        </w:rPr>
        <w:t>。</w:t>
      </w:r>
    </w:p>
  </w:footnote>
  <w:footnote w:id="24">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如投标人不具备某专项工程相应资质的且允许分包的，应填报《拟分包项目情况表》</w:t>
      </w:r>
      <w:r>
        <w:rPr>
          <w:rFonts w:hint="eastAsia" w:ascii="宋体" w:hAnsi="宋体"/>
          <w:szCs w:val="18"/>
          <w:lang w:eastAsia="zh-CN"/>
        </w:rPr>
        <w:t>，</w:t>
      </w:r>
      <w:r>
        <w:rPr>
          <w:rFonts w:hint="eastAsia" w:ascii="宋体" w:hAnsi="宋体"/>
          <w:szCs w:val="18"/>
          <w:lang w:val="en-US" w:eastAsia="zh-CN"/>
        </w:rPr>
        <w:t>否则按否决投标处理</w:t>
      </w:r>
      <w:r>
        <w:rPr>
          <w:rFonts w:hint="eastAsia" w:ascii="宋体" w:hAnsi="宋体"/>
          <w:szCs w:val="18"/>
        </w:rPr>
        <w:t>。</w:t>
      </w:r>
    </w:p>
  </w:footnote>
  <w:footnote w:id="25">
    <w:p>
      <w:pPr>
        <w:pStyle w:val="67"/>
        <w:spacing w:line="240" w:lineRule="auto"/>
        <w:ind w:firstLine="0"/>
        <w:rPr>
          <w:rFonts w:hint="eastAsia" w:ascii="宋体" w:hAnsi="宋体"/>
        </w:rPr>
      </w:pPr>
      <w:r>
        <w:rPr>
          <w:rFonts w:ascii="宋体" w:hAnsi="宋体"/>
        </w:rPr>
        <w:footnoteRef/>
      </w:r>
      <w:r>
        <w:rPr>
          <w:rFonts w:hint="eastAsia" w:ascii="宋体" w:hAnsi="宋体"/>
          <w:lang w:val="en-US"/>
        </w:rPr>
        <w:t>招标人可根据招标项目的实际情况设置需公布的费用</w:t>
      </w:r>
      <w:r>
        <w:rPr>
          <w:rFonts w:hint="eastAsia" w:ascii="宋体" w:hAnsi="宋体"/>
        </w:rPr>
        <w:t>。</w:t>
      </w:r>
    </w:p>
  </w:footnote>
  <w:footnote w:id="26">
    <w:p>
      <w:pPr>
        <w:pStyle w:val="67"/>
        <w:spacing w:line="240" w:lineRule="auto"/>
        <w:ind w:firstLine="0"/>
        <w:rPr>
          <w:rFonts w:hint="eastAsia" w:ascii="宋体" w:hAnsi="宋体"/>
          <w:lang w:eastAsia="zh-CN"/>
        </w:rPr>
      </w:pPr>
      <w:r>
        <w:rPr>
          <w:rFonts w:ascii="宋体" w:hAnsi="宋体"/>
        </w:rPr>
        <w:footnoteRef/>
      </w:r>
      <w:r>
        <w:rPr>
          <w:rFonts w:ascii="宋体" w:hAnsi="宋体"/>
        </w:rPr>
        <w:t>投标保证金的金额不超过招标标段估算价的2%</w:t>
      </w:r>
      <w:r>
        <w:rPr>
          <w:rFonts w:hint="eastAsia" w:ascii="宋体" w:hAnsi="宋体"/>
          <w:lang w:eastAsia="zh-CN"/>
        </w:rPr>
        <w:t>，</w:t>
      </w:r>
      <w:r>
        <w:rPr>
          <w:rFonts w:hint="eastAsia" w:ascii="宋体" w:hAnsi="宋体"/>
          <w:lang w:val="en-US" w:eastAsia="zh-CN"/>
        </w:rPr>
        <w:t>对于AA级单位可在此处约定减免投标保证金</w:t>
      </w:r>
      <w:r>
        <w:rPr>
          <w:rFonts w:hint="eastAsia" w:ascii="宋体" w:hAnsi="宋体"/>
          <w:lang w:eastAsia="zh-CN"/>
        </w:rPr>
        <w:t>。</w:t>
      </w:r>
    </w:p>
  </w:footnote>
  <w:footnote w:id="27">
    <w:p>
      <w:pPr>
        <w:pStyle w:val="67"/>
        <w:spacing w:line="240" w:lineRule="auto"/>
        <w:ind w:firstLine="0"/>
        <w:rPr>
          <w:rFonts w:hint="eastAsia" w:ascii="宋体" w:hAnsi="宋体"/>
          <w:lang w:eastAsia="zh-CN"/>
        </w:rPr>
      </w:pPr>
      <w:r>
        <w:rPr>
          <w:rFonts w:ascii="宋体" w:hAnsi="宋体"/>
        </w:rPr>
        <w:footnoteRef/>
      </w:r>
      <w:r>
        <w:rPr>
          <w:rFonts w:ascii="宋体" w:hAnsi="宋体"/>
        </w:rPr>
        <w:t>招标人不得强制限定投标保证金必须采用现金或支票方式缴纳，不得拒绝银行保函等其他合法形式的投标保证金</w:t>
      </w:r>
      <w:r>
        <w:rPr>
          <w:rFonts w:hint="eastAsia" w:ascii="宋体" w:hAnsi="宋体"/>
          <w:lang w:eastAsia="zh-CN"/>
        </w:rPr>
        <w:t>。</w:t>
      </w:r>
    </w:p>
  </w:footnote>
  <w:footnote w:id="28">
    <w:p>
      <w:pPr>
        <w:pStyle w:val="67"/>
        <w:spacing w:line="240" w:lineRule="auto"/>
        <w:ind w:firstLine="0"/>
        <w:rPr>
          <w:rFonts w:ascii="宋体" w:hAnsi="宋体" w:cs="宋体"/>
        </w:rPr>
      </w:pPr>
      <w:r>
        <w:rPr>
          <w:rStyle w:val="101"/>
          <w:rFonts w:hint="eastAsia" w:ascii="宋体" w:hAnsi="宋体" w:cs="宋体"/>
          <w:vertAlign w:val="baseline"/>
        </w:rPr>
        <w:footnoteRef/>
      </w:r>
      <w:r>
        <w:rPr>
          <w:rFonts w:hint="eastAsia" w:ascii="宋体" w:hAnsi="宋体" w:cs="宋体"/>
        </w:rPr>
        <w:t>可根据招标人的财务需要，在此明确是否需要投标人提供利息的发票等规定。</w:t>
      </w:r>
    </w:p>
  </w:footnote>
  <w:footnote w:id="29">
    <w:p>
      <w:pPr>
        <w:pStyle w:val="67"/>
        <w:spacing w:line="240" w:lineRule="auto"/>
        <w:ind w:firstLine="0"/>
        <w:rPr>
          <w:rFonts w:hint="eastAsia" w:ascii="宋体" w:hAnsi="宋体" w:cs="宋体"/>
        </w:rPr>
      </w:pPr>
      <w:r>
        <w:rPr>
          <w:rStyle w:val="101"/>
          <w:rFonts w:ascii="宋体" w:hAnsi="宋体" w:cs="宋体"/>
          <w:vertAlign w:val="baseline"/>
        </w:rPr>
        <w:footnoteRef/>
      </w:r>
      <w:r>
        <w:rPr>
          <w:rFonts w:hint="eastAsia" w:ascii="宋体" w:hAnsi="宋体" w:cs="宋体"/>
        </w:rPr>
        <w:t>本条适用于投标保证金由公共资源交易中心代收的情况。</w:t>
      </w:r>
    </w:p>
  </w:footnote>
  <w:footnote w:id="30">
    <w:p>
      <w:pPr>
        <w:pStyle w:val="67"/>
        <w:snapToGrid/>
        <w:spacing w:line="240" w:lineRule="auto"/>
        <w:ind w:firstLine="0"/>
        <w:rPr>
          <w:rFonts w:ascii="宋体" w:hAnsi="宋体"/>
          <w:lang w:val="en-US" w:eastAsia="zh-CN"/>
        </w:rPr>
      </w:pPr>
      <w:r>
        <w:rPr>
          <w:rFonts w:ascii="宋体" w:hAnsi="宋体"/>
        </w:rPr>
        <w:footnoteRef/>
      </w:r>
      <w:r>
        <w:rPr>
          <w:rFonts w:ascii="宋体" w:hAnsi="宋体"/>
          <w:lang w:val="en-US" w:eastAsia="zh-CN"/>
        </w:rPr>
        <w:t>适用于设计单独招标或勘察设计同时招标</w:t>
      </w:r>
      <w:r>
        <w:rPr>
          <w:rFonts w:hint="eastAsia" w:ascii="宋体" w:hAnsi="宋体"/>
          <w:lang w:val="en-US" w:eastAsia="zh-CN"/>
        </w:rPr>
        <w:t>，设计批复由招标人根据实际招标阶段设定初步设计批复或施工图设计批复</w:t>
      </w:r>
      <w:r>
        <w:rPr>
          <w:rFonts w:ascii="宋体" w:hAnsi="宋体"/>
          <w:lang w:val="en-US" w:eastAsia="zh-CN"/>
        </w:rPr>
        <w:t>。</w:t>
      </w:r>
    </w:p>
  </w:footnote>
  <w:footnote w:id="31">
    <w:p>
      <w:pPr>
        <w:pStyle w:val="67"/>
        <w:snapToGrid/>
        <w:spacing w:line="240" w:lineRule="auto"/>
        <w:ind w:firstLine="0"/>
        <w:rPr>
          <w:rFonts w:ascii="宋体" w:hAnsi="宋体"/>
          <w:highlight w:val="none"/>
          <w:lang w:val="en-US" w:eastAsia="zh-CN"/>
        </w:rPr>
      </w:pPr>
      <w:r>
        <w:rPr>
          <w:rFonts w:ascii="宋体" w:hAnsi="宋体"/>
          <w:highlight w:val="none"/>
        </w:rPr>
        <w:footnoteRef/>
      </w:r>
      <w:r>
        <w:rPr>
          <w:rFonts w:ascii="宋体" w:hAnsi="宋体"/>
          <w:highlight w:val="none"/>
          <w:lang w:val="en-US" w:eastAsia="zh-CN"/>
        </w:rPr>
        <w:t>适用于勘察单独招标</w:t>
      </w:r>
      <w:r>
        <w:rPr>
          <w:rFonts w:hint="eastAsia" w:ascii="宋体" w:hAnsi="宋体"/>
          <w:highlight w:val="none"/>
          <w:lang w:val="en-US" w:eastAsia="zh-CN"/>
        </w:rPr>
        <w:t>，完工证明指由业主单位出具的项目勘察成果完工的相关证明。</w:t>
      </w:r>
    </w:p>
  </w:footnote>
  <w:footnote w:id="32">
    <w:p>
      <w:pPr>
        <w:pStyle w:val="67"/>
        <w:spacing w:line="240" w:lineRule="auto"/>
        <w:ind w:firstLine="0"/>
        <w:rPr>
          <w:rFonts w:ascii="宋体" w:hAnsi="宋体"/>
          <w:highlight w:val="none"/>
          <w:lang w:eastAsia="zh-CN"/>
        </w:rPr>
      </w:pPr>
      <w:r>
        <w:rPr>
          <w:rFonts w:ascii="宋体" w:hAnsi="宋体"/>
          <w:highlight w:val="none"/>
        </w:rPr>
        <w:footnoteRef/>
      </w:r>
      <w:r>
        <w:rPr>
          <w:rFonts w:hint="eastAsia" w:ascii="宋体" w:hAnsi="宋体"/>
          <w:highlight w:val="none"/>
          <w:lang w:val="en-US" w:eastAsia="zh-CN"/>
        </w:rPr>
        <w:t>原则上</w:t>
      </w:r>
      <w:r>
        <w:rPr>
          <w:rFonts w:hint="eastAsia" w:ascii="宋体" w:hAnsi="宋体"/>
          <w:highlight w:val="none"/>
        </w:rPr>
        <w:t>为近5年</w:t>
      </w:r>
      <w:r>
        <w:rPr>
          <w:rFonts w:hint="eastAsia" w:ascii="宋体" w:hAnsi="宋体"/>
          <w:highlight w:val="none"/>
          <w:lang w:eastAsia="zh-CN"/>
        </w:rPr>
        <w:t>。</w:t>
      </w:r>
      <w:r>
        <w:rPr>
          <w:rFonts w:hint="eastAsia" w:ascii="宋体" w:hAnsi="宋体"/>
          <w:highlight w:val="none"/>
        </w:rPr>
        <w:t>如工程业绩有特殊性，招标人应结合工程特点，合理设定。</w:t>
      </w:r>
    </w:p>
  </w:footnote>
  <w:footnote w:id="33">
    <w:p>
      <w:pPr>
        <w:pStyle w:val="67"/>
        <w:spacing w:line="240" w:lineRule="auto"/>
        <w:ind w:firstLine="0"/>
        <w:rPr>
          <w:rFonts w:hint="eastAsia" w:ascii="宋体" w:hAnsi="宋体"/>
        </w:rPr>
      </w:pPr>
      <w:r>
        <w:rPr>
          <w:rFonts w:ascii="宋体" w:hAnsi="宋体"/>
        </w:rPr>
        <w:footnoteRef/>
      </w:r>
      <w:r>
        <w:rPr>
          <w:rFonts w:hint="eastAsia" w:ascii="宋体" w:hAnsi="宋体"/>
          <w:lang w:val="en-US" w:eastAsia="zh-CN"/>
        </w:rPr>
        <w:t>评</w:t>
      </w:r>
      <w:r>
        <w:rPr>
          <w:rFonts w:hint="eastAsia" w:ascii="宋体" w:hAnsi="宋体"/>
        </w:rPr>
        <w:t>标委员会应按照国家及广东省的规定进行组建，根据粤交〔</w:t>
      </w:r>
      <w:r>
        <w:rPr>
          <w:rFonts w:ascii="宋体" w:hAnsi="宋体"/>
        </w:rPr>
        <w:t xml:space="preserve">2022〕11 </w:t>
      </w:r>
      <w:r>
        <w:rPr>
          <w:rFonts w:hint="eastAsia" w:ascii="宋体" w:hAnsi="宋体"/>
        </w:rPr>
        <w:t>号文规定原则上人数不少于7人单数。</w:t>
      </w:r>
    </w:p>
  </w:footnote>
  <w:footnote w:id="34">
    <w:p>
      <w:pPr>
        <w:pStyle w:val="67"/>
        <w:spacing w:line="240" w:lineRule="auto"/>
        <w:ind w:firstLine="0"/>
      </w:pPr>
      <w:r>
        <w:rPr>
          <w:rFonts w:hint="eastAsia" w:ascii="宋体" w:hAnsi="宋体"/>
          <w:szCs w:val="18"/>
        </w:rPr>
        <w:footnoteRef/>
      </w:r>
      <w:r>
        <w:rPr>
          <w:rFonts w:hint="eastAsia" w:ascii="宋体" w:hAnsi="宋体"/>
          <w:szCs w:val="18"/>
        </w:rPr>
        <w:t>交通运输部负责监督管理的水运工程建设项目，其评标专家从交通运输部水运工程和交通支持系统综合评标专家库中随机抽取确定，其他水运工程建设项目的评标专家从广东省综合评标专家库或其他依法组建的综合评标专家库中随机抽取确定。</w:t>
      </w:r>
      <w:r>
        <w:rPr>
          <w:rFonts w:ascii="宋体" w:hAnsi="宋体" w:cs="宋体"/>
          <w:sz w:val="24"/>
          <w:szCs w:val="24"/>
        </w:rPr>
        <w:t xml:space="preserve"> </w:t>
      </w:r>
    </w:p>
  </w:footnote>
  <w:footnote w:id="35">
    <w:p>
      <w:pPr>
        <w:pStyle w:val="67"/>
        <w:spacing w:line="240" w:lineRule="auto"/>
        <w:ind w:firstLine="0"/>
        <w:rPr>
          <w:rFonts w:hint="eastAsia" w:ascii="宋体" w:hAnsi="宋体"/>
          <w:szCs w:val="18"/>
        </w:rPr>
      </w:pPr>
      <w:r>
        <w:rPr>
          <w:rFonts w:ascii="宋体" w:hAnsi="宋体"/>
          <w:szCs w:val="18"/>
        </w:rPr>
        <w:footnoteRef/>
      </w:r>
      <w:r>
        <w:rPr>
          <w:rFonts w:ascii="宋体" w:hAnsi="宋体"/>
          <w:szCs w:val="18"/>
        </w:rPr>
        <w:t>推荐的中标候选人应当不超过3个</w:t>
      </w:r>
      <w:r>
        <w:rPr>
          <w:rFonts w:hint="eastAsia" w:ascii="宋体" w:hAnsi="宋体"/>
          <w:szCs w:val="18"/>
        </w:rPr>
        <w:t>。</w:t>
      </w:r>
    </w:p>
  </w:footnote>
  <w:footnote w:id="36">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中标候选人公示还可同时在中国招标投标公共服务平台发布</w:t>
      </w:r>
      <w:r>
        <w:rPr>
          <w:rFonts w:hint="eastAsia" w:ascii="宋体" w:hAnsi="宋体"/>
          <w:szCs w:val="18"/>
          <w:lang w:eastAsia="zh-CN"/>
        </w:rPr>
        <w:t>。</w:t>
      </w:r>
    </w:p>
  </w:footnote>
  <w:footnote w:id="37">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招标人根据相关规定将相关信息进行公示</w:t>
      </w:r>
      <w:r>
        <w:rPr>
          <w:rFonts w:hint="eastAsia" w:ascii="宋体" w:hAnsi="宋体"/>
          <w:szCs w:val="18"/>
          <w:lang w:eastAsia="zh-CN"/>
        </w:rPr>
        <w:t>，公示期限不少于3日。根据《民法典》第二百零三条的规定，期限的最后一日是法定休假日的，公示期限应当延长至法定休假日结束的次日为公示期间的最后一日</w:t>
      </w:r>
      <w:r>
        <w:rPr>
          <w:rFonts w:hint="eastAsia" w:ascii="宋体" w:hAnsi="宋体"/>
          <w:szCs w:val="18"/>
        </w:rPr>
        <w:t>。</w:t>
      </w:r>
    </w:p>
  </w:footnote>
  <w:footnote w:id="38">
    <w:p>
      <w:pPr>
        <w:pStyle w:val="67"/>
        <w:spacing w:line="240" w:lineRule="atLeast"/>
        <w:ind w:firstLine="0"/>
        <w:rPr>
          <w:rFonts w:hint="eastAsia"/>
        </w:rPr>
      </w:pPr>
      <w:r>
        <w:rPr>
          <w:rStyle w:val="101"/>
          <w:rFonts w:ascii="宋体" w:hAnsi="宋体"/>
          <w:szCs w:val="18"/>
          <w:vertAlign w:val="baseline"/>
        </w:rPr>
        <w:footnoteRef/>
      </w:r>
      <w:r>
        <w:rPr>
          <w:szCs w:val="18"/>
        </w:rPr>
        <w:t>中标</w:t>
      </w:r>
      <w:r>
        <w:rPr>
          <w:rFonts w:hint="eastAsia"/>
          <w:szCs w:val="18"/>
        </w:rPr>
        <w:t>结果</w:t>
      </w:r>
      <w:r>
        <w:rPr>
          <w:szCs w:val="18"/>
        </w:rPr>
        <w:t>公告</w:t>
      </w:r>
      <w:r>
        <w:rPr>
          <w:rFonts w:hint="eastAsia"/>
          <w:szCs w:val="18"/>
        </w:rPr>
        <w:t>还可同时在</w:t>
      </w:r>
      <w:r>
        <w:rPr>
          <w:rFonts w:hint="eastAsia"/>
          <w:szCs w:val="18"/>
          <w:lang w:val="en-US"/>
        </w:rPr>
        <w:t>XX交易中心网站、</w:t>
      </w:r>
      <w:r>
        <w:rPr>
          <w:rFonts w:hint="eastAsia"/>
          <w:szCs w:val="18"/>
        </w:rPr>
        <w:t>中国招标投标公共服务平台发布。</w:t>
      </w:r>
    </w:p>
  </w:footnote>
  <w:footnote w:id="39">
    <w:p>
      <w:pPr>
        <w:pStyle w:val="67"/>
        <w:spacing w:line="240" w:lineRule="auto"/>
        <w:ind w:firstLine="0"/>
        <w:rPr>
          <w:rFonts w:hint="eastAsia" w:ascii="宋体" w:hAnsi="宋体"/>
        </w:rPr>
      </w:pPr>
      <w:r>
        <w:rPr>
          <w:rStyle w:val="101"/>
          <w:rFonts w:hint="eastAsia" w:ascii="宋体" w:hAnsi="宋体"/>
          <w:vertAlign w:val="baseline"/>
        </w:rPr>
        <w:footnoteRef/>
      </w:r>
      <w:r>
        <w:rPr>
          <w:rFonts w:hint="eastAsia" w:ascii="宋体" w:hAnsi="宋体"/>
        </w:rPr>
        <w:t>招标人不得强制限定履约保证金必须采用现金或支票方式缴纳，</w:t>
      </w:r>
      <w:r>
        <w:rPr>
          <w:rFonts w:ascii="宋体" w:hAnsi="宋体"/>
        </w:rPr>
        <w:t>不得拒绝银行保函</w:t>
      </w:r>
      <w:r>
        <w:rPr>
          <w:rFonts w:hint="eastAsia" w:ascii="宋体" w:hAnsi="宋体"/>
        </w:rPr>
        <w:t>和其他合法</w:t>
      </w:r>
      <w:r>
        <w:rPr>
          <w:rFonts w:ascii="宋体" w:hAnsi="宋体"/>
        </w:rPr>
        <w:t>形式的</w:t>
      </w:r>
      <w:r>
        <w:rPr>
          <w:rFonts w:hint="eastAsia" w:ascii="宋体" w:hAnsi="宋体"/>
        </w:rPr>
        <w:t>履约保证金。</w:t>
      </w:r>
    </w:p>
  </w:footnote>
  <w:footnote w:id="40">
    <w:p>
      <w:pPr>
        <w:pStyle w:val="67"/>
        <w:spacing w:line="240" w:lineRule="auto"/>
        <w:ind w:firstLine="0"/>
        <w:rPr>
          <w:rFonts w:hint="eastAsia" w:ascii="宋体" w:hAnsi="宋体"/>
          <w:szCs w:val="18"/>
          <w:lang w:eastAsia="zh-CN"/>
        </w:rPr>
      </w:pPr>
      <w:r>
        <w:rPr>
          <w:rFonts w:hint="eastAsia" w:ascii="宋体" w:hAnsi="宋体"/>
          <w:szCs w:val="18"/>
        </w:rPr>
        <w:footnoteRef/>
      </w:r>
      <w:r>
        <w:rPr>
          <w:rFonts w:hint="eastAsia" w:ascii="宋体" w:hAnsi="宋体"/>
          <w:szCs w:val="18"/>
        </w:rPr>
        <w:t>履约保证金的金额不得超过</w:t>
      </w:r>
      <w:r>
        <w:rPr>
          <w:rFonts w:hint="eastAsia" w:ascii="宋体" w:hAnsi="宋体"/>
          <w:szCs w:val="18"/>
          <w:lang w:val="en-US" w:eastAsia="zh-CN"/>
        </w:rPr>
        <w:t>签约合同价</w:t>
      </w:r>
      <w:r>
        <w:rPr>
          <w:rFonts w:hint="eastAsia" w:ascii="宋体" w:hAnsi="宋体"/>
          <w:szCs w:val="18"/>
        </w:rPr>
        <w:t>的10%</w:t>
      </w:r>
      <w:r>
        <w:rPr>
          <w:rFonts w:hint="eastAsia" w:ascii="宋体" w:hAnsi="宋体"/>
          <w:szCs w:val="18"/>
          <w:lang w:eastAsia="zh-CN"/>
        </w:rPr>
        <w:t>。</w:t>
      </w:r>
    </w:p>
  </w:footnote>
  <w:footnote w:id="41">
    <w:p>
      <w:pPr>
        <w:pStyle w:val="67"/>
        <w:spacing w:line="240" w:lineRule="auto"/>
        <w:ind w:firstLine="0"/>
        <w:rPr>
          <w:rFonts w:hint="eastAsia" w:ascii="宋体" w:hAnsi="宋体"/>
        </w:rPr>
      </w:pPr>
      <w:r>
        <w:rPr>
          <w:rStyle w:val="101"/>
          <w:rFonts w:hint="eastAsia" w:ascii="宋体" w:hAnsi="宋体"/>
          <w:vertAlign w:val="baseline"/>
        </w:rPr>
        <w:footnoteRef/>
      </w:r>
      <w:r>
        <w:rPr>
          <w:rFonts w:hint="eastAsia" w:ascii="宋体" w:hAnsi="宋体"/>
        </w:rPr>
        <w:t>指招标项目的招投标监督管理部门。</w:t>
      </w:r>
    </w:p>
  </w:footnote>
  <w:footnote w:id="42">
    <w:p>
      <w:pPr>
        <w:pStyle w:val="67"/>
        <w:spacing w:line="240" w:lineRule="auto"/>
        <w:ind w:firstLine="0"/>
        <w:rPr>
          <w:rFonts w:hint="eastAsia" w:ascii="宋体" w:hAnsi="宋体"/>
          <w:szCs w:val="18"/>
          <w:lang w:val="en-US" w:eastAsia="zh-CN"/>
        </w:rPr>
      </w:pPr>
      <w:r>
        <w:rPr>
          <w:rFonts w:hint="eastAsia" w:ascii="宋体" w:hAnsi="宋体"/>
          <w:szCs w:val="18"/>
        </w:rPr>
        <w:footnoteRef/>
      </w:r>
      <w:r>
        <w:rPr>
          <w:rFonts w:hint="eastAsia" w:ascii="宋体" w:hAnsi="宋体"/>
          <w:szCs w:val="18"/>
          <w:lang w:val="en-US"/>
        </w:rPr>
        <w:t>电子招标以广东省交通运输厅发布的最新通知为准</w:t>
      </w:r>
      <w:r>
        <w:rPr>
          <w:rFonts w:hint="eastAsia" w:ascii="宋体" w:hAnsi="宋体"/>
          <w:szCs w:val="18"/>
          <w:lang w:val="en-US" w:eastAsia="zh-CN"/>
        </w:rPr>
        <w:t>。</w:t>
      </w:r>
    </w:p>
  </w:footnote>
  <w:footnote w:id="43">
    <w:p>
      <w:pPr>
        <w:pStyle w:val="67"/>
        <w:spacing w:line="240" w:lineRule="auto"/>
        <w:ind w:firstLine="0"/>
        <w:rPr>
          <w:rFonts w:hint="eastAsia" w:ascii="宋体" w:hAnsi="宋体"/>
          <w:szCs w:val="18"/>
          <w:lang w:val="en-US"/>
        </w:rPr>
      </w:pPr>
      <w:r>
        <w:rPr>
          <w:rFonts w:hint="eastAsia" w:ascii="宋体" w:hAnsi="宋体"/>
          <w:szCs w:val="18"/>
        </w:rPr>
        <w:footnoteRef/>
      </w:r>
      <w:r>
        <w:rPr>
          <w:rFonts w:hint="eastAsia" w:ascii="宋体" w:hAnsi="宋体"/>
          <w:szCs w:val="18"/>
          <w:lang w:val="en-US" w:eastAsia="zh-CN"/>
        </w:rPr>
        <w:t>适用于采用交通运输部“全国水运建设市场信用信息管理系统”截图作为证明材料的情形。</w:t>
      </w:r>
    </w:p>
  </w:footnote>
  <w:footnote w:id="44">
    <w:p>
      <w:pPr>
        <w:pStyle w:val="67"/>
        <w:spacing w:line="240" w:lineRule="auto"/>
        <w:ind w:firstLine="0"/>
        <w:rPr>
          <w:rFonts w:hint="eastAsia" w:ascii="宋体" w:hAnsi="宋体"/>
          <w:szCs w:val="18"/>
          <w:lang w:val="en-US" w:eastAsia="zh-CN"/>
        </w:rPr>
      </w:pPr>
      <w:r>
        <w:rPr>
          <w:rFonts w:hint="eastAsia" w:ascii="宋体" w:hAnsi="宋体"/>
          <w:szCs w:val="18"/>
        </w:rPr>
        <w:footnoteRef/>
      </w:r>
      <w:r>
        <w:rPr>
          <w:rFonts w:hint="eastAsia" w:ascii="宋体" w:hAnsi="宋体"/>
          <w:szCs w:val="18"/>
          <w:lang w:val="en-US" w:eastAsia="zh-CN"/>
        </w:rPr>
        <w:t>适用于采用交通运输部“全国水运建设市场信用信息管理系统”截图作为证明材料的情形。</w:t>
      </w:r>
    </w:p>
  </w:footnote>
  <w:footnote w:id="45">
    <w:p>
      <w:pPr>
        <w:pStyle w:val="67"/>
        <w:ind w:firstLine="0"/>
      </w:pPr>
      <w:r>
        <w:rPr>
          <w:rFonts w:hint="eastAsia" w:ascii="宋体" w:hAnsi="宋体"/>
          <w:szCs w:val="18"/>
        </w:rPr>
        <w:footnoteRef/>
      </w:r>
      <w:r>
        <w:rPr>
          <w:rFonts w:hint="eastAsia" w:ascii="宋体" w:hAnsi="宋体"/>
          <w:szCs w:val="18"/>
        </w:rPr>
        <w:t>具体请结合招标项目实际情况，合理设定。</w:t>
      </w:r>
    </w:p>
  </w:footnote>
  <w:footnote w:id="46">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具体资质要求由招标人在满足住房城乡建设部</w:t>
      </w:r>
      <w:r>
        <w:rPr>
          <w:rFonts w:ascii="宋体" w:hAnsi="宋体"/>
          <w:szCs w:val="18"/>
        </w:rPr>
        <w:t>关于印发</w:t>
      </w:r>
      <w:r>
        <w:rPr>
          <w:rFonts w:hint="eastAsia" w:ascii="宋体" w:hAnsi="宋体"/>
          <w:szCs w:val="18"/>
        </w:rPr>
        <w:t>《</w:t>
      </w:r>
      <w:r>
        <w:rPr>
          <w:rFonts w:hint="eastAsia" w:ascii="宋体" w:hAnsi="宋体"/>
          <w:szCs w:val="18"/>
          <w:lang w:val="en-US" w:eastAsia="zh-CN"/>
        </w:rPr>
        <w:t>工程设计</w:t>
      </w:r>
      <w:r>
        <w:rPr>
          <w:rFonts w:hint="eastAsia" w:ascii="宋体" w:hAnsi="宋体"/>
          <w:szCs w:val="18"/>
        </w:rPr>
        <w:t>资质标准》</w:t>
      </w:r>
      <w:r>
        <w:rPr>
          <w:rFonts w:hint="eastAsia" w:ascii="宋体" w:hAnsi="宋体"/>
          <w:szCs w:val="18"/>
          <w:lang w:eastAsia="zh-CN"/>
        </w:rPr>
        <w:t>、《</w:t>
      </w:r>
      <w:r>
        <w:rPr>
          <w:rFonts w:hint="eastAsia" w:ascii="宋体" w:hAnsi="宋体"/>
          <w:szCs w:val="18"/>
          <w:lang w:val="en-US" w:eastAsia="zh-CN"/>
        </w:rPr>
        <w:t>工程勘察设计标准</w:t>
      </w:r>
      <w:r>
        <w:rPr>
          <w:rFonts w:hint="eastAsia" w:ascii="宋体" w:hAnsi="宋体"/>
          <w:szCs w:val="18"/>
          <w:lang w:eastAsia="zh-CN"/>
        </w:rPr>
        <w:t>》</w:t>
      </w:r>
      <w:r>
        <w:rPr>
          <w:rFonts w:hint="eastAsia" w:ascii="宋体" w:hAnsi="宋体"/>
          <w:szCs w:val="18"/>
        </w:rPr>
        <w:t>等国家相关法律法规前提下，根据招标项目具体特点和实际情况进行设置。应严格按照资质标准可承包工程</w:t>
      </w:r>
      <w:r>
        <w:rPr>
          <w:rFonts w:hint="eastAsia" w:ascii="宋体" w:hAnsi="宋体"/>
          <w:szCs w:val="18"/>
          <w:lang w:val="en-US" w:eastAsia="zh-CN"/>
        </w:rPr>
        <w:t>规模</w:t>
      </w:r>
      <w:r>
        <w:rPr>
          <w:rFonts w:hint="eastAsia" w:ascii="宋体" w:hAnsi="宋体"/>
          <w:szCs w:val="18"/>
        </w:rPr>
        <w:t>对应的资质等级设定，原则上不得过高设置资质等级。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p>
  </w:footnote>
  <w:footnote w:id="47">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具体业绩要求由招标人</w:t>
      </w:r>
      <w:r>
        <w:rPr>
          <w:rFonts w:hint="eastAsia" w:ascii="宋体" w:hAnsi="宋体"/>
          <w:szCs w:val="18"/>
          <w:lang w:val="en-US" w:eastAsia="zh-CN"/>
        </w:rPr>
        <w:t>在满足国家相关法律法规前提下，</w:t>
      </w:r>
      <w:r>
        <w:rPr>
          <w:rFonts w:hint="eastAsia" w:ascii="宋体" w:hAnsi="宋体"/>
          <w:szCs w:val="18"/>
        </w:rPr>
        <w:t>根据招标项目具体特点</w:t>
      </w:r>
      <w:r>
        <w:rPr>
          <w:rFonts w:hint="eastAsia" w:ascii="宋体" w:hAnsi="宋体"/>
          <w:szCs w:val="18"/>
          <w:lang w:val="en-US" w:eastAsia="zh-CN"/>
        </w:rPr>
        <w:t>和时间情况确定</w:t>
      </w:r>
      <w:r>
        <w:rPr>
          <w:rFonts w:hint="eastAsia" w:ascii="宋体" w:hAnsi="宋体"/>
          <w:szCs w:val="18"/>
        </w:rPr>
        <w:t>，</w:t>
      </w:r>
      <w:r>
        <w:rPr>
          <w:rFonts w:hint="eastAsia" w:ascii="宋体" w:hAnsi="宋体"/>
          <w:szCs w:val="18"/>
          <w:lang w:val="en-US" w:eastAsia="zh-CN"/>
        </w:rPr>
        <w:t>但</w:t>
      </w:r>
      <w:r>
        <w:rPr>
          <w:rFonts w:hint="eastAsia" w:ascii="宋体" w:hAnsi="宋体"/>
          <w:szCs w:val="18"/>
        </w:rPr>
        <w:t>不得设置过高的业绩资格条件。</w:t>
      </w:r>
    </w:p>
  </w:footnote>
  <w:footnote w:id="48">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招标人</w:t>
      </w:r>
      <w:r>
        <w:rPr>
          <w:rFonts w:hint="eastAsia" w:ascii="宋体" w:hAnsi="宋体"/>
          <w:szCs w:val="18"/>
          <w:lang w:val="en-US" w:eastAsia="zh-CN"/>
        </w:rPr>
        <w:t>可</w:t>
      </w:r>
      <w:r>
        <w:rPr>
          <w:rFonts w:hint="eastAsia" w:ascii="宋体" w:hAnsi="宋体"/>
          <w:szCs w:val="18"/>
        </w:rPr>
        <w:t>根据项目的实际情况设置沿海或内河的业绩。</w:t>
      </w:r>
    </w:p>
  </w:footnote>
  <w:footnote w:id="49">
    <w:p>
      <w:pPr>
        <w:pStyle w:val="67"/>
        <w:spacing w:line="240" w:lineRule="auto"/>
        <w:ind w:left="180" w:hanging="180" w:hangingChars="100"/>
        <w:rPr>
          <w:rFonts w:ascii="宋体" w:hAnsi="宋体"/>
          <w:szCs w:val="18"/>
        </w:rPr>
      </w:pPr>
      <w:r>
        <w:rPr>
          <w:rFonts w:ascii="宋体" w:hAnsi="宋体"/>
          <w:szCs w:val="18"/>
        </w:rPr>
        <w:footnoteRef/>
      </w:r>
      <w:r>
        <w:rPr>
          <w:rFonts w:ascii="宋体" w:hAnsi="宋体"/>
          <w:szCs w:val="18"/>
        </w:rPr>
        <w:t xml:space="preserve"> 招标人可根据招标项目具体特点和实际情况设置认定原则，可参考以下条款之一：</w:t>
      </w:r>
      <w:r>
        <w:rPr>
          <w:rFonts w:ascii="宋体" w:hAnsi="宋体"/>
          <w:szCs w:val="18"/>
        </w:rPr>
        <w:br w:type="textWrapping"/>
      </w:r>
      <w:r>
        <w:rPr>
          <w:rFonts w:ascii="宋体" w:hAnsi="宋体"/>
          <w:szCs w:val="18"/>
        </w:rPr>
        <w:t>a.联合体成员须按联合体协议书中约定承担的各专业工程满足对应的业绩要求。</w:t>
      </w:r>
      <w:r>
        <w:rPr>
          <w:rFonts w:ascii="宋体" w:hAnsi="宋体"/>
          <w:szCs w:val="18"/>
        </w:rPr>
        <w:br w:type="textWrapping"/>
      </w:r>
      <w:r>
        <w:rPr>
          <w:rFonts w:ascii="宋体" w:hAnsi="宋体"/>
          <w:szCs w:val="18"/>
        </w:rPr>
        <w:t>b.以联合体各成员业绩之和计算。</w:t>
      </w:r>
      <w:r>
        <w:rPr>
          <w:rFonts w:ascii="宋体" w:hAnsi="宋体"/>
          <w:szCs w:val="18"/>
        </w:rPr>
        <w:br w:type="textWrapping"/>
      </w:r>
      <w:r>
        <w:rPr>
          <w:rFonts w:ascii="宋体" w:hAnsi="宋体"/>
          <w:szCs w:val="18"/>
        </w:rPr>
        <w:t xml:space="preserve">c.其他原则。 </w:t>
      </w:r>
    </w:p>
  </w:footnote>
  <w:footnote w:id="50">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具体信誉要求由招标人在满足国家相关法律法规前提下，根据招标项目具体特点和实际情况确定，但不得</w:t>
      </w:r>
      <w:r>
        <w:rPr>
          <w:rFonts w:ascii="宋体" w:hAnsi="宋体"/>
          <w:szCs w:val="18"/>
        </w:rPr>
        <w:t xml:space="preserve"> </w:t>
      </w:r>
      <w:r>
        <w:rPr>
          <w:rFonts w:hint="eastAsia" w:ascii="宋体" w:hAnsi="宋体"/>
          <w:szCs w:val="18"/>
        </w:rPr>
        <w:t>与“投标人须知”第</w:t>
      </w:r>
      <w:r>
        <w:rPr>
          <w:rFonts w:ascii="宋体" w:hAnsi="宋体"/>
          <w:szCs w:val="18"/>
        </w:rPr>
        <w:t>1.4.4</w:t>
      </w:r>
      <w:r>
        <w:rPr>
          <w:rFonts w:hint="eastAsia" w:ascii="宋体" w:hAnsi="宋体"/>
          <w:szCs w:val="18"/>
        </w:rPr>
        <w:t>项规定的内容重复。</w:t>
      </w:r>
    </w:p>
    <w:p>
      <w:pPr>
        <w:pStyle w:val="67"/>
        <w:spacing w:line="240" w:lineRule="auto"/>
        <w:ind w:firstLine="0"/>
        <w:rPr>
          <w:rFonts w:hint="eastAsia" w:ascii="宋体" w:hAnsi="宋体"/>
          <w:szCs w:val="18"/>
        </w:rPr>
      </w:pPr>
      <w:r>
        <w:rPr>
          <w:rFonts w:hint="eastAsia" w:ascii="宋体" w:hAnsi="宋体"/>
          <w:szCs w:val="18"/>
        </w:rPr>
        <w:t>信用等级应按照</w:t>
      </w:r>
      <w:r>
        <w:rPr>
          <w:rFonts w:hint="eastAsia" w:ascii="宋体" w:hAnsi="宋体"/>
          <w:szCs w:val="18"/>
          <w:lang w:eastAsia="zh-CN"/>
        </w:rPr>
        <w:t>湛江市</w:t>
      </w:r>
      <w:r>
        <w:rPr>
          <w:rFonts w:hint="eastAsia" w:ascii="宋体" w:hAnsi="宋体"/>
          <w:szCs w:val="18"/>
        </w:rPr>
        <w:t>交通运输</w:t>
      </w:r>
      <w:r>
        <w:rPr>
          <w:rFonts w:hint="eastAsia" w:ascii="宋体" w:hAnsi="宋体"/>
          <w:szCs w:val="18"/>
          <w:lang w:eastAsia="zh-CN"/>
        </w:rPr>
        <w:t>局</w:t>
      </w:r>
      <w:r>
        <w:rPr>
          <w:rFonts w:hint="eastAsia" w:ascii="宋体" w:hAnsi="宋体"/>
          <w:szCs w:val="18"/>
        </w:rPr>
        <w:t>最新公布的信用等级结果进行认定，具体信息可在</w:t>
      </w:r>
      <w:r>
        <w:rPr>
          <w:rFonts w:hint="eastAsia" w:ascii="宋体" w:hAnsi="宋体"/>
          <w:szCs w:val="18"/>
          <w:lang w:eastAsia="zh-CN"/>
        </w:rPr>
        <w:t>湛江市交通运输局</w:t>
      </w:r>
      <w:r>
        <w:rPr>
          <w:rFonts w:hint="eastAsia" w:ascii="宋体" w:hAnsi="宋体"/>
          <w:szCs w:val="18"/>
        </w:rPr>
        <w:t>官方网站查询。</w:t>
      </w:r>
    </w:p>
  </w:footnote>
  <w:footnote w:id="51">
    <w:p>
      <w:pPr>
        <w:pStyle w:val="67"/>
        <w:spacing w:line="240" w:lineRule="auto"/>
        <w:ind w:firstLine="0"/>
        <w:rPr>
          <w:rFonts w:ascii="宋体" w:hAnsi="宋体"/>
          <w:szCs w:val="18"/>
        </w:rPr>
      </w:pPr>
      <w:r>
        <w:rPr>
          <w:rFonts w:ascii="宋体" w:hAnsi="宋体"/>
          <w:szCs w:val="18"/>
        </w:rPr>
        <w:footnoteRef/>
      </w:r>
      <w:r>
        <w:rPr>
          <w:rFonts w:hint="eastAsia" w:ascii="宋体" w:hAnsi="宋体"/>
          <w:szCs w:val="18"/>
          <w:lang w:val="en-US" w:eastAsia="zh-CN"/>
        </w:rPr>
        <w:t>对项目负责人的</w:t>
      </w:r>
      <w:r>
        <w:rPr>
          <w:rFonts w:hint="eastAsia" w:ascii="宋体" w:hAnsi="宋体"/>
          <w:szCs w:val="18"/>
        </w:rPr>
        <w:t>具体</w:t>
      </w:r>
      <w:r>
        <w:rPr>
          <w:rFonts w:hint="eastAsia" w:ascii="宋体" w:hAnsi="宋体"/>
          <w:szCs w:val="18"/>
          <w:lang w:val="en-US" w:eastAsia="zh-CN"/>
        </w:rPr>
        <w:t>资格</w:t>
      </w:r>
      <w:r>
        <w:rPr>
          <w:rFonts w:hint="eastAsia" w:ascii="宋体" w:hAnsi="宋体"/>
          <w:szCs w:val="18"/>
        </w:rPr>
        <w:t>要求由招标人在满足国家相关法律法规前提下，根据招标项目具体特点和实际情况确定，但不宜设置过高的资格条件。</w:t>
      </w:r>
      <w:r>
        <w:rPr>
          <w:rFonts w:hint="eastAsia" w:ascii="宋体" w:hAnsi="宋体" w:cs="宋体"/>
        </w:rPr>
        <w:t>招标人自行确定是否设置备选人员要求</w:t>
      </w:r>
      <w:bookmarkStart w:id="96" w:name="_Hlk90209630"/>
      <w:r>
        <w:rPr>
          <w:rFonts w:hint="eastAsia" w:ascii="宋体" w:hAnsi="宋体" w:cs="宋体"/>
        </w:rPr>
        <w:t>及</w:t>
      </w:r>
      <w:bookmarkEnd w:id="96"/>
      <w:r>
        <w:rPr>
          <w:rFonts w:hint="eastAsia" w:ascii="宋体" w:hAnsi="宋体" w:cs="宋体"/>
        </w:rPr>
        <w:t>是否需要投标人在投标文件中填报备选人员。如招标人未设置备选人，或未要求投标人在投标文件中填报备选人，招标文件中相应条款应删除对备选人的要求，下同。</w:t>
      </w:r>
    </w:p>
  </w:footnote>
  <w:footnote w:id="52">
    <w:p>
      <w:pPr>
        <w:pStyle w:val="67"/>
        <w:spacing w:line="240" w:lineRule="auto"/>
        <w:ind w:firstLine="0"/>
        <w:rPr>
          <w:rFonts w:hint="eastAsia" w:ascii="宋体" w:hAnsi="宋体"/>
          <w:szCs w:val="18"/>
        </w:rPr>
      </w:pPr>
      <w:r>
        <w:rPr>
          <w:rFonts w:ascii="宋体" w:hAnsi="宋体"/>
          <w:szCs w:val="18"/>
        </w:rPr>
        <w:footnoteRef/>
      </w:r>
      <w:r>
        <w:rPr>
          <w:rFonts w:ascii="宋体" w:hAnsi="宋体"/>
          <w:szCs w:val="18"/>
        </w:rPr>
        <w:t xml:space="preserve"> </w:t>
      </w:r>
      <w:r>
        <w:rPr>
          <w:rFonts w:hint="eastAsia" w:ascii="宋体" w:hAnsi="宋体"/>
          <w:szCs w:val="18"/>
        </w:rPr>
        <w:t xml:space="preserve">附录 </w:t>
      </w:r>
      <w:r>
        <w:rPr>
          <w:rFonts w:hint="eastAsia" w:ascii="宋体" w:hAnsi="宋体"/>
          <w:szCs w:val="18"/>
          <w:lang w:val="en-US" w:eastAsia="zh-CN"/>
        </w:rPr>
        <w:t>5</w:t>
      </w:r>
      <w:r>
        <w:rPr>
          <w:rFonts w:hint="eastAsia" w:ascii="宋体" w:hAnsi="宋体"/>
          <w:szCs w:val="18"/>
        </w:rPr>
        <w:t>所要求人员招标人可选择按投标文件投标函的格式承诺或设置按表</w:t>
      </w:r>
      <w:r>
        <w:rPr>
          <w:rFonts w:hint="eastAsia" w:ascii="宋体" w:hAnsi="宋体"/>
          <w:szCs w:val="18"/>
          <w:lang w:eastAsia="zh-CN"/>
        </w:rPr>
        <w:t>（</w:t>
      </w:r>
      <w:r>
        <w:rPr>
          <w:rFonts w:hint="eastAsia" w:ascii="宋体" w:hAnsi="宋体"/>
          <w:szCs w:val="18"/>
          <w:lang w:val="en-US" w:eastAsia="zh-CN"/>
        </w:rPr>
        <w:t>七</w:t>
      </w:r>
      <w:r>
        <w:rPr>
          <w:rFonts w:hint="eastAsia" w:ascii="宋体" w:hAnsi="宋体"/>
          <w:szCs w:val="18"/>
          <w:lang w:eastAsia="zh-CN"/>
        </w:rPr>
        <w:t>）</w:t>
      </w:r>
      <w:r>
        <w:rPr>
          <w:rFonts w:hint="eastAsia" w:ascii="宋体" w:hAnsi="宋体"/>
          <w:szCs w:val="18"/>
        </w:rPr>
        <w:t>、表</w:t>
      </w:r>
      <w:r>
        <w:rPr>
          <w:rFonts w:hint="eastAsia" w:ascii="宋体" w:hAnsi="宋体"/>
          <w:szCs w:val="18"/>
          <w:lang w:eastAsia="zh-CN"/>
        </w:rPr>
        <w:t>（</w:t>
      </w:r>
      <w:r>
        <w:rPr>
          <w:rFonts w:hint="eastAsia" w:ascii="宋体" w:hAnsi="宋体"/>
          <w:szCs w:val="18"/>
          <w:lang w:val="en-US" w:eastAsia="zh-CN"/>
        </w:rPr>
        <w:t>八</w:t>
      </w:r>
      <w:r>
        <w:rPr>
          <w:rFonts w:hint="eastAsia" w:ascii="宋体" w:hAnsi="宋体"/>
          <w:szCs w:val="18"/>
          <w:lang w:eastAsia="zh-CN"/>
        </w:rPr>
        <w:t>）</w:t>
      </w:r>
      <w:r>
        <w:rPr>
          <w:rFonts w:hint="eastAsia" w:ascii="宋体" w:hAnsi="宋体"/>
          <w:szCs w:val="18"/>
        </w:rPr>
        <w:t>填报并附相关证明材料。对其他</w:t>
      </w:r>
      <w:r>
        <w:rPr>
          <w:rFonts w:hint="eastAsia" w:ascii="宋体" w:hAnsi="宋体"/>
          <w:szCs w:val="18"/>
          <w:lang w:val="en-US" w:eastAsia="zh-CN"/>
        </w:rPr>
        <w:t>主要</w:t>
      </w:r>
      <w:r>
        <w:rPr>
          <w:rFonts w:hint="eastAsia" w:ascii="宋体" w:hAnsi="宋体"/>
          <w:szCs w:val="18"/>
        </w:rPr>
        <w:t>人员的最低要求，由招标人在满足国家相关法律法规前提下，根据招标项目具体特点和实际情况确定，但不得设置过高的资格条件。</w:t>
      </w:r>
    </w:p>
    <w:p>
      <w:pPr>
        <w:pStyle w:val="67"/>
        <w:spacing w:line="240" w:lineRule="auto"/>
        <w:ind w:firstLine="0"/>
        <w:rPr>
          <w:rFonts w:hint="eastAsia" w:ascii="宋体" w:hAnsi="宋体"/>
          <w:szCs w:val="18"/>
        </w:rPr>
      </w:pPr>
      <w:r>
        <w:rPr>
          <w:rFonts w:hint="eastAsia" w:ascii="宋体" w:hAnsi="宋体"/>
          <w:szCs w:val="18"/>
        </w:rPr>
        <w:t>招标人可根据项目及标段类别的需要有选择性地修改本表人员配置的最低要求，并根据实际需要按标段类别单独列</w:t>
      </w:r>
    </w:p>
    <w:p>
      <w:pPr>
        <w:pStyle w:val="67"/>
        <w:spacing w:line="240" w:lineRule="auto"/>
        <w:ind w:firstLine="0"/>
        <w:rPr>
          <w:rFonts w:ascii="宋体" w:hAnsi="宋体"/>
          <w:szCs w:val="18"/>
        </w:rPr>
      </w:pPr>
      <w:r>
        <w:rPr>
          <w:rFonts w:hint="eastAsia" w:ascii="宋体" w:hAnsi="宋体"/>
          <w:szCs w:val="18"/>
        </w:rPr>
        <w:t>表。</w:t>
      </w:r>
    </w:p>
  </w:footnote>
  <w:footnote w:id="53">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对</w:t>
      </w:r>
      <w:r>
        <w:rPr>
          <w:rFonts w:hint="eastAsia" w:ascii="宋体" w:hAnsi="宋体"/>
          <w:szCs w:val="18"/>
          <w:lang w:val="en-US" w:eastAsia="zh-CN"/>
        </w:rPr>
        <w:t>其他</w:t>
      </w:r>
      <w:r>
        <w:rPr>
          <w:rFonts w:hint="eastAsia" w:ascii="宋体" w:hAnsi="宋体"/>
          <w:szCs w:val="18"/>
        </w:rPr>
        <w:t>要求由招标人在满足国家相关法律法规前提下，根据招标项目具体特点和实际情况确定。</w:t>
      </w:r>
    </w:p>
  </w:footnote>
  <w:footnote w:id="54">
    <w:p>
      <w:pPr>
        <w:pStyle w:val="67"/>
        <w:ind w:firstLine="0"/>
        <w:rPr>
          <w:rFonts w:hint="eastAsia"/>
          <w:lang w:eastAsia="zh-CN"/>
        </w:rPr>
      </w:pPr>
      <w:r>
        <w:rPr>
          <w:rFonts w:hint="eastAsia"/>
          <w:lang w:eastAsia="zh-CN"/>
        </w:rPr>
        <w:footnoteRef/>
      </w:r>
      <w:r>
        <w:rPr>
          <w:rFonts w:hint="eastAsia"/>
          <w:lang w:eastAsia="zh-CN"/>
        </w:rPr>
        <w:t xml:space="preserve"> 此处根据实际情况分别设置勘察、设计或勘察设计，下同。</w:t>
      </w:r>
    </w:p>
  </w:footnote>
  <w:footnote w:id="55">
    <w:p>
      <w:pPr>
        <w:pStyle w:val="67"/>
        <w:spacing w:line="240" w:lineRule="auto"/>
        <w:ind w:firstLine="0"/>
      </w:pPr>
      <w:r>
        <w:rPr>
          <w:rFonts w:hint="eastAsia"/>
        </w:rPr>
        <w:footnoteRef/>
      </w:r>
      <w:r>
        <w:rPr>
          <w:rFonts w:hint="eastAsia"/>
        </w:rPr>
        <w:t>若投标函中的投标总报价大小写金额不一致，应以大写金额为准。</w:t>
      </w:r>
    </w:p>
  </w:footnote>
  <w:footnote w:id="56">
    <w:p>
      <w:pPr>
        <w:pStyle w:val="67"/>
        <w:spacing w:line="240" w:lineRule="auto"/>
        <w:ind w:firstLine="0"/>
        <w:rPr>
          <w:rFonts w:hint="eastAsia"/>
          <w:lang w:val="en-US" w:eastAsia="zh-CN"/>
        </w:rPr>
      </w:pPr>
      <w:r>
        <w:rPr>
          <w:rFonts w:hint="eastAsia"/>
        </w:rPr>
        <w:footnoteRef/>
      </w:r>
      <w:r>
        <w:rPr>
          <w:rFonts w:hint="eastAsia"/>
          <w:lang w:val="en-US" w:eastAsia="zh-CN"/>
        </w:rPr>
        <w:t>适用于选用下浮率方式确定评标基准价的情况。</w:t>
      </w:r>
    </w:p>
  </w:footnote>
  <w:footnote w:id="57">
    <w:p>
      <w:pPr>
        <w:pStyle w:val="67"/>
        <w:tabs>
          <w:tab w:val="left" w:pos="3780"/>
        </w:tabs>
        <w:spacing w:line="340" w:lineRule="atLeast"/>
        <w:ind w:firstLine="0"/>
        <w:rPr>
          <w:szCs w:val="18"/>
        </w:rPr>
      </w:pPr>
      <w:r>
        <w:rPr>
          <w:rFonts w:hint="eastAsia"/>
        </w:rPr>
        <w:footnoteRef/>
      </w:r>
      <w:r>
        <w:rPr>
          <w:rFonts w:hint="eastAsia"/>
          <w:szCs w:val="18"/>
        </w:rPr>
        <w:t>招标人可根据项目具体特点和实际情况进行修改。</w:t>
      </w:r>
    </w:p>
  </w:footnote>
  <w:footnote w:id="58">
    <w:p>
      <w:pPr>
        <w:pStyle w:val="67"/>
        <w:spacing w:line="300" w:lineRule="atLeast"/>
        <w:ind w:left="180" w:hanging="180" w:hangingChars="100"/>
        <w:jc w:val="both"/>
        <w:rPr>
          <w:rFonts w:hAnsi="宋体"/>
          <w:szCs w:val="18"/>
        </w:rPr>
      </w:pPr>
      <w:r>
        <w:rPr>
          <w:rFonts w:hint="eastAsia" w:hAnsi="宋体"/>
          <w:szCs w:val="18"/>
        </w:rPr>
        <w:footnoteRef/>
      </w:r>
      <w:r>
        <w:rPr>
          <w:rFonts w:hint="eastAsia" w:hAnsi="宋体"/>
          <w:szCs w:val="18"/>
        </w:rPr>
        <w:t>投标人仅须在投标文件的澄清或说明上加盖单位章，或由法定代表人或其委托代理人签字。</w:t>
      </w:r>
    </w:p>
  </w:footnote>
  <w:footnote w:id="59">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“评标办法前附表”用于明确评标的方法、因素、标准和程序。招标人应根据招标项目具体特点和实际需要，</w:t>
      </w:r>
    </w:p>
    <w:p>
      <w:pPr>
        <w:pStyle w:val="67"/>
        <w:spacing w:line="240" w:lineRule="auto"/>
        <w:ind w:firstLine="0"/>
        <w:rPr>
          <w:rFonts w:hint="eastAsia" w:ascii="宋体" w:hAnsi="宋体"/>
          <w:szCs w:val="18"/>
          <w:lang w:eastAsia="zh-CN"/>
        </w:rPr>
      </w:pPr>
      <w:r>
        <w:rPr>
          <w:rFonts w:hint="eastAsia" w:ascii="宋体" w:hAnsi="宋体"/>
          <w:szCs w:val="18"/>
        </w:rPr>
        <w:t>详细列明全部评审因素、标准，没有列明的因素和标准不得作为评标的依据</w:t>
      </w:r>
      <w:r>
        <w:rPr>
          <w:rFonts w:hint="eastAsia" w:ascii="宋体" w:hAnsi="宋体"/>
          <w:szCs w:val="18"/>
          <w:lang w:eastAsia="zh-CN"/>
        </w:rPr>
        <w:t>。</w:t>
      </w:r>
    </w:p>
  </w:footnote>
  <w:footnote w:id="60">
    <w:p>
      <w:pPr>
        <w:pStyle w:val="67"/>
        <w:spacing w:line="240" w:lineRule="auto"/>
        <w:ind w:left="180" w:hanging="180" w:hangingChars="100"/>
        <w:jc w:val="both"/>
        <w:rPr>
          <w:rFonts w:ascii="宋体" w:hAnsi="宋体" w:cs="宋体"/>
          <w:szCs w:val="18"/>
        </w:rPr>
      </w:pPr>
      <w:r>
        <w:rPr>
          <w:rStyle w:val="101"/>
          <w:rFonts w:hint="eastAsia" w:ascii="宋体" w:hAnsi="宋体" w:cs="宋体"/>
          <w:szCs w:val="18"/>
          <w:vertAlign w:val="baseline"/>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附录5</w:t>
      </w:r>
      <w:r>
        <w:rPr>
          <w:rFonts w:hint="eastAsia" w:ascii="宋体" w:hAnsi="宋体" w:cs="宋体"/>
          <w:szCs w:val="18"/>
          <w:lang w:eastAsia="zh-CN"/>
        </w:rPr>
        <w:t>、</w:t>
      </w:r>
      <w:r>
        <w:rPr>
          <w:rFonts w:hint="eastAsia" w:ascii="宋体" w:hAnsi="宋体" w:cs="宋体"/>
          <w:szCs w:val="18"/>
          <w:lang w:val="en-US" w:eastAsia="zh-CN"/>
        </w:rPr>
        <w:t>附录6</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61">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仅适用于允许联合体投标的情形</w:t>
      </w:r>
      <w:r>
        <w:rPr>
          <w:rFonts w:hint="eastAsia" w:ascii="宋体" w:hAnsi="宋体"/>
          <w:szCs w:val="18"/>
          <w:lang w:eastAsia="zh-CN"/>
        </w:rPr>
        <w:t>。</w:t>
      </w:r>
    </w:p>
  </w:footnote>
  <w:footnote w:id="62">
    <w:p>
      <w:pPr>
        <w:pStyle w:val="67"/>
        <w:spacing w:line="240" w:lineRule="auto"/>
        <w:ind w:firstLine="0"/>
        <w:rPr>
          <w:rStyle w:val="101"/>
          <w:rFonts w:hint="eastAsia" w:ascii="宋体" w:hAnsi="宋体" w:cs="宋体"/>
          <w:vertAlign w:val="baseline"/>
        </w:rPr>
      </w:pPr>
      <w:r>
        <w:rPr>
          <w:rStyle w:val="101"/>
          <w:rFonts w:ascii="宋体" w:hAnsi="宋体" w:cs="宋体"/>
          <w:vertAlign w:val="baseline"/>
        </w:rPr>
        <w:footnoteRef/>
      </w:r>
      <w:r>
        <w:rPr>
          <w:rFonts w:hint="eastAsia" w:ascii="宋体" w:hAnsi="宋体" w:cs="宋体"/>
        </w:rPr>
        <w:t>港口工程、大型技术复杂的航道工程（指沿海航道工程以及包含船闸或炸礁的内河航道工程）可设置</w:t>
      </w:r>
      <w:r>
        <w:rPr>
          <w:rFonts w:hint="eastAsia" w:hAnsi="宋体" w:cs="宋体"/>
          <w:szCs w:val="21"/>
        </w:rPr>
        <w:t>“</w:t>
      </w:r>
      <w:r>
        <w:rPr>
          <w:rFonts w:hint="eastAsia" w:hAnsi="宋体" w:cs="宋体"/>
          <w:szCs w:val="21"/>
          <w:lang w:val="en-US" w:eastAsia="zh-CN"/>
        </w:rPr>
        <w:t>企业综合能力</w:t>
      </w:r>
      <w:r>
        <w:rPr>
          <w:rFonts w:hint="eastAsia" w:hAnsi="宋体" w:cs="宋体"/>
          <w:szCs w:val="21"/>
        </w:rPr>
        <w:t>”的评分项。</w:t>
      </w:r>
    </w:p>
  </w:footnote>
  <w:footnote w:id="63">
    <w:p>
      <w:pPr>
        <w:pStyle w:val="67"/>
        <w:spacing w:line="240" w:lineRule="auto"/>
        <w:ind w:firstLine="0"/>
        <w:rPr>
          <w:szCs w:val="18"/>
        </w:rPr>
      </w:pPr>
      <w:r>
        <w:rPr>
          <w:rFonts w:hint="eastAsia"/>
          <w:szCs w:val="18"/>
        </w:rPr>
        <w:footnoteRef/>
      </w:r>
      <w:r>
        <w:rPr>
          <w:rFonts w:hint="eastAsia"/>
          <w:szCs w:val="18"/>
        </w:rPr>
        <w:t>招标人应列明各评分因素或各评分因素细分项（如有）的评分标准并作为评标委员会进行评分的依据。</w:t>
      </w:r>
    </w:p>
  </w:footnote>
  <w:footnote w:id="64">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 xml:space="preserve">评标委员会成员对投标人技术部分各项因素的评分一般不得低于招标文件规定该因素满分值的60% </w:t>
      </w:r>
      <w:r>
        <w:rPr>
          <w:rFonts w:hint="eastAsia" w:ascii="宋体" w:hAnsi="宋体"/>
          <w:szCs w:val="18"/>
          <w:lang w:eastAsia="zh-CN"/>
        </w:rPr>
        <w:t>。</w:t>
      </w:r>
    </w:p>
  </w:footnote>
  <w:footnote w:id="65">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r>
        <w:rPr>
          <w:rFonts w:hint="eastAsia" w:ascii="宋体" w:hAnsi="宋体"/>
          <w:szCs w:val="18"/>
          <w:lang w:eastAsia="zh-CN"/>
        </w:rPr>
        <w:t>。</w:t>
      </w:r>
    </w:p>
  </w:footnote>
  <w:footnote w:id="66">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招标人可结合招标项目所在地省级交通主管部门对投标人的信用评级对其履约信用进行评分，但不得任意设置歧视性条款并不得任意设立行政许可。</w:t>
      </w:r>
    </w:p>
  </w:footnote>
  <w:footnote w:id="67">
    <w:p>
      <w:pPr>
        <w:pStyle w:val="67"/>
        <w:spacing w:line="240" w:lineRule="auto"/>
        <w:ind w:firstLine="0"/>
        <w:rPr>
          <w:rFonts w:hint="eastAsia" w:ascii="宋体" w:hAnsi="宋体"/>
          <w:szCs w:val="18"/>
          <w:lang w:val="en-US" w:eastAsia="zh-CN"/>
        </w:rPr>
      </w:pPr>
      <w:r>
        <w:rPr>
          <w:rFonts w:ascii="宋体" w:hAnsi="宋体"/>
          <w:szCs w:val="18"/>
        </w:rPr>
        <w:footnoteRef/>
      </w:r>
      <w:r>
        <w:rPr>
          <w:rFonts w:hint="eastAsia" w:ascii="宋体" w:hAnsi="宋体"/>
          <w:szCs w:val="18"/>
        </w:rPr>
        <w:t>本条内容供招标人自行选择是否设置，下同。</w:t>
      </w:r>
    </w:p>
  </w:footnote>
  <w:footnote w:id="68">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r>
        <w:rPr>
          <w:rFonts w:hint="eastAsia" w:ascii="宋体" w:hAnsi="宋体"/>
          <w:szCs w:val="18"/>
          <w:lang w:eastAsia="zh-CN"/>
        </w:rPr>
        <w:t>。</w:t>
      </w:r>
    </w:p>
  </w:footnote>
  <w:footnote w:id="69">
    <w:p>
      <w:pPr>
        <w:pStyle w:val="67"/>
        <w:spacing w:line="240" w:lineRule="auto"/>
        <w:ind w:firstLine="0"/>
        <w:rPr>
          <w:rStyle w:val="101"/>
          <w:rFonts w:hint="eastAsia" w:ascii="宋体" w:hAnsi="宋体"/>
        </w:rPr>
      </w:pPr>
      <w:r>
        <w:rPr>
          <w:rStyle w:val="101"/>
          <w:rFonts w:ascii="宋体" w:hAnsi="宋体"/>
          <w:vertAlign w:val="baseline"/>
        </w:rPr>
        <w:footnoteRef/>
      </w:r>
      <w:r>
        <w:rPr>
          <w:rFonts w:hint="eastAsia" w:ascii="宋体" w:hAnsi="宋体"/>
        </w:rPr>
        <w:t>适用于允许投标人同时参与多个标段投标，且只允许中其中一个标段的情形。招标人可结合招标项目具体情况调整完善。</w:t>
      </w:r>
    </w:p>
  </w:footnote>
  <w:footnote w:id="70">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本款涉及的序号或条款号均对应本范本，如招标文件修改序号或条款号的，应对应修改</w:t>
      </w:r>
      <w:r>
        <w:rPr>
          <w:rFonts w:hint="eastAsia" w:ascii="宋体" w:hAnsi="宋体"/>
          <w:szCs w:val="18"/>
          <w:lang w:eastAsia="zh-CN"/>
        </w:rPr>
        <w:t>。</w:t>
      </w:r>
    </w:p>
  </w:footnote>
  <w:footnote w:id="71">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“评标办法前附表”用于明确评标的方法、因素、标准和程序。招标人应根据招标项目具体特点和实际需要，</w:t>
      </w:r>
    </w:p>
    <w:p>
      <w:pPr>
        <w:pStyle w:val="67"/>
        <w:spacing w:line="240" w:lineRule="auto"/>
        <w:ind w:firstLine="0"/>
        <w:rPr>
          <w:rFonts w:hint="eastAsia" w:ascii="宋体" w:hAnsi="宋体"/>
          <w:szCs w:val="18"/>
          <w:lang w:eastAsia="zh-CN"/>
        </w:rPr>
      </w:pPr>
      <w:r>
        <w:rPr>
          <w:rFonts w:hint="eastAsia" w:ascii="宋体" w:hAnsi="宋体"/>
          <w:szCs w:val="18"/>
        </w:rPr>
        <w:t>详细列明全部评审因素、标准，没有列明的因素和标准不得作为评标的依据</w:t>
      </w:r>
      <w:r>
        <w:rPr>
          <w:rFonts w:hint="eastAsia" w:ascii="宋体" w:hAnsi="宋体"/>
          <w:szCs w:val="18"/>
          <w:lang w:eastAsia="zh-CN"/>
        </w:rPr>
        <w:t>。</w:t>
      </w:r>
    </w:p>
  </w:footnote>
  <w:footnote w:id="72">
    <w:p>
      <w:pPr>
        <w:pStyle w:val="67"/>
        <w:spacing w:line="240" w:lineRule="auto"/>
        <w:ind w:left="180" w:hanging="180" w:hangingChars="100"/>
        <w:jc w:val="both"/>
        <w:rPr>
          <w:rFonts w:ascii="宋体" w:hAnsi="宋体" w:cs="宋体"/>
          <w:szCs w:val="18"/>
        </w:rPr>
      </w:pPr>
      <w:r>
        <w:rPr>
          <w:rStyle w:val="101"/>
          <w:rFonts w:hint="eastAsia" w:ascii="宋体" w:hAnsi="宋体" w:cs="宋体"/>
          <w:szCs w:val="18"/>
          <w:vertAlign w:val="baseline"/>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附录5</w:t>
      </w:r>
      <w:r>
        <w:rPr>
          <w:rFonts w:hint="eastAsia" w:ascii="宋体" w:hAnsi="宋体" w:cs="宋体"/>
          <w:szCs w:val="18"/>
          <w:lang w:eastAsia="zh-CN"/>
        </w:rPr>
        <w:t>、</w:t>
      </w:r>
      <w:r>
        <w:rPr>
          <w:rFonts w:hint="eastAsia" w:ascii="宋体" w:hAnsi="宋体" w:cs="宋体"/>
          <w:szCs w:val="18"/>
          <w:lang w:val="en-US" w:eastAsia="zh-CN"/>
        </w:rPr>
        <w:t>附录6</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73">
    <w:p>
      <w:pPr>
        <w:pStyle w:val="67"/>
        <w:spacing w:line="240" w:lineRule="auto"/>
        <w:ind w:firstLine="0"/>
        <w:rPr>
          <w:rFonts w:hint="eastAsia" w:ascii="宋体" w:hAnsi="宋体"/>
          <w:szCs w:val="18"/>
          <w:lang w:eastAsia="zh-CN"/>
        </w:rPr>
      </w:pPr>
    </w:p>
  </w:footnote>
  <w:footnote w:id="74">
    <w:p>
      <w:pPr>
        <w:pStyle w:val="67"/>
        <w:spacing w:line="240" w:lineRule="auto"/>
        <w:ind w:firstLine="0"/>
        <w:rPr>
          <w:rFonts w:hint="eastAsia" w:ascii="宋体" w:hAnsi="宋体"/>
          <w:szCs w:val="18"/>
          <w:lang w:val="en-US" w:eastAsia="zh-CN"/>
        </w:rPr>
      </w:pPr>
      <w:r>
        <w:rPr>
          <w:rFonts w:hint="eastAsia" w:ascii="宋体" w:hAnsi="宋体"/>
          <w:szCs w:val="18"/>
          <w:lang w:val="en-US" w:eastAsia="zh-CN"/>
        </w:rPr>
        <w:t>1</w:t>
      </w:r>
      <w:r>
        <w:rPr>
          <w:rFonts w:hint="eastAsia" w:ascii="宋体" w:hAnsi="宋体"/>
          <w:szCs w:val="18"/>
          <w:lang w:val="en-US"/>
        </w:rPr>
        <w:t>仅适用于允许联合体投标的情形</w:t>
      </w:r>
      <w:r>
        <w:rPr>
          <w:rFonts w:hint="eastAsia" w:ascii="宋体" w:hAnsi="宋体"/>
          <w:szCs w:val="18"/>
          <w:lang w:val="en-US" w:eastAsia="zh-CN"/>
        </w:rPr>
        <w:t>。</w:t>
      </w:r>
    </w:p>
    <w:p>
      <w:pPr>
        <w:pStyle w:val="67"/>
        <w:spacing w:line="240" w:lineRule="auto"/>
        <w:ind w:firstLine="0"/>
        <w:rPr>
          <w:rStyle w:val="101"/>
          <w:rFonts w:hint="eastAsia" w:ascii="宋体" w:hAnsi="宋体"/>
          <w:szCs w:val="18"/>
          <w:vertAlign w:val="baseline"/>
          <w:lang w:val="en-US"/>
        </w:rPr>
      </w:pPr>
      <w:r>
        <w:rPr>
          <w:rStyle w:val="101"/>
          <w:rFonts w:hint="eastAsia" w:ascii="宋体" w:hAnsi="宋体"/>
          <w:szCs w:val="18"/>
          <w:vertAlign w:val="baseline"/>
          <w:lang w:val="en-US"/>
        </w:rPr>
        <w:footnoteRef/>
      </w:r>
      <w:r>
        <w:rPr>
          <w:rFonts w:hint="eastAsia" w:ascii="宋体" w:hAnsi="宋体"/>
          <w:szCs w:val="18"/>
          <w:lang w:val="en-US" w:eastAsia="zh-CN"/>
        </w:rPr>
        <w:t xml:space="preserve"> </w:t>
      </w:r>
      <w:r>
        <w:rPr>
          <w:rFonts w:hint="eastAsia" w:ascii="宋体" w:hAnsi="宋体"/>
          <w:szCs w:val="18"/>
          <w:lang w:val="en-US"/>
        </w:rPr>
        <w:t>港口工程、大型技术复杂的航道工程（指沿海航道工程以及包含船闸或炸礁的内河航道工程）可设置“</w:t>
      </w:r>
      <w:r>
        <w:rPr>
          <w:rFonts w:hint="eastAsia" w:ascii="宋体" w:hAnsi="宋体"/>
          <w:szCs w:val="18"/>
          <w:lang w:val="en-US" w:eastAsia="zh-CN"/>
        </w:rPr>
        <w:t>企业综合能力</w:t>
      </w:r>
      <w:r>
        <w:rPr>
          <w:rFonts w:hint="eastAsia" w:ascii="宋体" w:hAnsi="宋体"/>
          <w:szCs w:val="18"/>
          <w:lang w:val="en-US"/>
        </w:rPr>
        <w:t>”的评分项。</w:t>
      </w:r>
    </w:p>
  </w:footnote>
  <w:footnote w:id="75">
    <w:p>
      <w:pPr>
        <w:pStyle w:val="67"/>
        <w:spacing w:line="240" w:lineRule="auto"/>
        <w:ind w:firstLine="0"/>
        <w:rPr>
          <w:szCs w:val="18"/>
        </w:rPr>
      </w:pPr>
      <w:r>
        <w:rPr>
          <w:rFonts w:hint="eastAsia"/>
          <w:szCs w:val="18"/>
        </w:rPr>
        <w:footnoteRef/>
      </w:r>
      <w:r>
        <w:rPr>
          <w:rFonts w:hint="eastAsia"/>
          <w:szCs w:val="18"/>
        </w:rPr>
        <w:t>招标人应列明各评分因素或各评分因素细分项（如有）的评分标准并作为评标委员会进行评分的依据。</w:t>
      </w:r>
    </w:p>
  </w:footnote>
  <w:footnote w:id="76">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 xml:space="preserve">评标委员会成员对投标人技术部分各项因素的评分一般不得低于招标文件规定该因素满分值的 60% </w:t>
      </w:r>
      <w:r>
        <w:rPr>
          <w:rFonts w:hint="eastAsia" w:ascii="宋体" w:hAnsi="宋体"/>
          <w:szCs w:val="18"/>
          <w:lang w:eastAsia="zh-CN"/>
        </w:rPr>
        <w:t>。</w:t>
      </w:r>
    </w:p>
  </w:footnote>
  <w:footnote w:id="77">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r>
        <w:rPr>
          <w:rFonts w:hint="eastAsia" w:ascii="宋体" w:hAnsi="宋体"/>
          <w:szCs w:val="18"/>
          <w:lang w:eastAsia="zh-CN"/>
        </w:rPr>
        <w:t>。</w:t>
      </w:r>
    </w:p>
  </w:footnote>
  <w:footnote w:id="78">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招标人可结合招标项目所在地省级交通主管部门对投标人的信用评级对其履约信用进行评分，但不得任意设置歧视性条款并不得任意设立行政许可。</w:t>
      </w:r>
    </w:p>
  </w:footnote>
  <w:footnote w:id="79">
    <w:p>
      <w:pPr>
        <w:pStyle w:val="67"/>
        <w:spacing w:line="240" w:lineRule="auto"/>
        <w:ind w:firstLine="0"/>
        <w:rPr>
          <w:rFonts w:hint="eastAsia" w:ascii="宋体" w:hAnsi="宋体"/>
          <w:szCs w:val="18"/>
          <w:lang w:val="en-US" w:eastAsia="zh-CN"/>
        </w:rPr>
      </w:pPr>
      <w:r>
        <w:rPr>
          <w:rFonts w:ascii="宋体" w:hAnsi="宋体"/>
          <w:szCs w:val="18"/>
        </w:rPr>
        <w:footnoteRef/>
      </w:r>
      <w:r>
        <w:rPr>
          <w:rFonts w:hint="eastAsia" w:ascii="宋体" w:hAnsi="宋体"/>
          <w:szCs w:val="18"/>
        </w:rPr>
        <w:t>本条内容供招标人自行选择是否设置，下同。</w:t>
      </w:r>
    </w:p>
  </w:footnote>
  <w:footnote w:id="80">
    <w:p>
      <w:pPr>
        <w:pStyle w:val="67"/>
        <w:snapToGrid/>
        <w:spacing w:line="240" w:lineRule="auto"/>
        <w:ind w:firstLine="0"/>
        <w:rPr>
          <w:rFonts w:hint="eastAsia" w:ascii="宋体" w:hAnsi="宋体" w:eastAsia="宋体"/>
          <w:szCs w:val="18"/>
          <w:lang w:eastAsia="zh-CN"/>
        </w:rPr>
      </w:pPr>
      <w:r>
        <w:rPr>
          <w:rFonts w:ascii="宋体" w:hAnsi="宋体"/>
          <w:szCs w:val="18"/>
        </w:rPr>
        <w:footnoteRef/>
      </w:r>
      <w:r>
        <w:rPr>
          <w:rFonts w:hint="eastAsia" w:ascii="宋体" w:hAnsi="宋体"/>
          <w:szCs w:val="18"/>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r>
        <w:rPr>
          <w:rFonts w:hint="eastAsia" w:ascii="宋体" w:hAnsi="宋体"/>
          <w:szCs w:val="18"/>
          <w:lang w:eastAsia="zh-CN"/>
        </w:rPr>
        <w:t>。</w:t>
      </w:r>
    </w:p>
  </w:footnote>
  <w:footnote w:id="81">
    <w:p>
      <w:pPr>
        <w:pStyle w:val="67"/>
        <w:spacing w:line="240" w:lineRule="auto"/>
        <w:ind w:firstLine="0"/>
        <w:rPr>
          <w:rStyle w:val="101"/>
          <w:rFonts w:hint="eastAsia" w:ascii="宋体" w:hAnsi="宋体"/>
        </w:rPr>
      </w:pPr>
      <w:r>
        <w:rPr>
          <w:rStyle w:val="101"/>
          <w:rFonts w:ascii="宋体" w:hAnsi="宋体"/>
          <w:vertAlign w:val="baseline"/>
        </w:rPr>
        <w:footnoteRef/>
      </w:r>
      <w:r>
        <w:rPr>
          <w:rFonts w:hint="eastAsia" w:ascii="宋体" w:hAnsi="宋体"/>
        </w:rPr>
        <w:t>适用于允许投标人同时参与多个标段投标，且只允许中其中一个标段的情形。招标人可结合招标项目具体情况调整完善。</w:t>
      </w:r>
    </w:p>
  </w:footnote>
  <w:footnote w:id="82">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本款涉及的序号或条款号均对应本范本，如招标文件修改序号或条款号的，应对应修改</w:t>
      </w:r>
      <w:r>
        <w:rPr>
          <w:rFonts w:hint="eastAsia" w:ascii="宋体" w:hAnsi="宋体"/>
          <w:szCs w:val="18"/>
          <w:lang w:eastAsia="zh-CN"/>
        </w:rPr>
        <w:t>。</w:t>
      </w:r>
    </w:p>
  </w:footnote>
  <w:footnote w:id="83">
    <w:p>
      <w:pPr>
        <w:pStyle w:val="67"/>
        <w:spacing w:line="240" w:lineRule="auto"/>
        <w:ind w:firstLine="0"/>
        <w:rPr>
          <w:rStyle w:val="101"/>
          <w:rFonts w:ascii="宋体" w:hAnsi="宋体"/>
          <w:vertAlign w:val="baseline"/>
        </w:rPr>
      </w:pPr>
      <w:r>
        <w:rPr>
          <w:rStyle w:val="101"/>
          <w:rFonts w:ascii="宋体" w:hAnsi="宋体"/>
          <w:vertAlign w:val="baseline"/>
        </w:rPr>
        <w:footnoteRef/>
      </w:r>
      <w:r>
        <w:rPr>
          <w:rStyle w:val="101"/>
          <w:rFonts w:hint="eastAsia" w:ascii="宋体" w:hAnsi="宋体"/>
          <w:vertAlign w:val="baseline"/>
        </w:rPr>
        <w:t>适用于采用交通运输部“全国</w:t>
      </w:r>
      <w:r>
        <w:rPr>
          <w:rFonts w:hint="eastAsia" w:ascii="宋体" w:hAnsi="宋体"/>
          <w:lang w:val="en-US" w:eastAsia="zh-CN"/>
        </w:rPr>
        <w:t>水运</w:t>
      </w:r>
      <w:r>
        <w:rPr>
          <w:rStyle w:val="101"/>
          <w:rFonts w:hint="eastAsia" w:ascii="宋体" w:hAnsi="宋体"/>
          <w:vertAlign w:val="baseline"/>
        </w:rPr>
        <w:t>建设市场信用信息管理系统”截图作为证明材料的情形。</w:t>
      </w:r>
    </w:p>
  </w:footnote>
  <w:footnote w:id="84">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“评标办法前附表”用于明确评标的方法、因素、标准和程序。招标人应根据招标项目具体特点和实际需要，</w:t>
      </w:r>
    </w:p>
    <w:p>
      <w:pPr>
        <w:pStyle w:val="67"/>
        <w:spacing w:line="240" w:lineRule="auto"/>
        <w:ind w:firstLine="0"/>
        <w:rPr>
          <w:rFonts w:hint="eastAsia" w:ascii="宋体" w:hAnsi="宋体"/>
          <w:szCs w:val="18"/>
          <w:lang w:eastAsia="zh-CN"/>
        </w:rPr>
      </w:pPr>
      <w:r>
        <w:rPr>
          <w:rFonts w:hint="eastAsia" w:ascii="宋体" w:hAnsi="宋体"/>
          <w:szCs w:val="18"/>
        </w:rPr>
        <w:t>详细列明全部评审因素、标准，没有列明的因素和标准不得作为评标的依据</w:t>
      </w:r>
      <w:r>
        <w:rPr>
          <w:rFonts w:hint="eastAsia" w:ascii="宋体" w:hAnsi="宋体"/>
          <w:szCs w:val="18"/>
          <w:lang w:eastAsia="zh-CN"/>
        </w:rPr>
        <w:t>。</w:t>
      </w:r>
    </w:p>
  </w:footnote>
  <w:footnote w:id="85">
    <w:p>
      <w:pPr>
        <w:pStyle w:val="67"/>
        <w:spacing w:line="240" w:lineRule="auto"/>
        <w:ind w:left="180" w:hanging="180" w:hangingChars="100"/>
        <w:jc w:val="both"/>
        <w:rPr>
          <w:rFonts w:ascii="宋体" w:hAnsi="宋体" w:cs="宋体"/>
          <w:szCs w:val="18"/>
        </w:rPr>
      </w:pPr>
      <w:r>
        <w:rPr>
          <w:rStyle w:val="101"/>
          <w:rFonts w:hint="eastAsia" w:ascii="宋体" w:hAnsi="宋体" w:cs="宋体"/>
          <w:szCs w:val="18"/>
          <w:vertAlign w:val="baseline"/>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附录5</w:t>
      </w:r>
      <w:r>
        <w:rPr>
          <w:rFonts w:hint="eastAsia" w:ascii="宋体" w:hAnsi="宋体" w:cs="宋体"/>
          <w:szCs w:val="18"/>
          <w:lang w:eastAsia="zh-CN"/>
        </w:rPr>
        <w:t>、</w:t>
      </w:r>
      <w:r>
        <w:rPr>
          <w:rFonts w:hint="eastAsia" w:ascii="宋体" w:hAnsi="宋体" w:cs="宋体"/>
          <w:szCs w:val="18"/>
          <w:lang w:val="en-US" w:eastAsia="zh-CN"/>
        </w:rPr>
        <w:t>附录6</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86">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仅适用于允许联合体投标的情形</w:t>
      </w:r>
      <w:r>
        <w:rPr>
          <w:rFonts w:hint="eastAsia" w:ascii="宋体" w:hAnsi="宋体"/>
          <w:szCs w:val="18"/>
          <w:lang w:eastAsia="zh-CN"/>
        </w:rPr>
        <w:t>。</w:t>
      </w:r>
    </w:p>
  </w:footnote>
  <w:footnote w:id="87">
    <w:p>
      <w:pPr>
        <w:pStyle w:val="67"/>
        <w:spacing w:line="240" w:lineRule="auto"/>
        <w:ind w:firstLine="0"/>
        <w:rPr>
          <w:rStyle w:val="101"/>
          <w:rFonts w:hint="eastAsia" w:ascii="宋体" w:hAnsi="宋体" w:cs="宋体"/>
          <w:vertAlign w:val="baseline"/>
        </w:rPr>
      </w:pPr>
      <w:r>
        <w:rPr>
          <w:rStyle w:val="101"/>
          <w:rFonts w:ascii="宋体" w:hAnsi="宋体" w:cs="宋体"/>
          <w:vertAlign w:val="baseline"/>
        </w:rPr>
        <w:footnoteRef/>
      </w:r>
      <w:r>
        <w:rPr>
          <w:rFonts w:hint="eastAsia" w:ascii="宋体" w:hAnsi="宋体" w:cs="宋体"/>
        </w:rPr>
        <w:t>港口工程、大型技术复杂的航道工程（指沿海航道工程以及包含船闸或炸礁的内河航道工程）可设置</w:t>
      </w:r>
      <w:r>
        <w:rPr>
          <w:rFonts w:hint="eastAsia" w:hAnsi="宋体" w:cs="宋体"/>
          <w:szCs w:val="21"/>
        </w:rPr>
        <w:t>“</w:t>
      </w:r>
      <w:r>
        <w:rPr>
          <w:rFonts w:hint="eastAsia" w:hAnsi="宋体" w:cs="宋体"/>
          <w:szCs w:val="21"/>
          <w:lang w:val="en-US" w:eastAsia="zh-CN"/>
        </w:rPr>
        <w:t>企业综合能力</w:t>
      </w:r>
      <w:r>
        <w:rPr>
          <w:rFonts w:hint="eastAsia" w:hAnsi="宋体" w:cs="宋体"/>
          <w:szCs w:val="21"/>
        </w:rPr>
        <w:t>”的评分项。</w:t>
      </w:r>
    </w:p>
  </w:footnote>
  <w:footnote w:id="88">
    <w:p>
      <w:pPr>
        <w:pStyle w:val="67"/>
        <w:spacing w:line="240" w:lineRule="auto"/>
        <w:ind w:firstLine="0"/>
        <w:rPr>
          <w:szCs w:val="18"/>
        </w:rPr>
      </w:pPr>
      <w:r>
        <w:rPr>
          <w:rFonts w:hint="eastAsia"/>
          <w:szCs w:val="18"/>
        </w:rPr>
        <w:footnoteRef/>
      </w:r>
      <w:r>
        <w:rPr>
          <w:rFonts w:hint="eastAsia"/>
          <w:szCs w:val="18"/>
        </w:rPr>
        <w:t>招标人应列明各评分因素或各评分因素细分项（如有）的评分标准并作为评标委员会进行评分的依据。</w:t>
      </w:r>
    </w:p>
  </w:footnote>
  <w:footnote w:id="89">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 xml:space="preserve">评标委员会成员对投标人技术部分各项因素的评分一般不得低于招标文件规定该因素满分值的60% </w:t>
      </w:r>
      <w:r>
        <w:rPr>
          <w:rFonts w:hint="eastAsia" w:ascii="宋体" w:hAnsi="宋体"/>
          <w:szCs w:val="18"/>
          <w:lang w:eastAsia="zh-CN"/>
        </w:rPr>
        <w:t>。</w:t>
      </w:r>
    </w:p>
  </w:footnote>
  <w:footnote w:id="90">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 xml:space="preserve"> 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r>
        <w:rPr>
          <w:rFonts w:hint="eastAsia" w:ascii="宋体" w:hAnsi="宋体"/>
          <w:szCs w:val="18"/>
          <w:lang w:eastAsia="zh-CN"/>
        </w:rPr>
        <w:t>。</w:t>
      </w:r>
    </w:p>
  </w:footnote>
  <w:footnote w:id="91">
    <w:p>
      <w:pPr>
        <w:pStyle w:val="67"/>
        <w:spacing w:line="240" w:lineRule="auto"/>
        <w:ind w:firstLine="0"/>
        <w:rPr>
          <w:rFonts w:hint="eastAsia" w:ascii="宋体" w:hAnsi="宋体"/>
          <w:szCs w:val="18"/>
        </w:rPr>
      </w:pPr>
      <w:r>
        <w:rPr>
          <w:rFonts w:ascii="宋体" w:hAnsi="宋体"/>
          <w:szCs w:val="18"/>
        </w:rPr>
        <w:footnoteRef/>
      </w:r>
      <w:r>
        <w:rPr>
          <w:rFonts w:hint="eastAsia" w:ascii="宋体" w:hAnsi="宋体"/>
          <w:szCs w:val="18"/>
        </w:rPr>
        <w:t>招标人可结合招标项目所在地省级交通主管部门对投标人的信用评级对其履约信用进行评分，但不得任意设置歧视性条款并不得任意设立行政许可。</w:t>
      </w:r>
    </w:p>
  </w:footnote>
  <w:footnote w:id="92">
    <w:p>
      <w:pPr>
        <w:pStyle w:val="67"/>
        <w:spacing w:line="240" w:lineRule="auto"/>
        <w:ind w:firstLine="0"/>
        <w:rPr>
          <w:rFonts w:hint="eastAsia" w:ascii="宋体" w:hAnsi="宋体"/>
          <w:szCs w:val="18"/>
          <w:lang w:val="en-US" w:eastAsia="zh-CN"/>
        </w:rPr>
      </w:pPr>
      <w:r>
        <w:rPr>
          <w:rFonts w:ascii="宋体" w:hAnsi="宋体"/>
          <w:szCs w:val="18"/>
        </w:rPr>
        <w:footnoteRef/>
      </w:r>
      <w:r>
        <w:rPr>
          <w:rFonts w:hint="eastAsia" w:ascii="宋体" w:hAnsi="宋体"/>
          <w:szCs w:val="18"/>
        </w:rPr>
        <w:t>本条内容供招标人自行选择是否设置，下同。</w:t>
      </w:r>
    </w:p>
  </w:footnote>
  <w:footnote w:id="93">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r>
        <w:rPr>
          <w:rFonts w:hint="eastAsia" w:ascii="宋体" w:hAnsi="宋体"/>
          <w:szCs w:val="18"/>
          <w:lang w:eastAsia="zh-CN"/>
        </w:rPr>
        <w:t>。</w:t>
      </w:r>
    </w:p>
  </w:footnote>
  <w:footnote w:id="94">
    <w:p>
      <w:pPr>
        <w:pStyle w:val="67"/>
        <w:spacing w:line="240" w:lineRule="auto"/>
        <w:ind w:firstLine="0"/>
        <w:rPr>
          <w:rStyle w:val="101"/>
          <w:rFonts w:hint="eastAsia" w:ascii="宋体" w:hAnsi="宋体"/>
        </w:rPr>
      </w:pPr>
      <w:r>
        <w:rPr>
          <w:rStyle w:val="101"/>
          <w:rFonts w:ascii="宋体" w:hAnsi="宋体"/>
          <w:vertAlign w:val="baseline"/>
        </w:rPr>
        <w:footnoteRef/>
      </w:r>
      <w:r>
        <w:rPr>
          <w:rFonts w:hint="eastAsia" w:ascii="宋体" w:hAnsi="宋体"/>
        </w:rPr>
        <w:t>适用于允许投标人同时参与多个标段投标，且只允许中其中一个标段的情形。招标人可结合招标项目具体情况调整完善。</w:t>
      </w:r>
    </w:p>
  </w:footnote>
  <w:footnote w:id="95">
    <w:p>
      <w:pPr>
        <w:pStyle w:val="67"/>
        <w:spacing w:line="240" w:lineRule="auto"/>
        <w:ind w:firstLine="0"/>
        <w:rPr>
          <w:rFonts w:hint="eastAsia" w:ascii="宋体" w:hAnsi="宋体"/>
          <w:szCs w:val="18"/>
          <w:lang w:eastAsia="zh-CN"/>
        </w:rPr>
      </w:pPr>
      <w:r>
        <w:rPr>
          <w:rFonts w:ascii="宋体" w:hAnsi="宋体"/>
          <w:szCs w:val="18"/>
        </w:rPr>
        <w:footnoteRef/>
      </w:r>
      <w:r>
        <w:rPr>
          <w:rFonts w:ascii="宋体" w:hAnsi="宋体"/>
          <w:szCs w:val="18"/>
        </w:rPr>
        <w:t>本款涉及的序号或条款号均对应本范本，如招标文件修改序号或条款号的，应对应修改</w:t>
      </w:r>
      <w:r>
        <w:rPr>
          <w:rFonts w:hint="eastAsia" w:ascii="宋体" w:hAnsi="宋体"/>
          <w:szCs w:val="18"/>
          <w:lang w:eastAsia="zh-CN"/>
        </w:rPr>
        <w:t>。</w:t>
      </w:r>
    </w:p>
  </w:footnote>
  <w:footnote w:id="96">
    <w:p>
      <w:pPr>
        <w:pStyle w:val="67"/>
        <w:spacing w:line="240" w:lineRule="auto"/>
        <w:ind w:firstLine="0"/>
        <w:rPr>
          <w:rFonts w:hint="eastAsia"/>
        </w:rPr>
      </w:pPr>
      <w:r>
        <w:rPr>
          <w:rStyle w:val="101"/>
          <w:rFonts w:hint="eastAsia"/>
          <w:vertAlign w:val="baseline"/>
        </w:rPr>
        <w:footnoteRef/>
      </w:r>
      <w:r>
        <w:rPr>
          <w:rFonts w:hint="eastAsia"/>
        </w:rPr>
        <w:t>适用于采用交通运输部“全国水运建设市场信用信息管理系统”截图作为证明材料的情形。</w:t>
      </w:r>
    </w:p>
  </w:footnote>
  <w:footnote w:id="97">
    <w:p>
      <w:pPr>
        <w:pStyle w:val="67"/>
        <w:spacing w:line="240" w:lineRule="auto"/>
        <w:ind w:firstLine="0"/>
        <w:rPr>
          <w:rFonts w:ascii="宋体" w:hAnsi="宋体"/>
          <w:szCs w:val="18"/>
        </w:rPr>
      </w:pPr>
      <w:r>
        <w:rPr>
          <w:rFonts w:ascii="宋体" w:hAnsi="宋体"/>
          <w:szCs w:val="18"/>
        </w:rPr>
        <w:footnoteRef/>
      </w:r>
      <w:r>
        <w:rPr>
          <w:rFonts w:ascii="宋体" w:hAnsi="宋体"/>
          <w:szCs w:val="18"/>
        </w:rPr>
        <w:t>招标人可根据项目的实际情况进行完善。</w:t>
      </w:r>
    </w:p>
  </w:footnote>
  <w:footnote w:id="98">
    <w:p>
      <w:pPr>
        <w:pStyle w:val="67"/>
        <w:ind w:firstLine="0"/>
        <w:rPr>
          <w:lang w:val="en-US" w:eastAsia="zh-CN"/>
        </w:rPr>
      </w:pPr>
      <w:r>
        <w:rPr>
          <w:rStyle w:val="101"/>
        </w:rPr>
        <w:footnoteRef/>
      </w:r>
      <w:r>
        <w:t xml:space="preserve"> </w:t>
      </w:r>
      <w:r>
        <w:rPr>
          <w:rFonts w:hint="eastAsia"/>
          <w:lang w:val="en-US" w:eastAsia="zh-CN"/>
        </w:rPr>
        <w:t>具体时间设置应满足相关部门的工期要求。</w:t>
      </w:r>
    </w:p>
  </w:footnote>
  <w:footnote w:id="99">
    <w:p>
      <w:pPr>
        <w:pStyle w:val="67"/>
        <w:spacing w:line="240" w:lineRule="auto"/>
        <w:ind w:firstLine="0"/>
        <w:rPr>
          <w:lang w:val="en-US" w:eastAsia="zh-CN"/>
        </w:rPr>
      </w:pPr>
      <w:r>
        <w:rPr>
          <w:rFonts w:hint="eastAsia"/>
          <w:lang w:val="en-US"/>
        </w:rPr>
        <w:footnoteRef/>
      </w:r>
      <w:r>
        <w:rPr>
          <w:rFonts w:hint="eastAsia"/>
          <w:lang w:val="en-US"/>
        </w:rPr>
        <w:t xml:space="preserve"> </w:t>
      </w:r>
      <w:r>
        <w:rPr>
          <w:rFonts w:hint="eastAsia"/>
          <w:lang w:val="en-US" w:eastAsia="zh-CN"/>
        </w:rPr>
        <w:t>支付方式可以根据招标人实际情况进行调整。</w:t>
      </w:r>
    </w:p>
  </w:footnote>
  <w:footnote w:id="100">
    <w:p>
      <w:pPr>
        <w:pStyle w:val="67"/>
        <w:spacing w:line="240" w:lineRule="auto"/>
        <w:ind w:firstLine="0"/>
        <w:rPr>
          <w:rFonts w:ascii="宋体" w:hAnsi="宋体"/>
          <w:szCs w:val="18"/>
          <w:lang w:val="en-US" w:eastAsia="zh-CN"/>
        </w:rPr>
      </w:pPr>
      <w:r>
        <w:rPr>
          <w:rFonts w:hint="eastAsia" w:ascii="宋体" w:hAnsi="宋体"/>
          <w:szCs w:val="18"/>
          <w:lang w:val="en-US" w:eastAsia="zh-CN"/>
        </w:rPr>
        <w:footnoteRef/>
      </w:r>
      <w:r>
        <w:rPr>
          <w:rFonts w:hint="eastAsia" w:ascii="宋体" w:hAnsi="宋体"/>
          <w:szCs w:val="18"/>
          <w:lang w:val="en-US" w:eastAsia="zh-CN"/>
        </w:rPr>
        <w:t>招标人不能自行取消本款内容，下同。</w:t>
      </w:r>
    </w:p>
  </w:footnote>
  <w:footnote w:id="101">
    <w:p>
      <w:pPr>
        <w:pStyle w:val="67"/>
        <w:spacing w:line="240" w:lineRule="auto"/>
        <w:ind w:firstLine="0"/>
        <w:rPr>
          <w:rFonts w:ascii="宋体" w:hAnsi="宋体"/>
          <w:szCs w:val="18"/>
          <w:lang w:val="en-US" w:eastAsia="zh-CN"/>
        </w:rPr>
      </w:pPr>
      <w:r>
        <w:rPr>
          <w:rFonts w:hint="eastAsia" w:ascii="宋体" w:hAnsi="宋体"/>
          <w:szCs w:val="18"/>
          <w:lang w:val="en-US" w:eastAsia="zh-CN"/>
        </w:rPr>
        <w:footnoteRef/>
      </w:r>
      <w:r>
        <w:rPr>
          <w:rFonts w:hint="eastAsia" w:ascii="宋体" w:hAnsi="宋体"/>
          <w:szCs w:val="18"/>
          <w:lang w:val="en-US" w:eastAsia="zh-CN"/>
        </w:rPr>
        <w:t>质量保证金最高不超过勘察设计费用总额的3%。</w:t>
      </w:r>
    </w:p>
  </w:footnote>
  <w:footnote w:id="102">
    <w:p>
      <w:pPr>
        <w:pStyle w:val="67"/>
        <w:spacing w:line="240" w:lineRule="auto"/>
        <w:ind w:firstLine="0"/>
        <w:rPr>
          <w:rFonts w:ascii="宋体" w:hAnsi="宋体"/>
          <w:szCs w:val="18"/>
          <w:lang w:val="en-US" w:eastAsia="zh-CN"/>
        </w:rPr>
      </w:pPr>
      <w:r>
        <w:rPr>
          <w:rFonts w:hint="eastAsia" w:ascii="宋体" w:hAnsi="宋体"/>
          <w:szCs w:val="18"/>
          <w:lang w:val="en-US" w:eastAsia="zh-CN"/>
        </w:rPr>
        <w:footnoteRef/>
      </w:r>
      <w:r>
        <w:rPr>
          <w:rFonts w:hint="eastAsia" w:ascii="宋体" w:hAnsi="宋体"/>
          <w:szCs w:val="18"/>
          <w:lang w:val="en-US" w:eastAsia="zh-CN"/>
        </w:rPr>
        <w:t>范围宜为5%-10%。</w:t>
      </w:r>
    </w:p>
  </w:footnote>
  <w:footnote w:id="103">
    <w:p>
      <w:pPr>
        <w:pStyle w:val="67"/>
        <w:spacing w:line="240" w:lineRule="auto"/>
        <w:ind w:firstLine="0"/>
        <w:rPr>
          <w:rFonts w:hint="eastAsia" w:ascii="宋体" w:hAnsi="宋体"/>
          <w:szCs w:val="18"/>
          <w:lang w:val="en-US"/>
        </w:rPr>
      </w:pPr>
      <w:r>
        <w:rPr>
          <w:rFonts w:ascii="宋体" w:hAnsi="宋体"/>
          <w:szCs w:val="18"/>
        </w:rPr>
        <w:footnoteRef/>
      </w:r>
      <w:r>
        <w:rPr>
          <w:rFonts w:hint="eastAsia" w:ascii="宋体" w:hAnsi="宋体"/>
          <w:szCs w:val="18"/>
          <w:lang w:val="en-US" w:eastAsia="zh-CN"/>
        </w:rPr>
        <w:t>范围宜为3%-5%。</w:t>
      </w:r>
    </w:p>
  </w:footnote>
  <w:footnote w:id="104">
    <w:p>
      <w:pPr>
        <w:pStyle w:val="67"/>
        <w:ind w:firstLine="0"/>
        <w:rPr>
          <w:lang w:val="en-US" w:eastAsia="zh-CN"/>
        </w:rPr>
      </w:pPr>
      <w:r>
        <w:rPr>
          <w:rFonts w:hint="eastAsia"/>
          <w:lang w:val="en-US"/>
        </w:rPr>
        <w:footnoteRef/>
      </w:r>
      <w:r>
        <w:rPr>
          <w:rFonts w:hint="eastAsia"/>
          <w:lang w:val="en-US" w:eastAsia="zh-CN"/>
        </w:rPr>
        <w:t>范围宜为5%-10%。</w:t>
      </w:r>
    </w:p>
  </w:footnote>
  <w:footnote w:id="105">
    <w:p>
      <w:pPr>
        <w:pStyle w:val="67"/>
        <w:spacing w:line="240" w:lineRule="auto"/>
        <w:ind w:firstLine="0"/>
        <w:rPr>
          <w:rFonts w:ascii="宋体" w:hAnsi="宋体"/>
          <w:szCs w:val="18"/>
        </w:rPr>
      </w:pPr>
      <w:r>
        <w:rPr>
          <w:rFonts w:ascii="宋体" w:hAnsi="宋体"/>
          <w:szCs w:val="18"/>
        </w:rPr>
        <w:footnoteRef/>
      </w:r>
      <w:r>
        <w:rPr>
          <w:rFonts w:hint="eastAsia" w:ascii="宋体" w:hAnsi="宋体"/>
          <w:szCs w:val="18"/>
        </w:rPr>
        <w:t>“本担保自</w:t>
      </w:r>
      <w:r>
        <w:rPr>
          <w:rFonts w:hint="eastAsia" w:ascii="宋体" w:hAnsi="宋体"/>
          <w:szCs w:val="18"/>
          <w:u w:val="single"/>
        </w:rPr>
        <w:t xml:space="preserve"> （生效日期） </w:t>
      </w:r>
      <w:r>
        <w:rPr>
          <w:rFonts w:hint="eastAsia" w:ascii="宋体" w:hAnsi="宋体"/>
          <w:szCs w:val="18"/>
        </w:rPr>
        <w:t>之日起生效，至</w:t>
      </w:r>
      <w:r>
        <w:rPr>
          <w:rFonts w:hint="eastAsia" w:ascii="宋体" w:hAnsi="宋体"/>
          <w:szCs w:val="18"/>
          <w:u w:val="single"/>
        </w:rPr>
        <w:t xml:space="preserve"> （失效日期） </w:t>
      </w:r>
      <w:r>
        <w:rPr>
          <w:rFonts w:hint="eastAsia" w:ascii="宋体" w:hAnsi="宋体"/>
          <w:szCs w:val="18"/>
        </w:rPr>
        <w:t>之日失效。”如发包人接受履约保函采用固定有效期， 在专用合同条款中应增加保证设计人在履约保函失效日前向发包人出具后续阶段履约保函的约束性条款，直至发包人签收最后一批勘察设计成果文件且设计人按照合同约定缴纳质量保证金之日为止。</w:t>
      </w:r>
      <w:r>
        <w:rPr>
          <w:rFonts w:ascii="宋体" w:hAnsi="宋体"/>
          <w:szCs w:val="18"/>
        </w:rPr>
        <w:t xml:space="preserve"> </w:t>
      </w:r>
    </w:p>
  </w:footnote>
  <w:footnote w:id="106">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招标人可结合招标项目具体特点和实际需要，对本章内容进行补充、细化</w:t>
      </w:r>
      <w:r>
        <w:rPr>
          <w:rFonts w:hint="eastAsia" w:ascii="宋体" w:hAnsi="宋体"/>
          <w:szCs w:val="18"/>
          <w:lang w:eastAsia="zh-CN"/>
        </w:rPr>
        <w:t>。</w:t>
      </w:r>
    </w:p>
  </w:footnote>
  <w:footnote w:id="107">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招标人可结合招标项目具体特点和实际需要，对本章内容进行补充、细化</w:t>
      </w:r>
      <w:r>
        <w:rPr>
          <w:rFonts w:hint="eastAsia" w:ascii="宋体" w:hAnsi="宋体"/>
          <w:szCs w:val="18"/>
          <w:lang w:eastAsia="zh-CN"/>
        </w:rPr>
        <w:t>。</w:t>
      </w:r>
    </w:p>
  </w:footnote>
  <w:footnote w:id="108">
    <w:p>
      <w:pPr>
        <w:pStyle w:val="67"/>
        <w:spacing w:line="240" w:lineRule="auto"/>
        <w:ind w:firstLine="0"/>
        <w:rPr>
          <w:rFonts w:hint="eastAsia" w:ascii="宋体" w:hAnsi="宋体" w:cs="宋体"/>
          <w:color w:val="000000"/>
          <w:szCs w:val="18"/>
        </w:rPr>
      </w:pPr>
      <w:r>
        <w:rPr>
          <w:rFonts w:hint="eastAsia" w:ascii="宋体" w:hAnsi="宋体" w:cs="宋体"/>
          <w:color w:val="000000"/>
          <w:szCs w:val="18"/>
        </w:rPr>
        <w:footnoteRef/>
      </w:r>
      <w:r>
        <w:rPr>
          <w:rFonts w:hint="eastAsia" w:ascii="宋体" w:hAnsi="宋体" w:cs="宋体"/>
          <w:color w:val="000000"/>
          <w:szCs w:val="18"/>
        </w:rPr>
        <w:t>本条款不适用于已按招标文件要求提供了其他</w:t>
      </w:r>
      <w:r>
        <w:rPr>
          <w:rFonts w:hint="eastAsia" w:ascii="宋体" w:hAnsi="宋体" w:cs="宋体"/>
          <w:color w:val="000000"/>
          <w:szCs w:val="18"/>
          <w:lang w:eastAsia="zh-CN"/>
        </w:rPr>
        <w:t>主要</w:t>
      </w:r>
      <w:r>
        <w:rPr>
          <w:rFonts w:hint="eastAsia" w:ascii="宋体" w:hAnsi="宋体" w:cs="宋体"/>
          <w:color w:val="000000"/>
          <w:szCs w:val="18"/>
        </w:rPr>
        <w:t xml:space="preserve">人员的项目。 </w:t>
      </w:r>
    </w:p>
  </w:footnote>
  <w:footnote w:id="109">
    <w:p>
      <w:pPr>
        <w:pStyle w:val="67"/>
        <w:spacing w:line="240" w:lineRule="auto"/>
        <w:ind w:firstLine="0"/>
        <w:rPr>
          <w:rFonts w:hint="eastAsia" w:ascii="宋体" w:hAnsi="宋体" w:cs="宋体"/>
          <w:szCs w:val="18"/>
        </w:rPr>
      </w:pPr>
      <w:r>
        <w:rPr>
          <w:rFonts w:hint="eastAsia" w:ascii="宋体" w:hAnsi="宋体" w:cs="宋体"/>
          <w:color w:val="000000"/>
          <w:szCs w:val="18"/>
        </w:rPr>
        <w:footnoteRef/>
      </w:r>
      <w:r>
        <w:rPr>
          <w:rFonts w:hint="eastAsia" w:ascii="宋体" w:hAnsi="宋体" w:cs="宋体"/>
          <w:color w:val="000000"/>
          <w:szCs w:val="18"/>
        </w:rPr>
        <w:t>投标人</w:t>
      </w:r>
      <w:r>
        <w:rPr>
          <w:rFonts w:hint="eastAsia" w:ascii="宋体" w:hAnsi="宋体" w:cs="宋体"/>
          <w:szCs w:val="18"/>
        </w:rPr>
        <w:t>仅需在投标函上加盖单位章，或由法定代表人或其委托代理人签字。</w:t>
      </w:r>
    </w:p>
  </w:footnote>
  <w:footnote w:id="110">
    <w:p>
      <w:pPr>
        <w:pStyle w:val="67"/>
        <w:spacing w:line="240" w:lineRule="auto"/>
        <w:ind w:firstLine="0"/>
        <w:rPr>
          <w:rFonts w:hint="eastAsia" w:ascii="宋体" w:hAnsi="宋体"/>
          <w:szCs w:val="18"/>
          <w:lang w:eastAsia="zh-CN"/>
        </w:rPr>
      </w:pPr>
      <w:r>
        <w:rPr>
          <w:rFonts w:ascii="宋体" w:hAnsi="宋体"/>
          <w:szCs w:val="18"/>
        </w:rPr>
        <w:footnoteRef/>
      </w:r>
      <w:r>
        <w:rPr>
          <w:rFonts w:hint="eastAsia" w:ascii="宋体" w:hAnsi="宋体"/>
          <w:szCs w:val="18"/>
        </w:rPr>
        <w:t>如果由投标人的法定代表人签署投标文件，则不需提交授权委托书</w:t>
      </w:r>
      <w:r>
        <w:rPr>
          <w:rFonts w:hint="eastAsia" w:ascii="宋体" w:hAnsi="宋体"/>
          <w:szCs w:val="18"/>
          <w:lang w:eastAsia="zh-CN"/>
        </w:rPr>
        <w:t>。</w:t>
      </w:r>
    </w:p>
  </w:footnote>
  <w:footnote w:id="111">
    <w:p>
      <w:pPr>
        <w:pStyle w:val="67"/>
        <w:ind w:firstLine="0"/>
        <w:rPr>
          <w:szCs w:val="18"/>
        </w:rPr>
      </w:pPr>
      <w:r>
        <w:rPr>
          <w:rFonts w:hint="eastAsia"/>
          <w:szCs w:val="18"/>
        </w:rPr>
        <w:footnoteRef/>
      </w:r>
      <w:r>
        <w:rPr>
          <w:rFonts w:hint="eastAsia"/>
          <w:szCs w:val="18"/>
        </w:rPr>
        <w:t>如果由投标人的委托代理人签署投标文件，则不需提交法定代表人身份证明。</w:t>
      </w:r>
    </w:p>
  </w:footnote>
  <w:footnote w:id="112">
    <w:p>
      <w:pPr>
        <w:pStyle w:val="67"/>
        <w:ind w:firstLine="0"/>
        <w:rPr>
          <w:rFonts w:hint="eastAsia"/>
          <w:lang w:eastAsia="zh-CN"/>
        </w:rPr>
      </w:pPr>
      <w:r>
        <w:rPr>
          <w:rFonts w:ascii="宋体" w:hAnsi="宋体"/>
          <w:szCs w:val="18"/>
        </w:rPr>
        <w:footnoteRef/>
      </w:r>
      <w:r>
        <w:rPr>
          <w:rFonts w:hint="eastAsia" w:ascii="宋体" w:hAnsi="宋体" w:cs="宋体"/>
          <w:color w:val="000000"/>
          <w:szCs w:val="18"/>
        </w:rPr>
        <w:t>根</w:t>
      </w:r>
      <w:r>
        <w:rPr>
          <w:rFonts w:hint="eastAsia" w:ascii="CIDFont + F1" w:hAnsi="CIDFont + F1" w:eastAsia="CIDFont + F1" w:cs="CIDFont + F1"/>
          <w:color w:val="000000"/>
          <w:szCs w:val="18"/>
        </w:rPr>
        <w:t>据</w:t>
      </w:r>
      <w:r>
        <w:rPr>
          <w:rFonts w:ascii="CIDFont + F1" w:hAnsi="CIDFont + F1" w:eastAsia="CIDFont + F1" w:cs="CIDFont + F1"/>
          <w:color w:val="000000"/>
          <w:szCs w:val="18"/>
        </w:rPr>
        <w:t>项目的实际情况，如招标文件要求其他</w:t>
      </w:r>
      <w:r>
        <w:rPr>
          <w:rFonts w:hint="eastAsia" w:ascii="CIDFont + F1" w:hAnsi="CIDFont + F1" w:cs="CIDFont + F1"/>
          <w:color w:val="000000"/>
          <w:szCs w:val="18"/>
          <w:lang w:eastAsia="zh-CN"/>
        </w:rPr>
        <w:t>主要</w:t>
      </w:r>
      <w:r>
        <w:rPr>
          <w:rFonts w:ascii="CIDFont + F1" w:hAnsi="CIDFont + F1" w:eastAsia="CIDFont + F1" w:cs="CIDFont + F1"/>
          <w:color w:val="000000"/>
          <w:szCs w:val="18"/>
        </w:rPr>
        <w:t>人员按投标函的格式承诺即可，则本表可不提供</w:t>
      </w:r>
      <w:r>
        <w:rPr>
          <w:rFonts w:hint="eastAsia" w:ascii="CIDFont + F1" w:hAnsi="CIDFont + F1" w:cs="CIDFont + F1"/>
          <w:color w:val="000000"/>
          <w:szCs w:val="18"/>
          <w:lang w:eastAsia="zh-CN"/>
        </w:rPr>
        <w:t>。</w:t>
      </w:r>
    </w:p>
  </w:footnote>
  <w:footnote w:id="113">
    <w:p>
      <w:pPr>
        <w:pStyle w:val="67"/>
        <w:ind w:firstLine="0"/>
        <w:rPr>
          <w:rFonts w:hint="eastAsia"/>
          <w:lang w:eastAsia="zh-CN"/>
        </w:rPr>
      </w:pPr>
      <w:r>
        <w:rPr>
          <w:rFonts w:hint="eastAsia"/>
          <w:lang w:val="en-US" w:eastAsia="zh-CN"/>
        </w:rPr>
        <w:t>1</w:t>
      </w:r>
      <w:r>
        <w:rPr>
          <w:rFonts w:ascii="CIDFont + F1" w:hAnsi="CIDFont + F1" w:eastAsia="CIDFont + F1" w:cs="CIDFont + F1"/>
          <w:color w:val="000000"/>
          <w:szCs w:val="18"/>
        </w:rPr>
        <w:t>根据项目的实际情况，如招标文件要求其他</w:t>
      </w:r>
      <w:r>
        <w:rPr>
          <w:rFonts w:hint="eastAsia" w:ascii="CIDFont + F1" w:hAnsi="CIDFont + F1" w:cs="CIDFont + F1"/>
          <w:color w:val="000000"/>
          <w:szCs w:val="18"/>
          <w:lang w:eastAsia="zh-CN"/>
        </w:rPr>
        <w:t>主要</w:t>
      </w:r>
      <w:r>
        <w:rPr>
          <w:rFonts w:ascii="CIDFont + F1" w:hAnsi="CIDFont + F1" w:eastAsia="CIDFont + F1" w:cs="CIDFont + F1"/>
          <w:color w:val="000000"/>
          <w:szCs w:val="18"/>
        </w:rPr>
        <w:t>人员按投标函的格式承诺即可，则本表可不提供</w:t>
      </w:r>
      <w:r>
        <w:rPr>
          <w:rFonts w:hint="eastAsia" w:ascii="CIDFont + F1" w:hAnsi="CIDFont + F1" w:cs="CIDFont + F1"/>
          <w:color w:val="000000"/>
          <w:szCs w:val="18"/>
          <w:lang w:eastAsia="zh-CN"/>
        </w:rPr>
        <w:t>。</w:t>
      </w:r>
    </w:p>
  </w:footnote>
  <w:footnote w:id="114">
    <w:p>
      <w:pPr>
        <w:pStyle w:val="67"/>
        <w:spacing w:line="240" w:lineRule="auto"/>
        <w:ind w:firstLine="0"/>
        <w:rPr>
          <w:rFonts w:ascii="宋体" w:hAnsi="宋体"/>
          <w:szCs w:val="18"/>
        </w:rPr>
      </w:pPr>
      <w:r>
        <w:rPr>
          <w:rFonts w:ascii="宋体" w:hAnsi="宋体"/>
          <w:szCs w:val="18"/>
        </w:rPr>
        <w:footnoteRef/>
      </w:r>
      <w:r>
        <w:rPr>
          <w:rFonts w:hint="eastAsia" w:ascii="宋体" w:hAnsi="宋体"/>
          <w:szCs w:val="18"/>
        </w:rPr>
        <w:t>投标人仅需在投标函上加盖单位章，或由法定代表人或其委托代理人签字。</w:t>
      </w:r>
    </w:p>
  </w:footnote>
  <w:footnote w:id="115">
    <w:p>
      <w:pPr>
        <w:pStyle w:val="67"/>
        <w:spacing w:line="240" w:lineRule="auto"/>
        <w:ind w:firstLine="0"/>
      </w:pPr>
      <w:r>
        <w:rPr>
          <w:rFonts w:hint="eastAsia" w:ascii="宋体" w:hAnsi="宋体" w:cs="宋体"/>
          <w:szCs w:val="18"/>
        </w:rPr>
        <w:footnoteRef/>
      </w:r>
      <w:r>
        <w:rPr>
          <w:rFonts w:hint="eastAsia" w:ascii="宋体" w:hAnsi="宋体" w:cs="宋体"/>
          <w:szCs w:val="18"/>
          <w:lang w:eastAsia="zh-CN"/>
        </w:rPr>
        <w:t>招标人可以根据项目实际</w:t>
      </w:r>
      <w:r>
        <w:rPr>
          <w:rFonts w:hint="eastAsia" w:ascii="宋体" w:hAnsi="宋体" w:cs="宋体"/>
          <w:szCs w:val="18"/>
          <w:lang w:val="en-US" w:eastAsia="zh-CN"/>
        </w:rPr>
        <w:t>需求</w:t>
      </w:r>
      <w:r>
        <w:rPr>
          <w:rFonts w:hint="eastAsia" w:ascii="宋体" w:hAnsi="宋体" w:cs="宋体"/>
          <w:szCs w:val="18"/>
          <w:lang w:eastAsia="zh-CN"/>
        </w:rPr>
        <w:t>对格式</w:t>
      </w:r>
      <w:r>
        <w:rPr>
          <w:rFonts w:hint="eastAsia" w:ascii="宋体" w:hAnsi="宋体" w:cs="宋体"/>
          <w:szCs w:val="18"/>
          <w:lang w:val="en-US" w:eastAsia="zh-CN"/>
        </w:rPr>
        <w:t>及</w:t>
      </w:r>
      <w:r>
        <w:rPr>
          <w:rFonts w:hint="eastAsia" w:ascii="宋体" w:hAnsi="宋体" w:cs="宋体"/>
          <w:szCs w:val="18"/>
          <w:lang w:eastAsia="zh-CN"/>
        </w:rPr>
        <w:t>内容进行调整。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rPr>
        <w:rFonts w:ascii="宋体" w:hAnsi="宋体"/>
      </w:rPr>
    </w:pPr>
    <w:r>
      <w:rPr>
        <w:rFonts w:hint="eastAsia" w:ascii="宋体" w:hAnsi="宋体"/>
        <w:lang w:eastAsia="zh-CN"/>
      </w:rPr>
      <w:t>湛江市水运工程勘察设计招标文件范本</w:t>
    </w:r>
    <w:r>
      <w:rPr>
        <w:rFonts w:hint="eastAsia" w:ascii="宋体" w:hAnsi="宋体"/>
      </w:rPr>
      <w:t>（202</w:t>
    </w:r>
    <w:r>
      <w:rPr>
        <w:rFonts w:hint="eastAsia" w:ascii="宋体" w:hAnsi="宋体"/>
        <w:lang w:val="en-US" w:eastAsia="zh-CN"/>
      </w:rPr>
      <w:t>3</w:t>
    </w:r>
    <w:r>
      <w:rPr>
        <w:rFonts w:hint="eastAsia" w:ascii="宋体" w:hAnsi="宋体"/>
      </w:rPr>
      <w:t>年版）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rPr>
      <w:t>广东省水运工程</w:t>
    </w:r>
    <w:r>
      <w:rPr>
        <w:rFonts w:hint="eastAsia"/>
        <w:lang w:val="en-US" w:eastAsia="zh-CN"/>
      </w:rPr>
      <w:t>勘察设计</w:t>
    </w:r>
    <w:r>
      <w:rPr>
        <w:rFonts w:hint="eastAsia"/>
      </w:rPr>
      <w:t>招标文件范本（202</w:t>
    </w:r>
    <w:r>
      <w:rPr>
        <w:rFonts w:hint="eastAsia"/>
        <w:lang w:val="en-US" w:eastAsia="zh-CN"/>
      </w:rPr>
      <w:t>3</w:t>
    </w:r>
    <w:r>
      <w:rPr>
        <w:rFonts w:hint="eastAsia"/>
      </w:rPr>
      <w:t>年版）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4"/>
      <w:shd w:val="clear" w:color="auto" w:fill="auto"/>
      <w:spacing w:line="200" w:lineRule="exact"/>
      <w:rPr>
        <w:rStyle w:val="495"/>
        <w:rFonts w:eastAsia="宋体" w:cs="Times New Roman"/>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5AF1"/>
    <w:multiLevelType w:val="multilevel"/>
    <w:tmpl w:val="1A085AF1"/>
    <w:lvl w:ilvl="0"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1">
    <w:nsid w:val="38FA074C"/>
    <w:multiLevelType w:val="multilevel"/>
    <w:tmpl w:val="38FA074C"/>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2">
    <w:nsid w:val="4FE66ACA"/>
    <w:multiLevelType w:val="multilevel"/>
    <w:tmpl w:val="4FE66AC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BBD47F9"/>
    <w:multiLevelType w:val="multilevel"/>
    <w:tmpl w:val="7BBD47F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6"/>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81"/>
  <w:displayHorizontalDrawingGridEvery w:val="0"/>
  <w:displayVerticalDrawingGridEvery w:val="2"/>
  <w:doNotShadeFormData w:val="true"/>
  <w:characterSpacingControl w:val="compressPunctuation"/>
  <w:doNotValidateAgainstSchema/>
  <w:doNotDemarcateInvalidXml/>
  <w:footnotePr>
    <w:numRestart w:val="eachPage"/>
    <w:footnote w:id="232"/>
    <w:footnote w:id="233"/>
  </w:footnotePr>
  <w:compat>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Zjk5NGY0MTY3ZDBjNDI5ZWI5ZjAyMWVkM2ZlNjkifQ=="/>
  </w:docVars>
  <w:rsids>
    <w:rsidRoot w:val="00E43335"/>
    <w:rsid w:val="000017FB"/>
    <w:rsid w:val="0000216F"/>
    <w:rsid w:val="00003130"/>
    <w:rsid w:val="00004130"/>
    <w:rsid w:val="00007411"/>
    <w:rsid w:val="000074D7"/>
    <w:rsid w:val="0000755F"/>
    <w:rsid w:val="0000769D"/>
    <w:rsid w:val="0000799E"/>
    <w:rsid w:val="00007E06"/>
    <w:rsid w:val="000113C0"/>
    <w:rsid w:val="00011CFC"/>
    <w:rsid w:val="000122B4"/>
    <w:rsid w:val="000124C0"/>
    <w:rsid w:val="00012BFF"/>
    <w:rsid w:val="00013A94"/>
    <w:rsid w:val="00013EE4"/>
    <w:rsid w:val="000146EF"/>
    <w:rsid w:val="00014A87"/>
    <w:rsid w:val="000154E8"/>
    <w:rsid w:val="00015906"/>
    <w:rsid w:val="00015D52"/>
    <w:rsid w:val="000160CA"/>
    <w:rsid w:val="0001644A"/>
    <w:rsid w:val="0001658F"/>
    <w:rsid w:val="000166DF"/>
    <w:rsid w:val="0001723C"/>
    <w:rsid w:val="000175BF"/>
    <w:rsid w:val="000176B4"/>
    <w:rsid w:val="000200B3"/>
    <w:rsid w:val="000200F0"/>
    <w:rsid w:val="00020675"/>
    <w:rsid w:val="00020A76"/>
    <w:rsid w:val="00020D12"/>
    <w:rsid w:val="0002439F"/>
    <w:rsid w:val="000256C9"/>
    <w:rsid w:val="000262A3"/>
    <w:rsid w:val="00026C5D"/>
    <w:rsid w:val="00031339"/>
    <w:rsid w:val="00031DD3"/>
    <w:rsid w:val="00032E0F"/>
    <w:rsid w:val="000333FE"/>
    <w:rsid w:val="00033C22"/>
    <w:rsid w:val="00035C6A"/>
    <w:rsid w:val="0003730D"/>
    <w:rsid w:val="0003778C"/>
    <w:rsid w:val="0004098D"/>
    <w:rsid w:val="00041999"/>
    <w:rsid w:val="00041E87"/>
    <w:rsid w:val="0004244F"/>
    <w:rsid w:val="00043465"/>
    <w:rsid w:val="00046478"/>
    <w:rsid w:val="00050B3C"/>
    <w:rsid w:val="0005104D"/>
    <w:rsid w:val="00051575"/>
    <w:rsid w:val="0005471C"/>
    <w:rsid w:val="000554D4"/>
    <w:rsid w:val="000559C7"/>
    <w:rsid w:val="00056050"/>
    <w:rsid w:val="00056C64"/>
    <w:rsid w:val="00057D00"/>
    <w:rsid w:val="00057DFF"/>
    <w:rsid w:val="00060048"/>
    <w:rsid w:val="0006036E"/>
    <w:rsid w:val="00061A94"/>
    <w:rsid w:val="00062460"/>
    <w:rsid w:val="00062DC6"/>
    <w:rsid w:val="00063015"/>
    <w:rsid w:val="00063078"/>
    <w:rsid w:val="0006409F"/>
    <w:rsid w:val="000654E5"/>
    <w:rsid w:val="00066050"/>
    <w:rsid w:val="00066EE9"/>
    <w:rsid w:val="00072A42"/>
    <w:rsid w:val="00073236"/>
    <w:rsid w:val="00073383"/>
    <w:rsid w:val="000758DB"/>
    <w:rsid w:val="0007734F"/>
    <w:rsid w:val="00077EF6"/>
    <w:rsid w:val="00080AC4"/>
    <w:rsid w:val="000818A8"/>
    <w:rsid w:val="00084D7D"/>
    <w:rsid w:val="00085FAB"/>
    <w:rsid w:val="00086AF1"/>
    <w:rsid w:val="00086B18"/>
    <w:rsid w:val="0009009B"/>
    <w:rsid w:val="000905DC"/>
    <w:rsid w:val="0009066B"/>
    <w:rsid w:val="00092E45"/>
    <w:rsid w:val="00093CE9"/>
    <w:rsid w:val="000942B3"/>
    <w:rsid w:val="0009594B"/>
    <w:rsid w:val="0009653D"/>
    <w:rsid w:val="000969B1"/>
    <w:rsid w:val="00096F60"/>
    <w:rsid w:val="00097A36"/>
    <w:rsid w:val="00097B7B"/>
    <w:rsid w:val="00097E5F"/>
    <w:rsid w:val="00097F7F"/>
    <w:rsid w:val="000A04F4"/>
    <w:rsid w:val="000A098A"/>
    <w:rsid w:val="000A0F8B"/>
    <w:rsid w:val="000A11B4"/>
    <w:rsid w:val="000A1694"/>
    <w:rsid w:val="000A25C4"/>
    <w:rsid w:val="000A29D1"/>
    <w:rsid w:val="000A2F11"/>
    <w:rsid w:val="000A3FCD"/>
    <w:rsid w:val="000A5BB3"/>
    <w:rsid w:val="000A60AC"/>
    <w:rsid w:val="000A61C9"/>
    <w:rsid w:val="000A6BBC"/>
    <w:rsid w:val="000A7568"/>
    <w:rsid w:val="000A7ADE"/>
    <w:rsid w:val="000A7E77"/>
    <w:rsid w:val="000B09E5"/>
    <w:rsid w:val="000B160B"/>
    <w:rsid w:val="000B1687"/>
    <w:rsid w:val="000B2AC7"/>
    <w:rsid w:val="000B38ED"/>
    <w:rsid w:val="000B4B65"/>
    <w:rsid w:val="000B5554"/>
    <w:rsid w:val="000C0228"/>
    <w:rsid w:val="000C06F0"/>
    <w:rsid w:val="000C1EF4"/>
    <w:rsid w:val="000C241A"/>
    <w:rsid w:val="000C289F"/>
    <w:rsid w:val="000C297E"/>
    <w:rsid w:val="000C2A17"/>
    <w:rsid w:val="000C3552"/>
    <w:rsid w:val="000C36EB"/>
    <w:rsid w:val="000C3D5E"/>
    <w:rsid w:val="000C3FE0"/>
    <w:rsid w:val="000C5077"/>
    <w:rsid w:val="000C5939"/>
    <w:rsid w:val="000C5E39"/>
    <w:rsid w:val="000C6B59"/>
    <w:rsid w:val="000C6D0A"/>
    <w:rsid w:val="000C6DB4"/>
    <w:rsid w:val="000C76FC"/>
    <w:rsid w:val="000C7700"/>
    <w:rsid w:val="000C791B"/>
    <w:rsid w:val="000C7935"/>
    <w:rsid w:val="000C7A7B"/>
    <w:rsid w:val="000D1317"/>
    <w:rsid w:val="000D1EDB"/>
    <w:rsid w:val="000D2A08"/>
    <w:rsid w:val="000D3D37"/>
    <w:rsid w:val="000D6603"/>
    <w:rsid w:val="000D768B"/>
    <w:rsid w:val="000E0120"/>
    <w:rsid w:val="000E05CB"/>
    <w:rsid w:val="000E1A2C"/>
    <w:rsid w:val="000E22F0"/>
    <w:rsid w:val="000E38E7"/>
    <w:rsid w:val="000E45ED"/>
    <w:rsid w:val="000E4697"/>
    <w:rsid w:val="000E4F15"/>
    <w:rsid w:val="000E6969"/>
    <w:rsid w:val="000E6ED2"/>
    <w:rsid w:val="000E6F65"/>
    <w:rsid w:val="000E729F"/>
    <w:rsid w:val="000F1BCC"/>
    <w:rsid w:val="000F1D68"/>
    <w:rsid w:val="000F2F08"/>
    <w:rsid w:val="000F2F2C"/>
    <w:rsid w:val="000F3F44"/>
    <w:rsid w:val="000F450F"/>
    <w:rsid w:val="000F4D07"/>
    <w:rsid w:val="000F4DCF"/>
    <w:rsid w:val="000F546D"/>
    <w:rsid w:val="000F58C0"/>
    <w:rsid w:val="000F706A"/>
    <w:rsid w:val="00101E35"/>
    <w:rsid w:val="0010249E"/>
    <w:rsid w:val="00102570"/>
    <w:rsid w:val="00102853"/>
    <w:rsid w:val="00102BE2"/>
    <w:rsid w:val="00102CDE"/>
    <w:rsid w:val="00102D87"/>
    <w:rsid w:val="00104E09"/>
    <w:rsid w:val="001050F9"/>
    <w:rsid w:val="00105174"/>
    <w:rsid w:val="001056C1"/>
    <w:rsid w:val="00105E10"/>
    <w:rsid w:val="00106F5A"/>
    <w:rsid w:val="00107AE1"/>
    <w:rsid w:val="001104CF"/>
    <w:rsid w:val="00110CC5"/>
    <w:rsid w:val="00111559"/>
    <w:rsid w:val="00111A6E"/>
    <w:rsid w:val="00113697"/>
    <w:rsid w:val="00113CE1"/>
    <w:rsid w:val="001145D2"/>
    <w:rsid w:val="00115ED2"/>
    <w:rsid w:val="00115F27"/>
    <w:rsid w:val="00116216"/>
    <w:rsid w:val="00117057"/>
    <w:rsid w:val="001170CE"/>
    <w:rsid w:val="001211D4"/>
    <w:rsid w:val="001215AD"/>
    <w:rsid w:val="00121EEF"/>
    <w:rsid w:val="00122649"/>
    <w:rsid w:val="00122AD2"/>
    <w:rsid w:val="00123982"/>
    <w:rsid w:val="00123DA5"/>
    <w:rsid w:val="0012641E"/>
    <w:rsid w:val="00127421"/>
    <w:rsid w:val="00127BEF"/>
    <w:rsid w:val="00130BBF"/>
    <w:rsid w:val="001316E4"/>
    <w:rsid w:val="00132C49"/>
    <w:rsid w:val="0013375C"/>
    <w:rsid w:val="001349D6"/>
    <w:rsid w:val="00136A59"/>
    <w:rsid w:val="00136CED"/>
    <w:rsid w:val="00140183"/>
    <w:rsid w:val="001415AF"/>
    <w:rsid w:val="00141E94"/>
    <w:rsid w:val="00143986"/>
    <w:rsid w:val="001439EE"/>
    <w:rsid w:val="00144BD0"/>
    <w:rsid w:val="00145802"/>
    <w:rsid w:val="00146F68"/>
    <w:rsid w:val="00147286"/>
    <w:rsid w:val="00153164"/>
    <w:rsid w:val="00153224"/>
    <w:rsid w:val="00155172"/>
    <w:rsid w:val="0015541D"/>
    <w:rsid w:val="00156079"/>
    <w:rsid w:val="00156419"/>
    <w:rsid w:val="00157393"/>
    <w:rsid w:val="00157538"/>
    <w:rsid w:val="001575EE"/>
    <w:rsid w:val="00160016"/>
    <w:rsid w:val="0016131A"/>
    <w:rsid w:val="00161927"/>
    <w:rsid w:val="00161C09"/>
    <w:rsid w:val="00161C2E"/>
    <w:rsid w:val="00163466"/>
    <w:rsid w:val="0016382A"/>
    <w:rsid w:val="0016414E"/>
    <w:rsid w:val="001651DE"/>
    <w:rsid w:val="0016568A"/>
    <w:rsid w:val="00165745"/>
    <w:rsid w:val="0016593E"/>
    <w:rsid w:val="00166941"/>
    <w:rsid w:val="001679F7"/>
    <w:rsid w:val="00167AB2"/>
    <w:rsid w:val="00167B55"/>
    <w:rsid w:val="00170071"/>
    <w:rsid w:val="00170184"/>
    <w:rsid w:val="001728BC"/>
    <w:rsid w:val="00173370"/>
    <w:rsid w:val="00173B93"/>
    <w:rsid w:val="00173E42"/>
    <w:rsid w:val="00174784"/>
    <w:rsid w:val="00175D47"/>
    <w:rsid w:val="0017609C"/>
    <w:rsid w:val="00177510"/>
    <w:rsid w:val="001777D0"/>
    <w:rsid w:val="00177E85"/>
    <w:rsid w:val="00180D13"/>
    <w:rsid w:val="00182007"/>
    <w:rsid w:val="00182CE4"/>
    <w:rsid w:val="001835ED"/>
    <w:rsid w:val="001837A2"/>
    <w:rsid w:val="00183964"/>
    <w:rsid w:val="00184BF6"/>
    <w:rsid w:val="00186649"/>
    <w:rsid w:val="001878BE"/>
    <w:rsid w:val="00191390"/>
    <w:rsid w:val="00191943"/>
    <w:rsid w:val="0019273D"/>
    <w:rsid w:val="0019295E"/>
    <w:rsid w:val="001941B1"/>
    <w:rsid w:val="001941B7"/>
    <w:rsid w:val="0019429F"/>
    <w:rsid w:val="001945C9"/>
    <w:rsid w:val="00194853"/>
    <w:rsid w:val="00195588"/>
    <w:rsid w:val="00197B96"/>
    <w:rsid w:val="001A07B8"/>
    <w:rsid w:val="001A1307"/>
    <w:rsid w:val="001A1E2A"/>
    <w:rsid w:val="001A1E51"/>
    <w:rsid w:val="001A28EC"/>
    <w:rsid w:val="001A7B1A"/>
    <w:rsid w:val="001B0D7A"/>
    <w:rsid w:val="001B1D46"/>
    <w:rsid w:val="001B2A2F"/>
    <w:rsid w:val="001B2A94"/>
    <w:rsid w:val="001B32DB"/>
    <w:rsid w:val="001B3B86"/>
    <w:rsid w:val="001B3BD7"/>
    <w:rsid w:val="001B548A"/>
    <w:rsid w:val="001B6475"/>
    <w:rsid w:val="001B79B3"/>
    <w:rsid w:val="001C1086"/>
    <w:rsid w:val="001C10B3"/>
    <w:rsid w:val="001C2017"/>
    <w:rsid w:val="001C4591"/>
    <w:rsid w:val="001C5139"/>
    <w:rsid w:val="001C7173"/>
    <w:rsid w:val="001C778F"/>
    <w:rsid w:val="001C7906"/>
    <w:rsid w:val="001D1A50"/>
    <w:rsid w:val="001D1F31"/>
    <w:rsid w:val="001D2154"/>
    <w:rsid w:val="001D554A"/>
    <w:rsid w:val="001D760E"/>
    <w:rsid w:val="001D761F"/>
    <w:rsid w:val="001D7763"/>
    <w:rsid w:val="001E096A"/>
    <w:rsid w:val="001E0D6D"/>
    <w:rsid w:val="001E14E0"/>
    <w:rsid w:val="001E2D31"/>
    <w:rsid w:val="001E3061"/>
    <w:rsid w:val="001E39D9"/>
    <w:rsid w:val="001E3EF3"/>
    <w:rsid w:val="001E496C"/>
    <w:rsid w:val="001E59BA"/>
    <w:rsid w:val="001E63E5"/>
    <w:rsid w:val="001E649B"/>
    <w:rsid w:val="001E7E23"/>
    <w:rsid w:val="001F0AD2"/>
    <w:rsid w:val="001F0AFD"/>
    <w:rsid w:val="001F6C6B"/>
    <w:rsid w:val="0020020F"/>
    <w:rsid w:val="00200801"/>
    <w:rsid w:val="00201059"/>
    <w:rsid w:val="002020BE"/>
    <w:rsid w:val="0020247B"/>
    <w:rsid w:val="002029AF"/>
    <w:rsid w:val="00202AB5"/>
    <w:rsid w:val="0020404D"/>
    <w:rsid w:val="00205149"/>
    <w:rsid w:val="002056C6"/>
    <w:rsid w:val="002066AD"/>
    <w:rsid w:val="00207579"/>
    <w:rsid w:val="002107B9"/>
    <w:rsid w:val="002108A2"/>
    <w:rsid w:val="0021116D"/>
    <w:rsid w:val="002146F9"/>
    <w:rsid w:val="00214B61"/>
    <w:rsid w:val="00214C96"/>
    <w:rsid w:val="002154BE"/>
    <w:rsid w:val="002156C3"/>
    <w:rsid w:val="00215BD4"/>
    <w:rsid w:val="00217380"/>
    <w:rsid w:val="00221467"/>
    <w:rsid w:val="0022335A"/>
    <w:rsid w:val="00223B5F"/>
    <w:rsid w:val="002243B0"/>
    <w:rsid w:val="002277DD"/>
    <w:rsid w:val="002317CA"/>
    <w:rsid w:val="00231995"/>
    <w:rsid w:val="0023254E"/>
    <w:rsid w:val="00234DF3"/>
    <w:rsid w:val="0023590E"/>
    <w:rsid w:val="002365A1"/>
    <w:rsid w:val="00236E42"/>
    <w:rsid w:val="0023725C"/>
    <w:rsid w:val="00237E93"/>
    <w:rsid w:val="0024074A"/>
    <w:rsid w:val="00241512"/>
    <w:rsid w:val="00242496"/>
    <w:rsid w:val="002427D9"/>
    <w:rsid w:val="00243989"/>
    <w:rsid w:val="00244467"/>
    <w:rsid w:val="00245EE0"/>
    <w:rsid w:val="00247804"/>
    <w:rsid w:val="00250AEF"/>
    <w:rsid w:val="00250DED"/>
    <w:rsid w:val="00251E54"/>
    <w:rsid w:val="002529A5"/>
    <w:rsid w:val="00252DE4"/>
    <w:rsid w:val="00253E6A"/>
    <w:rsid w:val="00260C53"/>
    <w:rsid w:val="00260F59"/>
    <w:rsid w:val="00261305"/>
    <w:rsid w:val="002626AC"/>
    <w:rsid w:val="00262996"/>
    <w:rsid w:val="002632C5"/>
    <w:rsid w:val="002637BF"/>
    <w:rsid w:val="002639E4"/>
    <w:rsid w:val="00264A5B"/>
    <w:rsid w:val="00265AA6"/>
    <w:rsid w:val="0026632E"/>
    <w:rsid w:val="00266D80"/>
    <w:rsid w:val="00267977"/>
    <w:rsid w:val="00267E86"/>
    <w:rsid w:val="00275944"/>
    <w:rsid w:val="00275EBE"/>
    <w:rsid w:val="00276A1A"/>
    <w:rsid w:val="0028107A"/>
    <w:rsid w:val="00282645"/>
    <w:rsid w:val="00283278"/>
    <w:rsid w:val="002837C1"/>
    <w:rsid w:val="00284187"/>
    <w:rsid w:val="0028433E"/>
    <w:rsid w:val="00284EBB"/>
    <w:rsid w:val="00287129"/>
    <w:rsid w:val="00287FB6"/>
    <w:rsid w:val="00291B97"/>
    <w:rsid w:val="002954A7"/>
    <w:rsid w:val="002954D8"/>
    <w:rsid w:val="002968E7"/>
    <w:rsid w:val="002969E9"/>
    <w:rsid w:val="00296CF7"/>
    <w:rsid w:val="00297CB1"/>
    <w:rsid w:val="002A120C"/>
    <w:rsid w:val="002A136E"/>
    <w:rsid w:val="002A2308"/>
    <w:rsid w:val="002A2B32"/>
    <w:rsid w:val="002A2C58"/>
    <w:rsid w:val="002A460E"/>
    <w:rsid w:val="002A52B8"/>
    <w:rsid w:val="002A6387"/>
    <w:rsid w:val="002A7236"/>
    <w:rsid w:val="002A7B5C"/>
    <w:rsid w:val="002B038E"/>
    <w:rsid w:val="002B0436"/>
    <w:rsid w:val="002B080F"/>
    <w:rsid w:val="002B0FFC"/>
    <w:rsid w:val="002B2004"/>
    <w:rsid w:val="002B34E4"/>
    <w:rsid w:val="002B3862"/>
    <w:rsid w:val="002B4973"/>
    <w:rsid w:val="002C0586"/>
    <w:rsid w:val="002C0AFA"/>
    <w:rsid w:val="002C2D5E"/>
    <w:rsid w:val="002C31FE"/>
    <w:rsid w:val="002C41CE"/>
    <w:rsid w:val="002C5B31"/>
    <w:rsid w:val="002C684D"/>
    <w:rsid w:val="002C6F01"/>
    <w:rsid w:val="002D063D"/>
    <w:rsid w:val="002D2D23"/>
    <w:rsid w:val="002D3504"/>
    <w:rsid w:val="002D3F78"/>
    <w:rsid w:val="002D4576"/>
    <w:rsid w:val="002D4F66"/>
    <w:rsid w:val="002D56B4"/>
    <w:rsid w:val="002D76F5"/>
    <w:rsid w:val="002E33A2"/>
    <w:rsid w:val="002E340D"/>
    <w:rsid w:val="002E4A38"/>
    <w:rsid w:val="002E4E33"/>
    <w:rsid w:val="002E55F4"/>
    <w:rsid w:val="002E64CF"/>
    <w:rsid w:val="002E7981"/>
    <w:rsid w:val="002F0BE8"/>
    <w:rsid w:val="002F175A"/>
    <w:rsid w:val="002F1F50"/>
    <w:rsid w:val="002F2357"/>
    <w:rsid w:val="002F27D3"/>
    <w:rsid w:val="002F30FF"/>
    <w:rsid w:val="002F3240"/>
    <w:rsid w:val="002F38D0"/>
    <w:rsid w:val="002F41E9"/>
    <w:rsid w:val="002F4275"/>
    <w:rsid w:val="002F4A0B"/>
    <w:rsid w:val="002F4F6F"/>
    <w:rsid w:val="002F58FE"/>
    <w:rsid w:val="002F5B72"/>
    <w:rsid w:val="002F5FD4"/>
    <w:rsid w:val="002F7560"/>
    <w:rsid w:val="0030003B"/>
    <w:rsid w:val="00300AB4"/>
    <w:rsid w:val="003016AB"/>
    <w:rsid w:val="0030221A"/>
    <w:rsid w:val="00302604"/>
    <w:rsid w:val="00302A83"/>
    <w:rsid w:val="00303C7E"/>
    <w:rsid w:val="00304C19"/>
    <w:rsid w:val="00304F86"/>
    <w:rsid w:val="00305488"/>
    <w:rsid w:val="00306A08"/>
    <w:rsid w:val="00307AA2"/>
    <w:rsid w:val="00307BAA"/>
    <w:rsid w:val="0031104C"/>
    <w:rsid w:val="003113ED"/>
    <w:rsid w:val="003123B4"/>
    <w:rsid w:val="00312C03"/>
    <w:rsid w:val="00312E4B"/>
    <w:rsid w:val="0031315A"/>
    <w:rsid w:val="00313A22"/>
    <w:rsid w:val="00314C77"/>
    <w:rsid w:val="00314CE9"/>
    <w:rsid w:val="003170E2"/>
    <w:rsid w:val="00317645"/>
    <w:rsid w:val="00317B60"/>
    <w:rsid w:val="00320425"/>
    <w:rsid w:val="003208A9"/>
    <w:rsid w:val="00320D48"/>
    <w:rsid w:val="00321580"/>
    <w:rsid w:val="00321D9E"/>
    <w:rsid w:val="0032203D"/>
    <w:rsid w:val="0032312E"/>
    <w:rsid w:val="00324780"/>
    <w:rsid w:val="003256ED"/>
    <w:rsid w:val="0033031C"/>
    <w:rsid w:val="00330846"/>
    <w:rsid w:val="003319BB"/>
    <w:rsid w:val="003339DC"/>
    <w:rsid w:val="00333A23"/>
    <w:rsid w:val="0033423A"/>
    <w:rsid w:val="0033463C"/>
    <w:rsid w:val="00336A30"/>
    <w:rsid w:val="003378F9"/>
    <w:rsid w:val="00337B52"/>
    <w:rsid w:val="00337F2E"/>
    <w:rsid w:val="003410D2"/>
    <w:rsid w:val="0034283F"/>
    <w:rsid w:val="003433E8"/>
    <w:rsid w:val="003452E4"/>
    <w:rsid w:val="00345956"/>
    <w:rsid w:val="003465ED"/>
    <w:rsid w:val="00350F3F"/>
    <w:rsid w:val="003527D0"/>
    <w:rsid w:val="00352CB6"/>
    <w:rsid w:val="0035349E"/>
    <w:rsid w:val="003536CD"/>
    <w:rsid w:val="003545D0"/>
    <w:rsid w:val="003546D1"/>
    <w:rsid w:val="00357E8E"/>
    <w:rsid w:val="003615C3"/>
    <w:rsid w:val="003616EC"/>
    <w:rsid w:val="0036540C"/>
    <w:rsid w:val="0036689F"/>
    <w:rsid w:val="00366921"/>
    <w:rsid w:val="00366B6E"/>
    <w:rsid w:val="00367851"/>
    <w:rsid w:val="00370378"/>
    <w:rsid w:val="003705DE"/>
    <w:rsid w:val="00371321"/>
    <w:rsid w:val="0037295F"/>
    <w:rsid w:val="00372A44"/>
    <w:rsid w:val="00375448"/>
    <w:rsid w:val="00375605"/>
    <w:rsid w:val="00376E48"/>
    <w:rsid w:val="003811D5"/>
    <w:rsid w:val="00382FD8"/>
    <w:rsid w:val="00383D91"/>
    <w:rsid w:val="003843D7"/>
    <w:rsid w:val="00385C36"/>
    <w:rsid w:val="0038698D"/>
    <w:rsid w:val="0038726F"/>
    <w:rsid w:val="00387B41"/>
    <w:rsid w:val="00387EE2"/>
    <w:rsid w:val="00391BC3"/>
    <w:rsid w:val="00393A4A"/>
    <w:rsid w:val="003952D3"/>
    <w:rsid w:val="00395D35"/>
    <w:rsid w:val="00397BD5"/>
    <w:rsid w:val="003A2DD7"/>
    <w:rsid w:val="003A46CC"/>
    <w:rsid w:val="003A48DB"/>
    <w:rsid w:val="003A6624"/>
    <w:rsid w:val="003A7CD7"/>
    <w:rsid w:val="003B0A42"/>
    <w:rsid w:val="003B1933"/>
    <w:rsid w:val="003B1E3C"/>
    <w:rsid w:val="003B2955"/>
    <w:rsid w:val="003B4767"/>
    <w:rsid w:val="003B52FE"/>
    <w:rsid w:val="003B5A9E"/>
    <w:rsid w:val="003B6FF0"/>
    <w:rsid w:val="003B7218"/>
    <w:rsid w:val="003C0A11"/>
    <w:rsid w:val="003C6D8B"/>
    <w:rsid w:val="003C7077"/>
    <w:rsid w:val="003D01FF"/>
    <w:rsid w:val="003D07DA"/>
    <w:rsid w:val="003D0DCB"/>
    <w:rsid w:val="003D0F78"/>
    <w:rsid w:val="003D14C6"/>
    <w:rsid w:val="003D1D0D"/>
    <w:rsid w:val="003D2385"/>
    <w:rsid w:val="003D23D2"/>
    <w:rsid w:val="003D23E7"/>
    <w:rsid w:val="003D37F3"/>
    <w:rsid w:val="003D4317"/>
    <w:rsid w:val="003D44D4"/>
    <w:rsid w:val="003D4CA8"/>
    <w:rsid w:val="003D6095"/>
    <w:rsid w:val="003D69F9"/>
    <w:rsid w:val="003D7A09"/>
    <w:rsid w:val="003D7D16"/>
    <w:rsid w:val="003D7D25"/>
    <w:rsid w:val="003E08C2"/>
    <w:rsid w:val="003E1AF7"/>
    <w:rsid w:val="003E2D7D"/>
    <w:rsid w:val="003E2FC6"/>
    <w:rsid w:val="003E4D9D"/>
    <w:rsid w:val="003E5256"/>
    <w:rsid w:val="003E60B5"/>
    <w:rsid w:val="003E6177"/>
    <w:rsid w:val="003E67C6"/>
    <w:rsid w:val="003E7625"/>
    <w:rsid w:val="003E7DF6"/>
    <w:rsid w:val="003F190E"/>
    <w:rsid w:val="003F1F87"/>
    <w:rsid w:val="003F2337"/>
    <w:rsid w:val="003F2565"/>
    <w:rsid w:val="003F27F4"/>
    <w:rsid w:val="003F55E3"/>
    <w:rsid w:val="003F633F"/>
    <w:rsid w:val="003F6722"/>
    <w:rsid w:val="003F6AD4"/>
    <w:rsid w:val="003F73D3"/>
    <w:rsid w:val="0040052A"/>
    <w:rsid w:val="004016CF"/>
    <w:rsid w:val="00401953"/>
    <w:rsid w:val="00401FA9"/>
    <w:rsid w:val="00402221"/>
    <w:rsid w:val="00402BEF"/>
    <w:rsid w:val="00402E50"/>
    <w:rsid w:val="00403206"/>
    <w:rsid w:val="00403FC9"/>
    <w:rsid w:val="00405D1B"/>
    <w:rsid w:val="0040773A"/>
    <w:rsid w:val="00410F81"/>
    <w:rsid w:val="0041121B"/>
    <w:rsid w:val="00411E7B"/>
    <w:rsid w:val="0041281B"/>
    <w:rsid w:val="004147E2"/>
    <w:rsid w:val="004155C1"/>
    <w:rsid w:val="0041713D"/>
    <w:rsid w:val="0042282C"/>
    <w:rsid w:val="00422B4B"/>
    <w:rsid w:val="00424414"/>
    <w:rsid w:val="00425755"/>
    <w:rsid w:val="00427DE6"/>
    <w:rsid w:val="00430070"/>
    <w:rsid w:val="004302C4"/>
    <w:rsid w:val="0043103F"/>
    <w:rsid w:val="0043105F"/>
    <w:rsid w:val="00431994"/>
    <w:rsid w:val="004323CE"/>
    <w:rsid w:val="00432BDD"/>
    <w:rsid w:val="00433EE9"/>
    <w:rsid w:val="00434C1D"/>
    <w:rsid w:val="0043529F"/>
    <w:rsid w:val="004360D5"/>
    <w:rsid w:val="00442059"/>
    <w:rsid w:val="0044258C"/>
    <w:rsid w:val="00443824"/>
    <w:rsid w:val="00444392"/>
    <w:rsid w:val="00444C43"/>
    <w:rsid w:val="004451CE"/>
    <w:rsid w:val="00445369"/>
    <w:rsid w:val="00452924"/>
    <w:rsid w:val="00455FBC"/>
    <w:rsid w:val="004567B0"/>
    <w:rsid w:val="0045688A"/>
    <w:rsid w:val="00456C33"/>
    <w:rsid w:val="004572C6"/>
    <w:rsid w:val="0045735F"/>
    <w:rsid w:val="00462581"/>
    <w:rsid w:val="00462D26"/>
    <w:rsid w:val="00462F02"/>
    <w:rsid w:val="004630A5"/>
    <w:rsid w:val="00463705"/>
    <w:rsid w:val="00463A1C"/>
    <w:rsid w:val="00463F78"/>
    <w:rsid w:val="004642DD"/>
    <w:rsid w:val="004659B3"/>
    <w:rsid w:val="00465AF6"/>
    <w:rsid w:val="00465CCE"/>
    <w:rsid w:val="00465ECE"/>
    <w:rsid w:val="0046657D"/>
    <w:rsid w:val="00467E6F"/>
    <w:rsid w:val="004703C3"/>
    <w:rsid w:val="00471CAE"/>
    <w:rsid w:val="00472472"/>
    <w:rsid w:val="004729E0"/>
    <w:rsid w:val="0047358D"/>
    <w:rsid w:val="00474CC1"/>
    <w:rsid w:val="00475FCF"/>
    <w:rsid w:val="00476058"/>
    <w:rsid w:val="00476545"/>
    <w:rsid w:val="00477DA8"/>
    <w:rsid w:val="00481B4C"/>
    <w:rsid w:val="004825A0"/>
    <w:rsid w:val="004832A7"/>
    <w:rsid w:val="00483BCB"/>
    <w:rsid w:val="00483E82"/>
    <w:rsid w:val="004840D3"/>
    <w:rsid w:val="00485CE9"/>
    <w:rsid w:val="0048669C"/>
    <w:rsid w:val="00487504"/>
    <w:rsid w:val="0048767F"/>
    <w:rsid w:val="004879F1"/>
    <w:rsid w:val="00487D6D"/>
    <w:rsid w:val="004901AA"/>
    <w:rsid w:val="00490A1B"/>
    <w:rsid w:val="00490EF0"/>
    <w:rsid w:val="00491C3B"/>
    <w:rsid w:val="0049411F"/>
    <w:rsid w:val="00494360"/>
    <w:rsid w:val="004954FC"/>
    <w:rsid w:val="00495801"/>
    <w:rsid w:val="00496F9C"/>
    <w:rsid w:val="0049715F"/>
    <w:rsid w:val="004A0836"/>
    <w:rsid w:val="004A0EAB"/>
    <w:rsid w:val="004A1B48"/>
    <w:rsid w:val="004A1C85"/>
    <w:rsid w:val="004A1FE9"/>
    <w:rsid w:val="004A3D10"/>
    <w:rsid w:val="004A3EA6"/>
    <w:rsid w:val="004A400A"/>
    <w:rsid w:val="004A4534"/>
    <w:rsid w:val="004B0A15"/>
    <w:rsid w:val="004B10E2"/>
    <w:rsid w:val="004B1CC6"/>
    <w:rsid w:val="004B2A87"/>
    <w:rsid w:val="004B47A5"/>
    <w:rsid w:val="004B49EB"/>
    <w:rsid w:val="004B4B97"/>
    <w:rsid w:val="004B7ACC"/>
    <w:rsid w:val="004C0F9F"/>
    <w:rsid w:val="004C18D5"/>
    <w:rsid w:val="004C1F3E"/>
    <w:rsid w:val="004C367E"/>
    <w:rsid w:val="004C39B9"/>
    <w:rsid w:val="004C53E8"/>
    <w:rsid w:val="004C628A"/>
    <w:rsid w:val="004D074C"/>
    <w:rsid w:val="004D253B"/>
    <w:rsid w:val="004D2CED"/>
    <w:rsid w:val="004D2F0A"/>
    <w:rsid w:val="004D4417"/>
    <w:rsid w:val="004D4B46"/>
    <w:rsid w:val="004D4B69"/>
    <w:rsid w:val="004D5DF4"/>
    <w:rsid w:val="004D6D3D"/>
    <w:rsid w:val="004E00E5"/>
    <w:rsid w:val="004E14ED"/>
    <w:rsid w:val="004E159D"/>
    <w:rsid w:val="004E16CC"/>
    <w:rsid w:val="004E1C6B"/>
    <w:rsid w:val="004E2C6B"/>
    <w:rsid w:val="004E4D02"/>
    <w:rsid w:val="004E6285"/>
    <w:rsid w:val="004E6575"/>
    <w:rsid w:val="004E6A0F"/>
    <w:rsid w:val="004E75F0"/>
    <w:rsid w:val="004F0B20"/>
    <w:rsid w:val="004F33D8"/>
    <w:rsid w:val="004F404E"/>
    <w:rsid w:val="004F42FE"/>
    <w:rsid w:val="004F6852"/>
    <w:rsid w:val="004F72B7"/>
    <w:rsid w:val="005007EA"/>
    <w:rsid w:val="00501C16"/>
    <w:rsid w:val="00502DC4"/>
    <w:rsid w:val="005039C5"/>
    <w:rsid w:val="005047D7"/>
    <w:rsid w:val="0050484E"/>
    <w:rsid w:val="00504FA8"/>
    <w:rsid w:val="00507BEF"/>
    <w:rsid w:val="00512547"/>
    <w:rsid w:val="00512ADB"/>
    <w:rsid w:val="00512C11"/>
    <w:rsid w:val="00512C49"/>
    <w:rsid w:val="005138A4"/>
    <w:rsid w:val="00513962"/>
    <w:rsid w:val="00513E5F"/>
    <w:rsid w:val="0051461A"/>
    <w:rsid w:val="00514B64"/>
    <w:rsid w:val="00514B69"/>
    <w:rsid w:val="00515F03"/>
    <w:rsid w:val="00515FCA"/>
    <w:rsid w:val="00516493"/>
    <w:rsid w:val="00516FD2"/>
    <w:rsid w:val="00520D69"/>
    <w:rsid w:val="005216C1"/>
    <w:rsid w:val="00522460"/>
    <w:rsid w:val="00522932"/>
    <w:rsid w:val="005230EE"/>
    <w:rsid w:val="00523348"/>
    <w:rsid w:val="00523903"/>
    <w:rsid w:val="0052458E"/>
    <w:rsid w:val="005263FD"/>
    <w:rsid w:val="0053070C"/>
    <w:rsid w:val="005311E0"/>
    <w:rsid w:val="0053394B"/>
    <w:rsid w:val="005357F7"/>
    <w:rsid w:val="005379CC"/>
    <w:rsid w:val="00540A4B"/>
    <w:rsid w:val="00541584"/>
    <w:rsid w:val="00541793"/>
    <w:rsid w:val="00541E9E"/>
    <w:rsid w:val="00541F7B"/>
    <w:rsid w:val="00542EEF"/>
    <w:rsid w:val="00544312"/>
    <w:rsid w:val="0054761C"/>
    <w:rsid w:val="00550EC4"/>
    <w:rsid w:val="005529C9"/>
    <w:rsid w:val="0055313D"/>
    <w:rsid w:val="00553367"/>
    <w:rsid w:val="00555D05"/>
    <w:rsid w:val="0055669B"/>
    <w:rsid w:val="005602D1"/>
    <w:rsid w:val="00560BE5"/>
    <w:rsid w:val="00560F67"/>
    <w:rsid w:val="0056139F"/>
    <w:rsid w:val="00561FD4"/>
    <w:rsid w:val="00562CCA"/>
    <w:rsid w:val="00562E5C"/>
    <w:rsid w:val="00563D59"/>
    <w:rsid w:val="00564EBB"/>
    <w:rsid w:val="00565E46"/>
    <w:rsid w:val="0056694E"/>
    <w:rsid w:val="00571BC9"/>
    <w:rsid w:val="00572FD6"/>
    <w:rsid w:val="00573402"/>
    <w:rsid w:val="005742DC"/>
    <w:rsid w:val="00574506"/>
    <w:rsid w:val="00575D70"/>
    <w:rsid w:val="0057658B"/>
    <w:rsid w:val="00576F19"/>
    <w:rsid w:val="005803C3"/>
    <w:rsid w:val="00581AB2"/>
    <w:rsid w:val="00582351"/>
    <w:rsid w:val="0058250A"/>
    <w:rsid w:val="00585101"/>
    <w:rsid w:val="0059052E"/>
    <w:rsid w:val="00590F64"/>
    <w:rsid w:val="00590FFF"/>
    <w:rsid w:val="00591072"/>
    <w:rsid w:val="00591302"/>
    <w:rsid w:val="00593655"/>
    <w:rsid w:val="00593E6A"/>
    <w:rsid w:val="00595C36"/>
    <w:rsid w:val="00596EC7"/>
    <w:rsid w:val="005970E2"/>
    <w:rsid w:val="005979A4"/>
    <w:rsid w:val="00597AD5"/>
    <w:rsid w:val="005A01D5"/>
    <w:rsid w:val="005A0687"/>
    <w:rsid w:val="005A06A7"/>
    <w:rsid w:val="005A0EAF"/>
    <w:rsid w:val="005A156F"/>
    <w:rsid w:val="005A2893"/>
    <w:rsid w:val="005A497C"/>
    <w:rsid w:val="005A5198"/>
    <w:rsid w:val="005A5208"/>
    <w:rsid w:val="005A770D"/>
    <w:rsid w:val="005A7C48"/>
    <w:rsid w:val="005B004F"/>
    <w:rsid w:val="005B0D21"/>
    <w:rsid w:val="005B524E"/>
    <w:rsid w:val="005B6EFF"/>
    <w:rsid w:val="005B7BB5"/>
    <w:rsid w:val="005C0771"/>
    <w:rsid w:val="005C0FB7"/>
    <w:rsid w:val="005C2AF6"/>
    <w:rsid w:val="005C35DA"/>
    <w:rsid w:val="005C4408"/>
    <w:rsid w:val="005C4F68"/>
    <w:rsid w:val="005C6362"/>
    <w:rsid w:val="005C6620"/>
    <w:rsid w:val="005C7964"/>
    <w:rsid w:val="005D2010"/>
    <w:rsid w:val="005D24B0"/>
    <w:rsid w:val="005D4A23"/>
    <w:rsid w:val="005D5922"/>
    <w:rsid w:val="005D5DE3"/>
    <w:rsid w:val="005D678F"/>
    <w:rsid w:val="005D67B7"/>
    <w:rsid w:val="005D7F57"/>
    <w:rsid w:val="005E288A"/>
    <w:rsid w:val="005E2F49"/>
    <w:rsid w:val="005E5175"/>
    <w:rsid w:val="005E5380"/>
    <w:rsid w:val="005E67B3"/>
    <w:rsid w:val="005E7AD5"/>
    <w:rsid w:val="005E7C69"/>
    <w:rsid w:val="005F1353"/>
    <w:rsid w:val="005F1841"/>
    <w:rsid w:val="005F2357"/>
    <w:rsid w:val="005F2D5F"/>
    <w:rsid w:val="005F38A2"/>
    <w:rsid w:val="005F3AB6"/>
    <w:rsid w:val="005F4729"/>
    <w:rsid w:val="005F6449"/>
    <w:rsid w:val="005F645E"/>
    <w:rsid w:val="005F64D5"/>
    <w:rsid w:val="005F6D2E"/>
    <w:rsid w:val="005F6D98"/>
    <w:rsid w:val="005F7C9A"/>
    <w:rsid w:val="0060070F"/>
    <w:rsid w:val="0060084C"/>
    <w:rsid w:val="00600CF8"/>
    <w:rsid w:val="00602A2D"/>
    <w:rsid w:val="006038E7"/>
    <w:rsid w:val="00603CB8"/>
    <w:rsid w:val="00603ECD"/>
    <w:rsid w:val="006043C9"/>
    <w:rsid w:val="00604997"/>
    <w:rsid w:val="00605FFC"/>
    <w:rsid w:val="006068DB"/>
    <w:rsid w:val="006070C5"/>
    <w:rsid w:val="00607A89"/>
    <w:rsid w:val="00607B9D"/>
    <w:rsid w:val="00611ED6"/>
    <w:rsid w:val="00614ECA"/>
    <w:rsid w:val="006157DB"/>
    <w:rsid w:val="00616E0F"/>
    <w:rsid w:val="00616F77"/>
    <w:rsid w:val="00617DF6"/>
    <w:rsid w:val="006238AE"/>
    <w:rsid w:val="00623DEE"/>
    <w:rsid w:val="00624D47"/>
    <w:rsid w:val="00625DE0"/>
    <w:rsid w:val="00626936"/>
    <w:rsid w:val="0062708E"/>
    <w:rsid w:val="00630815"/>
    <w:rsid w:val="00630EA8"/>
    <w:rsid w:val="0063383F"/>
    <w:rsid w:val="0063497D"/>
    <w:rsid w:val="0063651E"/>
    <w:rsid w:val="00637F45"/>
    <w:rsid w:val="006402DC"/>
    <w:rsid w:val="006403AC"/>
    <w:rsid w:val="00641FE7"/>
    <w:rsid w:val="00642734"/>
    <w:rsid w:val="00642AC5"/>
    <w:rsid w:val="00642F47"/>
    <w:rsid w:val="00644E38"/>
    <w:rsid w:val="00645B8A"/>
    <w:rsid w:val="006462E2"/>
    <w:rsid w:val="00646BDA"/>
    <w:rsid w:val="0064798F"/>
    <w:rsid w:val="00647B29"/>
    <w:rsid w:val="00647E7B"/>
    <w:rsid w:val="00651391"/>
    <w:rsid w:val="00653040"/>
    <w:rsid w:val="00653923"/>
    <w:rsid w:val="00654114"/>
    <w:rsid w:val="00654BFE"/>
    <w:rsid w:val="00656D11"/>
    <w:rsid w:val="0065708C"/>
    <w:rsid w:val="0065708E"/>
    <w:rsid w:val="00657808"/>
    <w:rsid w:val="00657825"/>
    <w:rsid w:val="006620D0"/>
    <w:rsid w:val="00663699"/>
    <w:rsid w:val="0066427F"/>
    <w:rsid w:val="00664DF7"/>
    <w:rsid w:val="00664F26"/>
    <w:rsid w:val="0066523F"/>
    <w:rsid w:val="0066530E"/>
    <w:rsid w:val="00666306"/>
    <w:rsid w:val="00667290"/>
    <w:rsid w:val="006705AF"/>
    <w:rsid w:val="006705E2"/>
    <w:rsid w:val="00670A27"/>
    <w:rsid w:val="00674DF1"/>
    <w:rsid w:val="00677358"/>
    <w:rsid w:val="006776DB"/>
    <w:rsid w:val="006779E5"/>
    <w:rsid w:val="00683383"/>
    <w:rsid w:val="00684A47"/>
    <w:rsid w:val="00684B27"/>
    <w:rsid w:val="00684FDF"/>
    <w:rsid w:val="006852D1"/>
    <w:rsid w:val="006857C8"/>
    <w:rsid w:val="00686513"/>
    <w:rsid w:val="006925A9"/>
    <w:rsid w:val="00692CD8"/>
    <w:rsid w:val="006931F2"/>
    <w:rsid w:val="006938E0"/>
    <w:rsid w:val="00693ED9"/>
    <w:rsid w:val="006943C0"/>
    <w:rsid w:val="00694765"/>
    <w:rsid w:val="00694F1A"/>
    <w:rsid w:val="00695F93"/>
    <w:rsid w:val="006968F6"/>
    <w:rsid w:val="006A128A"/>
    <w:rsid w:val="006A2B04"/>
    <w:rsid w:val="006A3612"/>
    <w:rsid w:val="006A4582"/>
    <w:rsid w:val="006A62F5"/>
    <w:rsid w:val="006A63FB"/>
    <w:rsid w:val="006B13CE"/>
    <w:rsid w:val="006B28B9"/>
    <w:rsid w:val="006B3EFF"/>
    <w:rsid w:val="006B4A2F"/>
    <w:rsid w:val="006B4A33"/>
    <w:rsid w:val="006B4F5B"/>
    <w:rsid w:val="006B641C"/>
    <w:rsid w:val="006B65BF"/>
    <w:rsid w:val="006B729B"/>
    <w:rsid w:val="006B79DE"/>
    <w:rsid w:val="006C0482"/>
    <w:rsid w:val="006C0A82"/>
    <w:rsid w:val="006C1448"/>
    <w:rsid w:val="006C1585"/>
    <w:rsid w:val="006C1947"/>
    <w:rsid w:val="006C19C8"/>
    <w:rsid w:val="006C1DB4"/>
    <w:rsid w:val="006C2494"/>
    <w:rsid w:val="006C3083"/>
    <w:rsid w:val="006C4132"/>
    <w:rsid w:val="006C4B81"/>
    <w:rsid w:val="006C524D"/>
    <w:rsid w:val="006C59E8"/>
    <w:rsid w:val="006D00FD"/>
    <w:rsid w:val="006D04DE"/>
    <w:rsid w:val="006D0C8E"/>
    <w:rsid w:val="006D1B62"/>
    <w:rsid w:val="006D232F"/>
    <w:rsid w:val="006D5614"/>
    <w:rsid w:val="006D5BA4"/>
    <w:rsid w:val="006D7457"/>
    <w:rsid w:val="006D7842"/>
    <w:rsid w:val="006E3357"/>
    <w:rsid w:val="006E3BB4"/>
    <w:rsid w:val="006E40F3"/>
    <w:rsid w:val="006E501A"/>
    <w:rsid w:val="006E6ABB"/>
    <w:rsid w:val="006F065B"/>
    <w:rsid w:val="006F24B9"/>
    <w:rsid w:val="006F2EBA"/>
    <w:rsid w:val="006F3EFF"/>
    <w:rsid w:val="006F4815"/>
    <w:rsid w:val="006F52B6"/>
    <w:rsid w:val="006F59C2"/>
    <w:rsid w:val="006F6B24"/>
    <w:rsid w:val="006F746D"/>
    <w:rsid w:val="006F7CE7"/>
    <w:rsid w:val="006F7EA4"/>
    <w:rsid w:val="00700749"/>
    <w:rsid w:val="00701499"/>
    <w:rsid w:val="0070157A"/>
    <w:rsid w:val="00701662"/>
    <w:rsid w:val="00701BB2"/>
    <w:rsid w:val="00702197"/>
    <w:rsid w:val="00702F4A"/>
    <w:rsid w:val="00703A98"/>
    <w:rsid w:val="00703DDC"/>
    <w:rsid w:val="00704289"/>
    <w:rsid w:val="0070478A"/>
    <w:rsid w:val="00704BA3"/>
    <w:rsid w:val="00704E6C"/>
    <w:rsid w:val="0070515A"/>
    <w:rsid w:val="00705219"/>
    <w:rsid w:val="00705388"/>
    <w:rsid w:val="007056FB"/>
    <w:rsid w:val="00705A0B"/>
    <w:rsid w:val="00705C64"/>
    <w:rsid w:val="00707177"/>
    <w:rsid w:val="007073F6"/>
    <w:rsid w:val="007100A6"/>
    <w:rsid w:val="0071175C"/>
    <w:rsid w:val="00711B2F"/>
    <w:rsid w:val="0071391A"/>
    <w:rsid w:val="00714713"/>
    <w:rsid w:val="00714A1E"/>
    <w:rsid w:val="007150E6"/>
    <w:rsid w:val="007153DE"/>
    <w:rsid w:val="00717949"/>
    <w:rsid w:val="007212DB"/>
    <w:rsid w:val="007214A1"/>
    <w:rsid w:val="007215F1"/>
    <w:rsid w:val="00721B8F"/>
    <w:rsid w:val="0072254A"/>
    <w:rsid w:val="00722A34"/>
    <w:rsid w:val="00723A32"/>
    <w:rsid w:val="00724254"/>
    <w:rsid w:val="00724EEE"/>
    <w:rsid w:val="007256BC"/>
    <w:rsid w:val="00725C61"/>
    <w:rsid w:val="00730C60"/>
    <w:rsid w:val="00732B8E"/>
    <w:rsid w:val="007337F8"/>
    <w:rsid w:val="007341A2"/>
    <w:rsid w:val="00736205"/>
    <w:rsid w:val="007363A7"/>
    <w:rsid w:val="007365CF"/>
    <w:rsid w:val="0074116D"/>
    <w:rsid w:val="0074267E"/>
    <w:rsid w:val="00743194"/>
    <w:rsid w:val="00743E49"/>
    <w:rsid w:val="00744206"/>
    <w:rsid w:val="0074657A"/>
    <w:rsid w:val="00746F5D"/>
    <w:rsid w:val="00751912"/>
    <w:rsid w:val="00751E76"/>
    <w:rsid w:val="007528B0"/>
    <w:rsid w:val="007528F6"/>
    <w:rsid w:val="00752BF8"/>
    <w:rsid w:val="00753232"/>
    <w:rsid w:val="00753A52"/>
    <w:rsid w:val="00753BA0"/>
    <w:rsid w:val="00754011"/>
    <w:rsid w:val="007543B2"/>
    <w:rsid w:val="0075464F"/>
    <w:rsid w:val="00756B6B"/>
    <w:rsid w:val="00757058"/>
    <w:rsid w:val="00762057"/>
    <w:rsid w:val="00762238"/>
    <w:rsid w:val="00762906"/>
    <w:rsid w:val="00763452"/>
    <w:rsid w:val="0076346C"/>
    <w:rsid w:val="0076466C"/>
    <w:rsid w:val="00765023"/>
    <w:rsid w:val="007655B2"/>
    <w:rsid w:val="00766552"/>
    <w:rsid w:val="0076713C"/>
    <w:rsid w:val="007678C1"/>
    <w:rsid w:val="007679AF"/>
    <w:rsid w:val="00770E51"/>
    <w:rsid w:val="00771B42"/>
    <w:rsid w:val="00771F4D"/>
    <w:rsid w:val="007720C4"/>
    <w:rsid w:val="00772571"/>
    <w:rsid w:val="00773AB2"/>
    <w:rsid w:val="0077462F"/>
    <w:rsid w:val="00774694"/>
    <w:rsid w:val="007747EA"/>
    <w:rsid w:val="00774A2B"/>
    <w:rsid w:val="0077558E"/>
    <w:rsid w:val="007758B6"/>
    <w:rsid w:val="00777773"/>
    <w:rsid w:val="00777CE5"/>
    <w:rsid w:val="0078104F"/>
    <w:rsid w:val="00781474"/>
    <w:rsid w:val="00782664"/>
    <w:rsid w:val="007826BA"/>
    <w:rsid w:val="007832CB"/>
    <w:rsid w:val="00783E92"/>
    <w:rsid w:val="00784A5E"/>
    <w:rsid w:val="007851D7"/>
    <w:rsid w:val="00790D1D"/>
    <w:rsid w:val="00790ED9"/>
    <w:rsid w:val="007910AA"/>
    <w:rsid w:val="00792BC0"/>
    <w:rsid w:val="00794245"/>
    <w:rsid w:val="007943DC"/>
    <w:rsid w:val="007952C6"/>
    <w:rsid w:val="00795FD9"/>
    <w:rsid w:val="00796DEE"/>
    <w:rsid w:val="0079703C"/>
    <w:rsid w:val="00797103"/>
    <w:rsid w:val="00797C2F"/>
    <w:rsid w:val="007A04CC"/>
    <w:rsid w:val="007A144D"/>
    <w:rsid w:val="007A1491"/>
    <w:rsid w:val="007A31F3"/>
    <w:rsid w:val="007A39BF"/>
    <w:rsid w:val="007A4E4A"/>
    <w:rsid w:val="007A4FB7"/>
    <w:rsid w:val="007A6143"/>
    <w:rsid w:val="007A6D1B"/>
    <w:rsid w:val="007B072F"/>
    <w:rsid w:val="007B2D7A"/>
    <w:rsid w:val="007B2E75"/>
    <w:rsid w:val="007B3B85"/>
    <w:rsid w:val="007B5BE1"/>
    <w:rsid w:val="007B5D61"/>
    <w:rsid w:val="007B6848"/>
    <w:rsid w:val="007B6DB5"/>
    <w:rsid w:val="007B77E4"/>
    <w:rsid w:val="007B7B5C"/>
    <w:rsid w:val="007B7E97"/>
    <w:rsid w:val="007C017F"/>
    <w:rsid w:val="007C046D"/>
    <w:rsid w:val="007C0BD0"/>
    <w:rsid w:val="007C1FF3"/>
    <w:rsid w:val="007C28E9"/>
    <w:rsid w:val="007C3366"/>
    <w:rsid w:val="007C4785"/>
    <w:rsid w:val="007C60E1"/>
    <w:rsid w:val="007C6FCE"/>
    <w:rsid w:val="007D0998"/>
    <w:rsid w:val="007D0E0F"/>
    <w:rsid w:val="007D1EB0"/>
    <w:rsid w:val="007D3119"/>
    <w:rsid w:val="007D3273"/>
    <w:rsid w:val="007D371C"/>
    <w:rsid w:val="007D4953"/>
    <w:rsid w:val="007D7B01"/>
    <w:rsid w:val="007E0EC2"/>
    <w:rsid w:val="007E102B"/>
    <w:rsid w:val="007E11ED"/>
    <w:rsid w:val="007E1970"/>
    <w:rsid w:val="007E290B"/>
    <w:rsid w:val="007E2973"/>
    <w:rsid w:val="007E2BBC"/>
    <w:rsid w:val="007E3D2E"/>
    <w:rsid w:val="007E413F"/>
    <w:rsid w:val="007E4B1D"/>
    <w:rsid w:val="007E5857"/>
    <w:rsid w:val="007E58F0"/>
    <w:rsid w:val="007E592A"/>
    <w:rsid w:val="007E6723"/>
    <w:rsid w:val="007E6D11"/>
    <w:rsid w:val="007F2BDB"/>
    <w:rsid w:val="007F2E99"/>
    <w:rsid w:val="007F2F65"/>
    <w:rsid w:val="007F3181"/>
    <w:rsid w:val="007F3D8C"/>
    <w:rsid w:val="007F6020"/>
    <w:rsid w:val="007F7A38"/>
    <w:rsid w:val="0080032D"/>
    <w:rsid w:val="0080121C"/>
    <w:rsid w:val="00801F2E"/>
    <w:rsid w:val="00802C57"/>
    <w:rsid w:val="00803522"/>
    <w:rsid w:val="008041BF"/>
    <w:rsid w:val="00804469"/>
    <w:rsid w:val="0080456B"/>
    <w:rsid w:val="00805023"/>
    <w:rsid w:val="00805FC2"/>
    <w:rsid w:val="00806054"/>
    <w:rsid w:val="008062D2"/>
    <w:rsid w:val="008100F2"/>
    <w:rsid w:val="00812E7B"/>
    <w:rsid w:val="00813379"/>
    <w:rsid w:val="00813697"/>
    <w:rsid w:val="00814A22"/>
    <w:rsid w:val="00816147"/>
    <w:rsid w:val="00816691"/>
    <w:rsid w:val="00816B8D"/>
    <w:rsid w:val="00817C1E"/>
    <w:rsid w:val="00820593"/>
    <w:rsid w:val="008205DE"/>
    <w:rsid w:val="0082093D"/>
    <w:rsid w:val="00821751"/>
    <w:rsid w:val="008221EB"/>
    <w:rsid w:val="008224F7"/>
    <w:rsid w:val="008232B7"/>
    <w:rsid w:val="0082378C"/>
    <w:rsid w:val="00827F75"/>
    <w:rsid w:val="008302AA"/>
    <w:rsid w:val="0083058F"/>
    <w:rsid w:val="00830BF9"/>
    <w:rsid w:val="008325C4"/>
    <w:rsid w:val="00832788"/>
    <w:rsid w:val="00832D5D"/>
    <w:rsid w:val="00832FD1"/>
    <w:rsid w:val="00833E5F"/>
    <w:rsid w:val="008354EE"/>
    <w:rsid w:val="0084187E"/>
    <w:rsid w:val="00842EB0"/>
    <w:rsid w:val="00843210"/>
    <w:rsid w:val="00844DEA"/>
    <w:rsid w:val="0084548D"/>
    <w:rsid w:val="0084551C"/>
    <w:rsid w:val="00845770"/>
    <w:rsid w:val="00846845"/>
    <w:rsid w:val="00846D5E"/>
    <w:rsid w:val="00846FE7"/>
    <w:rsid w:val="008507D1"/>
    <w:rsid w:val="00850CBD"/>
    <w:rsid w:val="00851998"/>
    <w:rsid w:val="00852409"/>
    <w:rsid w:val="00852637"/>
    <w:rsid w:val="00853C4D"/>
    <w:rsid w:val="008540B2"/>
    <w:rsid w:val="008553F8"/>
    <w:rsid w:val="008572B9"/>
    <w:rsid w:val="008578EF"/>
    <w:rsid w:val="0086014B"/>
    <w:rsid w:val="0086056F"/>
    <w:rsid w:val="008605C3"/>
    <w:rsid w:val="00860850"/>
    <w:rsid w:val="00862D52"/>
    <w:rsid w:val="00863990"/>
    <w:rsid w:val="00864955"/>
    <w:rsid w:val="00864FBF"/>
    <w:rsid w:val="008653AA"/>
    <w:rsid w:val="008653F2"/>
    <w:rsid w:val="008661A0"/>
    <w:rsid w:val="00866273"/>
    <w:rsid w:val="00866D49"/>
    <w:rsid w:val="00872B94"/>
    <w:rsid w:val="00872BA2"/>
    <w:rsid w:val="00873ED6"/>
    <w:rsid w:val="0087430D"/>
    <w:rsid w:val="00874825"/>
    <w:rsid w:val="00876797"/>
    <w:rsid w:val="0087766A"/>
    <w:rsid w:val="008819DF"/>
    <w:rsid w:val="00882170"/>
    <w:rsid w:val="00882569"/>
    <w:rsid w:val="00882EA9"/>
    <w:rsid w:val="00884235"/>
    <w:rsid w:val="0088477D"/>
    <w:rsid w:val="00885180"/>
    <w:rsid w:val="008868BA"/>
    <w:rsid w:val="008910AC"/>
    <w:rsid w:val="00893E16"/>
    <w:rsid w:val="00895240"/>
    <w:rsid w:val="008A0C8F"/>
    <w:rsid w:val="008A1895"/>
    <w:rsid w:val="008A1F2F"/>
    <w:rsid w:val="008A2895"/>
    <w:rsid w:val="008A2F1F"/>
    <w:rsid w:val="008A32F1"/>
    <w:rsid w:val="008A395F"/>
    <w:rsid w:val="008A78CB"/>
    <w:rsid w:val="008A79E4"/>
    <w:rsid w:val="008A7B0F"/>
    <w:rsid w:val="008B1BD8"/>
    <w:rsid w:val="008B2049"/>
    <w:rsid w:val="008B2B7B"/>
    <w:rsid w:val="008B2D13"/>
    <w:rsid w:val="008B3733"/>
    <w:rsid w:val="008B3996"/>
    <w:rsid w:val="008B421B"/>
    <w:rsid w:val="008B48BD"/>
    <w:rsid w:val="008B5759"/>
    <w:rsid w:val="008B6F59"/>
    <w:rsid w:val="008C00A7"/>
    <w:rsid w:val="008C0F89"/>
    <w:rsid w:val="008C11C5"/>
    <w:rsid w:val="008C5371"/>
    <w:rsid w:val="008C669C"/>
    <w:rsid w:val="008C67DD"/>
    <w:rsid w:val="008C6A07"/>
    <w:rsid w:val="008D0EDF"/>
    <w:rsid w:val="008D16A4"/>
    <w:rsid w:val="008D19B1"/>
    <w:rsid w:val="008D3098"/>
    <w:rsid w:val="008D440E"/>
    <w:rsid w:val="008D45C9"/>
    <w:rsid w:val="008D5F05"/>
    <w:rsid w:val="008D71FC"/>
    <w:rsid w:val="008E0FA5"/>
    <w:rsid w:val="008E0FC8"/>
    <w:rsid w:val="008E190C"/>
    <w:rsid w:val="008E1D12"/>
    <w:rsid w:val="008E3449"/>
    <w:rsid w:val="008E3BA6"/>
    <w:rsid w:val="008E55AD"/>
    <w:rsid w:val="008E7159"/>
    <w:rsid w:val="008E7591"/>
    <w:rsid w:val="008F0095"/>
    <w:rsid w:val="008F034C"/>
    <w:rsid w:val="008F0555"/>
    <w:rsid w:val="008F0C9D"/>
    <w:rsid w:val="008F17EC"/>
    <w:rsid w:val="008F18F9"/>
    <w:rsid w:val="008F1DC2"/>
    <w:rsid w:val="008F2A05"/>
    <w:rsid w:val="008F2A4B"/>
    <w:rsid w:val="008F2AEA"/>
    <w:rsid w:val="008F3CC6"/>
    <w:rsid w:val="008F50CA"/>
    <w:rsid w:val="008F541C"/>
    <w:rsid w:val="008F746C"/>
    <w:rsid w:val="008F7FEC"/>
    <w:rsid w:val="00902CB5"/>
    <w:rsid w:val="00903285"/>
    <w:rsid w:val="00904C0A"/>
    <w:rsid w:val="00904D42"/>
    <w:rsid w:val="00905420"/>
    <w:rsid w:val="00906D7A"/>
    <w:rsid w:val="00907604"/>
    <w:rsid w:val="00907B0B"/>
    <w:rsid w:val="00910BDD"/>
    <w:rsid w:val="009110D6"/>
    <w:rsid w:val="009128C0"/>
    <w:rsid w:val="0091310D"/>
    <w:rsid w:val="009135CA"/>
    <w:rsid w:val="0091471F"/>
    <w:rsid w:val="0091543F"/>
    <w:rsid w:val="00915F7A"/>
    <w:rsid w:val="009171A9"/>
    <w:rsid w:val="009175E3"/>
    <w:rsid w:val="0091762A"/>
    <w:rsid w:val="00917F2F"/>
    <w:rsid w:val="00921367"/>
    <w:rsid w:val="009219F6"/>
    <w:rsid w:val="00922190"/>
    <w:rsid w:val="00922500"/>
    <w:rsid w:val="00922DA4"/>
    <w:rsid w:val="00924FC2"/>
    <w:rsid w:val="009252DD"/>
    <w:rsid w:val="00927702"/>
    <w:rsid w:val="00927A6A"/>
    <w:rsid w:val="00930B4C"/>
    <w:rsid w:val="00930FCD"/>
    <w:rsid w:val="009316EC"/>
    <w:rsid w:val="00932053"/>
    <w:rsid w:val="009320E9"/>
    <w:rsid w:val="00932571"/>
    <w:rsid w:val="00933ABD"/>
    <w:rsid w:val="00933D7F"/>
    <w:rsid w:val="00936B1E"/>
    <w:rsid w:val="0093743D"/>
    <w:rsid w:val="00941F73"/>
    <w:rsid w:val="00943830"/>
    <w:rsid w:val="00943884"/>
    <w:rsid w:val="00943937"/>
    <w:rsid w:val="00944C31"/>
    <w:rsid w:val="009460A8"/>
    <w:rsid w:val="009506E7"/>
    <w:rsid w:val="00951430"/>
    <w:rsid w:val="00952286"/>
    <w:rsid w:val="00952D77"/>
    <w:rsid w:val="009547B9"/>
    <w:rsid w:val="009563B6"/>
    <w:rsid w:val="009566ED"/>
    <w:rsid w:val="00956AC0"/>
    <w:rsid w:val="00956E01"/>
    <w:rsid w:val="009570E7"/>
    <w:rsid w:val="00957205"/>
    <w:rsid w:val="00960381"/>
    <w:rsid w:val="00960A14"/>
    <w:rsid w:val="00960F72"/>
    <w:rsid w:val="009622A9"/>
    <w:rsid w:val="00963118"/>
    <w:rsid w:val="00964393"/>
    <w:rsid w:val="00964528"/>
    <w:rsid w:val="0096524A"/>
    <w:rsid w:val="00965955"/>
    <w:rsid w:val="00966208"/>
    <w:rsid w:val="009664EC"/>
    <w:rsid w:val="00967CCA"/>
    <w:rsid w:val="0097176F"/>
    <w:rsid w:val="00971A6F"/>
    <w:rsid w:val="009729D3"/>
    <w:rsid w:val="009737BE"/>
    <w:rsid w:val="00973C3E"/>
    <w:rsid w:val="0097445B"/>
    <w:rsid w:val="009748CC"/>
    <w:rsid w:val="00974C39"/>
    <w:rsid w:val="00976362"/>
    <w:rsid w:val="0097716E"/>
    <w:rsid w:val="00977331"/>
    <w:rsid w:val="00977D20"/>
    <w:rsid w:val="00982986"/>
    <w:rsid w:val="00984546"/>
    <w:rsid w:val="00984BC5"/>
    <w:rsid w:val="00984E73"/>
    <w:rsid w:val="00985B24"/>
    <w:rsid w:val="00987B37"/>
    <w:rsid w:val="00990258"/>
    <w:rsid w:val="0099177B"/>
    <w:rsid w:val="00991E38"/>
    <w:rsid w:val="00991E9E"/>
    <w:rsid w:val="009920E3"/>
    <w:rsid w:val="009925AC"/>
    <w:rsid w:val="00993358"/>
    <w:rsid w:val="00993C8C"/>
    <w:rsid w:val="00996F8C"/>
    <w:rsid w:val="009A11A0"/>
    <w:rsid w:val="009A1EDC"/>
    <w:rsid w:val="009A2B32"/>
    <w:rsid w:val="009A2CC5"/>
    <w:rsid w:val="009A3286"/>
    <w:rsid w:val="009A42AA"/>
    <w:rsid w:val="009A4418"/>
    <w:rsid w:val="009A4AF0"/>
    <w:rsid w:val="009A4D86"/>
    <w:rsid w:val="009A609F"/>
    <w:rsid w:val="009A707C"/>
    <w:rsid w:val="009B3106"/>
    <w:rsid w:val="009B43BB"/>
    <w:rsid w:val="009B482B"/>
    <w:rsid w:val="009B4BC2"/>
    <w:rsid w:val="009B6813"/>
    <w:rsid w:val="009B6E99"/>
    <w:rsid w:val="009B773D"/>
    <w:rsid w:val="009B77C2"/>
    <w:rsid w:val="009C0A0F"/>
    <w:rsid w:val="009C110D"/>
    <w:rsid w:val="009C4380"/>
    <w:rsid w:val="009C665A"/>
    <w:rsid w:val="009D1874"/>
    <w:rsid w:val="009D1C23"/>
    <w:rsid w:val="009D1E74"/>
    <w:rsid w:val="009D38C8"/>
    <w:rsid w:val="009D3BB4"/>
    <w:rsid w:val="009D485B"/>
    <w:rsid w:val="009D5DFA"/>
    <w:rsid w:val="009D7863"/>
    <w:rsid w:val="009D7EE4"/>
    <w:rsid w:val="009E0838"/>
    <w:rsid w:val="009E39AA"/>
    <w:rsid w:val="009E3D52"/>
    <w:rsid w:val="009E479B"/>
    <w:rsid w:val="009E6DE0"/>
    <w:rsid w:val="009E7F85"/>
    <w:rsid w:val="009F02A4"/>
    <w:rsid w:val="009F0649"/>
    <w:rsid w:val="009F0717"/>
    <w:rsid w:val="009F1E82"/>
    <w:rsid w:val="009F2219"/>
    <w:rsid w:val="009F4276"/>
    <w:rsid w:val="009F51CE"/>
    <w:rsid w:val="009F6231"/>
    <w:rsid w:val="009F6C30"/>
    <w:rsid w:val="009F6CB0"/>
    <w:rsid w:val="00A02D20"/>
    <w:rsid w:val="00A03D68"/>
    <w:rsid w:val="00A03F63"/>
    <w:rsid w:val="00A0763E"/>
    <w:rsid w:val="00A11874"/>
    <w:rsid w:val="00A11E05"/>
    <w:rsid w:val="00A12638"/>
    <w:rsid w:val="00A12D12"/>
    <w:rsid w:val="00A13674"/>
    <w:rsid w:val="00A1611D"/>
    <w:rsid w:val="00A20100"/>
    <w:rsid w:val="00A2025B"/>
    <w:rsid w:val="00A20636"/>
    <w:rsid w:val="00A22049"/>
    <w:rsid w:val="00A240E2"/>
    <w:rsid w:val="00A2477B"/>
    <w:rsid w:val="00A24F1C"/>
    <w:rsid w:val="00A2587E"/>
    <w:rsid w:val="00A259FB"/>
    <w:rsid w:val="00A26C23"/>
    <w:rsid w:val="00A26D3E"/>
    <w:rsid w:val="00A30F88"/>
    <w:rsid w:val="00A31C1E"/>
    <w:rsid w:val="00A32247"/>
    <w:rsid w:val="00A3289F"/>
    <w:rsid w:val="00A33C57"/>
    <w:rsid w:val="00A348C3"/>
    <w:rsid w:val="00A35F96"/>
    <w:rsid w:val="00A364B9"/>
    <w:rsid w:val="00A40134"/>
    <w:rsid w:val="00A4587D"/>
    <w:rsid w:val="00A46252"/>
    <w:rsid w:val="00A509DA"/>
    <w:rsid w:val="00A51634"/>
    <w:rsid w:val="00A5194D"/>
    <w:rsid w:val="00A519A4"/>
    <w:rsid w:val="00A51DED"/>
    <w:rsid w:val="00A53946"/>
    <w:rsid w:val="00A555F0"/>
    <w:rsid w:val="00A56501"/>
    <w:rsid w:val="00A56E53"/>
    <w:rsid w:val="00A5748E"/>
    <w:rsid w:val="00A57D77"/>
    <w:rsid w:val="00A61618"/>
    <w:rsid w:val="00A6302E"/>
    <w:rsid w:val="00A63BFA"/>
    <w:rsid w:val="00A640C2"/>
    <w:rsid w:val="00A64D15"/>
    <w:rsid w:val="00A64D62"/>
    <w:rsid w:val="00A66A7A"/>
    <w:rsid w:val="00A66F08"/>
    <w:rsid w:val="00A70E16"/>
    <w:rsid w:val="00A71130"/>
    <w:rsid w:val="00A73258"/>
    <w:rsid w:val="00A73A81"/>
    <w:rsid w:val="00A745DF"/>
    <w:rsid w:val="00A74C01"/>
    <w:rsid w:val="00A74E37"/>
    <w:rsid w:val="00A75948"/>
    <w:rsid w:val="00A75ACE"/>
    <w:rsid w:val="00A76CF2"/>
    <w:rsid w:val="00A802D4"/>
    <w:rsid w:val="00A808B1"/>
    <w:rsid w:val="00A80F00"/>
    <w:rsid w:val="00A80F97"/>
    <w:rsid w:val="00A819A5"/>
    <w:rsid w:val="00A82063"/>
    <w:rsid w:val="00A82583"/>
    <w:rsid w:val="00A82BA2"/>
    <w:rsid w:val="00A83DB1"/>
    <w:rsid w:val="00A83F2B"/>
    <w:rsid w:val="00A843E4"/>
    <w:rsid w:val="00A8482C"/>
    <w:rsid w:val="00A84871"/>
    <w:rsid w:val="00A8615F"/>
    <w:rsid w:val="00A874B2"/>
    <w:rsid w:val="00A87615"/>
    <w:rsid w:val="00A87C23"/>
    <w:rsid w:val="00A87C7C"/>
    <w:rsid w:val="00A90514"/>
    <w:rsid w:val="00A90AA1"/>
    <w:rsid w:val="00A91592"/>
    <w:rsid w:val="00A91F8B"/>
    <w:rsid w:val="00AA0568"/>
    <w:rsid w:val="00AA073D"/>
    <w:rsid w:val="00AA0A45"/>
    <w:rsid w:val="00AA20C9"/>
    <w:rsid w:val="00AA26C5"/>
    <w:rsid w:val="00AA2B8E"/>
    <w:rsid w:val="00AA3329"/>
    <w:rsid w:val="00AA775E"/>
    <w:rsid w:val="00AB1D19"/>
    <w:rsid w:val="00AB2613"/>
    <w:rsid w:val="00AB42BE"/>
    <w:rsid w:val="00AB4C02"/>
    <w:rsid w:val="00AB4ED9"/>
    <w:rsid w:val="00AB5440"/>
    <w:rsid w:val="00AB7572"/>
    <w:rsid w:val="00AC07D8"/>
    <w:rsid w:val="00AC1F74"/>
    <w:rsid w:val="00AC3676"/>
    <w:rsid w:val="00AC69DB"/>
    <w:rsid w:val="00AC6A03"/>
    <w:rsid w:val="00AC7D9B"/>
    <w:rsid w:val="00AD01F7"/>
    <w:rsid w:val="00AD3594"/>
    <w:rsid w:val="00AD3972"/>
    <w:rsid w:val="00AD4721"/>
    <w:rsid w:val="00AD4E93"/>
    <w:rsid w:val="00AD5913"/>
    <w:rsid w:val="00AD663B"/>
    <w:rsid w:val="00AD701A"/>
    <w:rsid w:val="00AE0742"/>
    <w:rsid w:val="00AE2AE1"/>
    <w:rsid w:val="00AE5251"/>
    <w:rsid w:val="00AE5F18"/>
    <w:rsid w:val="00AE696A"/>
    <w:rsid w:val="00AE699E"/>
    <w:rsid w:val="00AE6F18"/>
    <w:rsid w:val="00AE7B4B"/>
    <w:rsid w:val="00AF0992"/>
    <w:rsid w:val="00AF0A03"/>
    <w:rsid w:val="00AF2465"/>
    <w:rsid w:val="00AF2749"/>
    <w:rsid w:val="00AF2B98"/>
    <w:rsid w:val="00AF361C"/>
    <w:rsid w:val="00AF3C0E"/>
    <w:rsid w:val="00AF479D"/>
    <w:rsid w:val="00AF4B0A"/>
    <w:rsid w:val="00AF55A6"/>
    <w:rsid w:val="00AF5DE2"/>
    <w:rsid w:val="00AF61F8"/>
    <w:rsid w:val="00AF66E2"/>
    <w:rsid w:val="00AF6E4B"/>
    <w:rsid w:val="00AF7146"/>
    <w:rsid w:val="00B00482"/>
    <w:rsid w:val="00B01005"/>
    <w:rsid w:val="00B0186D"/>
    <w:rsid w:val="00B01D92"/>
    <w:rsid w:val="00B03CFB"/>
    <w:rsid w:val="00B044E9"/>
    <w:rsid w:val="00B07F0A"/>
    <w:rsid w:val="00B106E9"/>
    <w:rsid w:val="00B10738"/>
    <w:rsid w:val="00B121EA"/>
    <w:rsid w:val="00B14249"/>
    <w:rsid w:val="00B150FF"/>
    <w:rsid w:val="00B16C31"/>
    <w:rsid w:val="00B174FC"/>
    <w:rsid w:val="00B1790D"/>
    <w:rsid w:val="00B200D2"/>
    <w:rsid w:val="00B20A56"/>
    <w:rsid w:val="00B211AB"/>
    <w:rsid w:val="00B2269B"/>
    <w:rsid w:val="00B226AA"/>
    <w:rsid w:val="00B2296E"/>
    <w:rsid w:val="00B23B81"/>
    <w:rsid w:val="00B24749"/>
    <w:rsid w:val="00B24A77"/>
    <w:rsid w:val="00B257DA"/>
    <w:rsid w:val="00B25C7A"/>
    <w:rsid w:val="00B26165"/>
    <w:rsid w:val="00B266C4"/>
    <w:rsid w:val="00B271D4"/>
    <w:rsid w:val="00B27EB4"/>
    <w:rsid w:val="00B30E5F"/>
    <w:rsid w:val="00B31CCD"/>
    <w:rsid w:val="00B31FDB"/>
    <w:rsid w:val="00B34DD4"/>
    <w:rsid w:val="00B3607E"/>
    <w:rsid w:val="00B365BF"/>
    <w:rsid w:val="00B36784"/>
    <w:rsid w:val="00B36DB4"/>
    <w:rsid w:val="00B36E50"/>
    <w:rsid w:val="00B36F8F"/>
    <w:rsid w:val="00B40F9F"/>
    <w:rsid w:val="00B41419"/>
    <w:rsid w:val="00B41745"/>
    <w:rsid w:val="00B41D32"/>
    <w:rsid w:val="00B42442"/>
    <w:rsid w:val="00B43BB2"/>
    <w:rsid w:val="00B44428"/>
    <w:rsid w:val="00B455AF"/>
    <w:rsid w:val="00B45DEE"/>
    <w:rsid w:val="00B476E0"/>
    <w:rsid w:val="00B47DC6"/>
    <w:rsid w:val="00B53A96"/>
    <w:rsid w:val="00B53AD9"/>
    <w:rsid w:val="00B54307"/>
    <w:rsid w:val="00B546D5"/>
    <w:rsid w:val="00B55263"/>
    <w:rsid w:val="00B5783F"/>
    <w:rsid w:val="00B6007F"/>
    <w:rsid w:val="00B60FD9"/>
    <w:rsid w:val="00B62512"/>
    <w:rsid w:val="00B637A0"/>
    <w:rsid w:val="00B637CD"/>
    <w:rsid w:val="00B637E7"/>
    <w:rsid w:val="00B64BD6"/>
    <w:rsid w:val="00B6519E"/>
    <w:rsid w:val="00B65C40"/>
    <w:rsid w:val="00B65D8F"/>
    <w:rsid w:val="00B6757E"/>
    <w:rsid w:val="00B721C5"/>
    <w:rsid w:val="00B76CCB"/>
    <w:rsid w:val="00B7741F"/>
    <w:rsid w:val="00B77AE4"/>
    <w:rsid w:val="00B80BC5"/>
    <w:rsid w:val="00B80DC8"/>
    <w:rsid w:val="00B80DD6"/>
    <w:rsid w:val="00B813B9"/>
    <w:rsid w:val="00B83B12"/>
    <w:rsid w:val="00B83F67"/>
    <w:rsid w:val="00B863E7"/>
    <w:rsid w:val="00B8665A"/>
    <w:rsid w:val="00B867E0"/>
    <w:rsid w:val="00B87433"/>
    <w:rsid w:val="00B90D6F"/>
    <w:rsid w:val="00B915DE"/>
    <w:rsid w:val="00B92801"/>
    <w:rsid w:val="00B9323D"/>
    <w:rsid w:val="00B932E6"/>
    <w:rsid w:val="00B93BE8"/>
    <w:rsid w:val="00B93F2F"/>
    <w:rsid w:val="00B94712"/>
    <w:rsid w:val="00B95E65"/>
    <w:rsid w:val="00B969B0"/>
    <w:rsid w:val="00B97C42"/>
    <w:rsid w:val="00BA0274"/>
    <w:rsid w:val="00BA057C"/>
    <w:rsid w:val="00BA1B30"/>
    <w:rsid w:val="00BA4BE1"/>
    <w:rsid w:val="00BA510B"/>
    <w:rsid w:val="00BA5CC8"/>
    <w:rsid w:val="00BA6948"/>
    <w:rsid w:val="00BA72BA"/>
    <w:rsid w:val="00BB2D24"/>
    <w:rsid w:val="00BB33DF"/>
    <w:rsid w:val="00BB5DCF"/>
    <w:rsid w:val="00BB69C7"/>
    <w:rsid w:val="00BB740A"/>
    <w:rsid w:val="00BC1D41"/>
    <w:rsid w:val="00BC2800"/>
    <w:rsid w:val="00BC4AB3"/>
    <w:rsid w:val="00BC55D8"/>
    <w:rsid w:val="00BD04F7"/>
    <w:rsid w:val="00BD10CF"/>
    <w:rsid w:val="00BD1712"/>
    <w:rsid w:val="00BD1F31"/>
    <w:rsid w:val="00BD33A9"/>
    <w:rsid w:val="00BD3550"/>
    <w:rsid w:val="00BD3E95"/>
    <w:rsid w:val="00BD418A"/>
    <w:rsid w:val="00BD4371"/>
    <w:rsid w:val="00BD6688"/>
    <w:rsid w:val="00BD678F"/>
    <w:rsid w:val="00BD6D0B"/>
    <w:rsid w:val="00BD7337"/>
    <w:rsid w:val="00BE119F"/>
    <w:rsid w:val="00BE271B"/>
    <w:rsid w:val="00BE758D"/>
    <w:rsid w:val="00BE7A1F"/>
    <w:rsid w:val="00BF1AD6"/>
    <w:rsid w:val="00BF2A49"/>
    <w:rsid w:val="00BF2F7F"/>
    <w:rsid w:val="00BF3157"/>
    <w:rsid w:val="00BF3A3E"/>
    <w:rsid w:val="00BF4C30"/>
    <w:rsid w:val="00BF591D"/>
    <w:rsid w:val="00BF634E"/>
    <w:rsid w:val="00C00D0A"/>
    <w:rsid w:val="00C01D0D"/>
    <w:rsid w:val="00C035ED"/>
    <w:rsid w:val="00C042A0"/>
    <w:rsid w:val="00C043D7"/>
    <w:rsid w:val="00C04603"/>
    <w:rsid w:val="00C10061"/>
    <w:rsid w:val="00C10B2C"/>
    <w:rsid w:val="00C111B4"/>
    <w:rsid w:val="00C119B9"/>
    <w:rsid w:val="00C13EC3"/>
    <w:rsid w:val="00C15C3E"/>
    <w:rsid w:val="00C1612F"/>
    <w:rsid w:val="00C16352"/>
    <w:rsid w:val="00C210E7"/>
    <w:rsid w:val="00C21B1D"/>
    <w:rsid w:val="00C27D5E"/>
    <w:rsid w:val="00C3086B"/>
    <w:rsid w:val="00C31402"/>
    <w:rsid w:val="00C31FBA"/>
    <w:rsid w:val="00C32597"/>
    <w:rsid w:val="00C335FE"/>
    <w:rsid w:val="00C34173"/>
    <w:rsid w:val="00C343CB"/>
    <w:rsid w:val="00C353E3"/>
    <w:rsid w:val="00C355DF"/>
    <w:rsid w:val="00C35BDD"/>
    <w:rsid w:val="00C36107"/>
    <w:rsid w:val="00C37E5D"/>
    <w:rsid w:val="00C4003F"/>
    <w:rsid w:val="00C401C7"/>
    <w:rsid w:val="00C405F2"/>
    <w:rsid w:val="00C425CC"/>
    <w:rsid w:val="00C42951"/>
    <w:rsid w:val="00C42B2E"/>
    <w:rsid w:val="00C4389F"/>
    <w:rsid w:val="00C44479"/>
    <w:rsid w:val="00C44967"/>
    <w:rsid w:val="00C47FBB"/>
    <w:rsid w:val="00C5022F"/>
    <w:rsid w:val="00C52064"/>
    <w:rsid w:val="00C5291E"/>
    <w:rsid w:val="00C52E1C"/>
    <w:rsid w:val="00C557A4"/>
    <w:rsid w:val="00C557AF"/>
    <w:rsid w:val="00C56D03"/>
    <w:rsid w:val="00C61D58"/>
    <w:rsid w:val="00C62355"/>
    <w:rsid w:val="00C62AC0"/>
    <w:rsid w:val="00C63174"/>
    <w:rsid w:val="00C63D1B"/>
    <w:rsid w:val="00C6449B"/>
    <w:rsid w:val="00C6467C"/>
    <w:rsid w:val="00C64873"/>
    <w:rsid w:val="00C64F79"/>
    <w:rsid w:val="00C654AC"/>
    <w:rsid w:val="00C65C5D"/>
    <w:rsid w:val="00C671EF"/>
    <w:rsid w:val="00C677FE"/>
    <w:rsid w:val="00C702D1"/>
    <w:rsid w:val="00C708D3"/>
    <w:rsid w:val="00C71300"/>
    <w:rsid w:val="00C7168F"/>
    <w:rsid w:val="00C72C42"/>
    <w:rsid w:val="00C73F5D"/>
    <w:rsid w:val="00C74B05"/>
    <w:rsid w:val="00C76058"/>
    <w:rsid w:val="00C7634E"/>
    <w:rsid w:val="00C76A00"/>
    <w:rsid w:val="00C77AB7"/>
    <w:rsid w:val="00C804FE"/>
    <w:rsid w:val="00C82373"/>
    <w:rsid w:val="00C82E6E"/>
    <w:rsid w:val="00C836F5"/>
    <w:rsid w:val="00C84999"/>
    <w:rsid w:val="00C85445"/>
    <w:rsid w:val="00C85871"/>
    <w:rsid w:val="00C859D0"/>
    <w:rsid w:val="00C86317"/>
    <w:rsid w:val="00C86D86"/>
    <w:rsid w:val="00C872ED"/>
    <w:rsid w:val="00C90D02"/>
    <w:rsid w:val="00C912E1"/>
    <w:rsid w:val="00C915B5"/>
    <w:rsid w:val="00C91EE9"/>
    <w:rsid w:val="00C93844"/>
    <w:rsid w:val="00C94241"/>
    <w:rsid w:val="00C96240"/>
    <w:rsid w:val="00C96474"/>
    <w:rsid w:val="00C97CDA"/>
    <w:rsid w:val="00CA05B7"/>
    <w:rsid w:val="00CA0C18"/>
    <w:rsid w:val="00CA1C0D"/>
    <w:rsid w:val="00CA373A"/>
    <w:rsid w:val="00CA3CF4"/>
    <w:rsid w:val="00CA7384"/>
    <w:rsid w:val="00CA7544"/>
    <w:rsid w:val="00CB19D6"/>
    <w:rsid w:val="00CB2BE1"/>
    <w:rsid w:val="00CB408D"/>
    <w:rsid w:val="00CB40A6"/>
    <w:rsid w:val="00CB45E6"/>
    <w:rsid w:val="00CB4667"/>
    <w:rsid w:val="00CC04CA"/>
    <w:rsid w:val="00CC0991"/>
    <w:rsid w:val="00CC1353"/>
    <w:rsid w:val="00CC2535"/>
    <w:rsid w:val="00CC2B34"/>
    <w:rsid w:val="00CC35EE"/>
    <w:rsid w:val="00CC37A8"/>
    <w:rsid w:val="00CC4F40"/>
    <w:rsid w:val="00CC50EB"/>
    <w:rsid w:val="00CC69E1"/>
    <w:rsid w:val="00CC6E28"/>
    <w:rsid w:val="00CC747E"/>
    <w:rsid w:val="00CC7958"/>
    <w:rsid w:val="00CD0F2D"/>
    <w:rsid w:val="00CD145C"/>
    <w:rsid w:val="00CD17F4"/>
    <w:rsid w:val="00CD601F"/>
    <w:rsid w:val="00CD6162"/>
    <w:rsid w:val="00CD62FA"/>
    <w:rsid w:val="00CD653D"/>
    <w:rsid w:val="00CD6790"/>
    <w:rsid w:val="00CD6AF8"/>
    <w:rsid w:val="00CE0542"/>
    <w:rsid w:val="00CE1870"/>
    <w:rsid w:val="00CE1D4D"/>
    <w:rsid w:val="00CE1FF5"/>
    <w:rsid w:val="00CE23C8"/>
    <w:rsid w:val="00CE2DEF"/>
    <w:rsid w:val="00CE47CC"/>
    <w:rsid w:val="00CE4B80"/>
    <w:rsid w:val="00CE5552"/>
    <w:rsid w:val="00CF1B42"/>
    <w:rsid w:val="00CF217D"/>
    <w:rsid w:val="00CF25E5"/>
    <w:rsid w:val="00CF2DF5"/>
    <w:rsid w:val="00CF334F"/>
    <w:rsid w:val="00CF375C"/>
    <w:rsid w:val="00CF497A"/>
    <w:rsid w:val="00CF51E3"/>
    <w:rsid w:val="00CF5601"/>
    <w:rsid w:val="00CF5649"/>
    <w:rsid w:val="00CF5C05"/>
    <w:rsid w:val="00CF6C20"/>
    <w:rsid w:val="00CF6EAF"/>
    <w:rsid w:val="00CF774C"/>
    <w:rsid w:val="00CF790A"/>
    <w:rsid w:val="00D002DC"/>
    <w:rsid w:val="00D01602"/>
    <w:rsid w:val="00D02072"/>
    <w:rsid w:val="00D03117"/>
    <w:rsid w:val="00D03BD8"/>
    <w:rsid w:val="00D05DAD"/>
    <w:rsid w:val="00D10B78"/>
    <w:rsid w:val="00D10C36"/>
    <w:rsid w:val="00D12A71"/>
    <w:rsid w:val="00D138AE"/>
    <w:rsid w:val="00D13D0C"/>
    <w:rsid w:val="00D15D0E"/>
    <w:rsid w:val="00D16303"/>
    <w:rsid w:val="00D1632F"/>
    <w:rsid w:val="00D1729C"/>
    <w:rsid w:val="00D17D41"/>
    <w:rsid w:val="00D20525"/>
    <w:rsid w:val="00D21097"/>
    <w:rsid w:val="00D212C0"/>
    <w:rsid w:val="00D220FB"/>
    <w:rsid w:val="00D2210A"/>
    <w:rsid w:val="00D2269C"/>
    <w:rsid w:val="00D22881"/>
    <w:rsid w:val="00D22942"/>
    <w:rsid w:val="00D23027"/>
    <w:rsid w:val="00D2431E"/>
    <w:rsid w:val="00D25D35"/>
    <w:rsid w:val="00D265CA"/>
    <w:rsid w:val="00D30C8B"/>
    <w:rsid w:val="00D31B82"/>
    <w:rsid w:val="00D336B7"/>
    <w:rsid w:val="00D34026"/>
    <w:rsid w:val="00D34160"/>
    <w:rsid w:val="00D354E5"/>
    <w:rsid w:val="00D3559A"/>
    <w:rsid w:val="00D35F65"/>
    <w:rsid w:val="00D3691F"/>
    <w:rsid w:val="00D37525"/>
    <w:rsid w:val="00D37B02"/>
    <w:rsid w:val="00D37D4C"/>
    <w:rsid w:val="00D418CF"/>
    <w:rsid w:val="00D4266C"/>
    <w:rsid w:val="00D43E27"/>
    <w:rsid w:val="00D448D0"/>
    <w:rsid w:val="00D44AB4"/>
    <w:rsid w:val="00D45710"/>
    <w:rsid w:val="00D508FA"/>
    <w:rsid w:val="00D51A88"/>
    <w:rsid w:val="00D51A99"/>
    <w:rsid w:val="00D51FD1"/>
    <w:rsid w:val="00D523F3"/>
    <w:rsid w:val="00D52679"/>
    <w:rsid w:val="00D527C4"/>
    <w:rsid w:val="00D54027"/>
    <w:rsid w:val="00D551BA"/>
    <w:rsid w:val="00D55221"/>
    <w:rsid w:val="00D60AEC"/>
    <w:rsid w:val="00D6228A"/>
    <w:rsid w:val="00D62474"/>
    <w:rsid w:val="00D624DD"/>
    <w:rsid w:val="00D6444B"/>
    <w:rsid w:val="00D64995"/>
    <w:rsid w:val="00D64EA8"/>
    <w:rsid w:val="00D661D4"/>
    <w:rsid w:val="00D662BB"/>
    <w:rsid w:val="00D66767"/>
    <w:rsid w:val="00D66CB9"/>
    <w:rsid w:val="00D66CCF"/>
    <w:rsid w:val="00D67DD5"/>
    <w:rsid w:val="00D70656"/>
    <w:rsid w:val="00D719D8"/>
    <w:rsid w:val="00D71C08"/>
    <w:rsid w:val="00D71F3C"/>
    <w:rsid w:val="00D727F5"/>
    <w:rsid w:val="00D729FA"/>
    <w:rsid w:val="00D74DB4"/>
    <w:rsid w:val="00D77509"/>
    <w:rsid w:val="00D7787B"/>
    <w:rsid w:val="00D80AA8"/>
    <w:rsid w:val="00D81212"/>
    <w:rsid w:val="00D8205E"/>
    <w:rsid w:val="00D82B75"/>
    <w:rsid w:val="00D8350B"/>
    <w:rsid w:val="00D84D61"/>
    <w:rsid w:val="00D850D5"/>
    <w:rsid w:val="00D85245"/>
    <w:rsid w:val="00D90392"/>
    <w:rsid w:val="00D910FE"/>
    <w:rsid w:val="00D93346"/>
    <w:rsid w:val="00D945A0"/>
    <w:rsid w:val="00D95A7B"/>
    <w:rsid w:val="00D975D2"/>
    <w:rsid w:val="00DA2AD6"/>
    <w:rsid w:val="00DA34B1"/>
    <w:rsid w:val="00DA4886"/>
    <w:rsid w:val="00DA515C"/>
    <w:rsid w:val="00DA5844"/>
    <w:rsid w:val="00DA707C"/>
    <w:rsid w:val="00DA7DD5"/>
    <w:rsid w:val="00DB06FE"/>
    <w:rsid w:val="00DB1FCE"/>
    <w:rsid w:val="00DB319D"/>
    <w:rsid w:val="00DB3AA0"/>
    <w:rsid w:val="00DB4335"/>
    <w:rsid w:val="00DB58EA"/>
    <w:rsid w:val="00DB5AA2"/>
    <w:rsid w:val="00DC1052"/>
    <w:rsid w:val="00DC1449"/>
    <w:rsid w:val="00DC2BB1"/>
    <w:rsid w:val="00DC37E6"/>
    <w:rsid w:val="00DC48B7"/>
    <w:rsid w:val="00DC5012"/>
    <w:rsid w:val="00DC5FE3"/>
    <w:rsid w:val="00DC67D7"/>
    <w:rsid w:val="00DD0572"/>
    <w:rsid w:val="00DD07F3"/>
    <w:rsid w:val="00DD0D32"/>
    <w:rsid w:val="00DD1B93"/>
    <w:rsid w:val="00DD20ED"/>
    <w:rsid w:val="00DD2B4C"/>
    <w:rsid w:val="00DD3DCE"/>
    <w:rsid w:val="00DD41A1"/>
    <w:rsid w:val="00DD4649"/>
    <w:rsid w:val="00DD489D"/>
    <w:rsid w:val="00DD4D53"/>
    <w:rsid w:val="00DD66CC"/>
    <w:rsid w:val="00DD6789"/>
    <w:rsid w:val="00DD68EA"/>
    <w:rsid w:val="00DD6BFD"/>
    <w:rsid w:val="00DD6C30"/>
    <w:rsid w:val="00DD712E"/>
    <w:rsid w:val="00DE027E"/>
    <w:rsid w:val="00DE0B86"/>
    <w:rsid w:val="00DE19E0"/>
    <w:rsid w:val="00DE43ED"/>
    <w:rsid w:val="00DE4E6E"/>
    <w:rsid w:val="00DE62ED"/>
    <w:rsid w:val="00DE6635"/>
    <w:rsid w:val="00DE6998"/>
    <w:rsid w:val="00DE7233"/>
    <w:rsid w:val="00DF064C"/>
    <w:rsid w:val="00DF1300"/>
    <w:rsid w:val="00DF1C06"/>
    <w:rsid w:val="00DF270D"/>
    <w:rsid w:val="00DF6283"/>
    <w:rsid w:val="00DF6A26"/>
    <w:rsid w:val="00DF6F4A"/>
    <w:rsid w:val="00DF723D"/>
    <w:rsid w:val="00DF7921"/>
    <w:rsid w:val="00DF7C79"/>
    <w:rsid w:val="00E014A6"/>
    <w:rsid w:val="00E01603"/>
    <w:rsid w:val="00E02FCE"/>
    <w:rsid w:val="00E03535"/>
    <w:rsid w:val="00E035CC"/>
    <w:rsid w:val="00E04A94"/>
    <w:rsid w:val="00E05927"/>
    <w:rsid w:val="00E05F5F"/>
    <w:rsid w:val="00E0640E"/>
    <w:rsid w:val="00E10F88"/>
    <w:rsid w:val="00E110D4"/>
    <w:rsid w:val="00E120F8"/>
    <w:rsid w:val="00E1401B"/>
    <w:rsid w:val="00E209D4"/>
    <w:rsid w:val="00E2111B"/>
    <w:rsid w:val="00E21E2F"/>
    <w:rsid w:val="00E224FE"/>
    <w:rsid w:val="00E22A38"/>
    <w:rsid w:val="00E22F42"/>
    <w:rsid w:val="00E239B6"/>
    <w:rsid w:val="00E25B64"/>
    <w:rsid w:val="00E25DF9"/>
    <w:rsid w:val="00E26481"/>
    <w:rsid w:val="00E26775"/>
    <w:rsid w:val="00E26A4D"/>
    <w:rsid w:val="00E304A3"/>
    <w:rsid w:val="00E32585"/>
    <w:rsid w:val="00E326F5"/>
    <w:rsid w:val="00E32DCF"/>
    <w:rsid w:val="00E33425"/>
    <w:rsid w:val="00E33B81"/>
    <w:rsid w:val="00E34335"/>
    <w:rsid w:val="00E35550"/>
    <w:rsid w:val="00E377BE"/>
    <w:rsid w:val="00E40348"/>
    <w:rsid w:val="00E407A8"/>
    <w:rsid w:val="00E40BCD"/>
    <w:rsid w:val="00E40D3A"/>
    <w:rsid w:val="00E410AB"/>
    <w:rsid w:val="00E411B0"/>
    <w:rsid w:val="00E419B5"/>
    <w:rsid w:val="00E427AA"/>
    <w:rsid w:val="00E43335"/>
    <w:rsid w:val="00E43493"/>
    <w:rsid w:val="00E44032"/>
    <w:rsid w:val="00E47012"/>
    <w:rsid w:val="00E473D4"/>
    <w:rsid w:val="00E517D9"/>
    <w:rsid w:val="00E5254F"/>
    <w:rsid w:val="00E53152"/>
    <w:rsid w:val="00E53723"/>
    <w:rsid w:val="00E54060"/>
    <w:rsid w:val="00E60DD1"/>
    <w:rsid w:val="00E62737"/>
    <w:rsid w:val="00E66BDC"/>
    <w:rsid w:val="00E66E23"/>
    <w:rsid w:val="00E702E0"/>
    <w:rsid w:val="00E709FF"/>
    <w:rsid w:val="00E70FBE"/>
    <w:rsid w:val="00E71015"/>
    <w:rsid w:val="00E716B3"/>
    <w:rsid w:val="00E7193A"/>
    <w:rsid w:val="00E725F4"/>
    <w:rsid w:val="00E72FBB"/>
    <w:rsid w:val="00E73C79"/>
    <w:rsid w:val="00E749D3"/>
    <w:rsid w:val="00E749D9"/>
    <w:rsid w:val="00E74DD4"/>
    <w:rsid w:val="00E75CDE"/>
    <w:rsid w:val="00E7722D"/>
    <w:rsid w:val="00E77618"/>
    <w:rsid w:val="00E8002B"/>
    <w:rsid w:val="00E8045E"/>
    <w:rsid w:val="00E814CB"/>
    <w:rsid w:val="00E81E88"/>
    <w:rsid w:val="00E83A6F"/>
    <w:rsid w:val="00E84DFE"/>
    <w:rsid w:val="00E8551E"/>
    <w:rsid w:val="00E85540"/>
    <w:rsid w:val="00E8567C"/>
    <w:rsid w:val="00E858EB"/>
    <w:rsid w:val="00E8678B"/>
    <w:rsid w:val="00E8712A"/>
    <w:rsid w:val="00E905D5"/>
    <w:rsid w:val="00E90E16"/>
    <w:rsid w:val="00E9283E"/>
    <w:rsid w:val="00E9448D"/>
    <w:rsid w:val="00E94632"/>
    <w:rsid w:val="00E947CF"/>
    <w:rsid w:val="00E9590E"/>
    <w:rsid w:val="00E97C9C"/>
    <w:rsid w:val="00EA0BED"/>
    <w:rsid w:val="00EA3494"/>
    <w:rsid w:val="00EA3C62"/>
    <w:rsid w:val="00EA46DF"/>
    <w:rsid w:val="00EA542E"/>
    <w:rsid w:val="00EA613D"/>
    <w:rsid w:val="00EA647A"/>
    <w:rsid w:val="00EA6899"/>
    <w:rsid w:val="00EA6F7C"/>
    <w:rsid w:val="00EB00AB"/>
    <w:rsid w:val="00EB32AB"/>
    <w:rsid w:val="00EB3313"/>
    <w:rsid w:val="00EB422C"/>
    <w:rsid w:val="00EB4275"/>
    <w:rsid w:val="00EB456C"/>
    <w:rsid w:val="00EB6006"/>
    <w:rsid w:val="00EB6980"/>
    <w:rsid w:val="00EB6FF2"/>
    <w:rsid w:val="00EB75B6"/>
    <w:rsid w:val="00EB7A27"/>
    <w:rsid w:val="00EC09F7"/>
    <w:rsid w:val="00EC112F"/>
    <w:rsid w:val="00EC1D4F"/>
    <w:rsid w:val="00EC49B8"/>
    <w:rsid w:val="00EC4C56"/>
    <w:rsid w:val="00ED1348"/>
    <w:rsid w:val="00ED15A0"/>
    <w:rsid w:val="00ED2A66"/>
    <w:rsid w:val="00ED2DFB"/>
    <w:rsid w:val="00ED3018"/>
    <w:rsid w:val="00ED422C"/>
    <w:rsid w:val="00ED4F5E"/>
    <w:rsid w:val="00EE211F"/>
    <w:rsid w:val="00EE42EC"/>
    <w:rsid w:val="00EE4718"/>
    <w:rsid w:val="00EE545A"/>
    <w:rsid w:val="00EE7836"/>
    <w:rsid w:val="00EE7B27"/>
    <w:rsid w:val="00EE7BA1"/>
    <w:rsid w:val="00EE7BF6"/>
    <w:rsid w:val="00EE7E9D"/>
    <w:rsid w:val="00EF04E5"/>
    <w:rsid w:val="00EF0D09"/>
    <w:rsid w:val="00EF2F67"/>
    <w:rsid w:val="00EF42DA"/>
    <w:rsid w:val="00EF5458"/>
    <w:rsid w:val="00EF56EE"/>
    <w:rsid w:val="00EF68FD"/>
    <w:rsid w:val="00EF7FCD"/>
    <w:rsid w:val="00F01A0E"/>
    <w:rsid w:val="00F02ED5"/>
    <w:rsid w:val="00F03109"/>
    <w:rsid w:val="00F03C1F"/>
    <w:rsid w:val="00F048AB"/>
    <w:rsid w:val="00F0501E"/>
    <w:rsid w:val="00F0601B"/>
    <w:rsid w:val="00F06F55"/>
    <w:rsid w:val="00F0703D"/>
    <w:rsid w:val="00F07705"/>
    <w:rsid w:val="00F109BF"/>
    <w:rsid w:val="00F109E1"/>
    <w:rsid w:val="00F11B40"/>
    <w:rsid w:val="00F120AA"/>
    <w:rsid w:val="00F130E5"/>
    <w:rsid w:val="00F149FB"/>
    <w:rsid w:val="00F14CED"/>
    <w:rsid w:val="00F14DC4"/>
    <w:rsid w:val="00F15ADA"/>
    <w:rsid w:val="00F16047"/>
    <w:rsid w:val="00F2026F"/>
    <w:rsid w:val="00F20F4E"/>
    <w:rsid w:val="00F20FD2"/>
    <w:rsid w:val="00F2195F"/>
    <w:rsid w:val="00F22193"/>
    <w:rsid w:val="00F22B86"/>
    <w:rsid w:val="00F23563"/>
    <w:rsid w:val="00F23724"/>
    <w:rsid w:val="00F26C9E"/>
    <w:rsid w:val="00F26EAA"/>
    <w:rsid w:val="00F310E8"/>
    <w:rsid w:val="00F31EB3"/>
    <w:rsid w:val="00F325CA"/>
    <w:rsid w:val="00F35F05"/>
    <w:rsid w:val="00F363D3"/>
    <w:rsid w:val="00F36DB4"/>
    <w:rsid w:val="00F37504"/>
    <w:rsid w:val="00F40DAA"/>
    <w:rsid w:val="00F43576"/>
    <w:rsid w:val="00F446B0"/>
    <w:rsid w:val="00F45508"/>
    <w:rsid w:val="00F45C56"/>
    <w:rsid w:val="00F463FD"/>
    <w:rsid w:val="00F46986"/>
    <w:rsid w:val="00F46B5D"/>
    <w:rsid w:val="00F479A7"/>
    <w:rsid w:val="00F511F4"/>
    <w:rsid w:val="00F51919"/>
    <w:rsid w:val="00F52BE0"/>
    <w:rsid w:val="00F5381E"/>
    <w:rsid w:val="00F54B20"/>
    <w:rsid w:val="00F54E7F"/>
    <w:rsid w:val="00F5541E"/>
    <w:rsid w:val="00F57CC9"/>
    <w:rsid w:val="00F600A2"/>
    <w:rsid w:val="00F6016A"/>
    <w:rsid w:val="00F605BF"/>
    <w:rsid w:val="00F60CE1"/>
    <w:rsid w:val="00F6298F"/>
    <w:rsid w:val="00F65BC8"/>
    <w:rsid w:val="00F66A0C"/>
    <w:rsid w:val="00F67494"/>
    <w:rsid w:val="00F67B5B"/>
    <w:rsid w:val="00F67FC6"/>
    <w:rsid w:val="00F70B68"/>
    <w:rsid w:val="00F70BCF"/>
    <w:rsid w:val="00F72393"/>
    <w:rsid w:val="00F72632"/>
    <w:rsid w:val="00F739B2"/>
    <w:rsid w:val="00F75836"/>
    <w:rsid w:val="00F76C6E"/>
    <w:rsid w:val="00F7721A"/>
    <w:rsid w:val="00F77353"/>
    <w:rsid w:val="00F807C4"/>
    <w:rsid w:val="00F80B4F"/>
    <w:rsid w:val="00F81BD5"/>
    <w:rsid w:val="00F82F48"/>
    <w:rsid w:val="00F83C06"/>
    <w:rsid w:val="00F84CB1"/>
    <w:rsid w:val="00F86AE8"/>
    <w:rsid w:val="00F86B86"/>
    <w:rsid w:val="00F90556"/>
    <w:rsid w:val="00F9091C"/>
    <w:rsid w:val="00F90A9F"/>
    <w:rsid w:val="00F90BE0"/>
    <w:rsid w:val="00F90CED"/>
    <w:rsid w:val="00F9102F"/>
    <w:rsid w:val="00F910F1"/>
    <w:rsid w:val="00F9122D"/>
    <w:rsid w:val="00F9158B"/>
    <w:rsid w:val="00F92EB6"/>
    <w:rsid w:val="00F933C5"/>
    <w:rsid w:val="00F93A7D"/>
    <w:rsid w:val="00F945E7"/>
    <w:rsid w:val="00F95CDF"/>
    <w:rsid w:val="00F977AF"/>
    <w:rsid w:val="00F978DE"/>
    <w:rsid w:val="00FA1126"/>
    <w:rsid w:val="00FA17C9"/>
    <w:rsid w:val="00FA1E4C"/>
    <w:rsid w:val="00FA2C04"/>
    <w:rsid w:val="00FA3195"/>
    <w:rsid w:val="00FA476E"/>
    <w:rsid w:val="00FA5868"/>
    <w:rsid w:val="00FB024B"/>
    <w:rsid w:val="00FB05DE"/>
    <w:rsid w:val="00FB06E4"/>
    <w:rsid w:val="00FB14CD"/>
    <w:rsid w:val="00FB157C"/>
    <w:rsid w:val="00FB21F8"/>
    <w:rsid w:val="00FB243B"/>
    <w:rsid w:val="00FB3B7A"/>
    <w:rsid w:val="00FB43A8"/>
    <w:rsid w:val="00FB4850"/>
    <w:rsid w:val="00FB6B27"/>
    <w:rsid w:val="00FC00CC"/>
    <w:rsid w:val="00FC03B2"/>
    <w:rsid w:val="00FC04D7"/>
    <w:rsid w:val="00FC050B"/>
    <w:rsid w:val="00FC0774"/>
    <w:rsid w:val="00FC0DAC"/>
    <w:rsid w:val="00FC265A"/>
    <w:rsid w:val="00FC33D4"/>
    <w:rsid w:val="00FC4319"/>
    <w:rsid w:val="00FC4B64"/>
    <w:rsid w:val="00FC4C96"/>
    <w:rsid w:val="00FC5464"/>
    <w:rsid w:val="00FC5D71"/>
    <w:rsid w:val="00FC6AB2"/>
    <w:rsid w:val="00FC7AC6"/>
    <w:rsid w:val="00FD0C2C"/>
    <w:rsid w:val="00FD0E66"/>
    <w:rsid w:val="00FD1259"/>
    <w:rsid w:val="00FD1632"/>
    <w:rsid w:val="00FD1AA5"/>
    <w:rsid w:val="00FD1B51"/>
    <w:rsid w:val="00FD1B6D"/>
    <w:rsid w:val="00FD2DFA"/>
    <w:rsid w:val="00FD4122"/>
    <w:rsid w:val="00FD5823"/>
    <w:rsid w:val="00FE09F4"/>
    <w:rsid w:val="00FE0E33"/>
    <w:rsid w:val="00FE1546"/>
    <w:rsid w:val="00FE4137"/>
    <w:rsid w:val="00FE4B78"/>
    <w:rsid w:val="00FE5DE6"/>
    <w:rsid w:val="00FE791E"/>
    <w:rsid w:val="00FF1676"/>
    <w:rsid w:val="00FF2D32"/>
    <w:rsid w:val="00FF47B8"/>
    <w:rsid w:val="00FF60E4"/>
    <w:rsid w:val="00FF6C9E"/>
    <w:rsid w:val="00FF79CC"/>
    <w:rsid w:val="01197824"/>
    <w:rsid w:val="0122260B"/>
    <w:rsid w:val="012D0479"/>
    <w:rsid w:val="01323CE1"/>
    <w:rsid w:val="0157162E"/>
    <w:rsid w:val="01636A2D"/>
    <w:rsid w:val="016A397D"/>
    <w:rsid w:val="019E3125"/>
    <w:rsid w:val="01C40DDD"/>
    <w:rsid w:val="01FF3BC3"/>
    <w:rsid w:val="020C4532"/>
    <w:rsid w:val="021C514E"/>
    <w:rsid w:val="02325EBF"/>
    <w:rsid w:val="0245584B"/>
    <w:rsid w:val="026A3B24"/>
    <w:rsid w:val="02750329"/>
    <w:rsid w:val="02900890"/>
    <w:rsid w:val="02A1111E"/>
    <w:rsid w:val="02B40E52"/>
    <w:rsid w:val="02BF15A4"/>
    <w:rsid w:val="02CD3CC1"/>
    <w:rsid w:val="02DE7C7D"/>
    <w:rsid w:val="02FE20CD"/>
    <w:rsid w:val="03165668"/>
    <w:rsid w:val="0322579A"/>
    <w:rsid w:val="034957EB"/>
    <w:rsid w:val="034E4DF6"/>
    <w:rsid w:val="03541CED"/>
    <w:rsid w:val="03835743"/>
    <w:rsid w:val="038D3451"/>
    <w:rsid w:val="03940F55"/>
    <w:rsid w:val="03A36021"/>
    <w:rsid w:val="03C867FB"/>
    <w:rsid w:val="03D64DF8"/>
    <w:rsid w:val="03DB280C"/>
    <w:rsid w:val="040A4AA1"/>
    <w:rsid w:val="040B3714"/>
    <w:rsid w:val="04313648"/>
    <w:rsid w:val="04351B1E"/>
    <w:rsid w:val="043A61D9"/>
    <w:rsid w:val="046057CC"/>
    <w:rsid w:val="04653DAA"/>
    <w:rsid w:val="04675A50"/>
    <w:rsid w:val="04695C6C"/>
    <w:rsid w:val="047A5783"/>
    <w:rsid w:val="04844E6E"/>
    <w:rsid w:val="048824E6"/>
    <w:rsid w:val="04893ACA"/>
    <w:rsid w:val="04A97837"/>
    <w:rsid w:val="04AD04FC"/>
    <w:rsid w:val="04BF4240"/>
    <w:rsid w:val="04C9670A"/>
    <w:rsid w:val="04CC15EC"/>
    <w:rsid w:val="04EE7F1F"/>
    <w:rsid w:val="04F35535"/>
    <w:rsid w:val="0520670F"/>
    <w:rsid w:val="05393118"/>
    <w:rsid w:val="05465FAD"/>
    <w:rsid w:val="054A15F9"/>
    <w:rsid w:val="05551D4C"/>
    <w:rsid w:val="05597A8E"/>
    <w:rsid w:val="056D2A06"/>
    <w:rsid w:val="056F2E0E"/>
    <w:rsid w:val="058C45DA"/>
    <w:rsid w:val="05966902"/>
    <w:rsid w:val="05A86320"/>
    <w:rsid w:val="05CC0260"/>
    <w:rsid w:val="05DB3FDB"/>
    <w:rsid w:val="06113EC5"/>
    <w:rsid w:val="064E0D89"/>
    <w:rsid w:val="06505701"/>
    <w:rsid w:val="06826B71"/>
    <w:rsid w:val="06CD24E2"/>
    <w:rsid w:val="0708351A"/>
    <w:rsid w:val="07177C01"/>
    <w:rsid w:val="073C1416"/>
    <w:rsid w:val="073F6BC3"/>
    <w:rsid w:val="07483930"/>
    <w:rsid w:val="076B1CFB"/>
    <w:rsid w:val="0782379F"/>
    <w:rsid w:val="07D01B5E"/>
    <w:rsid w:val="07D16002"/>
    <w:rsid w:val="07EA0E72"/>
    <w:rsid w:val="08191757"/>
    <w:rsid w:val="0823590D"/>
    <w:rsid w:val="082A74C0"/>
    <w:rsid w:val="082F4AD6"/>
    <w:rsid w:val="08406CE4"/>
    <w:rsid w:val="08433802"/>
    <w:rsid w:val="08564759"/>
    <w:rsid w:val="08687FE8"/>
    <w:rsid w:val="08762AE9"/>
    <w:rsid w:val="087B79DB"/>
    <w:rsid w:val="088B1AD9"/>
    <w:rsid w:val="08B82D1E"/>
    <w:rsid w:val="08E5550A"/>
    <w:rsid w:val="091361A6"/>
    <w:rsid w:val="09646A02"/>
    <w:rsid w:val="09750C0F"/>
    <w:rsid w:val="0992531D"/>
    <w:rsid w:val="09AB4631"/>
    <w:rsid w:val="09B232FF"/>
    <w:rsid w:val="09CF031F"/>
    <w:rsid w:val="09DB40B9"/>
    <w:rsid w:val="09E30D43"/>
    <w:rsid w:val="09EA6F07"/>
    <w:rsid w:val="09ED4C49"/>
    <w:rsid w:val="0A0F4BBF"/>
    <w:rsid w:val="0A3C2D3D"/>
    <w:rsid w:val="0A4C7C4F"/>
    <w:rsid w:val="0A54036B"/>
    <w:rsid w:val="0A6568C6"/>
    <w:rsid w:val="0AA31966"/>
    <w:rsid w:val="0AA6596B"/>
    <w:rsid w:val="0AAC4D75"/>
    <w:rsid w:val="0AC77248"/>
    <w:rsid w:val="0ACC3FB3"/>
    <w:rsid w:val="0AF145EB"/>
    <w:rsid w:val="0B2522D8"/>
    <w:rsid w:val="0B2A4141"/>
    <w:rsid w:val="0B755DE4"/>
    <w:rsid w:val="0B955598"/>
    <w:rsid w:val="0BA31A63"/>
    <w:rsid w:val="0BAE3F92"/>
    <w:rsid w:val="0BB9753B"/>
    <w:rsid w:val="0BBC0D77"/>
    <w:rsid w:val="0BCD088E"/>
    <w:rsid w:val="0BCD2653"/>
    <w:rsid w:val="0C01678A"/>
    <w:rsid w:val="0C04306C"/>
    <w:rsid w:val="0C392A40"/>
    <w:rsid w:val="0C6A432F"/>
    <w:rsid w:val="0CD9781A"/>
    <w:rsid w:val="0CE8761D"/>
    <w:rsid w:val="0D2064F8"/>
    <w:rsid w:val="0D42705A"/>
    <w:rsid w:val="0D4E194C"/>
    <w:rsid w:val="0D4E59FF"/>
    <w:rsid w:val="0D692839"/>
    <w:rsid w:val="0D6B2B7C"/>
    <w:rsid w:val="0D8B27AF"/>
    <w:rsid w:val="0DAB4BFF"/>
    <w:rsid w:val="0DDA3736"/>
    <w:rsid w:val="0DDF2AFB"/>
    <w:rsid w:val="0DF07E84"/>
    <w:rsid w:val="0E325320"/>
    <w:rsid w:val="0E513AD0"/>
    <w:rsid w:val="0E57144C"/>
    <w:rsid w:val="0E5D73A8"/>
    <w:rsid w:val="0E7D2A40"/>
    <w:rsid w:val="0E7E0566"/>
    <w:rsid w:val="0E9D75E1"/>
    <w:rsid w:val="0EA7186A"/>
    <w:rsid w:val="0EA96663"/>
    <w:rsid w:val="0EB61AAE"/>
    <w:rsid w:val="0EB67D00"/>
    <w:rsid w:val="0ED4462A"/>
    <w:rsid w:val="0EEF6D6E"/>
    <w:rsid w:val="0EFE7C91"/>
    <w:rsid w:val="0F0A3BA7"/>
    <w:rsid w:val="0F296723"/>
    <w:rsid w:val="0F356573"/>
    <w:rsid w:val="0F476BAA"/>
    <w:rsid w:val="0F4946D0"/>
    <w:rsid w:val="0F601A63"/>
    <w:rsid w:val="0FC8053D"/>
    <w:rsid w:val="0FD77F2D"/>
    <w:rsid w:val="10064711"/>
    <w:rsid w:val="10080AEC"/>
    <w:rsid w:val="100D1BA1"/>
    <w:rsid w:val="10563548"/>
    <w:rsid w:val="10710382"/>
    <w:rsid w:val="108F6E96"/>
    <w:rsid w:val="109E12C9"/>
    <w:rsid w:val="10AA5642"/>
    <w:rsid w:val="10BC39FC"/>
    <w:rsid w:val="10EF2973"/>
    <w:rsid w:val="112F5B47"/>
    <w:rsid w:val="11447845"/>
    <w:rsid w:val="1156492B"/>
    <w:rsid w:val="116C28F7"/>
    <w:rsid w:val="117874EE"/>
    <w:rsid w:val="117D4B05"/>
    <w:rsid w:val="11895257"/>
    <w:rsid w:val="119500A0"/>
    <w:rsid w:val="11A26F7F"/>
    <w:rsid w:val="11C52438"/>
    <w:rsid w:val="11C95DC2"/>
    <w:rsid w:val="11E903EC"/>
    <w:rsid w:val="120D5E88"/>
    <w:rsid w:val="121C515C"/>
    <w:rsid w:val="12350842"/>
    <w:rsid w:val="123F625E"/>
    <w:rsid w:val="124B69B1"/>
    <w:rsid w:val="1273508C"/>
    <w:rsid w:val="127A0E24"/>
    <w:rsid w:val="12816876"/>
    <w:rsid w:val="129A3494"/>
    <w:rsid w:val="12E227E5"/>
    <w:rsid w:val="12F62DC0"/>
    <w:rsid w:val="132A2912"/>
    <w:rsid w:val="132E255A"/>
    <w:rsid w:val="13497394"/>
    <w:rsid w:val="136A2E67"/>
    <w:rsid w:val="136C6BDF"/>
    <w:rsid w:val="136D5CBC"/>
    <w:rsid w:val="13893C35"/>
    <w:rsid w:val="139B74C4"/>
    <w:rsid w:val="139D148E"/>
    <w:rsid w:val="13B053DC"/>
    <w:rsid w:val="13B81E24"/>
    <w:rsid w:val="13CB5FFB"/>
    <w:rsid w:val="13D6674E"/>
    <w:rsid w:val="13E96481"/>
    <w:rsid w:val="13F84916"/>
    <w:rsid w:val="1404150D"/>
    <w:rsid w:val="14263231"/>
    <w:rsid w:val="14273CFD"/>
    <w:rsid w:val="14497828"/>
    <w:rsid w:val="144A3940"/>
    <w:rsid w:val="147612F7"/>
    <w:rsid w:val="149C1746"/>
    <w:rsid w:val="14AB045C"/>
    <w:rsid w:val="14FB46BE"/>
    <w:rsid w:val="150A66AF"/>
    <w:rsid w:val="155928FC"/>
    <w:rsid w:val="15846662"/>
    <w:rsid w:val="15B14D7D"/>
    <w:rsid w:val="15E94BC7"/>
    <w:rsid w:val="15F37981"/>
    <w:rsid w:val="15F555B1"/>
    <w:rsid w:val="161F262E"/>
    <w:rsid w:val="16493207"/>
    <w:rsid w:val="164B51D1"/>
    <w:rsid w:val="16565924"/>
    <w:rsid w:val="167A7865"/>
    <w:rsid w:val="16881F81"/>
    <w:rsid w:val="168A13B6"/>
    <w:rsid w:val="16AE750E"/>
    <w:rsid w:val="16CA6849"/>
    <w:rsid w:val="17017F86"/>
    <w:rsid w:val="170F5628"/>
    <w:rsid w:val="17171557"/>
    <w:rsid w:val="173B2478"/>
    <w:rsid w:val="173B6FF4"/>
    <w:rsid w:val="176E561B"/>
    <w:rsid w:val="17BD5C5B"/>
    <w:rsid w:val="17C3509D"/>
    <w:rsid w:val="17D1612F"/>
    <w:rsid w:val="17DF2A99"/>
    <w:rsid w:val="17F67C23"/>
    <w:rsid w:val="1804746D"/>
    <w:rsid w:val="18152D35"/>
    <w:rsid w:val="18197FA0"/>
    <w:rsid w:val="18245CDA"/>
    <w:rsid w:val="184C22BA"/>
    <w:rsid w:val="18622C93"/>
    <w:rsid w:val="18622CA6"/>
    <w:rsid w:val="18B47C16"/>
    <w:rsid w:val="18BE0C36"/>
    <w:rsid w:val="18D4338D"/>
    <w:rsid w:val="18D53262"/>
    <w:rsid w:val="18D72D4C"/>
    <w:rsid w:val="18FF22A3"/>
    <w:rsid w:val="190E6FEC"/>
    <w:rsid w:val="19120228"/>
    <w:rsid w:val="19A21234"/>
    <w:rsid w:val="19A60971"/>
    <w:rsid w:val="19AF029C"/>
    <w:rsid w:val="19C37774"/>
    <w:rsid w:val="19CA28B1"/>
    <w:rsid w:val="19FA13E8"/>
    <w:rsid w:val="19FB418E"/>
    <w:rsid w:val="1A1C04ED"/>
    <w:rsid w:val="1A1F1862"/>
    <w:rsid w:val="1A824F3A"/>
    <w:rsid w:val="1A9565F1"/>
    <w:rsid w:val="1AA76A8A"/>
    <w:rsid w:val="1AD0039B"/>
    <w:rsid w:val="1AD5150D"/>
    <w:rsid w:val="1AE60C68"/>
    <w:rsid w:val="1AE654C9"/>
    <w:rsid w:val="1B450356"/>
    <w:rsid w:val="1B4D4249"/>
    <w:rsid w:val="1B627ACD"/>
    <w:rsid w:val="1B6D7998"/>
    <w:rsid w:val="1B925650"/>
    <w:rsid w:val="1B9E2247"/>
    <w:rsid w:val="1BA6544E"/>
    <w:rsid w:val="1BB04D0E"/>
    <w:rsid w:val="1BB2184F"/>
    <w:rsid w:val="1BB81AB2"/>
    <w:rsid w:val="1BC03F6C"/>
    <w:rsid w:val="1BD75A1F"/>
    <w:rsid w:val="1C0A51E7"/>
    <w:rsid w:val="1C1761BE"/>
    <w:rsid w:val="1C2E0CC8"/>
    <w:rsid w:val="1C67661D"/>
    <w:rsid w:val="1C961170"/>
    <w:rsid w:val="1CB05D8E"/>
    <w:rsid w:val="1CC03B37"/>
    <w:rsid w:val="1CD06430"/>
    <w:rsid w:val="1CE2334B"/>
    <w:rsid w:val="1D2755B7"/>
    <w:rsid w:val="1D381026"/>
    <w:rsid w:val="1D40173D"/>
    <w:rsid w:val="1D7D3EDE"/>
    <w:rsid w:val="1DA26A9B"/>
    <w:rsid w:val="1DB7314C"/>
    <w:rsid w:val="1DCB4E4A"/>
    <w:rsid w:val="1DDA6E3B"/>
    <w:rsid w:val="1E2F7187"/>
    <w:rsid w:val="1E522E75"/>
    <w:rsid w:val="1E817658"/>
    <w:rsid w:val="1E8269BE"/>
    <w:rsid w:val="1EA21279"/>
    <w:rsid w:val="1EAE0073"/>
    <w:rsid w:val="1EDD4E34"/>
    <w:rsid w:val="1F0B7BF4"/>
    <w:rsid w:val="1F274D8B"/>
    <w:rsid w:val="1F4E7AE0"/>
    <w:rsid w:val="1F574BE7"/>
    <w:rsid w:val="1F576FBB"/>
    <w:rsid w:val="1F980D5B"/>
    <w:rsid w:val="1FCB2EDF"/>
    <w:rsid w:val="1FDB5753"/>
    <w:rsid w:val="1FE30229"/>
    <w:rsid w:val="1FE314B7"/>
    <w:rsid w:val="1FEA751E"/>
    <w:rsid w:val="20020FF7"/>
    <w:rsid w:val="200A6A16"/>
    <w:rsid w:val="20670E5A"/>
    <w:rsid w:val="206750B4"/>
    <w:rsid w:val="20CC33B3"/>
    <w:rsid w:val="20EF0E4F"/>
    <w:rsid w:val="21061C42"/>
    <w:rsid w:val="211329C7"/>
    <w:rsid w:val="212907CA"/>
    <w:rsid w:val="21363288"/>
    <w:rsid w:val="216E6218"/>
    <w:rsid w:val="217217D8"/>
    <w:rsid w:val="21731164"/>
    <w:rsid w:val="21746E74"/>
    <w:rsid w:val="218F54C6"/>
    <w:rsid w:val="21B04A82"/>
    <w:rsid w:val="21BB7B73"/>
    <w:rsid w:val="21C10A3D"/>
    <w:rsid w:val="22123047"/>
    <w:rsid w:val="22196184"/>
    <w:rsid w:val="22737EAB"/>
    <w:rsid w:val="22760B92"/>
    <w:rsid w:val="22851A6B"/>
    <w:rsid w:val="22B934C3"/>
    <w:rsid w:val="22D87DED"/>
    <w:rsid w:val="23147F1E"/>
    <w:rsid w:val="23192921"/>
    <w:rsid w:val="236C1D82"/>
    <w:rsid w:val="23754AA7"/>
    <w:rsid w:val="237A2BC2"/>
    <w:rsid w:val="23880ED2"/>
    <w:rsid w:val="238B1303"/>
    <w:rsid w:val="2398757C"/>
    <w:rsid w:val="23A2644A"/>
    <w:rsid w:val="23AE0B4E"/>
    <w:rsid w:val="23C86C6B"/>
    <w:rsid w:val="23CA198C"/>
    <w:rsid w:val="23DF1230"/>
    <w:rsid w:val="241F2510"/>
    <w:rsid w:val="24286B52"/>
    <w:rsid w:val="244E2DB6"/>
    <w:rsid w:val="24592CC6"/>
    <w:rsid w:val="24616C60"/>
    <w:rsid w:val="246F23E0"/>
    <w:rsid w:val="249A3EE3"/>
    <w:rsid w:val="24A361D8"/>
    <w:rsid w:val="24D34421"/>
    <w:rsid w:val="24EC7B7F"/>
    <w:rsid w:val="24EF141E"/>
    <w:rsid w:val="25161E3D"/>
    <w:rsid w:val="252668FD"/>
    <w:rsid w:val="255C2096"/>
    <w:rsid w:val="25635479"/>
    <w:rsid w:val="25670308"/>
    <w:rsid w:val="25AC5233"/>
    <w:rsid w:val="25BD1FE8"/>
    <w:rsid w:val="25CD5C03"/>
    <w:rsid w:val="25DD396C"/>
    <w:rsid w:val="261750D0"/>
    <w:rsid w:val="262D7221"/>
    <w:rsid w:val="265A4FBD"/>
    <w:rsid w:val="26AB5818"/>
    <w:rsid w:val="26AD25D3"/>
    <w:rsid w:val="26D0702D"/>
    <w:rsid w:val="26ED476A"/>
    <w:rsid w:val="270C517B"/>
    <w:rsid w:val="27182EAE"/>
    <w:rsid w:val="274912B9"/>
    <w:rsid w:val="275644C5"/>
    <w:rsid w:val="27576C06"/>
    <w:rsid w:val="27624129"/>
    <w:rsid w:val="27782A1C"/>
    <w:rsid w:val="278C3928"/>
    <w:rsid w:val="27C9064C"/>
    <w:rsid w:val="2819686D"/>
    <w:rsid w:val="284B1061"/>
    <w:rsid w:val="284D7194"/>
    <w:rsid w:val="285C326E"/>
    <w:rsid w:val="286433B4"/>
    <w:rsid w:val="2873397D"/>
    <w:rsid w:val="28773C04"/>
    <w:rsid w:val="288B3B53"/>
    <w:rsid w:val="28DB23E5"/>
    <w:rsid w:val="28E13773"/>
    <w:rsid w:val="28E26730"/>
    <w:rsid w:val="28F263D7"/>
    <w:rsid w:val="291872DB"/>
    <w:rsid w:val="294A61B9"/>
    <w:rsid w:val="297C222F"/>
    <w:rsid w:val="298C139D"/>
    <w:rsid w:val="299F1664"/>
    <w:rsid w:val="29A3532C"/>
    <w:rsid w:val="29BB2216"/>
    <w:rsid w:val="29BF1D06"/>
    <w:rsid w:val="2A2E2886"/>
    <w:rsid w:val="2A4E2554"/>
    <w:rsid w:val="2A5561C7"/>
    <w:rsid w:val="2AC05D36"/>
    <w:rsid w:val="2ACA0963"/>
    <w:rsid w:val="2ADB2B70"/>
    <w:rsid w:val="2AEF5CFA"/>
    <w:rsid w:val="2AFC5122"/>
    <w:rsid w:val="2B034261"/>
    <w:rsid w:val="2B044801"/>
    <w:rsid w:val="2B08148B"/>
    <w:rsid w:val="2B146082"/>
    <w:rsid w:val="2B157704"/>
    <w:rsid w:val="2B2C257D"/>
    <w:rsid w:val="2B30453E"/>
    <w:rsid w:val="2B312790"/>
    <w:rsid w:val="2B335512"/>
    <w:rsid w:val="2B5446D0"/>
    <w:rsid w:val="2B7B3C10"/>
    <w:rsid w:val="2B822F6B"/>
    <w:rsid w:val="2B94088C"/>
    <w:rsid w:val="2B9E6248"/>
    <w:rsid w:val="2BBF5FEE"/>
    <w:rsid w:val="2BD355F5"/>
    <w:rsid w:val="2BF35C97"/>
    <w:rsid w:val="2BF733C6"/>
    <w:rsid w:val="2BF81500"/>
    <w:rsid w:val="2C193BE3"/>
    <w:rsid w:val="2C384749"/>
    <w:rsid w:val="2C640943"/>
    <w:rsid w:val="2C9C1DF7"/>
    <w:rsid w:val="2CCE400E"/>
    <w:rsid w:val="2CD755B9"/>
    <w:rsid w:val="2CFB0C2C"/>
    <w:rsid w:val="2D0A14EA"/>
    <w:rsid w:val="2D0B0DBF"/>
    <w:rsid w:val="2D41362F"/>
    <w:rsid w:val="2D562999"/>
    <w:rsid w:val="2D8C53C0"/>
    <w:rsid w:val="2D99461C"/>
    <w:rsid w:val="2DAD00C8"/>
    <w:rsid w:val="2DAD44B7"/>
    <w:rsid w:val="2DBB72B7"/>
    <w:rsid w:val="2DC93C96"/>
    <w:rsid w:val="2DD91E4D"/>
    <w:rsid w:val="2DE33AEA"/>
    <w:rsid w:val="2DF050E5"/>
    <w:rsid w:val="2E036394"/>
    <w:rsid w:val="2E1E0778"/>
    <w:rsid w:val="2E2C36E3"/>
    <w:rsid w:val="2E6426C2"/>
    <w:rsid w:val="2E6609A2"/>
    <w:rsid w:val="2ECB2EFB"/>
    <w:rsid w:val="2ED57403"/>
    <w:rsid w:val="2EDB7A3A"/>
    <w:rsid w:val="2EF73CF0"/>
    <w:rsid w:val="2F2148C9"/>
    <w:rsid w:val="2F61116A"/>
    <w:rsid w:val="2F7F1B1B"/>
    <w:rsid w:val="2FA86D99"/>
    <w:rsid w:val="2FC81E15"/>
    <w:rsid w:val="303C2E9C"/>
    <w:rsid w:val="3045369C"/>
    <w:rsid w:val="30612F67"/>
    <w:rsid w:val="30BA0309"/>
    <w:rsid w:val="30E87D95"/>
    <w:rsid w:val="31105788"/>
    <w:rsid w:val="311C17EC"/>
    <w:rsid w:val="31215055"/>
    <w:rsid w:val="31277A7C"/>
    <w:rsid w:val="31436D73"/>
    <w:rsid w:val="31453A15"/>
    <w:rsid w:val="314D19A6"/>
    <w:rsid w:val="315B2C72"/>
    <w:rsid w:val="317E24A7"/>
    <w:rsid w:val="318178A1"/>
    <w:rsid w:val="320F30FF"/>
    <w:rsid w:val="325925CC"/>
    <w:rsid w:val="325B7C56"/>
    <w:rsid w:val="327F0285"/>
    <w:rsid w:val="32923106"/>
    <w:rsid w:val="32FF3C54"/>
    <w:rsid w:val="33150A93"/>
    <w:rsid w:val="33184235"/>
    <w:rsid w:val="331F4503"/>
    <w:rsid w:val="33253DB0"/>
    <w:rsid w:val="33376E36"/>
    <w:rsid w:val="3341343B"/>
    <w:rsid w:val="33743B62"/>
    <w:rsid w:val="338C0015"/>
    <w:rsid w:val="33900270"/>
    <w:rsid w:val="33B10912"/>
    <w:rsid w:val="33D5788D"/>
    <w:rsid w:val="33E67E90"/>
    <w:rsid w:val="33F86541"/>
    <w:rsid w:val="34114AEE"/>
    <w:rsid w:val="34345A2C"/>
    <w:rsid w:val="345B49C2"/>
    <w:rsid w:val="34873874"/>
    <w:rsid w:val="34920D2B"/>
    <w:rsid w:val="34A22009"/>
    <w:rsid w:val="34AC7869"/>
    <w:rsid w:val="34BF705E"/>
    <w:rsid w:val="34CF6855"/>
    <w:rsid w:val="34E95E89"/>
    <w:rsid w:val="34FD4E2A"/>
    <w:rsid w:val="350E58F0"/>
    <w:rsid w:val="351A6043"/>
    <w:rsid w:val="352927C0"/>
    <w:rsid w:val="354C01C6"/>
    <w:rsid w:val="354C70D0"/>
    <w:rsid w:val="3586099E"/>
    <w:rsid w:val="35CD47A1"/>
    <w:rsid w:val="35E01715"/>
    <w:rsid w:val="35F57486"/>
    <w:rsid w:val="35F76384"/>
    <w:rsid w:val="35FF348B"/>
    <w:rsid w:val="3610591A"/>
    <w:rsid w:val="36363350"/>
    <w:rsid w:val="365E7F82"/>
    <w:rsid w:val="36E75044"/>
    <w:rsid w:val="36F723C1"/>
    <w:rsid w:val="37070849"/>
    <w:rsid w:val="371B60A2"/>
    <w:rsid w:val="372C6501"/>
    <w:rsid w:val="374B6987"/>
    <w:rsid w:val="375912B6"/>
    <w:rsid w:val="3778046B"/>
    <w:rsid w:val="377B020F"/>
    <w:rsid w:val="37D7646D"/>
    <w:rsid w:val="37FE39FA"/>
    <w:rsid w:val="38052F16"/>
    <w:rsid w:val="38286CC9"/>
    <w:rsid w:val="382947EF"/>
    <w:rsid w:val="38390ED6"/>
    <w:rsid w:val="38AF1198"/>
    <w:rsid w:val="38E83A9D"/>
    <w:rsid w:val="3934169D"/>
    <w:rsid w:val="396471C4"/>
    <w:rsid w:val="39696B38"/>
    <w:rsid w:val="39794940"/>
    <w:rsid w:val="39994AA0"/>
    <w:rsid w:val="39BF624A"/>
    <w:rsid w:val="39C27D9B"/>
    <w:rsid w:val="3A192D6D"/>
    <w:rsid w:val="3AA7481D"/>
    <w:rsid w:val="3AA97E8D"/>
    <w:rsid w:val="3AAA45B3"/>
    <w:rsid w:val="3AB331C1"/>
    <w:rsid w:val="3AC30F2B"/>
    <w:rsid w:val="3ACF49B9"/>
    <w:rsid w:val="3AE431D4"/>
    <w:rsid w:val="3B2C4D22"/>
    <w:rsid w:val="3B4C5420"/>
    <w:rsid w:val="3B9823B7"/>
    <w:rsid w:val="3B994E02"/>
    <w:rsid w:val="3BD66A3C"/>
    <w:rsid w:val="3C0637C5"/>
    <w:rsid w:val="3C065573"/>
    <w:rsid w:val="3C0D4B53"/>
    <w:rsid w:val="3C2657CD"/>
    <w:rsid w:val="3C300842"/>
    <w:rsid w:val="3C3B116F"/>
    <w:rsid w:val="3C3E4D0D"/>
    <w:rsid w:val="3C5F6A31"/>
    <w:rsid w:val="3C771FCD"/>
    <w:rsid w:val="3C88242C"/>
    <w:rsid w:val="3C9506A5"/>
    <w:rsid w:val="3CA134EE"/>
    <w:rsid w:val="3CAA37C4"/>
    <w:rsid w:val="3CF92FFE"/>
    <w:rsid w:val="3D000214"/>
    <w:rsid w:val="3D127F47"/>
    <w:rsid w:val="3D157EC5"/>
    <w:rsid w:val="3D1E68EC"/>
    <w:rsid w:val="3D2F4655"/>
    <w:rsid w:val="3D351094"/>
    <w:rsid w:val="3D4072AC"/>
    <w:rsid w:val="3D464278"/>
    <w:rsid w:val="3D4C16AB"/>
    <w:rsid w:val="3D565159"/>
    <w:rsid w:val="3D767013"/>
    <w:rsid w:val="3D7D7AB7"/>
    <w:rsid w:val="3D965BA7"/>
    <w:rsid w:val="3DA60DBB"/>
    <w:rsid w:val="3DC56D68"/>
    <w:rsid w:val="3DD1395F"/>
    <w:rsid w:val="3DFF04CC"/>
    <w:rsid w:val="3E011D5D"/>
    <w:rsid w:val="3E377C66"/>
    <w:rsid w:val="3E3B796C"/>
    <w:rsid w:val="3E6976D5"/>
    <w:rsid w:val="3E6B3412"/>
    <w:rsid w:val="3E704F26"/>
    <w:rsid w:val="3EC150B3"/>
    <w:rsid w:val="3ED41958"/>
    <w:rsid w:val="3EF20030"/>
    <w:rsid w:val="3F1220D4"/>
    <w:rsid w:val="3F1E4B9D"/>
    <w:rsid w:val="3F253F62"/>
    <w:rsid w:val="3F387FAA"/>
    <w:rsid w:val="3F490FF2"/>
    <w:rsid w:val="3F80563C"/>
    <w:rsid w:val="3FAC01DF"/>
    <w:rsid w:val="3FAD5A88"/>
    <w:rsid w:val="3FBF6165"/>
    <w:rsid w:val="3FC3690B"/>
    <w:rsid w:val="3FF12096"/>
    <w:rsid w:val="40021D93"/>
    <w:rsid w:val="400973E0"/>
    <w:rsid w:val="4036100A"/>
    <w:rsid w:val="404F780F"/>
    <w:rsid w:val="405D597D"/>
    <w:rsid w:val="406E7B8B"/>
    <w:rsid w:val="407F58F4"/>
    <w:rsid w:val="408F6F0C"/>
    <w:rsid w:val="40971C61"/>
    <w:rsid w:val="409A44DC"/>
    <w:rsid w:val="40C94D71"/>
    <w:rsid w:val="40CA4E94"/>
    <w:rsid w:val="40D21EC7"/>
    <w:rsid w:val="40DE261A"/>
    <w:rsid w:val="40E13EB9"/>
    <w:rsid w:val="40EB4D37"/>
    <w:rsid w:val="40EE65D6"/>
    <w:rsid w:val="411C1395"/>
    <w:rsid w:val="41321196"/>
    <w:rsid w:val="41871476"/>
    <w:rsid w:val="41BB295C"/>
    <w:rsid w:val="41CF6407"/>
    <w:rsid w:val="41DD6D76"/>
    <w:rsid w:val="41ED2246"/>
    <w:rsid w:val="420B41E6"/>
    <w:rsid w:val="425D7EB7"/>
    <w:rsid w:val="426423AD"/>
    <w:rsid w:val="42687F95"/>
    <w:rsid w:val="4269060A"/>
    <w:rsid w:val="427F1BDB"/>
    <w:rsid w:val="42870A90"/>
    <w:rsid w:val="42D17927"/>
    <w:rsid w:val="42D9578F"/>
    <w:rsid w:val="42F02AD9"/>
    <w:rsid w:val="42F223AD"/>
    <w:rsid w:val="430D368B"/>
    <w:rsid w:val="431747DD"/>
    <w:rsid w:val="43271F8A"/>
    <w:rsid w:val="432D7889"/>
    <w:rsid w:val="433958CF"/>
    <w:rsid w:val="433B01F8"/>
    <w:rsid w:val="4359067E"/>
    <w:rsid w:val="4376217B"/>
    <w:rsid w:val="438374A9"/>
    <w:rsid w:val="4388655A"/>
    <w:rsid w:val="439416B6"/>
    <w:rsid w:val="43C1584E"/>
    <w:rsid w:val="43D91B1B"/>
    <w:rsid w:val="43E51F12"/>
    <w:rsid w:val="441D78FE"/>
    <w:rsid w:val="442A12B3"/>
    <w:rsid w:val="444D5AA8"/>
    <w:rsid w:val="446077EA"/>
    <w:rsid w:val="44623562"/>
    <w:rsid w:val="447B5A6B"/>
    <w:rsid w:val="44896778"/>
    <w:rsid w:val="448C05DF"/>
    <w:rsid w:val="449669CC"/>
    <w:rsid w:val="44A30F3A"/>
    <w:rsid w:val="44AF0451"/>
    <w:rsid w:val="44DC50C3"/>
    <w:rsid w:val="44EF08CF"/>
    <w:rsid w:val="450B4C3A"/>
    <w:rsid w:val="450C49AE"/>
    <w:rsid w:val="452A2092"/>
    <w:rsid w:val="452E1696"/>
    <w:rsid w:val="458778D0"/>
    <w:rsid w:val="458A3D93"/>
    <w:rsid w:val="45D65DA3"/>
    <w:rsid w:val="45E7158D"/>
    <w:rsid w:val="46026DAB"/>
    <w:rsid w:val="46130FB8"/>
    <w:rsid w:val="46164604"/>
    <w:rsid w:val="4629258A"/>
    <w:rsid w:val="46446D01"/>
    <w:rsid w:val="46A2233C"/>
    <w:rsid w:val="46C44060"/>
    <w:rsid w:val="473866F3"/>
    <w:rsid w:val="474D0625"/>
    <w:rsid w:val="474E7DCE"/>
    <w:rsid w:val="478479C6"/>
    <w:rsid w:val="47881532"/>
    <w:rsid w:val="47887784"/>
    <w:rsid w:val="47991A92"/>
    <w:rsid w:val="47C02A7A"/>
    <w:rsid w:val="47E32F5F"/>
    <w:rsid w:val="47E54182"/>
    <w:rsid w:val="47EE750C"/>
    <w:rsid w:val="47EF7803"/>
    <w:rsid w:val="47F44E19"/>
    <w:rsid w:val="47FE17F4"/>
    <w:rsid w:val="48142DC6"/>
    <w:rsid w:val="481524AD"/>
    <w:rsid w:val="483D231C"/>
    <w:rsid w:val="485669CC"/>
    <w:rsid w:val="485C6422"/>
    <w:rsid w:val="486F624E"/>
    <w:rsid w:val="487B26C7"/>
    <w:rsid w:val="48D00F18"/>
    <w:rsid w:val="48EB09FD"/>
    <w:rsid w:val="49284D7B"/>
    <w:rsid w:val="492F3D66"/>
    <w:rsid w:val="49621ACF"/>
    <w:rsid w:val="497E2BEC"/>
    <w:rsid w:val="49836455"/>
    <w:rsid w:val="498B2999"/>
    <w:rsid w:val="49997A26"/>
    <w:rsid w:val="49DB003F"/>
    <w:rsid w:val="49F904C5"/>
    <w:rsid w:val="4A3F748D"/>
    <w:rsid w:val="4A696166"/>
    <w:rsid w:val="4A6B7BC1"/>
    <w:rsid w:val="4A7E0972"/>
    <w:rsid w:val="4A9A1CA8"/>
    <w:rsid w:val="4AA93C99"/>
    <w:rsid w:val="4AF46905"/>
    <w:rsid w:val="4B0215FB"/>
    <w:rsid w:val="4B1A0735"/>
    <w:rsid w:val="4B2F057F"/>
    <w:rsid w:val="4B3F4FCD"/>
    <w:rsid w:val="4B4A4413"/>
    <w:rsid w:val="4B5A047D"/>
    <w:rsid w:val="4B7B7ABD"/>
    <w:rsid w:val="4B7F5EB9"/>
    <w:rsid w:val="4B893ACB"/>
    <w:rsid w:val="4B8B4870"/>
    <w:rsid w:val="4B985ABC"/>
    <w:rsid w:val="4B991F60"/>
    <w:rsid w:val="4B9A5CD8"/>
    <w:rsid w:val="4BCC5633"/>
    <w:rsid w:val="4BCF0729"/>
    <w:rsid w:val="4BCF3BD3"/>
    <w:rsid w:val="4BF86953"/>
    <w:rsid w:val="4BF94CE9"/>
    <w:rsid w:val="4C09031F"/>
    <w:rsid w:val="4C0A0767"/>
    <w:rsid w:val="4C416153"/>
    <w:rsid w:val="4C502AC0"/>
    <w:rsid w:val="4C872686"/>
    <w:rsid w:val="4C910E89"/>
    <w:rsid w:val="4CED61FF"/>
    <w:rsid w:val="4D0E6F71"/>
    <w:rsid w:val="4D0E7371"/>
    <w:rsid w:val="4D245859"/>
    <w:rsid w:val="4D950505"/>
    <w:rsid w:val="4DB72D6E"/>
    <w:rsid w:val="4DD368CD"/>
    <w:rsid w:val="4E12671A"/>
    <w:rsid w:val="4E2B0E69"/>
    <w:rsid w:val="4E481A1B"/>
    <w:rsid w:val="4E5A52AA"/>
    <w:rsid w:val="4E85148E"/>
    <w:rsid w:val="4E8A2033"/>
    <w:rsid w:val="4E8D742E"/>
    <w:rsid w:val="4EC07803"/>
    <w:rsid w:val="4F1162B1"/>
    <w:rsid w:val="4F1B0EDE"/>
    <w:rsid w:val="4F1F09CE"/>
    <w:rsid w:val="4F231B40"/>
    <w:rsid w:val="4F3F19CF"/>
    <w:rsid w:val="4F4F3E11"/>
    <w:rsid w:val="4F587A3C"/>
    <w:rsid w:val="4F6B6F00"/>
    <w:rsid w:val="4F8B6063"/>
    <w:rsid w:val="4FC97300"/>
    <w:rsid w:val="4FCB6460"/>
    <w:rsid w:val="4FE45773"/>
    <w:rsid w:val="4FE70DC0"/>
    <w:rsid w:val="4FEB08B0"/>
    <w:rsid w:val="4FF50E5C"/>
    <w:rsid w:val="4FFA4F97"/>
    <w:rsid w:val="50355498"/>
    <w:rsid w:val="503A5393"/>
    <w:rsid w:val="503A71E2"/>
    <w:rsid w:val="504601DC"/>
    <w:rsid w:val="50487AB0"/>
    <w:rsid w:val="506B0603"/>
    <w:rsid w:val="507E7A1A"/>
    <w:rsid w:val="50955D59"/>
    <w:rsid w:val="50CE26AB"/>
    <w:rsid w:val="50D70E34"/>
    <w:rsid w:val="50F96FFC"/>
    <w:rsid w:val="5107488B"/>
    <w:rsid w:val="51097236"/>
    <w:rsid w:val="5146601D"/>
    <w:rsid w:val="516A1CA8"/>
    <w:rsid w:val="516C3C72"/>
    <w:rsid w:val="518E3BE9"/>
    <w:rsid w:val="519D3E2C"/>
    <w:rsid w:val="51BA1017"/>
    <w:rsid w:val="51CE66DB"/>
    <w:rsid w:val="51E60623"/>
    <w:rsid w:val="51E657D3"/>
    <w:rsid w:val="52014776"/>
    <w:rsid w:val="5208399B"/>
    <w:rsid w:val="523402CA"/>
    <w:rsid w:val="52344790"/>
    <w:rsid w:val="524E3378"/>
    <w:rsid w:val="52724976"/>
    <w:rsid w:val="52886F4B"/>
    <w:rsid w:val="52950008"/>
    <w:rsid w:val="52A00A6A"/>
    <w:rsid w:val="52B14B46"/>
    <w:rsid w:val="52BD3D1B"/>
    <w:rsid w:val="52C22EFB"/>
    <w:rsid w:val="52DC6BD6"/>
    <w:rsid w:val="52E971EF"/>
    <w:rsid w:val="532A5B93"/>
    <w:rsid w:val="53372F09"/>
    <w:rsid w:val="536043C0"/>
    <w:rsid w:val="536A5F90"/>
    <w:rsid w:val="536C61AC"/>
    <w:rsid w:val="538452A3"/>
    <w:rsid w:val="53872AC4"/>
    <w:rsid w:val="53B9351A"/>
    <w:rsid w:val="53B96779"/>
    <w:rsid w:val="53C102A5"/>
    <w:rsid w:val="53C1227F"/>
    <w:rsid w:val="53EC109A"/>
    <w:rsid w:val="53F1220D"/>
    <w:rsid w:val="53F341D7"/>
    <w:rsid w:val="541B0AFD"/>
    <w:rsid w:val="541C54DC"/>
    <w:rsid w:val="54200A79"/>
    <w:rsid w:val="546D5D37"/>
    <w:rsid w:val="54843081"/>
    <w:rsid w:val="549F1CDC"/>
    <w:rsid w:val="54A13C33"/>
    <w:rsid w:val="54B43966"/>
    <w:rsid w:val="54BF1EBC"/>
    <w:rsid w:val="54D11FC6"/>
    <w:rsid w:val="55055F70"/>
    <w:rsid w:val="55452810"/>
    <w:rsid w:val="556B14C2"/>
    <w:rsid w:val="558562C2"/>
    <w:rsid w:val="558D41B7"/>
    <w:rsid w:val="5598730F"/>
    <w:rsid w:val="55B055F7"/>
    <w:rsid w:val="55F8497D"/>
    <w:rsid w:val="56293001"/>
    <w:rsid w:val="565A678F"/>
    <w:rsid w:val="566E223B"/>
    <w:rsid w:val="567A29A4"/>
    <w:rsid w:val="56870E70"/>
    <w:rsid w:val="56B22127"/>
    <w:rsid w:val="56B7174F"/>
    <w:rsid w:val="56C95FF6"/>
    <w:rsid w:val="56CF123A"/>
    <w:rsid w:val="56D54068"/>
    <w:rsid w:val="56E472AC"/>
    <w:rsid w:val="5708752E"/>
    <w:rsid w:val="570A1F63"/>
    <w:rsid w:val="5716420E"/>
    <w:rsid w:val="57464C52"/>
    <w:rsid w:val="57B91294"/>
    <w:rsid w:val="57E46CCF"/>
    <w:rsid w:val="57F72A76"/>
    <w:rsid w:val="58184CA0"/>
    <w:rsid w:val="584A6390"/>
    <w:rsid w:val="585B5A65"/>
    <w:rsid w:val="586C6306"/>
    <w:rsid w:val="587D49B7"/>
    <w:rsid w:val="58A066BE"/>
    <w:rsid w:val="58E0118D"/>
    <w:rsid w:val="58E67648"/>
    <w:rsid w:val="591A3FB4"/>
    <w:rsid w:val="59370AAC"/>
    <w:rsid w:val="593C7CA8"/>
    <w:rsid w:val="59413C36"/>
    <w:rsid w:val="594A2AEB"/>
    <w:rsid w:val="594C6863"/>
    <w:rsid w:val="59827710"/>
    <w:rsid w:val="59C24277"/>
    <w:rsid w:val="59C26B25"/>
    <w:rsid w:val="59FA62BF"/>
    <w:rsid w:val="5A494D86"/>
    <w:rsid w:val="5A582FE6"/>
    <w:rsid w:val="5A611EC1"/>
    <w:rsid w:val="5A7871E4"/>
    <w:rsid w:val="5AB04BD0"/>
    <w:rsid w:val="5AB346C0"/>
    <w:rsid w:val="5ABF4E13"/>
    <w:rsid w:val="5AD54636"/>
    <w:rsid w:val="5AFF16B3"/>
    <w:rsid w:val="5B256A6B"/>
    <w:rsid w:val="5B307ABF"/>
    <w:rsid w:val="5B341211"/>
    <w:rsid w:val="5B4D68C3"/>
    <w:rsid w:val="5B667984"/>
    <w:rsid w:val="5B8914FE"/>
    <w:rsid w:val="5B8E643C"/>
    <w:rsid w:val="5B8F01DF"/>
    <w:rsid w:val="5BBB1A7E"/>
    <w:rsid w:val="5BC56459"/>
    <w:rsid w:val="5BC8419B"/>
    <w:rsid w:val="5BD57A5E"/>
    <w:rsid w:val="5BEF30A7"/>
    <w:rsid w:val="5C2B06C5"/>
    <w:rsid w:val="5C2E203B"/>
    <w:rsid w:val="5C37035E"/>
    <w:rsid w:val="5C5123E2"/>
    <w:rsid w:val="5C7557DB"/>
    <w:rsid w:val="5C7C59C9"/>
    <w:rsid w:val="5CA06FB3"/>
    <w:rsid w:val="5CE07F52"/>
    <w:rsid w:val="5D047455"/>
    <w:rsid w:val="5D0C655D"/>
    <w:rsid w:val="5D292A17"/>
    <w:rsid w:val="5D2B5D1F"/>
    <w:rsid w:val="5D443CF5"/>
    <w:rsid w:val="5D46167A"/>
    <w:rsid w:val="5D8616AC"/>
    <w:rsid w:val="5D8F2651"/>
    <w:rsid w:val="5D954264"/>
    <w:rsid w:val="5DC50992"/>
    <w:rsid w:val="5DD21301"/>
    <w:rsid w:val="5DDD75C7"/>
    <w:rsid w:val="5DFB2606"/>
    <w:rsid w:val="5E263D24"/>
    <w:rsid w:val="5E345B18"/>
    <w:rsid w:val="5E4C2E61"/>
    <w:rsid w:val="5E6F6B50"/>
    <w:rsid w:val="5E710B1A"/>
    <w:rsid w:val="5E95169C"/>
    <w:rsid w:val="5EAA7B88"/>
    <w:rsid w:val="5EB32EE1"/>
    <w:rsid w:val="5EDA66BF"/>
    <w:rsid w:val="5EE94B54"/>
    <w:rsid w:val="5EFB03E4"/>
    <w:rsid w:val="5F1871E8"/>
    <w:rsid w:val="5F1F2324"/>
    <w:rsid w:val="5F2B6F1B"/>
    <w:rsid w:val="5F335DCF"/>
    <w:rsid w:val="5F565C9E"/>
    <w:rsid w:val="5F655F31"/>
    <w:rsid w:val="5F906189"/>
    <w:rsid w:val="5F97010C"/>
    <w:rsid w:val="5FA10F8B"/>
    <w:rsid w:val="5FCF1A43"/>
    <w:rsid w:val="603D6F06"/>
    <w:rsid w:val="606F72DB"/>
    <w:rsid w:val="607D5554"/>
    <w:rsid w:val="607E307A"/>
    <w:rsid w:val="609B59DA"/>
    <w:rsid w:val="611B6B1B"/>
    <w:rsid w:val="613C540F"/>
    <w:rsid w:val="613D1187"/>
    <w:rsid w:val="615403EA"/>
    <w:rsid w:val="61564218"/>
    <w:rsid w:val="61671D60"/>
    <w:rsid w:val="61815FB6"/>
    <w:rsid w:val="61B76844"/>
    <w:rsid w:val="61C15914"/>
    <w:rsid w:val="622F0AD0"/>
    <w:rsid w:val="623871F9"/>
    <w:rsid w:val="623C31ED"/>
    <w:rsid w:val="624A3CD2"/>
    <w:rsid w:val="62634C1E"/>
    <w:rsid w:val="627424D7"/>
    <w:rsid w:val="627831CA"/>
    <w:rsid w:val="62B47227"/>
    <w:rsid w:val="62BB0E35"/>
    <w:rsid w:val="62C041E2"/>
    <w:rsid w:val="62C30AB0"/>
    <w:rsid w:val="62D06B63"/>
    <w:rsid w:val="62D358FF"/>
    <w:rsid w:val="62E93375"/>
    <w:rsid w:val="631A3196"/>
    <w:rsid w:val="631B293D"/>
    <w:rsid w:val="632048BD"/>
    <w:rsid w:val="634560D1"/>
    <w:rsid w:val="63AA7110"/>
    <w:rsid w:val="63B2551C"/>
    <w:rsid w:val="63B53257"/>
    <w:rsid w:val="63B74187"/>
    <w:rsid w:val="64032214"/>
    <w:rsid w:val="641C5084"/>
    <w:rsid w:val="642439D0"/>
    <w:rsid w:val="643A0260"/>
    <w:rsid w:val="645760BC"/>
    <w:rsid w:val="64591E34"/>
    <w:rsid w:val="646D58E0"/>
    <w:rsid w:val="646F6F7B"/>
    <w:rsid w:val="647A3483"/>
    <w:rsid w:val="64874BF3"/>
    <w:rsid w:val="649D2E74"/>
    <w:rsid w:val="64A70DF2"/>
    <w:rsid w:val="64B01AFE"/>
    <w:rsid w:val="64B04AD8"/>
    <w:rsid w:val="64C33752"/>
    <w:rsid w:val="64D37E39"/>
    <w:rsid w:val="64D43BB1"/>
    <w:rsid w:val="64FD3107"/>
    <w:rsid w:val="64FE29DC"/>
    <w:rsid w:val="6546685C"/>
    <w:rsid w:val="655A1441"/>
    <w:rsid w:val="65931376"/>
    <w:rsid w:val="65E67A99"/>
    <w:rsid w:val="65F8742B"/>
    <w:rsid w:val="660C6084"/>
    <w:rsid w:val="660F5F7D"/>
    <w:rsid w:val="66642A17"/>
    <w:rsid w:val="66763171"/>
    <w:rsid w:val="669E2BE1"/>
    <w:rsid w:val="669E3AE4"/>
    <w:rsid w:val="66A86CEB"/>
    <w:rsid w:val="66CB7D40"/>
    <w:rsid w:val="66CE01AF"/>
    <w:rsid w:val="66CF4630"/>
    <w:rsid w:val="66CF63DE"/>
    <w:rsid w:val="66FF7C74"/>
    <w:rsid w:val="67254250"/>
    <w:rsid w:val="67535201"/>
    <w:rsid w:val="675F6CEE"/>
    <w:rsid w:val="67705E13"/>
    <w:rsid w:val="6773320D"/>
    <w:rsid w:val="67B464CA"/>
    <w:rsid w:val="67C1041C"/>
    <w:rsid w:val="67C577E1"/>
    <w:rsid w:val="67C82D2D"/>
    <w:rsid w:val="67D22629"/>
    <w:rsid w:val="67ED1CF2"/>
    <w:rsid w:val="6845546A"/>
    <w:rsid w:val="68570D81"/>
    <w:rsid w:val="685B723C"/>
    <w:rsid w:val="685F3791"/>
    <w:rsid w:val="6861575B"/>
    <w:rsid w:val="68752FB5"/>
    <w:rsid w:val="68925915"/>
    <w:rsid w:val="68A329DB"/>
    <w:rsid w:val="68C006D4"/>
    <w:rsid w:val="68CD655C"/>
    <w:rsid w:val="68DE6DAC"/>
    <w:rsid w:val="68FF6305"/>
    <w:rsid w:val="692073C4"/>
    <w:rsid w:val="696D34C7"/>
    <w:rsid w:val="69855891"/>
    <w:rsid w:val="698753FD"/>
    <w:rsid w:val="6998062A"/>
    <w:rsid w:val="69A00505"/>
    <w:rsid w:val="69B54FDB"/>
    <w:rsid w:val="69C66211"/>
    <w:rsid w:val="6A2152D6"/>
    <w:rsid w:val="6A2B531A"/>
    <w:rsid w:val="6A7A213F"/>
    <w:rsid w:val="6AA87672"/>
    <w:rsid w:val="6AAB0F10"/>
    <w:rsid w:val="6ACF10A2"/>
    <w:rsid w:val="6AE519E7"/>
    <w:rsid w:val="6AFB3C45"/>
    <w:rsid w:val="6B19539F"/>
    <w:rsid w:val="6B2947D1"/>
    <w:rsid w:val="6B3E1D84"/>
    <w:rsid w:val="6B655F65"/>
    <w:rsid w:val="6B910106"/>
    <w:rsid w:val="6BBA58AE"/>
    <w:rsid w:val="6BC8794A"/>
    <w:rsid w:val="6BCD49D3"/>
    <w:rsid w:val="6BE40B7D"/>
    <w:rsid w:val="6BF6265F"/>
    <w:rsid w:val="6BFB5EC7"/>
    <w:rsid w:val="6C0A7EB8"/>
    <w:rsid w:val="6C144B2E"/>
    <w:rsid w:val="6C1B3E73"/>
    <w:rsid w:val="6C494E84"/>
    <w:rsid w:val="6C562F43"/>
    <w:rsid w:val="6C5D623A"/>
    <w:rsid w:val="6CA420BB"/>
    <w:rsid w:val="6CC42194"/>
    <w:rsid w:val="6CE626D3"/>
    <w:rsid w:val="6D020955"/>
    <w:rsid w:val="6D033285"/>
    <w:rsid w:val="6D8E68C7"/>
    <w:rsid w:val="6D9304B1"/>
    <w:rsid w:val="6D9739CD"/>
    <w:rsid w:val="6D9C6837"/>
    <w:rsid w:val="6DA34120"/>
    <w:rsid w:val="6DA9616B"/>
    <w:rsid w:val="6DC01176"/>
    <w:rsid w:val="6E0F643B"/>
    <w:rsid w:val="6E132DD6"/>
    <w:rsid w:val="6E26547D"/>
    <w:rsid w:val="6E3148DA"/>
    <w:rsid w:val="6E3A2CD6"/>
    <w:rsid w:val="6E3F02ED"/>
    <w:rsid w:val="6E5D0B20"/>
    <w:rsid w:val="6E9577AF"/>
    <w:rsid w:val="6ED76777"/>
    <w:rsid w:val="6F2B261F"/>
    <w:rsid w:val="6F8721B1"/>
    <w:rsid w:val="6FAB196B"/>
    <w:rsid w:val="6FC10684"/>
    <w:rsid w:val="6FD37C48"/>
    <w:rsid w:val="6FEB5A67"/>
    <w:rsid w:val="6FED32DB"/>
    <w:rsid w:val="700F0311"/>
    <w:rsid w:val="70182BA3"/>
    <w:rsid w:val="702C3243"/>
    <w:rsid w:val="703025E3"/>
    <w:rsid w:val="705B6F34"/>
    <w:rsid w:val="705C48ED"/>
    <w:rsid w:val="706D5BE4"/>
    <w:rsid w:val="70736AC3"/>
    <w:rsid w:val="707722C1"/>
    <w:rsid w:val="708B3C5F"/>
    <w:rsid w:val="709A5CAE"/>
    <w:rsid w:val="70BD7BEF"/>
    <w:rsid w:val="70DA3770"/>
    <w:rsid w:val="70DD3DED"/>
    <w:rsid w:val="710650F2"/>
    <w:rsid w:val="710B6BAC"/>
    <w:rsid w:val="7127461C"/>
    <w:rsid w:val="71381023"/>
    <w:rsid w:val="71421F26"/>
    <w:rsid w:val="7148395C"/>
    <w:rsid w:val="71836742"/>
    <w:rsid w:val="718524BB"/>
    <w:rsid w:val="719938F0"/>
    <w:rsid w:val="719F4785"/>
    <w:rsid w:val="71CF1988"/>
    <w:rsid w:val="71E13469"/>
    <w:rsid w:val="71E6322D"/>
    <w:rsid w:val="7205184D"/>
    <w:rsid w:val="724E6D50"/>
    <w:rsid w:val="727278CD"/>
    <w:rsid w:val="727367B7"/>
    <w:rsid w:val="727A0C25"/>
    <w:rsid w:val="72AD19B1"/>
    <w:rsid w:val="72CC4119"/>
    <w:rsid w:val="73012015"/>
    <w:rsid w:val="73025D8D"/>
    <w:rsid w:val="730438B3"/>
    <w:rsid w:val="73090EC9"/>
    <w:rsid w:val="73201385"/>
    <w:rsid w:val="73296237"/>
    <w:rsid w:val="732E26DE"/>
    <w:rsid w:val="733E4CAD"/>
    <w:rsid w:val="734026EC"/>
    <w:rsid w:val="73612AB3"/>
    <w:rsid w:val="736B449A"/>
    <w:rsid w:val="73916BA0"/>
    <w:rsid w:val="73AD63B5"/>
    <w:rsid w:val="73B21561"/>
    <w:rsid w:val="73C36FE7"/>
    <w:rsid w:val="73DA4FC3"/>
    <w:rsid w:val="73DD4830"/>
    <w:rsid w:val="73E9048C"/>
    <w:rsid w:val="73ED07EB"/>
    <w:rsid w:val="73FA5DFE"/>
    <w:rsid w:val="73FF11DD"/>
    <w:rsid w:val="742064CB"/>
    <w:rsid w:val="74510D7A"/>
    <w:rsid w:val="74575C64"/>
    <w:rsid w:val="74604B19"/>
    <w:rsid w:val="746F1AA0"/>
    <w:rsid w:val="7495241D"/>
    <w:rsid w:val="749D5D6D"/>
    <w:rsid w:val="74A15E6D"/>
    <w:rsid w:val="74B530B7"/>
    <w:rsid w:val="74DB6895"/>
    <w:rsid w:val="74FF01B9"/>
    <w:rsid w:val="7501700B"/>
    <w:rsid w:val="75047B9A"/>
    <w:rsid w:val="75051D46"/>
    <w:rsid w:val="754E52B9"/>
    <w:rsid w:val="75564B29"/>
    <w:rsid w:val="75840CDB"/>
    <w:rsid w:val="75932CCC"/>
    <w:rsid w:val="75974171"/>
    <w:rsid w:val="75C03BBB"/>
    <w:rsid w:val="75EF05E5"/>
    <w:rsid w:val="76064CB3"/>
    <w:rsid w:val="76515061"/>
    <w:rsid w:val="76524935"/>
    <w:rsid w:val="766A1C7F"/>
    <w:rsid w:val="767867DB"/>
    <w:rsid w:val="76A5715B"/>
    <w:rsid w:val="76FF686B"/>
    <w:rsid w:val="7711090A"/>
    <w:rsid w:val="77274239"/>
    <w:rsid w:val="774424D0"/>
    <w:rsid w:val="774B1AB0"/>
    <w:rsid w:val="775279A3"/>
    <w:rsid w:val="775740FB"/>
    <w:rsid w:val="7763329E"/>
    <w:rsid w:val="77672662"/>
    <w:rsid w:val="77764653"/>
    <w:rsid w:val="77876861"/>
    <w:rsid w:val="7798281C"/>
    <w:rsid w:val="779C67B0"/>
    <w:rsid w:val="77BF3D49"/>
    <w:rsid w:val="77D31AA6"/>
    <w:rsid w:val="77DF60D7"/>
    <w:rsid w:val="77FE3C19"/>
    <w:rsid w:val="78197E01"/>
    <w:rsid w:val="78540E39"/>
    <w:rsid w:val="78B611AB"/>
    <w:rsid w:val="78D20632"/>
    <w:rsid w:val="78DF3E8C"/>
    <w:rsid w:val="790C3235"/>
    <w:rsid w:val="793547C6"/>
    <w:rsid w:val="79490272"/>
    <w:rsid w:val="794904E4"/>
    <w:rsid w:val="796B01E8"/>
    <w:rsid w:val="797C54C4"/>
    <w:rsid w:val="797F0137"/>
    <w:rsid w:val="79876FEC"/>
    <w:rsid w:val="79C773E8"/>
    <w:rsid w:val="79D8651E"/>
    <w:rsid w:val="79F44681"/>
    <w:rsid w:val="7A067F11"/>
    <w:rsid w:val="7A3902E6"/>
    <w:rsid w:val="7A622655"/>
    <w:rsid w:val="7A6577FE"/>
    <w:rsid w:val="7A784790"/>
    <w:rsid w:val="7AAF73E7"/>
    <w:rsid w:val="7AB94F83"/>
    <w:rsid w:val="7AD26045"/>
    <w:rsid w:val="7AE5221C"/>
    <w:rsid w:val="7AEE7323"/>
    <w:rsid w:val="7B310FBD"/>
    <w:rsid w:val="7B485F52"/>
    <w:rsid w:val="7B737828"/>
    <w:rsid w:val="7B8D6B5C"/>
    <w:rsid w:val="7B9F23CB"/>
    <w:rsid w:val="7BDF2E76"/>
    <w:rsid w:val="7C183F2B"/>
    <w:rsid w:val="7C4116D4"/>
    <w:rsid w:val="7C4345A1"/>
    <w:rsid w:val="7C7A4BE6"/>
    <w:rsid w:val="7CDE70DF"/>
    <w:rsid w:val="7CEC5AE4"/>
    <w:rsid w:val="7CF734D1"/>
    <w:rsid w:val="7D146DE8"/>
    <w:rsid w:val="7D382AD7"/>
    <w:rsid w:val="7D480840"/>
    <w:rsid w:val="7D6369D2"/>
    <w:rsid w:val="7D884F4E"/>
    <w:rsid w:val="7D8A3016"/>
    <w:rsid w:val="7D93293D"/>
    <w:rsid w:val="7D9D6DDE"/>
    <w:rsid w:val="7DB14637"/>
    <w:rsid w:val="7DB163E5"/>
    <w:rsid w:val="7DD72D59"/>
    <w:rsid w:val="7DE60785"/>
    <w:rsid w:val="7E105802"/>
    <w:rsid w:val="7E154BC6"/>
    <w:rsid w:val="7E5A6A7D"/>
    <w:rsid w:val="7E7C4C45"/>
    <w:rsid w:val="7E8F67D1"/>
    <w:rsid w:val="7E99023E"/>
    <w:rsid w:val="7E9F43AC"/>
    <w:rsid w:val="7EB00CDD"/>
    <w:rsid w:val="7EBF2C86"/>
    <w:rsid w:val="7ECC7477"/>
    <w:rsid w:val="7ED5639E"/>
    <w:rsid w:val="7ED85FF1"/>
    <w:rsid w:val="7EDC7492"/>
    <w:rsid w:val="7EEE5C89"/>
    <w:rsid w:val="7EEF3669"/>
    <w:rsid w:val="7F413799"/>
    <w:rsid w:val="7F5E434B"/>
    <w:rsid w:val="7F8C710A"/>
    <w:rsid w:val="7FD05249"/>
    <w:rsid w:val="7FD665D7"/>
    <w:rsid w:val="7FFC21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0" w:name="toc 1"/>
    <w:lsdException w:qFormat="1" w:unhideWhenUsed="0" w:uiPriority="99" w:semiHidden="0" w:name="toc 2"/>
    <w:lsdException w:qFormat="1" w:unhideWhenUsed="0" w:uiPriority="9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name="toc 8"/>
    <w:lsdException w:qFormat="1" w:unhideWhenUsed="0" w:uiPriority="39"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99" w:name="endnote reference"/>
    <w:lsdException w:qFormat="1" w:unhideWhenUsed="0" w:uiPriority="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nhideWhenUsed="0" w:uiPriority="99" w:semiHidden="0"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iPriority="0" w:semiHidden="0" w:name="E-mail Signature"/>
    <w:lsdException w:qFormat="1" w:uiPriority="0" w:semiHidden="0" w:name="Normal (Web)"/>
    <w:lsdException w:uiPriority="99"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MingLiU_HKSCS"/>
      <w:color w:val="000000"/>
      <w:sz w:val="24"/>
      <w:szCs w:val="24"/>
      <w:lang w:val="zh-CN" w:eastAsia="zh-CN" w:bidi="ar-SA"/>
    </w:rPr>
  </w:style>
  <w:style w:type="paragraph" w:styleId="3">
    <w:name w:val="heading 1"/>
    <w:basedOn w:val="1"/>
    <w:next w:val="1"/>
    <w:link w:val="103"/>
    <w:qFormat/>
    <w:uiPriority w:val="0"/>
    <w:pPr>
      <w:keepNext/>
      <w:keepLines/>
      <w:spacing w:before="340" w:after="330" w:line="578" w:lineRule="auto"/>
      <w:jc w:val="both"/>
      <w:outlineLvl w:val="0"/>
    </w:pPr>
    <w:rPr>
      <w:rFonts w:cs="Times New Roman"/>
      <w:b/>
      <w:bCs/>
      <w:color w:val="auto"/>
      <w:kern w:val="44"/>
      <w:sz w:val="44"/>
      <w:szCs w:val="44"/>
    </w:rPr>
  </w:style>
  <w:style w:type="paragraph" w:styleId="4">
    <w:name w:val="heading 2"/>
    <w:basedOn w:val="1"/>
    <w:next w:val="5"/>
    <w:link w:val="104"/>
    <w:qFormat/>
    <w:uiPriority w:val="0"/>
    <w:pPr>
      <w:keepNext/>
      <w:keepLines/>
      <w:spacing w:before="260" w:after="260" w:line="480" w:lineRule="exact"/>
      <w:jc w:val="center"/>
      <w:outlineLvl w:val="1"/>
    </w:pPr>
    <w:rPr>
      <w:rFonts w:ascii="宋体" w:hAnsi="宋体" w:eastAsia="黑体" w:cs="Times New Roman"/>
      <w:bCs/>
      <w:i/>
      <w:iCs/>
      <w:color w:val="auto"/>
      <w:kern w:val="2"/>
      <w:szCs w:val="20"/>
    </w:rPr>
  </w:style>
  <w:style w:type="paragraph" w:styleId="6">
    <w:name w:val="heading 3"/>
    <w:basedOn w:val="1"/>
    <w:next w:val="5"/>
    <w:link w:val="106"/>
    <w:qFormat/>
    <w:uiPriority w:val="0"/>
    <w:pPr>
      <w:keepNext/>
      <w:keepLines/>
      <w:widowControl/>
      <w:numPr>
        <w:ilvl w:val="2"/>
        <w:numId w:val="1"/>
      </w:numPr>
      <w:spacing w:before="120" w:after="120" w:line="360" w:lineRule="auto"/>
      <w:jc w:val="center"/>
      <w:outlineLvl w:val="2"/>
    </w:pPr>
    <w:rPr>
      <w:rFonts w:cs="Times New Roman"/>
      <w:b/>
      <w:color w:val="auto"/>
      <w:sz w:val="32"/>
      <w:szCs w:val="20"/>
    </w:rPr>
  </w:style>
  <w:style w:type="paragraph" w:styleId="7">
    <w:name w:val="heading 4"/>
    <w:basedOn w:val="1"/>
    <w:next w:val="5"/>
    <w:link w:val="107"/>
    <w:qFormat/>
    <w:uiPriority w:val="0"/>
    <w:pPr>
      <w:keepNext/>
      <w:adjustRightInd w:val="0"/>
      <w:spacing w:line="420" w:lineRule="atLeast"/>
      <w:ind w:firstLine="454"/>
      <w:jc w:val="center"/>
      <w:textAlignment w:val="baseline"/>
      <w:outlineLvl w:val="3"/>
    </w:pPr>
    <w:rPr>
      <w:rFonts w:cs="Times New Roman"/>
      <w:i/>
      <w:color w:val="auto"/>
      <w:sz w:val="21"/>
      <w:szCs w:val="20"/>
    </w:rPr>
  </w:style>
  <w:style w:type="paragraph" w:styleId="8">
    <w:name w:val="heading 5"/>
    <w:basedOn w:val="1"/>
    <w:next w:val="1"/>
    <w:link w:val="108"/>
    <w:qFormat/>
    <w:uiPriority w:val="0"/>
    <w:pPr>
      <w:keepNext/>
      <w:keepLines/>
      <w:adjustRightInd w:val="0"/>
      <w:spacing w:before="280" w:after="290" w:line="376" w:lineRule="atLeast"/>
      <w:ind w:left="2125" w:hanging="425"/>
      <w:jc w:val="both"/>
      <w:textAlignment w:val="baseline"/>
      <w:outlineLvl w:val="4"/>
    </w:pPr>
    <w:rPr>
      <w:rFonts w:cs="Times New Roman"/>
      <w:b/>
      <w:color w:val="auto"/>
      <w:sz w:val="28"/>
      <w:szCs w:val="20"/>
    </w:rPr>
  </w:style>
  <w:style w:type="paragraph" w:styleId="9">
    <w:name w:val="heading 6"/>
    <w:basedOn w:val="1"/>
    <w:next w:val="1"/>
    <w:link w:val="109"/>
    <w:qFormat/>
    <w:uiPriority w:val="0"/>
    <w:pPr>
      <w:keepNext/>
      <w:keepLines/>
      <w:widowControl/>
      <w:tabs>
        <w:tab w:val="left" w:pos="1440"/>
      </w:tabs>
      <w:spacing w:before="240" w:after="64" w:line="320" w:lineRule="auto"/>
      <w:ind w:left="1152" w:hanging="1152"/>
      <w:outlineLvl w:val="5"/>
    </w:pPr>
    <w:rPr>
      <w:rFonts w:ascii="Arial" w:hAnsi="Arial" w:eastAsia="黑体" w:cs="Times New Roman"/>
      <w:b/>
      <w:bCs/>
      <w:color w:val="auto"/>
    </w:rPr>
  </w:style>
  <w:style w:type="paragraph" w:styleId="10">
    <w:name w:val="heading 7"/>
    <w:basedOn w:val="1"/>
    <w:next w:val="1"/>
    <w:link w:val="110"/>
    <w:qFormat/>
    <w:uiPriority w:val="0"/>
    <w:pPr>
      <w:keepNext/>
      <w:keepLines/>
      <w:widowControl/>
      <w:tabs>
        <w:tab w:val="left" w:pos="2520"/>
      </w:tabs>
      <w:spacing w:before="240" w:after="64" w:line="320" w:lineRule="auto"/>
      <w:ind w:left="1296" w:hanging="1296"/>
      <w:outlineLvl w:val="6"/>
    </w:pPr>
    <w:rPr>
      <w:rFonts w:cs="Times New Roman"/>
      <w:b/>
      <w:bCs/>
      <w:color w:val="auto"/>
    </w:rPr>
  </w:style>
  <w:style w:type="paragraph" w:styleId="11">
    <w:name w:val="heading 8"/>
    <w:basedOn w:val="1"/>
    <w:next w:val="1"/>
    <w:link w:val="111"/>
    <w:qFormat/>
    <w:uiPriority w:val="0"/>
    <w:pPr>
      <w:keepNext/>
      <w:keepLines/>
      <w:widowControl/>
      <w:tabs>
        <w:tab w:val="left" w:pos="1440"/>
      </w:tabs>
      <w:spacing w:before="240" w:after="64" w:line="320" w:lineRule="auto"/>
      <w:ind w:left="1440" w:hanging="1440"/>
      <w:outlineLvl w:val="7"/>
    </w:pPr>
    <w:rPr>
      <w:rFonts w:ascii="Arial" w:hAnsi="Arial" w:eastAsia="黑体" w:cs="Times New Roman"/>
      <w:color w:val="auto"/>
    </w:rPr>
  </w:style>
  <w:style w:type="paragraph" w:styleId="12">
    <w:name w:val="heading 9"/>
    <w:basedOn w:val="1"/>
    <w:next w:val="1"/>
    <w:link w:val="112"/>
    <w:qFormat/>
    <w:uiPriority w:val="0"/>
    <w:pPr>
      <w:keepNext/>
      <w:keepLines/>
      <w:widowControl/>
      <w:tabs>
        <w:tab w:val="left" w:pos="1584"/>
      </w:tabs>
      <w:spacing w:before="240" w:after="64" w:line="320" w:lineRule="auto"/>
      <w:ind w:left="1584" w:hanging="1584"/>
      <w:outlineLvl w:val="8"/>
    </w:pPr>
    <w:rPr>
      <w:rFonts w:ascii="Arial" w:hAnsi="Arial" w:eastAsia="黑体" w:cs="Times New Roman"/>
      <w:color w:val="auto"/>
      <w:sz w:val="21"/>
      <w:szCs w:val="21"/>
    </w:rPr>
  </w:style>
  <w:style w:type="character" w:default="1" w:styleId="90">
    <w:name w:val="Default Paragraph Font"/>
    <w:qFormat/>
    <w:uiPriority w:val="99"/>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02"/>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bidi="ar-SA"/>
    </w:rPr>
  </w:style>
  <w:style w:type="paragraph" w:styleId="5">
    <w:name w:val="Normal Indent"/>
    <w:basedOn w:val="1"/>
    <w:link w:val="105"/>
    <w:qFormat/>
    <w:uiPriority w:val="0"/>
    <w:pPr>
      <w:ind w:firstLine="420" w:firstLineChars="200"/>
      <w:jc w:val="both"/>
    </w:pPr>
    <w:rPr>
      <w:rFonts w:cs="Times New Roman"/>
      <w:color w:val="auto"/>
      <w:kern w:val="2"/>
      <w:sz w:val="21"/>
    </w:rPr>
  </w:style>
  <w:style w:type="paragraph" w:styleId="13">
    <w:name w:val="List 3"/>
    <w:basedOn w:val="1"/>
    <w:unhideWhenUsed/>
    <w:qFormat/>
    <w:uiPriority w:val="0"/>
    <w:pPr>
      <w:ind w:left="100" w:leftChars="400" w:hanging="200" w:hangingChars="200"/>
      <w:jc w:val="both"/>
    </w:pPr>
    <w:rPr>
      <w:rFonts w:ascii="Calibri" w:hAnsi="Calibri" w:cs="Times New Roman"/>
      <w:color w:val="auto"/>
      <w:kern w:val="2"/>
      <w:sz w:val="21"/>
      <w:lang w:val="en-US"/>
    </w:rPr>
  </w:style>
  <w:style w:type="paragraph" w:styleId="14">
    <w:name w:val="toc 7"/>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15">
    <w:name w:val="List Number 2"/>
    <w:basedOn w:val="1"/>
    <w:unhideWhenUsed/>
    <w:qFormat/>
    <w:uiPriority w:val="0"/>
    <w:pPr>
      <w:tabs>
        <w:tab w:val="left" w:pos="1140"/>
      </w:tabs>
      <w:spacing w:line="360" w:lineRule="auto"/>
      <w:ind w:left="1140" w:hanging="720"/>
      <w:jc w:val="both"/>
    </w:pPr>
    <w:rPr>
      <w:rFonts w:ascii="Calibri" w:hAnsi="Calibri" w:eastAsia="黑体" w:cs="Times New Roman"/>
      <w:color w:val="auto"/>
      <w:kern w:val="2"/>
      <w:lang w:val="en-US"/>
    </w:rPr>
  </w:style>
  <w:style w:type="paragraph" w:styleId="16">
    <w:name w:val="table of authorities"/>
    <w:basedOn w:val="1"/>
    <w:next w:val="1"/>
    <w:unhideWhenUsed/>
    <w:qFormat/>
    <w:uiPriority w:val="0"/>
    <w:pPr>
      <w:ind w:left="420" w:leftChars="200"/>
      <w:jc w:val="both"/>
    </w:pPr>
    <w:rPr>
      <w:rFonts w:ascii="Calibri" w:hAnsi="Calibri" w:cs="Times New Roman"/>
      <w:color w:val="auto"/>
      <w:kern w:val="2"/>
      <w:sz w:val="21"/>
      <w:lang w:val="en-US"/>
    </w:rPr>
  </w:style>
  <w:style w:type="paragraph" w:styleId="17">
    <w:name w:val="Note Heading"/>
    <w:basedOn w:val="1"/>
    <w:next w:val="1"/>
    <w:link w:val="113"/>
    <w:unhideWhenUsed/>
    <w:qFormat/>
    <w:uiPriority w:val="0"/>
    <w:pPr>
      <w:jc w:val="center"/>
    </w:pPr>
    <w:rPr>
      <w:rFonts w:cs="Times New Roman"/>
      <w:color w:val="auto"/>
      <w:kern w:val="2"/>
      <w:sz w:val="21"/>
    </w:rPr>
  </w:style>
  <w:style w:type="paragraph" w:styleId="18">
    <w:name w:val="List Bullet 4"/>
    <w:basedOn w:val="1"/>
    <w:unhideWhenUsed/>
    <w:qFormat/>
    <w:uiPriority w:val="0"/>
    <w:pPr>
      <w:tabs>
        <w:tab w:val="left" w:pos="1620"/>
      </w:tabs>
      <w:ind w:left="1620" w:hanging="360"/>
      <w:jc w:val="both"/>
    </w:pPr>
    <w:rPr>
      <w:rFonts w:ascii="Calibri" w:hAnsi="Calibri" w:cs="Times New Roman"/>
      <w:color w:val="auto"/>
      <w:kern w:val="2"/>
      <w:sz w:val="21"/>
      <w:lang w:val="en-US"/>
    </w:rPr>
  </w:style>
  <w:style w:type="paragraph" w:styleId="19">
    <w:name w:val="index 8"/>
    <w:basedOn w:val="1"/>
    <w:next w:val="1"/>
    <w:unhideWhenUsed/>
    <w:qFormat/>
    <w:uiPriority w:val="0"/>
    <w:pPr>
      <w:ind w:left="1680" w:hanging="210"/>
    </w:pPr>
    <w:rPr>
      <w:rFonts w:ascii="Calibri" w:hAnsi="Calibri" w:cs="Times New Roman"/>
      <w:color w:val="auto"/>
      <w:kern w:val="2"/>
      <w:sz w:val="18"/>
      <w:szCs w:val="18"/>
      <w:lang w:val="en-US"/>
    </w:rPr>
  </w:style>
  <w:style w:type="paragraph" w:styleId="20">
    <w:name w:val="E-mail Signature"/>
    <w:basedOn w:val="1"/>
    <w:link w:val="114"/>
    <w:unhideWhenUsed/>
    <w:qFormat/>
    <w:uiPriority w:val="0"/>
    <w:pPr>
      <w:jc w:val="both"/>
    </w:pPr>
    <w:rPr>
      <w:rFonts w:cs="Times New Roman"/>
      <w:color w:val="auto"/>
      <w:kern w:val="2"/>
      <w:sz w:val="21"/>
    </w:rPr>
  </w:style>
  <w:style w:type="paragraph" w:styleId="21">
    <w:name w:val="List Number"/>
    <w:basedOn w:val="1"/>
    <w:unhideWhenUsed/>
    <w:qFormat/>
    <w:uiPriority w:val="0"/>
    <w:pPr>
      <w:tabs>
        <w:tab w:val="left" w:pos="1380"/>
      </w:tabs>
      <w:ind w:left="1380" w:hanging="900"/>
      <w:jc w:val="both"/>
    </w:pPr>
    <w:rPr>
      <w:rFonts w:ascii="Calibri" w:hAnsi="Calibri" w:cs="Times New Roman"/>
      <w:color w:val="auto"/>
      <w:kern w:val="2"/>
      <w:sz w:val="21"/>
      <w:lang w:val="en-US"/>
    </w:rPr>
  </w:style>
  <w:style w:type="paragraph" w:styleId="22">
    <w:name w:val="caption"/>
    <w:basedOn w:val="1"/>
    <w:next w:val="1"/>
    <w:qFormat/>
    <w:uiPriority w:val="0"/>
    <w:pPr>
      <w:jc w:val="both"/>
    </w:pPr>
    <w:rPr>
      <w:rFonts w:ascii="Arial" w:hAnsi="Arial" w:eastAsia="黑体" w:cs="Arial"/>
      <w:color w:val="auto"/>
      <w:kern w:val="2"/>
      <w:sz w:val="20"/>
      <w:szCs w:val="20"/>
      <w:lang w:val="en-US"/>
    </w:rPr>
  </w:style>
  <w:style w:type="paragraph" w:styleId="23">
    <w:name w:val="index 5"/>
    <w:basedOn w:val="1"/>
    <w:next w:val="1"/>
    <w:unhideWhenUsed/>
    <w:qFormat/>
    <w:uiPriority w:val="0"/>
    <w:pPr>
      <w:ind w:left="1050" w:hanging="210"/>
    </w:pPr>
    <w:rPr>
      <w:rFonts w:ascii="Calibri" w:hAnsi="Calibri" w:cs="Times New Roman"/>
      <w:color w:val="auto"/>
      <w:kern w:val="2"/>
      <w:sz w:val="18"/>
      <w:szCs w:val="18"/>
      <w:lang w:val="en-US"/>
    </w:rPr>
  </w:style>
  <w:style w:type="paragraph" w:styleId="24">
    <w:name w:val="List Bullet"/>
    <w:basedOn w:val="1"/>
    <w:unhideWhenUsed/>
    <w:qFormat/>
    <w:uiPriority w:val="0"/>
    <w:pPr>
      <w:tabs>
        <w:tab w:val="left" w:pos="360"/>
      </w:tabs>
      <w:ind w:left="360" w:hanging="360"/>
      <w:jc w:val="both"/>
    </w:pPr>
    <w:rPr>
      <w:rFonts w:ascii="Calibri" w:hAnsi="Calibri" w:cs="Times New Roman"/>
      <w:color w:val="auto"/>
      <w:kern w:val="2"/>
      <w:sz w:val="21"/>
      <w:lang w:val="en-US"/>
    </w:rPr>
  </w:style>
  <w:style w:type="paragraph" w:styleId="25">
    <w:name w:val="envelope address"/>
    <w:basedOn w:val="1"/>
    <w:unhideWhenUsed/>
    <w:qFormat/>
    <w:uiPriority w:val="0"/>
    <w:pPr>
      <w:snapToGrid w:val="0"/>
      <w:ind w:left="100" w:leftChars="1400"/>
      <w:jc w:val="both"/>
    </w:pPr>
    <w:rPr>
      <w:rFonts w:ascii="Arial" w:hAnsi="Arial" w:cs="Arial"/>
      <w:color w:val="auto"/>
      <w:kern w:val="2"/>
      <w:lang w:val="en-US"/>
    </w:rPr>
  </w:style>
  <w:style w:type="paragraph" w:styleId="26">
    <w:name w:val="Document Map"/>
    <w:basedOn w:val="1"/>
    <w:link w:val="115"/>
    <w:unhideWhenUsed/>
    <w:qFormat/>
    <w:uiPriority w:val="0"/>
    <w:rPr>
      <w:rFonts w:ascii="宋体" w:cs="Times New Roman"/>
      <w:sz w:val="18"/>
      <w:szCs w:val="18"/>
    </w:rPr>
  </w:style>
  <w:style w:type="paragraph" w:styleId="27">
    <w:name w:val="toa heading"/>
    <w:basedOn w:val="1"/>
    <w:next w:val="1"/>
    <w:unhideWhenUsed/>
    <w:qFormat/>
    <w:uiPriority w:val="0"/>
    <w:pPr>
      <w:spacing w:before="120"/>
      <w:jc w:val="both"/>
    </w:pPr>
    <w:rPr>
      <w:rFonts w:ascii="Arial" w:hAnsi="Arial" w:cs="Arial"/>
      <w:color w:val="auto"/>
      <w:kern w:val="2"/>
      <w:lang w:val="en-US"/>
    </w:rPr>
  </w:style>
  <w:style w:type="paragraph" w:styleId="28">
    <w:name w:val="annotation text"/>
    <w:basedOn w:val="1"/>
    <w:link w:val="116"/>
    <w:semiHidden/>
    <w:qFormat/>
    <w:uiPriority w:val="0"/>
    <w:rPr>
      <w:rFonts w:cs="Times New Roman"/>
      <w:color w:val="auto"/>
      <w:kern w:val="2"/>
      <w:sz w:val="21"/>
    </w:rPr>
  </w:style>
  <w:style w:type="paragraph" w:styleId="29">
    <w:name w:val="index 6"/>
    <w:basedOn w:val="1"/>
    <w:next w:val="1"/>
    <w:unhideWhenUsed/>
    <w:qFormat/>
    <w:uiPriority w:val="0"/>
    <w:pPr>
      <w:ind w:left="1260" w:hanging="210"/>
    </w:pPr>
    <w:rPr>
      <w:rFonts w:ascii="Calibri" w:hAnsi="Calibri" w:cs="Times New Roman"/>
      <w:color w:val="auto"/>
      <w:kern w:val="2"/>
      <w:sz w:val="18"/>
      <w:szCs w:val="18"/>
      <w:lang w:val="en-US"/>
    </w:rPr>
  </w:style>
  <w:style w:type="paragraph" w:styleId="30">
    <w:name w:val="Salutation"/>
    <w:basedOn w:val="1"/>
    <w:next w:val="1"/>
    <w:link w:val="117"/>
    <w:unhideWhenUsed/>
    <w:qFormat/>
    <w:uiPriority w:val="0"/>
    <w:pPr>
      <w:jc w:val="both"/>
    </w:pPr>
    <w:rPr>
      <w:rFonts w:cs="Times New Roman"/>
      <w:color w:val="auto"/>
      <w:kern w:val="2"/>
      <w:sz w:val="21"/>
    </w:rPr>
  </w:style>
  <w:style w:type="paragraph" w:styleId="31">
    <w:name w:val="Body Text 3"/>
    <w:basedOn w:val="1"/>
    <w:link w:val="118"/>
    <w:qFormat/>
    <w:uiPriority w:val="0"/>
    <w:pPr>
      <w:jc w:val="both"/>
    </w:pPr>
    <w:rPr>
      <w:rFonts w:ascii="宋体" w:cs="Times New Roman"/>
      <w:color w:val="auto"/>
      <w:kern w:val="2"/>
      <w:sz w:val="20"/>
      <w:szCs w:val="20"/>
    </w:rPr>
  </w:style>
  <w:style w:type="paragraph" w:styleId="32">
    <w:name w:val="Closing"/>
    <w:basedOn w:val="1"/>
    <w:link w:val="119"/>
    <w:unhideWhenUsed/>
    <w:qFormat/>
    <w:uiPriority w:val="0"/>
    <w:pPr>
      <w:ind w:left="100" w:leftChars="2100"/>
      <w:jc w:val="both"/>
    </w:pPr>
    <w:rPr>
      <w:rFonts w:cs="Times New Roman"/>
      <w:color w:val="auto"/>
      <w:kern w:val="2"/>
      <w:sz w:val="21"/>
    </w:rPr>
  </w:style>
  <w:style w:type="paragraph" w:styleId="33">
    <w:name w:val="List Bullet 3"/>
    <w:basedOn w:val="1"/>
    <w:unhideWhenUsed/>
    <w:qFormat/>
    <w:uiPriority w:val="0"/>
    <w:pPr>
      <w:tabs>
        <w:tab w:val="left" w:pos="1200"/>
      </w:tabs>
      <w:ind w:left="1200" w:leftChars="400" w:hanging="360" w:hangingChars="200"/>
      <w:jc w:val="both"/>
    </w:pPr>
    <w:rPr>
      <w:rFonts w:ascii="Calibri" w:hAnsi="Calibri" w:cs="Times New Roman"/>
      <w:color w:val="auto"/>
      <w:kern w:val="2"/>
      <w:sz w:val="21"/>
      <w:szCs w:val="20"/>
      <w:lang w:val="en-US"/>
    </w:rPr>
  </w:style>
  <w:style w:type="paragraph" w:styleId="34">
    <w:name w:val="Body Text"/>
    <w:basedOn w:val="1"/>
    <w:next w:val="1"/>
    <w:link w:val="120"/>
    <w:qFormat/>
    <w:uiPriority w:val="0"/>
    <w:pPr>
      <w:spacing w:after="120"/>
      <w:jc w:val="both"/>
    </w:pPr>
    <w:rPr>
      <w:rFonts w:cs="Times New Roman"/>
      <w:color w:val="auto"/>
      <w:kern w:val="2"/>
      <w:sz w:val="21"/>
    </w:rPr>
  </w:style>
  <w:style w:type="paragraph" w:styleId="35">
    <w:name w:val="Body Text Indent"/>
    <w:basedOn w:val="1"/>
    <w:link w:val="121"/>
    <w:qFormat/>
    <w:uiPriority w:val="0"/>
    <w:pPr>
      <w:spacing w:after="120"/>
      <w:ind w:left="420" w:leftChars="200"/>
      <w:jc w:val="both"/>
    </w:pPr>
    <w:rPr>
      <w:rFonts w:cs="Times New Roman"/>
      <w:color w:val="auto"/>
      <w:kern w:val="2"/>
      <w:sz w:val="21"/>
    </w:rPr>
  </w:style>
  <w:style w:type="paragraph" w:styleId="36">
    <w:name w:val="List Number 3"/>
    <w:basedOn w:val="1"/>
    <w:unhideWhenUsed/>
    <w:qFormat/>
    <w:uiPriority w:val="0"/>
    <w:pPr>
      <w:tabs>
        <w:tab w:val="left" w:pos="1200"/>
      </w:tabs>
      <w:ind w:left="1200" w:hanging="360"/>
      <w:jc w:val="both"/>
    </w:pPr>
    <w:rPr>
      <w:rFonts w:ascii="Calibri" w:hAnsi="Calibri" w:cs="Times New Roman"/>
      <w:color w:val="auto"/>
      <w:kern w:val="2"/>
      <w:sz w:val="21"/>
      <w:lang w:val="en-US"/>
    </w:rPr>
  </w:style>
  <w:style w:type="paragraph" w:styleId="37">
    <w:name w:val="List 2"/>
    <w:basedOn w:val="1"/>
    <w:unhideWhenUsed/>
    <w:qFormat/>
    <w:uiPriority w:val="0"/>
    <w:pPr>
      <w:ind w:left="100" w:leftChars="200" w:hanging="200" w:hangingChars="200"/>
      <w:jc w:val="both"/>
    </w:pPr>
    <w:rPr>
      <w:rFonts w:ascii="Calibri" w:hAnsi="Calibri" w:cs="Times New Roman"/>
      <w:color w:val="auto"/>
      <w:kern w:val="2"/>
      <w:sz w:val="21"/>
      <w:szCs w:val="20"/>
      <w:lang w:val="en-US"/>
    </w:rPr>
  </w:style>
  <w:style w:type="paragraph" w:styleId="38">
    <w:name w:val="List Continue"/>
    <w:basedOn w:val="1"/>
    <w:unhideWhenUsed/>
    <w:qFormat/>
    <w:uiPriority w:val="0"/>
    <w:pPr>
      <w:spacing w:after="120"/>
      <w:ind w:left="420" w:leftChars="200"/>
      <w:jc w:val="both"/>
    </w:pPr>
    <w:rPr>
      <w:rFonts w:ascii="Calibri" w:hAnsi="Calibri" w:cs="Times New Roman"/>
      <w:color w:val="auto"/>
      <w:kern w:val="2"/>
      <w:sz w:val="21"/>
      <w:lang w:val="en-US"/>
    </w:rPr>
  </w:style>
  <w:style w:type="paragraph" w:styleId="39">
    <w:name w:val="Block Text"/>
    <w:basedOn w:val="1"/>
    <w:unhideWhenUsed/>
    <w:qFormat/>
    <w:uiPriority w:val="0"/>
    <w:pPr>
      <w:spacing w:after="120"/>
      <w:ind w:left="1440" w:leftChars="700" w:right="1440" w:rightChars="700"/>
      <w:jc w:val="both"/>
    </w:pPr>
    <w:rPr>
      <w:rFonts w:ascii="Calibri" w:hAnsi="Calibri" w:cs="Times New Roman"/>
      <w:color w:val="auto"/>
      <w:kern w:val="2"/>
      <w:sz w:val="21"/>
      <w:lang w:val="en-US"/>
    </w:rPr>
  </w:style>
  <w:style w:type="paragraph" w:styleId="40">
    <w:name w:val="List Bullet 2"/>
    <w:basedOn w:val="1"/>
    <w:unhideWhenUsed/>
    <w:qFormat/>
    <w:uiPriority w:val="0"/>
    <w:pPr>
      <w:tabs>
        <w:tab w:val="left" w:pos="780"/>
      </w:tabs>
      <w:ind w:left="780" w:leftChars="200" w:hanging="360" w:hangingChars="200"/>
      <w:jc w:val="both"/>
    </w:pPr>
    <w:rPr>
      <w:rFonts w:ascii="Calibri" w:hAnsi="Calibri" w:cs="Times New Roman"/>
      <w:color w:val="auto"/>
      <w:kern w:val="2"/>
      <w:sz w:val="21"/>
      <w:szCs w:val="20"/>
      <w:lang w:val="en-US"/>
    </w:rPr>
  </w:style>
  <w:style w:type="paragraph" w:styleId="41">
    <w:name w:val="HTML Address"/>
    <w:basedOn w:val="1"/>
    <w:link w:val="122"/>
    <w:unhideWhenUsed/>
    <w:qFormat/>
    <w:uiPriority w:val="0"/>
    <w:pPr>
      <w:jc w:val="both"/>
    </w:pPr>
    <w:rPr>
      <w:rFonts w:cs="Times New Roman"/>
      <w:i/>
      <w:iCs/>
      <w:color w:val="auto"/>
      <w:kern w:val="2"/>
      <w:sz w:val="21"/>
    </w:rPr>
  </w:style>
  <w:style w:type="paragraph" w:styleId="42">
    <w:name w:val="index 4"/>
    <w:basedOn w:val="1"/>
    <w:next w:val="1"/>
    <w:unhideWhenUsed/>
    <w:qFormat/>
    <w:uiPriority w:val="0"/>
    <w:pPr>
      <w:ind w:left="840" w:hanging="210"/>
    </w:pPr>
    <w:rPr>
      <w:rFonts w:ascii="Calibri" w:hAnsi="Calibri" w:cs="Times New Roman"/>
      <w:color w:val="auto"/>
      <w:kern w:val="2"/>
      <w:sz w:val="18"/>
      <w:szCs w:val="18"/>
      <w:lang w:val="en-US"/>
    </w:rPr>
  </w:style>
  <w:style w:type="paragraph" w:styleId="43">
    <w:name w:val="toc 5"/>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44">
    <w:name w:val="toc 3"/>
    <w:basedOn w:val="1"/>
    <w:next w:val="1"/>
    <w:link w:val="123"/>
    <w:qFormat/>
    <w:uiPriority w:val="99"/>
    <w:pPr>
      <w:shd w:val="clear" w:color="auto" w:fill="FFFFFF"/>
      <w:spacing w:line="439" w:lineRule="exact"/>
      <w:jc w:val="distribute"/>
    </w:pPr>
    <w:rPr>
      <w:rFonts w:ascii="MingLiU" w:eastAsia="MingLiU" w:cs="Times New Roman"/>
      <w:b/>
      <w:bCs/>
      <w:color w:val="auto"/>
      <w:spacing w:val="10"/>
      <w:sz w:val="20"/>
      <w:szCs w:val="20"/>
    </w:rPr>
  </w:style>
  <w:style w:type="paragraph" w:styleId="45">
    <w:name w:val="Plain Text"/>
    <w:basedOn w:val="1"/>
    <w:link w:val="124"/>
    <w:qFormat/>
    <w:uiPriority w:val="0"/>
    <w:pPr>
      <w:jc w:val="both"/>
    </w:pPr>
    <w:rPr>
      <w:rFonts w:ascii="宋体" w:hAnsi="Courier New" w:cs="Times New Roman"/>
      <w:color w:val="auto"/>
      <w:kern w:val="2"/>
      <w:sz w:val="21"/>
      <w:szCs w:val="20"/>
    </w:rPr>
  </w:style>
  <w:style w:type="paragraph" w:styleId="46">
    <w:name w:val="List Bullet 5"/>
    <w:basedOn w:val="1"/>
    <w:unhideWhenUsed/>
    <w:qFormat/>
    <w:uiPriority w:val="0"/>
    <w:pPr>
      <w:tabs>
        <w:tab w:val="left" w:pos="2040"/>
      </w:tabs>
      <w:ind w:left="2040" w:hanging="360"/>
      <w:jc w:val="both"/>
    </w:pPr>
    <w:rPr>
      <w:rFonts w:ascii="Calibri" w:hAnsi="Calibri" w:cs="Times New Roman"/>
      <w:color w:val="auto"/>
      <w:kern w:val="2"/>
      <w:sz w:val="21"/>
      <w:lang w:val="en-US"/>
    </w:rPr>
  </w:style>
  <w:style w:type="paragraph" w:styleId="47">
    <w:name w:val="List Number 4"/>
    <w:basedOn w:val="1"/>
    <w:unhideWhenUsed/>
    <w:qFormat/>
    <w:uiPriority w:val="0"/>
    <w:pPr>
      <w:tabs>
        <w:tab w:val="left" w:pos="1620"/>
      </w:tabs>
      <w:ind w:left="1620" w:hanging="360"/>
      <w:jc w:val="both"/>
    </w:pPr>
    <w:rPr>
      <w:rFonts w:ascii="Calibri" w:hAnsi="Calibri" w:cs="Times New Roman"/>
      <w:color w:val="auto"/>
      <w:kern w:val="2"/>
      <w:sz w:val="21"/>
      <w:szCs w:val="20"/>
      <w:lang w:val="en-US"/>
    </w:rPr>
  </w:style>
  <w:style w:type="paragraph" w:styleId="48">
    <w:name w:val="toc 8"/>
    <w:basedOn w:val="1"/>
    <w:next w:val="1"/>
    <w:semiHidden/>
    <w:qFormat/>
    <w:uiPriority w:val="39"/>
    <w:pPr>
      <w:ind w:left="1470"/>
    </w:pPr>
    <w:rPr>
      <w:rFonts w:ascii="Times New Roman" w:hAnsi="Times New Roman" w:eastAsia="宋体" w:cs="Times New Roman"/>
      <w:color w:val="auto"/>
      <w:kern w:val="2"/>
      <w:sz w:val="21"/>
      <w:szCs w:val="21"/>
      <w:lang w:val="en-US"/>
    </w:rPr>
  </w:style>
  <w:style w:type="paragraph" w:styleId="49">
    <w:name w:val="index 3"/>
    <w:basedOn w:val="1"/>
    <w:next w:val="1"/>
    <w:unhideWhenUsed/>
    <w:qFormat/>
    <w:uiPriority w:val="0"/>
    <w:pPr>
      <w:ind w:left="630" w:hanging="210"/>
    </w:pPr>
    <w:rPr>
      <w:rFonts w:ascii="Calibri" w:hAnsi="Calibri" w:cs="Times New Roman"/>
      <w:color w:val="auto"/>
      <w:kern w:val="2"/>
      <w:sz w:val="18"/>
      <w:szCs w:val="18"/>
      <w:lang w:val="en-US"/>
    </w:rPr>
  </w:style>
  <w:style w:type="paragraph" w:styleId="50">
    <w:name w:val="Date"/>
    <w:basedOn w:val="1"/>
    <w:next w:val="1"/>
    <w:link w:val="125"/>
    <w:qFormat/>
    <w:uiPriority w:val="0"/>
    <w:pPr>
      <w:jc w:val="both"/>
    </w:pPr>
    <w:rPr>
      <w:rFonts w:cs="Times New Roman"/>
      <w:color w:val="auto"/>
      <w:kern w:val="2"/>
      <w:szCs w:val="20"/>
    </w:rPr>
  </w:style>
  <w:style w:type="paragraph" w:styleId="51">
    <w:name w:val="Body Text Indent 2"/>
    <w:basedOn w:val="1"/>
    <w:link w:val="126"/>
    <w:qFormat/>
    <w:uiPriority w:val="0"/>
    <w:pPr>
      <w:spacing w:line="500" w:lineRule="exact"/>
      <w:ind w:firstLine="540" w:firstLineChars="200"/>
      <w:jc w:val="both"/>
    </w:pPr>
    <w:rPr>
      <w:rFonts w:ascii="宋体" w:hAnsi="宋体" w:cs="Times New Roman"/>
      <w:color w:val="auto"/>
      <w:kern w:val="2"/>
      <w:sz w:val="27"/>
      <w:szCs w:val="27"/>
    </w:rPr>
  </w:style>
  <w:style w:type="paragraph" w:styleId="52">
    <w:name w:val="endnote text"/>
    <w:basedOn w:val="1"/>
    <w:link w:val="127"/>
    <w:semiHidden/>
    <w:qFormat/>
    <w:uiPriority w:val="0"/>
    <w:pPr>
      <w:snapToGrid w:val="0"/>
    </w:pPr>
    <w:rPr>
      <w:rFonts w:cs="Times New Roman"/>
      <w:color w:val="auto"/>
      <w:kern w:val="2"/>
      <w:sz w:val="21"/>
    </w:rPr>
  </w:style>
  <w:style w:type="paragraph" w:styleId="53">
    <w:name w:val="List Continue 5"/>
    <w:basedOn w:val="1"/>
    <w:unhideWhenUsed/>
    <w:qFormat/>
    <w:uiPriority w:val="0"/>
    <w:pPr>
      <w:spacing w:after="120"/>
      <w:ind w:left="2100" w:leftChars="1000"/>
      <w:jc w:val="both"/>
    </w:pPr>
    <w:rPr>
      <w:rFonts w:ascii="Calibri" w:hAnsi="Calibri" w:cs="Times New Roman"/>
      <w:color w:val="auto"/>
      <w:kern w:val="2"/>
      <w:sz w:val="21"/>
      <w:lang w:val="en-US"/>
    </w:rPr>
  </w:style>
  <w:style w:type="paragraph" w:styleId="54">
    <w:name w:val="Balloon Text"/>
    <w:basedOn w:val="1"/>
    <w:link w:val="128"/>
    <w:unhideWhenUsed/>
    <w:qFormat/>
    <w:uiPriority w:val="0"/>
    <w:rPr>
      <w:rFonts w:cs="Times New Roman"/>
      <w:sz w:val="18"/>
      <w:szCs w:val="18"/>
    </w:rPr>
  </w:style>
  <w:style w:type="paragraph" w:styleId="55">
    <w:name w:val="footer"/>
    <w:basedOn w:val="1"/>
    <w:link w:val="129"/>
    <w:unhideWhenUsed/>
    <w:qFormat/>
    <w:uiPriority w:val="99"/>
    <w:pPr>
      <w:tabs>
        <w:tab w:val="center" w:pos="4153"/>
        <w:tab w:val="right" w:pos="8306"/>
      </w:tabs>
      <w:snapToGrid w:val="0"/>
    </w:pPr>
    <w:rPr>
      <w:rFonts w:cs="Times New Roman"/>
      <w:sz w:val="18"/>
      <w:szCs w:val="18"/>
    </w:rPr>
  </w:style>
  <w:style w:type="paragraph" w:styleId="56">
    <w:name w:val="envelope return"/>
    <w:basedOn w:val="1"/>
    <w:unhideWhenUsed/>
    <w:qFormat/>
    <w:uiPriority w:val="0"/>
    <w:pPr>
      <w:snapToGrid w:val="0"/>
      <w:jc w:val="both"/>
    </w:pPr>
    <w:rPr>
      <w:rFonts w:ascii="Arial" w:hAnsi="Arial" w:cs="Arial"/>
      <w:color w:val="auto"/>
      <w:kern w:val="2"/>
      <w:sz w:val="21"/>
      <w:lang w:val="en-US"/>
    </w:rPr>
  </w:style>
  <w:style w:type="paragraph" w:styleId="57">
    <w:name w:val="header"/>
    <w:basedOn w:val="1"/>
    <w:link w:val="130"/>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8">
    <w:name w:val="Signature"/>
    <w:basedOn w:val="1"/>
    <w:link w:val="131"/>
    <w:unhideWhenUsed/>
    <w:qFormat/>
    <w:uiPriority w:val="0"/>
    <w:pPr>
      <w:ind w:left="100" w:leftChars="2100"/>
      <w:jc w:val="both"/>
    </w:pPr>
    <w:rPr>
      <w:rFonts w:cs="Times New Roman"/>
      <w:color w:val="auto"/>
      <w:kern w:val="2"/>
      <w:sz w:val="21"/>
    </w:rPr>
  </w:style>
  <w:style w:type="paragraph" w:styleId="59">
    <w:name w:val="toc 1"/>
    <w:basedOn w:val="1"/>
    <w:next w:val="1"/>
    <w:semiHidden/>
    <w:qFormat/>
    <w:uiPriority w:val="0"/>
    <w:pPr>
      <w:tabs>
        <w:tab w:val="right" w:leader="dot" w:pos="8805"/>
      </w:tabs>
      <w:spacing w:line="440" w:lineRule="exact"/>
      <w:jc w:val="center"/>
    </w:pPr>
    <w:rPr>
      <w:rFonts w:ascii="Times New Roman" w:hAnsi="Times New Roman" w:eastAsia="宋体" w:cs="Times New Roman"/>
      <w:kern w:val="2"/>
      <w:sz w:val="20"/>
      <w:szCs w:val="20"/>
      <w:lang w:val="en-US"/>
    </w:rPr>
  </w:style>
  <w:style w:type="paragraph" w:styleId="60">
    <w:name w:val="List Continue 4"/>
    <w:basedOn w:val="1"/>
    <w:unhideWhenUsed/>
    <w:qFormat/>
    <w:uiPriority w:val="0"/>
    <w:pPr>
      <w:spacing w:after="120"/>
      <w:ind w:left="1680" w:leftChars="800"/>
      <w:jc w:val="both"/>
    </w:pPr>
    <w:rPr>
      <w:rFonts w:ascii="Calibri" w:hAnsi="Calibri" w:cs="Times New Roman"/>
      <w:color w:val="auto"/>
      <w:kern w:val="2"/>
      <w:sz w:val="21"/>
      <w:lang w:val="en-US"/>
    </w:rPr>
  </w:style>
  <w:style w:type="paragraph" w:styleId="61">
    <w:name w:val="toc 4"/>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62">
    <w:name w:val="index heading"/>
    <w:basedOn w:val="1"/>
    <w:next w:val="63"/>
    <w:unhideWhenUsed/>
    <w:qFormat/>
    <w:uiPriority w:val="0"/>
    <w:pPr>
      <w:spacing w:before="240" w:after="120"/>
      <w:ind w:left="140"/>
    </w:pPr>
    <w:rPr>
      <w:rFonts w:ascii="Arial" w:hAnsi="Arial" w:cs="Arial"/>
      <w:b/>
      <w:bCs/>
      <w:color w:val="auto"/>
      <w:kern w:val="2"/>
      <w:sz w:val="28"/>
      <w:szCs w:val="28"/>
      <w:lang w:val="en-US"/>
    </w:rPr>
  </w:style>
  <w:style w:type="paragraph" w:styleId="63">
    <w:name w:val="index 1"/>
    <w:basedOn w:val="1"/>
    <w:next w:val="1"/>
    <w:semiHidden/>
    <w:qFormat/>
    <w:uiPriority w:val="0"/>
    <w:pPr>
      <w:spacing w:line="220" w:lineRule="exact"/>
      <w:jc w:val="center"/>
    </w:pPr>
    <w:rPr>
      <w:rFonts w:ascii="仿宋_GB2312" w:hAnsi="Times New Roman" w:eastAsia="仿宋_GB2312" w:cs="Times New Roman"/>
      <w:color w:val="auto"/>
      <w:kern w:val="2"/>
      <w:sz w:val="21"/>
      <w:szCs w:val="21"/>
      <w:lang w:val="en-US"/>
    </w:rPr>
  </w:style>
  <w:style w:type="paragraph" w:styleId="64">
    <w:name w:val="Subtitle"/>
    <w:basedOn w:val="1"/>
    <w:link w:val="132"/>
    <w:qFormat/>
    <w:uiPriority w:val="0"/>
    <w:pPr>
      <w:spacing w:before="240" w:after="60" w:line="312" w:lineRule="auto"/>
      <w:jc w:val="center"/>
      <w:outlineLvl w:val="1"/>
    </w:pPr>
    <w:rPr>
      <w:rFonts w:ascii="Arial" w:hAnsi="Arial" w:cs="Times New Roman"/>
      <w:b/>
      <w:bCs/>
      <w:color w:val="auto"/>
      <w:kern w:val="28"/>
      <w:sz w:val="32"/>
      <w:szCs w:val="32"/>
    </w:rPr>
  </w:style>
  <w:style w:type="paragraph" w:styleId="65">
    <w:name w:val="List Number 5"/>
    <w:basedOn w:val="1"/>
    <w:unhideWhenUsed/>
    <w:qFormat/>
    <w:uiPriority w:val="0"/>
    <w:pPr>
      <w:tabs>
        <w:tab w:val="left" w:pos="2040"/>
      </w:tabs>
      <w:ind w:left="2040" w:hanging="360"/>
      <w:jc w:val="both"/>
    </w:pPr>
    <w:rPr>
      <w:rFonts w:ascii="Calibri" w:hAnsi="Calibri" w:cs="Times New Roman"/>
      <w:color w:val="auto"/>
      <w:kern w:val="2"/>
      <w:sz w:val="21"/>
      <w:lang w:val="en-US"/>
    </w:rPr>
  </w:style>
  <w:style w:type="paragraph" w:styleId="66">
    <w:name w:val="List"/>
    <w:basedOn w:val="1"/>
    <w:unhideWhenUsed/>
    <w:qFormat/>
    <w:uiPriority w:val="0"/>
    <w:pPr>
      <w:adjustRightInd w:val="0"/>
      <w:snapToGrid w:val="0"/>
      <w:spacing w:line="240" w:lineRule="atLeast"/>
      <w:jc w:val="center"/>
    </w:pPr>
    <w:rPr>
      <w:rFonts w:ascii="Calibri" w:hAnsi="Calibri" w:cs="Times New Roman"/>
      <w:color w:val="auto"/>
      <w:spacing w:val="-10"/>
      <w:sz w:val="15"/>
      <w:szCs w:val="20"/>
      <w:lang w:val="en-US"/>
    </w:rPr>
  </w:style>
  <w:style w:type="paragraph" w:styleId="67">
    <w:name w:val="footnote text"/>
    <w:basedOn w:val="1"/>
    <w:next w:val="1"/>
    <w:link w:val="133"/>
    <w:qFormat/>
    <w:uiPriority w:val="99"/>
    <w:pPr>
      <w:adjustRightInd w:val="0"/>
      <w:snapToGrid w:val="0"/>
      <w:spacing w:line="420" w:lineRule="atLeast"/>
      <w:ind w:firstLine="454"/>
      <w:textAlignment w:val="baseline"/>
    </w:pPr>
    <w:rPr>
      <w:rFonts w:cs="Times New Roman"/>
      <w:color w:val="auto"/>
      <w:sz w:val="18"/>
      <w:szCs w:val="20"/>
    </w:rPr>
  </w:style>
  <w:style w:type="paragraph" w:styleId="68">
    <w:name w:val="toc 6"/>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69">
    <w:name w:val="List 5"/>
    <w:basedOn w:val="1"/>
    <w:unhideWhenUsed/>
    <w:qFormat/>
    <w:uiPriority w:val="0"/>
    <w:pPr>
      <w:ind w:left="100" w:leftChars="800" w:hanging="200" w:hangingChars="200"/>
      <w:jc w:val="both"/>
    </w:pPr>
    <w:rPr>
      <w:rFonts w:ascii="Calibri" w:hAnsi="Calibri" w:cs="Times New Roman"/>
      <w:color w:val="auto"/>
      <w:kern w:val="2"/>
      <w:sz w:val="21"/>
      <w:lang w:val="en-US"/>
    </w:rPr>
  </w:style>
  <w:style w:type="paragraph" w:styleId="70">
    <w:name w:val="Body Text Indent 3"/>
    <w:basedOn w:val="1"/>
    <w:link w:val="134"/>
    <w:qFormat/>
    <w:uiPriority w:val="0"/>
    <w:pPr>
      <w:spacing w:after="120"/>
      <w:ind w:left="420" w:leftChars="200"/>
      <w:jc w:val="both"/>
    </w:pPr>
    <w:rPr>
      <w:rFonts w:cs="Times New Roman"/>
      <w:color w:val="auto"/>
      <w:kern w:val="2"/>
      <w:sz w:val="16"/>
      <w:szCs w:val="16"/>
    </w:rPr>
  </w:style>
  <w:style w:type="paragraph" w:styleId="71">
    <w:name w:val="index 7"/>
    <w:basedOn w:val="1"/>
    <w:next w:val="1"/>
    <w:unhideWhenUsed/>
    <w:qFormat/>
    <w:uiPriority w:val="0"/>
    <w:pPr>
      <w:ind w:left="1470" w:hanging="210"/>
    </w:pPr>
    <w:rPr>
      <w:rFonts w:ascii="Calibri" w:hAnsi="Calibri" w:cs="Times New Roman"/>
      <w:color w:val="auto"/>
      <w:kern w:val="2"/>
      <w:sz w:val="18"/>
      <w:szCs w:val="18"/>
      <w:lang w:val="en-US"/>
    </w:rPr>
  </w:style>
  <w:style w:type="paragraph" w:styleId="72">
    <w:name w:val="index 9"/>
    <w:basedOn w:val="1"/>
    <w:next w:val="1"/>
    <w:unhideWhenUsed/>
    <w:qFormat/>
    <w:uiPriority w:val="0"/>
    <w:pPr>
      <w:ind w:left="1890" w:hanging="210"/>
    </w:pPr>
    <w:rPr>
      <w:rFonts w:ascii="Calibri" w:hAnsi="Calibri" w:cs="Times New Roman"/>
      <w:color w:val="auto"/>
      <w:kern w:val="2"/>
      <w:sz w:val="18"/>
      <w:szCs w:val="18"/>
      <w:lang w:val="en-US"/>
    </w:rPr>
  </w:style>
  <w:style w:type="paragraph" w:styleId="73">
    <w:name w:val="table of figures"/>
    <w:basedOn w:val="1"/>
    <w:next w:val="1"/>
    <w:unhideWhenUsed/>
    <w:qFormat/>
    <w:uiPriority w:val="0"/>
    <w:pPr>
      <w:ind w:left="200" w:leftChars="200" w:hanging="200" w:hangingChars="200"/>
      <w:jc w:val="both"/>
    </w:pPr>
    <w:rPr>
      <w:rFonts w:ascii="Calibri" w:hAnsi="Calibri" w:cs="Times New Roman"/>
      <w:color w:val="auto"/>
      <w:kern w:val="2"/>
      <w:sz w:val="21"/>
      <w:lang w:val="en-US"/>
    </w:rPr>
  </w:style>
  <w:style w:type="paragraph" w:styleId="74">
    <w:name w:val="toc 2"/>
    <w:basedOn w:val="1"/>
    <w:next w:val="1"/>
    <w:link w:val="135"/>
    <w:qFormat/>
    <w:uiPriority w:val="99"/>
    <w:pPr>
      <w:shd w:val="clear" w:color="auto" w:fill="FFFFFF"/>
      <w:spacing w:before="540" w:line="439" w:lineRule="exact"/>
      <w:jc w:val="distribute"/>
    </w:pPr>
    <w:rPr>
      <w:rFonts w:ascii="MingLiU" w:eastAsia="MingLiU" w:cs="Times New Roman"/>
      <w:color w:val="auto"/>
      <w:sz w:val="20"/>
      <w:szCs w:val="20"/>
    </w:rPr>
  </w:style>
  <w:style w:type="paragraph" w:styleId="75">
    <w:name w:val="toc 9"/>
    <w:basedOn w:val="1"/>
    <w:next w:val="1"/>
    <w:semiHidden/>
    <w:qFormat/>
    <w:uiPriority w:val="39"/>
    <w:pPr>
      <w:ind w:left="1680"/>
    </w:pPr>
    <w:rPr>
      <w:rFonts w:ascii="Times New Roman" w:hAnsi="Times New Roman" w:eastAsia="宋体" w:cs="Times New Roman"/>
      <w:color w:val="auto"/>
      <w:kern w:val="2"/>
      <w:sz w:val="21"/>
      <w:szCs w:val="21"/>
      <w:lang w:val="en-US"/>
    </w:rPr>
  </w:style>
  <w:style w:type="paragraph" w:styleId="76">
    <w:name w:val="Body Text 2"/>
    <w:basedOn w:val="1"/>
    <w:link w:val="136"/>
    <w:qFormat/>
    <w:uiPriority w:val="0"/>
    <w:pPr>
      <w:spacing w:after="120" w:line="480" w:lineRule="auto"/>
      <w:jc w:val="both"/>
    </w:pPr>
    <w:rPr>
      <w:rFonts w:cs="Times New Roman"/>
      <w:color w:val="auto"/>
      <w:kern w:val="2"/>
      <w:sz w:val="21"/>
    </w:rPr>
  </w:style>
  <w:style w:type="paragraph" w:styleId="77">
    <w:name w:val="List 4"/>
    <w:basedOn w:val="1"/>
    <w:unhideWhenUsed/>
    <w:qFormat/>
    <w:uiPriority w:val="0"/>
    <w:pPr>
      <w:ind w:left="100" w:leftChars="600" w:hanging="200" w:hangingChars="200"/>
      <w:jc w:val="both"/>
    </w:pPr>
    <w:rPr>
      <w:rFonts w:ascii="Calibri" w:hAnsi="Calibri" w:cs="Times New Roman"/>
      <w:color w:val="auto"/>
      <w:kern w:val="2"/>
      <w:sz w:val="21"/>
      <w:lang w:val="en-US"/>
    </w:rPr>
  </w:style>
  <w:style w:type="paragraph" w:styleId="78">
    <w:name w:val="List Continue 2"/>
    <w:basedOn w:val="1"/>
    <w:unhideWhenUsed/>
    <w:qFormat/>
    <w:uiPriority w:val="0"/>
    <w:pPr>
      <w:spacing w:after="120"/>
      <w:ind w:left="840" w:leftChars="400"/>
      <w:jc w:val="both"/>
    </w:pPr>
    <w:rPr>
      <w:rFonts w:ascii="Calibri" w:hAnsi="Calibri" w:cs="Times New Roman"/>
      <w:color w:val="auto"/>
      <w:kern w:val="2"/>
      <w:sz w:val="21"/>
      <w:lang w:val="en-US"/>
    </w:rPr>
  </w:style>
  <w:style w:type="paragraph" w:styleId="79">
    <w:name w:val="Message Header"/>
    <w:basedOn w:val="1"/>
    <w:link w:val="137"/>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cs="Times New Roman"/>
      <w:color w:val="auto"/>
      <w:kern w:val="2"/>
    </w:rPr>
  </w:style>
  <w:style w:type="paragraph" w:styleId="80">
    <w:name w:val="HTML Preformatted"/>
    <w:basedOn w:val="1"/>
    <w:link w:val="13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Times New Roman"/>
      <w:color w:val="auto"/>
      <w:kern w:val="2"/>
      <w:sz w:val="20"/>
      <w:szCs w:val="20"/>
    </w:rPr>
  </w:style>
  <w:style w:type="paragraph" w:styleId="81">
    <w:name w:val="Normal (Web)"/>
    <w:basedOn w:val="1"/>
    <w:unhideWhenUsed/>
    <w:qFormat/>
    <w:uiPriority w:val="0"/>
    <w:pPr>
      <w:widowControl/>
      <w:spacing w:before="100" w:beforeAutospacing="1" w:after="100" w:afterAutospacing="1"/>
    </w:pPr>
    <w:rPr>
      <w:rFonts w:ascii="宋体" w:hAnsi="宋体" w:cs="宋体"/>
      <w:color w:val="auto"/>
      <w:lang w:val="en-US"/>
    </w:rPr>
  </w:style>
  <w:style w:type="paragraph" w:styleId="82">
    <w:name w:val="List Continue 3"/>
    <w:basedOn w:val="1"/>
    <w:unhideWhenUsed/>
    <w:qFormat/>
    <w:uiPriority w:val="0"/>
    <w:pPr>
      <w:spacing w:after="120"/>
      <w:ind w:left="1260" w:leftChars="600"/>
      <w:jc w:val="both"/>
    </w:pPr>
    <w:rPr>
      <w:rFonts w:ascii="Calibri" w:hAnsi="Calibri" w:cs="Times New Roman"/>
      <w:color w:val="auto"/>
      <w:kern w:val="2"/>
      <w:sz w:val="21"/>
      <w:lang w:val="en-US"/>
    </w:rPr>
  </w:style>
  <w:style w:type="paragraph" w:styleId="83">
    <w:name w:val="index 2"/>
    <w:basedOn w:val="1"/>
    <w:next w:val="1"/>
    <w:unhideWhenUsed/>
    <w:qFormat/>
    <w:uiPriority w:val="0"/>
    <w:pPr>
      <w:ind w:left="420" w:hanging="210"/>
    </w:pPr>
    <w:rPr>
      <w:rFonts w:ascii="Calibri" w:hAnsi="Calibri" w:cs="Times New Roman"/>
      <w:color w:val="auto"/>
      <w:kern w:val="2"/>
      <w:sz w:val="18"/>
      <w:szCs w:val="18"/>
      <w:lang w:val="en-US"/>
    </w:rPr>
  </w:style>
  <w:style w:type="paragraph" w:styleId="84">
    <w:name w:val="Title"/>
    <w:basedOn w:val="1"/>
    <w:link w:val="139"/>
    <w:qFormat/>
    <w:uiPriority w:val="0"/>
    <w:pPr>
      <w:adjustRightInd w:val="0"/>
      <w:spacing w:before="240" w:after="60" w:line="420" w:lineRule="atLeast"/>
      <w:jc w:val="center"/>
      <w:textAlignment w:val="baseline"/>
      <w:outlineLvl w:val="0"/>
    </w:pPr>
    <w:rPr>
      <w:rFonts w:ascii="Arial" w:hAnsi="Arial" w:cs="Times New Roman"/>
      <w:b/>
      <w:color w:val="auto"/>
      <w:sz w:val="32"/>
      <w:szCs w:val="20"/>
    </w:rPr>
  </w:style>
  <w:style w:type="paragraph" w:styleId="85">
    <w:name w:val="annotation subject"/>
    <w:basedOn w:val="28"/>
    <w:next w:val="28"/>
    <w:link w:val="140"/>
    <w:semiHidden/>
    <w:qFormat/>
    <w:uiPriority w:val="0"/>
    <w:rPr>
      <w:b/>
      <w:bCs/>
    </w:rPr>
  </w:style>
  <w:style w:type="paragraph" w:styleId="86">
    <w:name w:val="Body Text First Indent"/>
    <w:basedOn w:val="34"/>
    <w:link w:val="141"/>
    <w:unhideWhenUsed/>
    <w:qFormat/>
    <w:uiPriority w:val="0"/>
    <w:pPr>
      <w:ind w:firstLine="420" w:firstLineChars="100"/>
    </w:pPr>
    <w:rPr>
      <w:lang w:val="en-US" w:eastAsia="zh-CN"/>
    </w:rPr>
  </w:style>
  <w:style w:type="paragraph" w:styleId="87">
    <w:name w:val="Body Text First Indent 2"/>
    <w:basedOn w:val="35"/>
    <w:link w:val="142"/>
    <w:unhideWhenUsed/>
    <w:qFormat/>
    <w:uiPriority w:val="0"/>
    <w:pPr>
      <w:ind w:firstLine="420" w:firstLineChars="200"/>
    </w:pPr>
    <w:rPr>
      <w:rFonts w:ascii="宋体" w:hAnsi="宋体"/>
      <w:color w:val="FF0000"/>
    </w:rPr>
  </w:style>
  <w:style w:type="table" w:styleId="89">
    <w:name w:val="Table Grid"/>
    <w:basedOn w:val="8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endnote reference"/>
    <w:semiHidden/>
    <w:qFormat/>
    <w:uiPriority w:val="99"/>
    <w:rPr>
      <w:vertAlign w:val="superscript"/>
    </w:rPr>
  </w:style>
  <w:style w:type="character" w:styleId="92">
    <w:name w:val="page number"/>
    <w:qFormat/>
    <w:uiPriority w:val="0"/>
    <w:rPr>
      <w:rFonts w:cs="Times New Roman"/>
    </w:rPr>
  </w:style>
  <w:style w:type="character" w:styleId="93">
    <w:name w:val="FollowedHyperlink"/>
    <w:qFormat/>
    <w:uiPriority w:val="0"/>
    <w:rPr>
      <w:color w:val="800080"/>
      <w:u w:val="single"/>
    </w:rPr>
  </w:style>
  <w:style w:type="character" w:styleId="94">
    <w:name w:val="Emphasis"/>
    <w:qFormat/>
    <w:uiPriority w:val="0"/>
    <w:rPr>
      <w:rFonts w:hint="eastAsia" w:ascii="宋体" w:hAnsi="宋体" w:eastAsia="宋体"/>
      <w:color w:val="CC0033"/>
      <w:kern w:val="2"/>
      <w:sz w:val="24"/>
      <w:szCs w:val="24"/>
      <w:lang w:val="en-US" w:eastAsia="zh-CN" w:bidi="ar-SA"/>
    </w:rPr>
  </w:style>
  <w:style w:type="character" w:styleId="95">
    <w:name w:val="HTML Definition"/>
    <w:unhideWhenUsed/>
    <w:qFormat/>
    <w:uiPriority w:val="0"/>
  </w:style>
  <w:style w:type="character" w:styleId="96">
    <w:name w:val="HTML Variable"/>
    <w:unhideWhenUsed/>
    <w:qFormat/>
    <w:uiPriority w:val="0"/>
  </w:style>
  <w:style w:type="character" w:styleId="97">
    <w:name w:val="Hyperlink"/>
    <w:qFormat/>
    <w:uiPriority w:val="0"/>
    <w:rPr>
      <w:rFonts w:cs="Times New Roman"/>
      <w:color w:val="0066CC"/>
      <w:u w:val="single"/>
    </w:rPr>
  </w:style>
  <w:style w:type="character" w:styleId="98">
    <w:name w:val="HTML Code"/>
    <w:unhideWhenUsed/>
    <w:qFormat/>
    <w:uiPriority w:val="0"/>
    <w:rPr>
      <w:rFonts w:hint="default" w:ascii="Courier New" w:hAnsi="Courier New" w:eastAsia="Times New Roman" w:cs="Times New Roman"/>
      <w:sz w:val="24"/>
      <w:szCs w:val="24"/>
    </w:rPr>
  </w:style>
  <w:style w:type="character" w:styleId="99">
    <w:name w:val="annotation reference"/>
    <w:semiHidden/>
    <w:qFormat/>
    <w:uiPriority w:val="0"/>
    <w:rPr>
      <w:sz w:val="21"/>
      <w:szCs w:val="21"/>
    </w:rPr>
  </w:style>
  <w:style w:type="character" w:styleId="100">
    <w:name w:val="HTML Cite"/>
    <w:unhideWhenUsed/>
    <w:qFormat/>
    <w:uiPriority w:val="0"/>
  </w:style>
  <w:style w:type="character" w:styleId="101">
    <w:name w:val="footnote reference"/>
    <w:qFormat/>
    <w:uiPriority w:val="0"/>
    <w:rPr>
      <w:vertAlign w:val="superscript"/>
    </w:rPr>
  </w:style>
  <w:style w:type="character" w:customStyle="1" w:styleId="102">
    <w:name w:val="宏文本 Char"/>
    <w:link w:val="2"/>
    <w:qFormat/>
    <w:uiPriority w:val="0"/>
    <w:rPr>
      <w:rFonts w:ascii="Courier New" w:hAnsi="Courier New"/>
      <w:kern w:val="2"/>
      <w:sz w:val="24"/>
      <w:szCs w:val="24"/>
      <w:lang w:bidi="ar-SA"/>
    </w:rPr>
  </w:style>
  <w:style w:type="character" w:customStyle="1" w:styleId="103">
    <w:name w:val="标题 1 Char"/>
    <w:link w:val="3"/>
    <w:qFormat/>
    <w:uiPriority w:val="0"/>
    <w:rPr>
      <w:rFonts w:ascii="Times New Roman" w:hAnsi="Times New Roman" w:eastAsia="宋体"/>
      <w:b/>
      <w:bCs/>
      <w:kern w:val="44"/>
      <w:sz w:val="44"/>
      <w:szCs w:val="44"/>
    </w:rPr>
  </w:style>
  <w:style w:type="character" w:customStyle="1" w:styleId="104">
    <w:name w:val="标题 2 Char"/>
    <w:link w:val="4"/>
    <w:qFormat/>
    <w:uiPriority w:val="0"/>
    <w:rPr>
      <w:rFonts w:ascii="宋体" w:hAnsi="宋体" w:eastAsia="黑体"/>
      <w:bCs/>
      <w:i/>
      <w:iCs/>
      <w:kern w:val="2"/>
      <w:sz w:val="24"/>
    </w:rPr>
  </w:style>
  <w:style w:type="character" w:customStyle="1" w:styleId="105">
    <w:name w:val="正文缩进 Char"/>
    <w:link w:val="5"/>
    <w:qFormat/>
    <w:locked/>
    <w:uiPriority w:val="0"/>
    <w:rPr>
      <w:kern w:val="2"/>
      <w:sz w:val="21"/>
      <w:szCs w:val="24"/>
    </w:rPr>
  </w:style>
  <w:style w:type="character" w:customStyle="1" w:styleId="106">
    <w:name w:val="标题 3 Char"/>
    <w:link w:val="6"/>
    <w:qFormat/>
    <w:uiPriority w:val="0"/>
    <w:rPr>
      <w:rFonts w:ascii="Times New Roman" w:hAnsi="Times New Roman" w:eastAsia="宋体"/>
      <w:b/>
      <w:sz w:val="32"/>
      <w:lang w:val="zh-CN"/>
    </w:rPr>
  </w:style>
  <w:style w:type="character" w:customStyle="1" w:styleId="107">
    <w:name w:val="标题 4 Char"/>
    <w:link w:val="7"/>
    <w:qFormat/>
    <w:uiPriority w:val="0"/>
    <w:rPr>
      <w:rFonts w:ascii="Times New Roman" w:hAnsi="Times New Roman" w:eastAsia="宋体"/>
      <w:i/>
      <w:sz w:val="21"/>
    </w:rPr>
  </w:style>
  <w:style w:type="character" w:customStyle="1" w:styleId="108">
    <w:name w:val="标题 5 Char"/>
    <w:link w:val="8"/>
    <w:qFormat/>
    <w:uiPriority w:val="0"/>
    <w:rPr>
      <w:rFonts w:ascii="Times New Roman" w:hAnsi="Times New Roman" w:eastAsia="宋体"/>
      <w:b/>
      <w:sz w:val="28"/>
    </w:rPr>
  </w:style>
  <w:style w:type="character" w:customStyle="1" w:styleId="109">
    <w:name w:val="标题 6 Char"/>
    <w:link w:val="9"/>
    <w:qFormat/>
    <w:uiPriority w:val="0"/>
    <w:rPr>
      <w:rFonts w:ascii="Arial" w:hAnsi="Arial" w:eastAsia="黑体"/>
      <w:b/>
      <w:bCs/>
      <w:sz w:val="24"/>
      <w:szCs w:val="24"/>
    </w:rPr>
  </w:style>
  <w:style w:type="character" w:customStyle="1" w:styleId="110">
    <w:name w:val="标题 7 Char"/>
    <w:link w:val="10"/>
    <w:qFormat/>
    <w:uiPriority w:val="0"/>
    <w:rPr>
      <w:rFonts w:ascii="Times New Roman" w:hAnsi="Times New Roman" w:eastAsia="宋体"/>
      <w:b/>
      <w:bCs/>
      <w:sz w:val="24"/>
      <w:szCs w:val="24"/>
    </w:rPr>
  </w:style>
  <w:style w:type="character" w:customStyle="1" w:styleId="111">
    <w:name w:val="标题 8 Char"/>
    <w:link w:val="11"/>
    <w:qFormat/>
    <w:uiPriority w:val="0"/>
    <w:rPr>
      <w:rFonts w:ascii="Arial" w:hAnsi="Arial" w:eastAsia="黑体"/>
      <w:sz w:val="24"/>
      <w:szCs w:val="24"/>
    </w:rPr>
  </w:style>
  <w:style w:type="character" w:customStyle="1" w:styleId="112">
    <w:name w:val="标题 9 Char"/>
    <w:link w:val="12"/>
    <w:qFormat/>
    <w:uiPriority w:val="0"/>
    <w:rPr>
      <w:rFonts w:ascii="Arial" w:hAnsi="Arial" w:eastAsia="黑体"/>
      <w:sz w:val="21"/>
      <w:szCs w:val="21"/>
    </w:rPr>
  </w:style>
  <w:style w:type="character" w:customStyle="1" w:styleId="113">
    <w:name w:val="注释标题 Char"/>
    <w:link w:val="17"/>
    <w:semiHidden/>
    <w:qFormat/>
    <w:uiPriority w:val="0"/>
    <w:rPr>
      <w:kern w:val="2"/>
      <w:sz w:val="21"/>
      <w:szCs w:val="24"/>
    </w:rPr>
  </w:style>
  <w:style w:type="character" w:customStyle="1" w:styleId="114">
    <w:name w:val="电子邮件签名 Char"/>
    <w:link w:val="20"/>
    <w:semiHidden/>
    <w:qFormat/>
    <w:uiPriority w:val="0"/>
    <w:rPr>
      <w:kern w:val="2"/>
      <w:sz w:val="21"/>
      <w:szCs w:val="24"/>
    </w:rPr>
  </w:style>
  <w:style w:type="character" w:customStyle="1" w:styleId="115">
    <w:name w:val="文档结构图 Char"/>
    <w:link w:val="26"/>
    <w:qFormat/>
    <w:uiPriority w:val="0"/>
    <w:rPr>
      <w:rFonts w:ascii="宋体" w:eastAsia="宋体" w:cs="MingLiU_HKSCS"/>
      <w:color w:val="000000"/>
      <w:sz w:val="18"/>
      <w:szCs w:val="18"/>
      <w:lang w:val="zh-CN"/>
    </w:rPr>
  </w:style>
  <w:style w:type="character" w:customStyle="1" w:styleId="116">
    <w:name w:val="批注文字 Char"/>
    <w:link w:val="28"/>
    <w:qFormat/>
    <w:uiPriority w:val="0"/>
    <w:rPr>
      <w:rFonts w:ascii="Times New Roman" w:hAnsi="Times New Roman" w:eastAsia="宋体"/>
      <w:kern w:val="2"/>
      <w:sz w:val="21"/>
      <w:szCs w:val="24"/>
    </w:rPr>
  </w:style>
  <w:style w:type="character" w:customStyle="1" w:styleId="117">
    <w:name w:val="称呼 Char"/>
    <w:link w:val="30"/>
    <w:semiHidden/>
    <w:qFormat/>
    <w:uiPriority w:val="0"/>
    <w:rPr>
      <w:kern w:val="2"/>
      <w:sz w:val="21"/>
      <w:szCs w:val="24"/>
    </w:rPr>
  </w:style>
  <w:style w:type="character" w:customStyle="1" w:styleId="118">
    <w:name w:val="正文文本 3 Char"/>
    <w:link w:val="31"/>
    <w:qFormat/>
    <w:locked/>
    <w:uiPriority w:val="0"/>
    <w:rPr>
      <w:rFonts w:ascii="宋体" w:hAnsi="Times New Roman" w:eastAsia="宋体" w:cs="Times New Roman"/>
      <w:kern w:val="2"/>
      <w:sz w:val="20"/>
      <w:szCs w:val="20"/>
    </w:rPr>
  </w:style>
  <w:style w:type="character" w:customStyle="1" w:styleId="119">
    <w:name w:val="结束语 Char"/>
    <w:link w:val="32"/>
    <w:semiHidden/>
    <w:qFormat/>
    <w:uiPriority w:val="0"/>
    <w:rPr>
      <w:kern w:val="2"/>
      <w:sz w:val="21"/>
      <w:szCs w:val="24"/>
    </w:rPr>
  </w:style>
  <w:style w:type="character" w:customStyle="1" w:styleId="120">
    <w:name w:val="正文文本 Char"/>
    <w:link w:val="34"/>
    <w:qFormat/>
    <w:uiPriority w:val="0"/>
    <w:rPr>
      <w:rFonts w:ascii="Times New Roman" w:hAnsi="Times New Roman" w:eastAsia="宋体"/>
      <w:kern w:val="2"/>
      <w:sz w:val="21"/>
      <w:szCs w:val="24"/>
    </w:rPr>
  </w:style>
  <w:style w:type="character" w:customStyle="1" w:styleId="121">
    <w:name w:val="正文文本缩进 Char"/>
    <w:link w:val="35"/>
    <w:qFormat/>
    <w:uiPriority w:val="0"/>
    <w:rPr>
      <w:rFonts w:ascii="Times New Roman" w:hAnsi="Times New Roman" w:eastAsia="宋体"/>
      <w:kern w:val="2"/>
      <w:sz w:val="21"/>
      <w:szCs w:val="24"/>
    </w:rPr>
  </w:style>
  <w:style w:type="character" w:customStyle="1" w:styleId="122">
    <w:name w:val="HTML 地址 Char"/>
    <w:link w:val="41"/>
    <w:semiHidden/>
    <w:qFormat/>
    <w:uiPriority w:val="0"/>
    <w:rPr>
      <w:i/>
      <w:iCs/>
      <w:kern w:val="2"/>
      <w:sz w:val="21"/>
      <w:szCs w:val="24"/>
    </w:rPr>
  </w:style>
  <w:style w:type="character" w:customStyle="1" w:styleId="123">
    <w:name w:val="目录 3 Char"/>
    <w:link w:val="44"/>
    <w:qFormat/>
    <w:locked/>
    <w:uiPriority w:val="99"/>
    <w:rPr>
      <w:rFonts w:ascii="MingLiU" w:eastAsia="MingLiU" w:cs="MingLiU"/>
      <w:b/>
      <w:bCs/>
      <w:spacing w:val="10"/>
      <w:sz w:val="20"/>
      <w:szCs w:val="20"/>
      <w:u w:val="none"/>
    </w:rPr>
  </w:style>
  <w:style w:type="character" w:customStyle="1" w:styleId="124">
    <w:name w:val="纯文本 Char1"/>
    <w:link w:val="45"/>
    <w:qFormat/>
    <w:uiPriority w:val="0"/>
    <w:rPr>
      <w:rFonts w:ascii="宋体" w:hAnsi="Courier New" w:eastAsia="宋体"/>
      <w:kern w:val="2"/>
      <w:sz w:val="21"/>
    </w:rPr>
  </w:style>
  <w:style w:type="character" w:customStyle="1" w:styleId="125">
    <w:name w:val="日期 Char"/>
    <w:link w:val="50"/>
    <w:qFormat/>
    <w:uiPriority w:val="0"/>
    <w:rPr>
      <w:rFonts w:ascii="Times New Roman" w:hAnsi="Times New Roman" w:eastAsia="宋体"/>
      <w:kern w:val="2"/>
      <w:sz w:val="24"/>
    </w:rPr>
  </w:style>
  <w:style w:type="character" w:customStyle="1" w:styleId="126">
    <w:name w:val="正文文本缩进 2 Char"/>
    <w:link w:val="51"/>
    <w:qFormat/>
    <w:uiPriority w:val="0"/>
    <w:rPr>
      <w:rFonts w:ascii="宋体" w:hAnsi="宋体" w:eastAsia="宋体"/>
      <w:kern w:val="2"/>
      <w:sz w:val="27"/>
      <w:szCs w:val="27"/>
    </w:rPr>
  </w:style>
  <w:style w:type="character" w:customStyle="1" w:styleId="127">
    <w:name w:val="尾注文本 Char"/>
    <w:link w:val="52"/>
    <w:qFormat/>
    <w:uiPriority w:val="0"/>
    <w:rPr>
      <w:rFonts w:ascii="Times New Roman" w:hAnsi="Times New Roman" w:eastAsia="宋体"/>
      <w:kern w:val="2"/>
      <w:sz w:val="21"/>
      <w:szCs w:val="24"/>
    </w:rPr>
  </w:style>
  <w:style w:type="character" w:customStyle="1" w:styleId="128">
    <w:name w:val="批注框文本 Char"/>
    <w:link w:val="54"/>
    <w:qFormat/>
    <w:locked/>
    <w:uiPriority w:val="0"/>
    <w:rPr>
      <w:rFonts w:cs="MingLiU_HKSCS"/>
      <w:color w:val="000000"/>
      <w:sz w:val="18"/>
      <w:szCs w:val="18"/>
      <w:lang w:val="zh-CN"/>
    </w:rPr>
  </w:style>
  <w:style w:type="character" w:customStyle="1" w:styleId="129">
    <w:name w:val="页脚 Char"/>
    <w:link w:val="55"/>
    <w:qFormat/>
    <w:locked/>
    <w:uiPriority w:val="99"/>
    <w:rPr>
      <w:rFonts w:cs="MingLiU_HKSCS"/>
      <w:color w:val="000000"/>
      <w:sz w:val="18"/>
      <w:szCs w:val="18"/>
      <w:lang w:val="zh-CN"/>
    </w:rPr>
  </w:style>
  <w:style w:type="character" w:customStyle="1" w:styleId="130">
    <w:name w:val="页眉 Char"/>
    <w:link w:val="57"/>
    <w:qFormat/>
    <w:locked/>
    <w:uiPriority w:val="0"/>
    <w:rPr>
      <w:rFonts w:cs="MingLiU_HKSCS"/>
      <w:color w:val="000000"/>
      <w:sz w:val="18"/>
      <w:szCs w:val="18"/>
      <w:lang w:val="zh-CN"/>
    </w:rPr>
  </w:style>
  <w:style w:type="character" w:customStyle="1" w:styleId="131">
    <w:name w:val="签名 Char"/>
    <w:link w:val="58"/>
    <w:semiHidden/>
    <w:qFormat/>
    <w:uiPriority w:val="0"/>
    <w:rPr>
      <w:kern w:val="2"/>
      <w:sz w:val="21"/>
      <w:szCs w:val="24"/>
    </w:rPr>
  </w:style>
  <w:style w:type="character" w:customStyle="1" w:styleId="132">
    <w:name w:val="副标题 Char"/>
    <w:link w:val="64"/>
    <w:qFormat/>
    <w:uiPriority w:val="0"/>
    <w:rPr>
      <w:rFonts w:ascii="Arial" w:hAnsi="Arial" w:cs="Arial"/>
      <w:b/>
      <w:bCs/>
      <w:kern w:val="28"/>
      <w:sz w:val="32"/>
      <w:szCs w:val="32"/>
    </w:rPr>
  </w:style>
  <w:style w:type="character" w:customStyle="1" w:styleId="133">
    <w:name w:val="脚注文本 Char1"/>
    <w:link w:val="67"/>
    <w:qFormat/>
    <w:uiPriority w:val="99"/>
    <w:rPr>
      <w:rFonts w:ascii="Times New Roman" w:hAnsi="Times New Roman" w:eastAsia="宋体"/>
      <w:sz w:val="18"/>
      <w:szCs w:val="20"/>
    </w:rPr>
  </w:style>
  <w:style w:type="character" w:customStyle="1" w:styleId="134">
    <w:name w:val="正文文本缩进 3 Char"/>
    <w:link w:val="70"/>
    <w:qFormat/>
    <w:uiPriority w:val="0"/>
    <w:rPr>
      <w:rFonts w:ascii="Times New Roman" w:hAnsi="Times New Roman" w:eastAsia="宋体"/>
      <w:kern w:val="2"/>
      <w:sz w:val="16"/>
      <w:szCs w:val="16"/>
    </w:rPr>
  </w:style>
  <w:style w:type="character" w:customStyle="1" w:styleId="135">
    <w:name w:val="目录 2 Char"/>
    <w:link w:val="74"/>
    <w:qFormat/>
    <w:locked/>
    <w:uiPriority w:val="99"/>
    <w:rPr>
      <w:rFonts w:ascii="MingLiU" w:eastAsia="MingLiU" w:cs="MingLiU"/>
      <w:sz w:val="20"/>
      <w:szCs w:val="20"/>
      <w:u w:val="none"/>
    </w:rPr>
  </w:style>
  <w:style w:type="character" w:customStyle="1" w:styleId="136">
    <w:name w:val="正文文本 2 Char"/>
    <w:link w:val="76"/>
    <w:qFormat/>
    <w:uiPriority w:val="0"/>
    <w:rPr>
      <w:rFonts w:ascii="Times New Roman" w:hAnsi="Times New Roman" w:eastAsia="宋体"/>
      <w:kern w:val="2"/>
      <w:sz w:val="21"/>
      <w:szCs w:val="24"/>
    </w:rPr>
  </w:style>
  <w:style w:type="character" w:customStyle="1" w:styleId="137">
    <w:name w:val="信息标题 Char"/>
    <w:link w:val="79"/>
    <w:semiHidden/>
    <w:qFormat/>
    <w:uiPriority w:val="0"/>
    <w:rPr>
      <w:rFonts w:ascii="Arial" w:hAnsi="Arial" w:cs="Arial"/>
      <w:kern w:val="2"/>
      <w:sz w:val="24"/>
      <w:szCs w:val="24"/>
      <w:shd w:val="pct20" w:color="auto" w:fill="auto"/>
    </w:rPr>
  </w:style>
  <w:style w:type="character" w:customStyle="1" w:styleId="138">
    <w:name w:val="HTML 预设格式 Char"/>
    <w:link w:val="80"/>
    <w:semiHidden/>
    <w:qFormat/>
    <w:uiPriority w:val="0"/>
    <w:rPr>
      <w:rFonts w:ascii="Courier New" w:hAnsi="Courier New" w:cs="Courier New"/>
      <w:kern w:val="2"/>
    </w:rPr>
  </w:style>
  <w:style w:type="character" w:customStyle="1" w:styleId="139">
    <w:name w:val="标题 Char"/>
    <w:link w:val="84"/>
    <w:qFormat/>
    <w:uiPriority w:val="0"/>
    <w:rPr>
      <w:rFonts w:ascii="Arial" w:hAnsi="Arial" w:eastAsia="宋体"/>
      <w:b/>
      <w:sz w:val="32"/>
    </w:rPr>
  </w:style>
  <w:style w:type="character" w:customStyle="1" w:styleId="140">
    <w:name w:val="批注主题 Char"/>
    <w:link w:val="85"/>
    <w:semiHidden/>
    <w:qFormat/>
    <w:uiPriority w:val="0"/>
    <w:rPr>
      <w:rFonts w:ascii="Times New Roman" w:hAnsi="Times New Roman" w:eastAsia="宋体"/>
      <w:b/>
      <w:bCs/>
      <w:kern w:val="2"/>
      <w:sz w:val="21"/>
      <w:szCs w:val="24"/>
    </w:rPr>
  </w:style>
  <w:style w:type="character" w:customStyle="1" w:styleId="141">
    <w:name w:val="正文首行缩进 Char2"/>
    <w:link w:val="86"/>
    <w:semiHidden/>
    <w:qFormat/>
    <w:uiPriority w:val="0"/>
  </w:style>
  <w:style w:type="character" w:customStyle="1" w:styleId="142">
    <w:name w:val="正文首行缩进 2 Char"/>
    <w:link w:val="87"/>
    <w:semiHidden/>
    <w:qFormat/>
    <w:uiPriority w:val="0"/>
    <w:rPr>
      <w:rFonts w:ascii="宋体" w:hAnsi="宋体" w:eastAsia="宋体"/>
      <w:color w:val="FF0000"/>
      <w:kern w:val="2"/>
      <w:sz w:val="21"/>
      <w:szCs w:val="24"/>
    </w:rPr>
  </w:style>
  <w:style w:type="character" w:customStyle="1" w:styleId="143">
    <w:name w:val="正文文本 (2) + 10 pt15"/>
    <w:qFormat/>
    <w:uiPriority w:val="99"/>
    <w:rPr>
      <w:rFonts w:ascii="MingLiU" w:eastAsia="MingLiU" w:cs="MingLiU"/>
      <w:spacing w:val="90"/>
      <w:sz w:val="20"/>
      <w:szCs w:val="20"/>
      <w:u w:val="none"/>
    </w:rPr>
  </w:style>
  <w:style w:type="character" w:customStyle="1" w:styleId="144">
    <w:name w:val=" Char Char8"/>
    <w:qFormat/>
    <w:uiPriority w:val="0"/>
    <w:rPr>
      <w:rFonts w:ascii="宋体" w:hAnsi="Courier New" w:eastAsia="宋体"/>
      <w:kern w:val="2"/>
      <w:sz w:val="21"/>
      <w:szCs w:val="21"/>
      <w:lang w:val="en-US" w:eastAsia="zh-CN" w:bidi="ar-SA"/>
    </w:rPr>
  </w:style>
  <w:style w:type="character" w:customStyle="1" w:styleId="145">
    <w:name w:val="正文文本 (7) + AngsanaUPC"/>
    <w:qFormat/>
    <w:uiPriority w:val="99"/>
    <w:rPr>
      <w:rFonts w:ascii="AngsanaUPC" w:hAnsi="AngsanaUPC" w:eastAsia="MingLiU" w:cs="AngsanaUPC"/>
      <w:b/>
      <w:bCs/>
      <w:spacing w:val="0"/>
      <w:sz w:val="20"/>
      <w:szCs w:val="20"/>
      <w:u w:val="none"/>
      <w:lang w:val="en-US" w:eastAsia="en-US"/>
    </w:rPr>
  </w:style>
  <w:style w:type="character" w:customStyle="1" w:styleId="146">
    <w:name w:val="页眉或页脚 + 间距 1 pt"/>
    <w:qFormat/>
    <w:uiPriority w:val="99"/>
    <w:rPr>
      <w:rFonts w:ascii="MingLiU" w:eastAsia="MingLiU" w:cs="MingLiU"/>
      <w:spacing w:val="30"/>
      <w:sz w:val="20"/>
      <w:szCs w:val="20"/>
      <w:u w:val="none"/>
    </w:rPr>
  </w:style>
  <w:style w:type="character" w:customStyle="1" w:styleId="147">
    <w:name w:val="正文文本 (2) + 10 pt23"/>
    <w:qFormat/>
    <w:uiPriority w:val="99"/>
    <w:rPr>
      <w:rFonts w:ascii="MingLiU" w:eastAsia="MingLiU" w:cs="MingLiU"/>
      <w:b/>
      <w:bCs/>
      <w:spacing w:val="0"/>
      <w:sz w:val="20"/>
      <w:szCs w:val="20"/>
      <w:u w:val="none"/>
    </w:rPr>
  </w:style>
  <w:style w:type="character" w:customStyle="1" w:styleId="148">
    <w:name w:val="正文文本 (2) + Sylfaen7"/>
    <w:qFormat/>
    <w:uiPriority w:val="99"/>
    <w:rPr>
      <w:rFonts w:ascii="Sylfaen" w:hAnsi="Sylfaen" w:eastAsia="MingLiU" w:cs="Sylfaen"/>
      <w:spacing w:val="0"/>
      <w:sz w:val="22"/>
      <w:szCs w:val="22"/>
      <w:u w:val="none"/>
      <w:lang w:val="en-US" w:eastAsia="en-US"/>
    </w:rPr>
  </w:style>
  <w:style w:type="character" w:customStyle="1" w:styleId="149">
    <w:name w:val="正文文本 (2) + 10 pt26"/>
    <w:qFormat/>
    <w:uiPriority w:val="99"/>
    <w:rPr>
      <w:rFonts w:ascii="MingLiU" w:eastAsia="MingLiU" w:cs="MingLiU"/>
      <w:b/>
      <w:bCs/>
      <w:spacing w:val="-10"/>
      <w:sz w:val="20"/>
      <w:szCs w:val="20"/>
      <w:u w:val="none"/>
      <w:lang w:val="en-US" w:eastAsia="en-US"/>
    </w:rPr>
  </w:style>
  <w:style w:type="character" w:customStyle="1" w:styleId="150">
    <w:name w:val="标题 字符"/>
    <w:qFormat/>
    <w:uiPriority w:val="0"/>
    <w:rPr>
      <w:rFonts w:ascii="Arial" w:hAnsi="Arial" w:cs="Arial"/>
      <w:b/>
      <w:bCs/>
      <w:kern w:val="2"/>
      <w:sz w:val="32"/>
      <w:szCs w:val="32"/>
    </w:rPr>
  </w:style>
  <w:style w:type="character" w:customStyle="1" w:styleId="151">
    <w:name w:val="标题 #4 + Sylfaen"/>
    <w:qFormat/>
    <w:uiPriority w:val="99"/>
    <w:rPr>
      <w:rFonts w:ascii="Sylfaen" w:hAnsi="Sylfaen" w:eastAsia="MingLiU" w:cs="Sylfaen"/>
      <w:b/>
      <w:bCs/>
      <w:sz w:val="30"/>
      <w:szCs w:val="30"/>
      <w:u w:val="none"/>
      <w:lang w:val="en-US" w:eastAsia="en-US"/>
    </w:rPr>
  </w:style>
  <w:style w:type="character" w:customStyle="1" w:styleId="152">
    <w:name w:val="正文文本 (2) + 10 pt231"/>
    <w:qFormat/>
    <w:uiPriority w:val="99"/>
    <w:rPr>
      <w:rFonts w:ascii="MingLiU" w:eastAsia="MingLiU" w:cs="MingLiU"/>
      <w:b/>
      <w:bCs/>
      <w:spacing w:val="0"/>
      <w:sz w:val="20"/>
      <w:szCs w:val="20"/>
      <w:u w:val="none"/>
    </w:rPr>
  </w:style>
  <w:style w:type="character" w:customStyle="1" w:styleId="153">
    <w:name w:val="正文文本 (2) + 10 pt27"/>
    <w:qFormat/>
    <w:uiPriority w:val="99"/>
    <w:rPr>
      <w:rFonts w:ascii="MingLiU" w:eastAsia="MingLiU" w:cs="MingLiU"/>
      <w:spacing w:val="0"/>
      <w:w w:val="100"/>
      <w:sz w:val="20"/>
      <w:szCs w:val="20"/>
      <w:u w:val="none"/>
      <w:lang w:val="en-US" w:eastAsia="en-US"/>
    </w:rPr>
  </w:style>
  <w:style w:type="character" w:customStyle="1" w:styleId="154">
    <w:name w:val="正文文本 (2) + Courier New"/>
    <w:qFormat/>
    <w:uiPriority w:val="99"/>
    <w:rPr>
      <w:rFonts w:ascii="Courier New" w:hAnsi="Courier New" w:eastAsia="MingLiU" w:cs="Courier New"/>
      <w:b/>
      <w:bCs/>
      <w:spacing w:val="0"/>
      <w:sz w:val="15"/>
      <w:szCs w:val="15"/>
      <w:u w:val="none"/>
      <w:lang w:val="en-US" w:eastAsia="en-US"/>
    </w:rPr>
  </w:style>
  <w:style w:type="character" w:customStyle="1" w:styleId="155">
    <w:name w:val="正文文本 (14) + Sylfaen1"/>
    <w:qFormat/>
    <w:uiPriority w:val="99"/>
    <w:rPr>
      <w:rFonts w:ascii="Sylfaen" w:hAnsi="Sylfaen" w:eastAsia="MingLiU" w:cs="Sylfaen"/>
      <w:sz w:val="23"/>
      <w:szCs w:val="23"/>
      <w:u w:val="none"/>
      <w:lang w:val="en-US" w:eastAsia="en-US"/>
    </w:rPr>
  </w:style>
  <w:style w:type="character" w:customStyle="1" w:styleId="156">
    <w:name w:val="正文文本 (30)_"/>
    <w:link w:val="157"/>
    <w:qFormat/>
    <w:locked/>
    <w:uiPriority w:val="99"/>
    <w:rPr>
      <w:rFonts w:ascii="AngsanaUPC" w:hAnsi="AngsanaUPC" w:cs="AngsanaUPC"/>
      <w:sz w:val="36"/>
      <w:szCs w:val="36"/>
      <w:u w:val="none"/>
      <w:lang w:val="en-US" w:eastAsia="en-US"/>
    </w:rPr>
  </w:style>
  <w:style w:type="paragraph" w:customStyle="1" w:styleId="157">
    <w:name w:val="正文文本 (30)"/>
    <w:basedOn w:val="1"/>
    <w:link w:val="156"/>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158">
    <w:name w:val="表格标题 (5)_"/>
    <w:link w:val="159"/>
    <w:qFormat/>
    <w:locked/>
    <w:uiPriority w:val="99"/>
    <w:rPr>
      <w:rFonts w:ascii="MingLiU" w:eastAsia="MingLiU" w:cs="MingLiU"/>
      <w:sz w:val="22"/>
      <w:szCs w:val="22"/>
      <w:u w:val="none"/>
    </w:rPr>
  </w:style>
  <w:style w:type="paragraph" w:customStyle="1" w:styleId="159">
    <w:name w:val="表格标题 (5)"/>
    <w:basedOn w:val="1"/>
    <w:link w:val="158"/>
    <w:qFormat/>
    <w:uiPriority w:val="99"/>
    <w:pPr>
      <w:shd w:val="clear" w:color="auto" w:fill="FFFFFF"/>
      <w:spacing w:line="240" w:lineRule="atLeast"/>
    </w:pPr>
    <w:rPr>
      <w:rFonts w:ascii="MingLiU" w:eastAsia="MingLiU" w:cs="Times New Roman"/>
      <w:color w:val="auto"/>
      <w:sz w:val="22"/>
      <w:szCs w:val="22"/>
    </w:rPr>
  </w:style>
  <w:style w:type="character" w:customStyle="1" w:styleId="160">
    <w:name w:val="正文文本 (9)_"/>
    <w:link w:val="161"/>
    <w:qFormat/>
    <w:locked/>
    <w:uiPriority w:val="99"/>
    <w:rPr>
      <w:rFonts w:ascii="MingLiU" w:eastAsia="MingLiU" w:cs="MingLiU"/>
      <w:spacing w:val="80"/>
      <w:sz w:val="24"/>
      <w:szCs w:val="24"/>
      <w:u w:val="none"/>
    </w:rPr>
  </w:style>
  <w:style w:type="paragraph" w:customStyle="1" w:styleId="161">
    <w:name w:val="正文文本 (9)"/>
    <w:basedOn w:val="1"/>
    <w:link w:val="160"/>
    <w:qFormat/>
    <w:uiPriority w:val="99"/>
    <w:pPr>
      <w:shd w:val="clear" w:color="auto" w:fill="FFFFFF"/>
      <w:spacing w:before="540" w:line="602" w:lineRule="exact"/>
    </w:pPr>
    <w:rPr>
      <w:rFonts w:ascii="MingLiU" w:eastAsia="MingLiU" w:cs="Times New Roman"/>
      <w:color w:val="auto"/>
      <w:spacing w:val="80"/>
    </w:rPr>
  </w:style>
  <w:style w:type="character" w:customStyle="1" w:styleId="162">
    <w:name w:val="表格标题 (7)_"/>
    <w:link w:val="163"/>
    <w:qFormat/>
    <w:locked/>
    <w:uiPriority w:val="99"/>
    <w:rPr>
      <w:rFonts w:ascii="MingLiU" w:eastAsia="MingLiU" w:cs="MingLiU"/>
      <w:sz w:val="20"/>
      <w:szCs w:val="20"/>
      <w:u w:val="none"/>
    </w:rPr>
  </w:style>
  <w:style w:type="paragraph" w:customStyle="1" w:styleId="163">
    <w:name w:val="表格标题 (7)"/>
    <w:basedOn w:val="1"/>
    <w:link w:val="162"/>
    <w:qFormat/>
    <w:uiPriority w:val="99"/>
    <w:pPr>
      <w:shd w:val="clear" w:color="auto" w:fill="FFFFFF"/>
      <w:spacing w:line="240" w:lineRule="atLeast"/>
    </w:pPr>
    <w:rPr>
      <w:rFonts w:ascii="MingLiU" w:eastAsia="MingLiU" w:cs="Times New Roman"/>
      <w:color w:val="auto"/>
      <w:sz w:val="20"/>
      <w:szCs w:val="20"/>
    </w:rPr>
  </w:style>
  <w:style w:type="character" w:customStyle="1" w:styleId="164">
    <w:name w:val="正文文本 (3) + 间距 4 pt"/>
    <w:qFormat/>
    <w:uiPriority w:val="99"/>
    <w:rPr>
      <w:rFonts w:ascii="MingLiU" w:eastAsia="MingLiU" w:cs="MingLiU"/>
      <w:spacing w:val="90"/>
      <w:sz w:val="34"/>
      <w:szCs w:val="34"/>
      <w:u w:val="none"/>
    </w:rPr>
  </w:style>
  <w:style w:type="character" w:customStyle="1" w:styleId="165">
    <w:name w:val="正文-报告 Char"/>
    <w:link w:val="166"/>
    <w:qFormat/>
    <w:locked/>
    <w:uiPriority w:val="0"/>
    <w:rPr>
      <w:sz w:val="24"/>
    </w:rPr>
  </w:style>
  <w:style w:type="paragraph" w:customStyle="1" w:styleId="166">
    <w:name w:val="正文-报告"/>
    <w:basedOn w:val="1"/>
    <w:link w:val="165"/>
    <w:qFormat/>
    <w:uiPriority w:val="0"/>
    <w:pPr>
      <w:autoSpaceDE w:val="0"/>
      <w:autoSpaceDN w:val="0"/>
      <w:spacing w:beforeLines="20" w:line="312" w:lineRule="auto"/>
      <w:ind w:firstLine="200" w:firstLineChars="200"/>
      <w:jc w:val="both"/>
    </w:pPr>
    <w:rPr>
      <w:rFonts w:cs="Times New Roman"/>
      <w:color w:val="auto"/>
      <w:szCs w:val="20"/>
    </w:rPr>
  </w:style>
  <w:style w:type="character" w:customStyle="1" w:styleId="167">
    <w:name w:val="正文文本 (2) + AngsanaUPC4"/>
    <w:qFormat/>
    <w:uiPriority w:val="99"/>
    <w:rPr>
      <w:rFonts w:ascii="AngsanaUPC" w:hAnsi="AngsanaUPC" w:eastAsia="MingLiU" w:cs="AngsanaUPC"/>
      <w:b/>
      <w:bCs/>
      <w:spacing w:val="0"/>
      <w:sz w:val="20"/>
      <w:szCs w:val="20"/>
      <w:u w:val="none"/>
      <w:lang w:val="en-US" w:eastAsia="en-US"/>
    </w:rPr>
  </w:style>
  <w:style w:type="character" w:customStyle="1" w:styleId="168">
    <w:name w:val="fontstyle41"/>
    <w:basedOn w:val="90"/>
    <w:qFormat/>
    <w:uiPriority w:val="0"/>
    <w:rPr>
      <w:rFonts w:hint="default" w:ascii="Times New Roman" w:hAnsi="Times New Roman" w:cs="Times New Roman"/>
      <w:color w:val="000000"/>
      <w:sz w:val="24"/>
      <w:szCs w:val="24"/>
    </w:rPr>
  </w:style>
  <w:style w:type="character" w:customStyle="1" w:styleId="169">
    <w:name w:val="正文文本 (24) + 间距 3 pt"/>
    <w:qFormat/>
    <w:uiPriority w:val="99"/>
    <w:rPr>
      <w:rFonts w:ascii="MingLiU" w:eastAsia="MingLiU" w:cs="MingLiU"/>
      <w:spacing w:val="60"/>
      <w:sz w:val="42"/>
      <w:szCs w:val="42"/>
      <w:u w:val="none"/>
    </w:rPr>
  </w:style>
  <w:style w:type="character" w:customStyle="1" w:styleId="170">
    <w:name w:val="标题 #6 (5) + 间距 0 pt"/>
    <w:qFormat/>
    <w:uiPriority w:val="99"/>
    <w:rPr>
      <w:rFonts w:ascii="MingLiU" w:eastAsia="MingLiU" w:cs="MingLiU"/>
      <w:spacing w:val="0"/>
      <w:sz w:val="30"/>
      <w:szCs w:val="30"/>
      <w:u w:val="none"/>
    </w:rPr>
  </w:style>
  <w:style w:type="character" w:customStyle="1" w:styleId="171">
    <w:name w:val="正文文本 (37)_"/>
    <w:link w:val="172"/>
    <w:qFormat/>
    <w:locked/>
    <w:uiPriority w:val="99"/>
    <w:rPr>
      <w:rFonts w:ascii="AngsanaUPC" w:hAnsi="AngsanaUPC" w:cs="AngsanaUPC"/>
      <w:sz w:val="36"/>
      <w:szCs w:val="36"/>
      <w:u w:val="none"/>
      <w:lang w:val="en-US" w:eastAsia="en-US"/>
    </w:rPr>
  </w:style>
  <w:style w:type="paragraph" w:customStyle="1" w:styleId="172">
    <w:name w:val="正文文本 (37)"/>
    <w:basedOn w:val="1"/>
    <w:link w:val="171"/>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173">
    <w:name w:val="Char Char3"/>
    <w:qFormat/>
    <w:uiPriority w:val="0"/>
    <w:rPr>
      <w:rFonts w:hint="eastAsia" w:ascii="宋体" w:hAnsi="Courier New" w:eastAsia="宋体" w:cs="Courier New"/>
      <w:kern w:val="2"/>
      <w:sz w:val="21"/>
      <w:szCs w:val="21"/>
    </w:rPr>
  </w:style>
  <w:style w:type="character" w:customStyle="1" w:styleId="174">
    <w:name w:val="正文文本 (39)_"/>
    <w:link w:val="175"/>
    <w:qFormat/>
    <w:locked/>
    <w:uiPriority w:val="99"/>
    <w:rPr>
      <w:rFonts w:ascii="MingLiU" w:eastAsia="MingLiU" w:cs="MingLiU"/>
      <w:spacing w:val="40"/>
      <w:sz w:val="21"/>
      <w:szCs w:val="21"/>
      <w:u w:val="none"/>
    </w:rPr>
  </w:style>
  <w:style w:type="paragraph" w:customStyle="1" w:styleId="175">
    <w:name w:val="正文文本 (39)"/>
    <w:basedOn w:val="1"/>
    <w:link w:val="174"/>
    <w:qFormat/>
    <w:uiPriority w:val="99"/>
    <w:pPr>
      <w:shd w:val="clear" w:color="auto" w:fill="FFFFFF"/>
      <w:spacing w:line="398" w:lineRule="exact"/>
      <w:ind w:firstLine="460"/>
    </w:pPr>
    <w:rPr>
      <w:rFonts w:ascii="MingLiU" w:eastAsia="MingLiU" w:cs="Times New Roman"/>
      <w:color w:val="auto"/>
      <w:spacing w:val="40"/>
      <w:sz w:val="21"/>
      <w:szCs w:val="21"/>
    </w:rPr>
  </w:style>
  <w:style w:type="character" w:customStyle="1" w:styleId="176">
    <w:name w:val="正文文本 (14) + AngsanaUPC"/>
    <w:qFormat/>
    <w:uiPriority w:val="99"/>
    <w:rPr>
      <w:rFonts w:ascii="AngsanaUPC" w:hAnsi="AngsanaUPC" w:eastAsia="MingLiU" w:cs="AngsanaUPC"/>
      <w:sz w:val="26"/>
      <w:szCs w:val="26"/>
      <w:u w:val="none"/>
      <w:lang w:val="en-US" w:eastAsia="en-US"/>
    </w:rPr>
  </w:style>
  <w:style w:type="character" w:customStyle="1" w:styleId="177">
    <w:name w:val="正文文本 (22)_"/>
    <w:link w:val="178"/>
    <w:qFormat/>
    <w:locked/>
    <w:uiPriority w:val="99"/>
    <w:rPr>
      <w:rFonts w:ascii="CordiaUPC" w:hAnsi="CordiaUPC" w:cs="CordiaUPC"/>
      <w:sz w:val="40"/>
      <w:szCs w:val="40"/>
      <w:u w:val="none"/>
      <w:lang w:val="en-US" w:eastAsia="en-US"/>
    </w:rPr>
  </w:style>
  <w:style w:type="paragraph" w:customStyle="1" w:styleId="178">
    <w:name w:val="正文文本 (22)"/>
    <w:basedOn w:val="1"/>
    <w:link w:val="177"/>
    <w:qFormat/>
    <w:uiPriority w:val="99"/>
    <w:pPr>
      <w:shd w:val="clear" w:color="auto" w:fill="FFFFFF"/>
      <w:spacing w:before="1080" w:after="1080" w:line="240" w:lineRule="atLeast"/>
      <w:jc w:val="both"/>
    </w:pPr>
    <w:rPr>
      <w:rFonts w:ascii="CordiaUPC" w:hAnsi="CordiaUPC" w:cs="Times New Roman"/>
      <w:color w:val="auto"/>
      <w:sz w:val="40"/>
      <w:szCs w:val="40"/>
      <w:lang w:val="en-US" w:eastAsia="en-US"/>
    </w:rPr>
  </w:style>
  <w:style w:type="character" w:customStyle="1" w:styleId="179">
    <w:name w:val="place3"/>
    <w:qFormat/>
    <w:uiPriority w:val="0"/>
  </w:style>
  <w:style w:type="character" w:customStyle="1" w:styleId="180">
    <w:name w:val="正文文本 (2) + 间距 -1 pt1"/>
    <w:qFormat/>
    <w:uiPriority w:val="99"/>
    <w:rPr>
      <w:rFonts w:ascii="MingLiU" w:eastAsia="MingLiU" w:cs="MingLiU"/>
      <w:spacing w:val="-30"/>
      <w:sz w:val="22"/>
      <w:szCs w:val="22"/>
      <w:u w:val="none"/>
      <w:lang w:val="en-US" w:eastAsia="en-US"/>
    </w:rPr>
  </w:style>
  <w:style w:type="character" w:customStyle="1" w:styleId="181">
    <w:name w:val="正文文本 (2) + 10 pt32"/>
    <w:qFormat/>
    <w:uiPriority w:val="99"/>
    <w:rPr>
      <w:rFonts w:ascii="MingLiU" w:eastAsia="MingLiU" w:cs="MingLiU"/>
      <w:spacing w:val="110"/>
      <w:sz w:val="20"/>
      <w:szCs w:val="20"/>
      <w:u w:val="none"/>
    </w:rPr>
  </w:style>
  <w:style w:type="character" w:customStyle="1" w:styleId="182">
    <w:name w:val="页眉 Char1"/>
    <w:semiHidden/>
    <w:qFormat/>
    <w:uiPriority w:val="99"/>
    <w:rPr>
      <w:rFonts w:hint="default" w:ascii="Calibri" w:hAnsi="Calibri"/>
      <w:kern w:val="2"/>
      <w:sz w:val="18"/>
      <w:szCs w:val="18"/>
    </w:rPr>
  </w:style>
  <w:style w:type="character" w:customStyle="1" w:styleId="183">
    <w:name w:val="正文文本 (2)2"/>
    <w:qFormat/>
    <w:uiPriority w:val="99"/>
  </w:style>
  <w:style w:type="character" w:customStyle="1" w:styleId="184">
    <w:name w:val="表格标题 (2)_"/>
    <w:link w:val="185"/>
    <w:qFormat/>
    <w:locked/>
    <w:uiPriority w:val="99"/>
    <w:rPr>
      <w:rFonts w:ascii="MingLiU" w:eastAsia="MingLiU" w:cs="MingLiU"/>
      <w:sz w:val="18"/>
      <w:szCs w:val="18"/>
      <w:u w:val="none"/>
    </w:rPr>
  </w:style>
  <w:style w:type="paragraph" w:customStyle="1" w:styleId="185">
    <w:name w:val="表格标题 (2)"/>
    <w:basedOn w:val="1"/>
    <w:link w:val="184"/>
    <w:qFormat/>
    <w:uiPriority w:val="99"/>
    <w:pPr>
      <w:shd w:val="clear" w:color="auto" w:fill="FFFFFF"/>
      <w:spacing w:line="319" w:lineRule="exact"/>
    </w:pPr>
    <w:rPr>
      <w:rFonts w:ascii="MingLiU" w:eastAsia="MingLiU" w:cs="Times New Roman"/>
      <w:color w:val="auto"/>
      <w:sz w:val="18"/>
      <w:szCs w:val="18"/>
    </w:rPr>
  </w:style>
  <w:style w:type="character" w:customStyle="1" w:styleId="186">
    <w:name w:val="hover42"/>
    <w:qFormat/>
    <w:uiPriority w:val="0"/>
  </w:style>
  <w:style w:type="character" w:customStyle="1" w:styleId="187">
    <w:name w:val="样式 标题2 + (中文) 宋体 Char"/>
    <w:qFormat/>
    <w:uiPriority w:val="0"/>
    <w:rPr>
      <w:rFonts w:hint="eastAsia" w:ascii="黑体" w:hAnsi="黑体" w:eastAsia="黑体"/>
      <w:b/>
      <w:bCs/>
      <w:kern w:val="44"/>
      <w:sz w:val="30"/>
      <w:szCs w:val="24"/>
    </w:rPr>
  </w:style>
  <w:style w:type="character" w:customStyle="1" w:styleId="188">
    <w:name w:val="表格标题 (4)_"/>
    <w:link w:val="189"/>
    <w:qFormat/>
    <w:locked/>
    <w:uiPriority w:val="99"/>
    <w:rPr>
      <w:rFonts w:ascii="MingLiU" w:eastAsia="MingLiU" w:cs="MingLiU"/>
      <w:b/>
      <w:bCs/>
      <w:sz w:val="22"/>
      <w:szCs w:val="22"/>
      <w:u w:val="none"/>
    </w:rPr>
  </w:style>
  <w:style w:type="paragraph" w:customStyle="1" w:styleId="189">
    <w:name w:val="表格标题 (4)"/>
    <w:basedOn w:val="1"/>
    <w:link w:val="188"/>
    <w:qFormat/>
    <w:uiPriority w:val="99"/>
    <w:pPr>
      <w:shd w:val="clear" w:color="auto" w:fill="FFFFFF"/>
      <w:spacing w:line="240" w:lineRule="atLeast"/>
    </w:pPr>
    <w:rPr>
      <w:rFonts w:ascii="MingLiU" w:eastAsia="MingLiU" w:cs="Times New Roman"/>
      <w:b/>
      <w:bCs/>
      <w:color w:val="auto"/>
      <w:sz w:val="22"/>
      <w:szCs w:val="22"/>
    </w:rPr>
  </w:style>
  <w:style w:type="character" w:customStyle="1" w:styleId="190">
    <w:name w:val="正文文本 (2)4"/>
    <w:qFormat/>
    <w:uiPriority w:val="99"/>
  </w:style>
  <w:style w:type="character" w:customStyle="1" w:styleId="191">
    <w:name w:val="正文文本 (2) + Times New Roman"/>
    <w:qFormat/>
    <w:uiPriority w:val="99"/>
    <w:rPr>
      <w:rFonts w:ascii="Times New Roman" w:hAnsi="Times New Roman" w:eastAsia="MingLiU" w:cs="Times New Roman"/>
      <w:spacing w:val="0"/>
      <w:sz w:val="24"/>
      <w:szCs w:val="24"/>
      <w:u w:val="none"/>
      <w:lang w:val="en-US" w:eastAsia="en-US"/>
    </w:rPr>
  </w:style>
  <w:style w:type="character" w:customStyle="1" w:styleId="192">
    <w:name w:val="正文文本 (25)_"/>
    <w:link w:val="193"/>
    <w:qFormat/>
    <w:locked/>
    <w:uiPriority w:val="99"/>
    <w:rPr>
      <w:rFonts w:ascii="AngsanaUPC" w:hAnsi="AngsanaUPC" w:cs="AngsanaUPC"/>
      <w:sz w:val="30"/>
      <w:szCs w:val="30"/>
      <w:u w:val="none"/>
      <w:lang w:val="en-US" w:eastAsia="en-US"/>
    </w:rPr>
  </w:style>
  <w:style w:type="paragraph" w:customStyle="1" w:styleId="193">
    <w:name w:val="正文文本 (25)"/>
    <w:basedOn w:val="1"/>
    <w:link w:val="192"/>
    <w:qFormat/>
    <w:uiPriority w:val="99"/>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194">
    <w:name w:val="正文文本 (2) + Sylfaen13"/>
    <w:qFormat/>
    <w:uiPriority w:val="99"/>
    <w:rPr>
      <w:rFonts w:ascii="Sylfaen" w:hAnsi="Sylfaen" w:eastAsia="MingLiU" w:cs="Sylfaen"/>
      <w:spacing w:val="0"/>
      <w:sz w:val="14"/>
      <w:szCs w:val="14"/>
      <w:u w:val="none"/>
      <w:lang w:val="en-US" w:eastAsia="en-US"/>
    </w:rPr>
  </w:style>
  <w:style w:type="character" w:customStyle="1" w:styleId="195">
    <w:name w:val="正文文本 (19) + 间距 2 pt"/>
    <w:qFormat/>
    <w:uiPriority w:val="99"/>
    <w:rPr>
      <w:rFonts w:ascii="MingLiU" w:eastAsia="MingLiU" w:cs="MingLiU"/>
      <w:b/>
      <w:bCs/>
      <w:spacing w:val="40"/>
      <w:sz w:val="22"/>
      <w:szCs w:val="22"/>
      <w:u w:val="none"/>
    </w:rPr>
  </w:style>
  <w:style w:type="character" w:customStyle="1" w:styleId="196">
    <w:name w:val="正文文本 (2) + 间距 -1 pt2"/>
    <w:qFormat/>
    <w:uiPriority w:val="99"/>
    <w:rPr>
      <w:rFonts w:ascii="MingLiU" w:eastAsia="MingLiU" w:cs="MingLiU"/>
      <w:spacing w:val="-30"/>
      <w:sz w:val="22"/>
      <w:szCs w:val="22"/>
      <w:u w:val="none"/>
      <w:lang w:val="en-US" w:eastAsia="en-US"/>
    </w:rPr>
  </w:style>
  <w:style w:type="character" w:customStyle="1" w:styleId="197">
    <w:name w:val="标题 #6 (3) + 间距 1 pt1"/>
    <w:qFormat/>
    <w:uiPriority w:val="99"/>
    <w:rPr>
      <w:rFonts w:ascii="MingLiU" w:eastAsia="MingLiU" w:cs="MingLiU"/>
      <w:spacing w:val="30"/>
      <w:sz w:val="26"/>
      <w:szCs w:val="26"/>
      <w:u w:val="none"/>
    </w:rPr>
  </w:style>
  <w:style w:type="character" w:customStyle="1" w:styleId="198">
    <w:name w:val="正文文本 (2)"/>
    <w:qFormat/>
    <w:uiPriority w:val="99"/>
  </w:style>
  <w:style w:type="character" w:customStyle="1" w:styleId="199">
    <w:name w:val="正文文本 (40) + AngsanaUPC"/>
    <w:qFormat/>
    <w:uiPriority w:val="99"/>
    <w:rPr>
      <w:rFonts w:ascii="AngsanaUPC" w:hAnsi="AngsanaUPC" w:eastAsia="MingLiU" w:cs="AngsanaUPC"/>
      <w:sz w:val="36"/>
      <w:szCs w:val="36"/>
      <w:u w:val="none"/>
      <w:lang w:val="en-US" w:eastAsia="en-US"/>
    </w:rPr>
  </w:style>
  <w:style w:type="character" w:customStyle="1" w:styleId="200">
    <w:name w:val="正文文本 (2) + 10 pt5"/>
    <w:qFormat/>
    <w:uiPriority w:val="99"/>
    <w:rPr>
      <w:rFonts w:ascii="MingLiU" w:eastAsia="MingLiU" w:cs="MingLiU"/>
      <w:spacing w:val="-40"/>
      <w:sz w:val="20"/>
      <w:szCs w:val="20"/>
      <w:u w:val="none"/>
      <w:lang w:val="en-US" w:eastAsia="en-US"/>
    </w:rPr>
  </w:style>
  <w:style w:type="character" w:customStyle="1" w:styleId="201">
    <w:name w:val="Char Char1"/>
    <w:qFormat/>
    <w:uiPriority w:val="0"/>
    <w:rPr>
      <w:kern w:val="2"/>
      <w:sz w:val="21"/>
      <w:szCs w:val="24"/>
    </w:rPr>
  </w:style>
  <w:style w:type="character" w:customStyle="1" w:styleId="202">
    <w:name w:val="正文文本 (35)_"/>
    <w:link w:val="203"/>
    <w:qFormat/>
    <w:locked/>
    <w:uiPriority w:val="99"/>
    <w:rPr>
      <w:rFonts w:ascii="MingLiU" w:eastAsia="MingLiU" w:cs="MingLiU"/>
      <w:sz w:val="20"/>
      <w:szCs w:val="20"/>
      <w:u w:val="none"/>
    </w:rPr>
  </w:style>
  <w:style w:type="paragraph" w:customStyle="1" w:styleId="203">
    <w:name w:val="正文文本 (35)"/>
    <w:basedOn w:val="1"/>
    <w:link w:val="202"/>
    <w:qFormat/>
    <w:uiPriority w:val="99"/>
    <w:pPr>
      <w:shd w:val="clear" w:color="auto" w:fill="FFFFFF"/>
      <w:spacing w:line="240" w:lineRule="atLeast"/>
      <w:jc w:val="right"/>
    </w:pPr>
    <w:rPr>
      <w:rFonts w:ascii="MingLiU" w:eastAsia="MingLiU" w:cs="Times New Roman"/>
      <w:color w:val="auto"/>
      <w:sz w:val="20"/>
      <w:szCs w:val="20"/>
    </w:rPr>
  </w:style>
  <w:style w:type="character" w:customStyle="1" w:styleId="204">
    <w:name w:val="正文文本 (2) + 10 pt30"/>
    <w:qFormat/>
    <w:uiPriority w:val="99"/>
    <w:rPr>
      <w:rFonts w:ascii="MingLiU" w:eastAsia="MingLiU" w:cs="MingLiU"/>
      <w:spacing w:val="30"/>
      <w:sz w:val="20"/>
      <w:szCs w:val="20"/>
      <w:u w:val="none"/>
    </w:rPr>
  </w:style>
  <w:style w:type="character" w:customStyle="1" w:styleId="205">
    <w:name w:val="正文文本 (2) + 5 pt"/>
    <w:qFormat/>
    <w:uiPriority w:val="99"/>
    <w:rPr>
      <w:rFonts w:ascii="MingLiU" w:eastAsia="MingLiU" w:cs="MingLiU"/>
      <w:spacing w:val="-10"/>
      <w:sz w:val="10"/>
      <w:szCs w:val="10"/>
      <w:u w:val="none"/>
      <w:lang w:val="en-US" w:eastAsia="en-US"/>
    </w:rPr>
  </w:style>
  <w:style w:type="character" w:customStyle="1" w:styleId="206">
    <w:name w:val="正文文本 (34)_"/>
    <w:link w:val="207"/>
    <w:qFormat/>
    <w:locked/>
    <w:uiPriority w:val="99"/>
    <w:rPr>
      <w:rFonts w:ascii="AngsanaUPC" w:hAnsi="AngsanaUPC" w:cs="AngsanaUPC"/>
      <w:sz w:val="36"/>
      <w:szCs w:val="36"/>
      <w:u w:val="none"/>
      <w:lang w:val="en-US" w:eastAsia="en-US"/>
    </w:rPr>
  </w:style>
  <w:style w:type="paragraph" w:customStyle="1" w:styleId="207">
    <w:name w:val="正文文本 (34)"/>
    <w:basedOn w:val="1"/>
    <w:link w:val="206"/>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208">
    <w:name w:val="标题 #7 + Lucida Sans Unicode"/>
    <w:qFormat/>
    <w:uiPriority w:val="99"/>
    <w:rPr>
      <w:rFonts w:ascii="Lucida Sans Unicode" w:hAnsi="Lucida Sans Unicode" w:eastAsia="MingLiU" w:cs="Lucida Sans Unicode"/>
      <w:b/>
      <w:bCs/>
      <w:spacing w:val="10"/>
      <w:sz w:val="22"/>
      <w:szCs w:val="22"/>
      <w:u w:val="none"/>
      <w:lang w:val="en-US" w:eastAsia="en-US"/>
    </w:rPr>
  </w:style>
  <w:style w:type="character" w:customStyle="1" w:styleId="209">
    <w:name w:val="正文文本 (19) + 间距 1 pt1"/>
    <w:qFormat/>
    <w:uiPriority w:val="99"/>
    <w:rPr>
      <w:rFonts w:ascii="MingLiU" w:eastAsia="MingLiU" w:cs="MingLiU"/>
      <w:b/>
      <w:bCs/>
      <w:spacing w:val="20"/>
      <w:sz w:val="22"/>
      <w:szCs w:val="22"/>
      <w:u w:val="none"/>
    </w:rPr>
  </w:style>
  <w:style w:type="character" w:customStyle="1" w:styleId="210">
    <w:name w:val="页眉或页脚 (4)_"/>
    <w:link w:val="211"/>
    <w:qFormat/>
    <w:locked/>
    <w:uiPriority w:val="99"/>
    <w:rPr>
      <w:rFonts w:ascii="MingLiU" w:eastAsia="MingLiU" w:cs="MingLiU"/>
      <w:sz w:val="22"/>
      <w:szCs w:val="22"/>
      <w:u w:val="none"/>
    </w:rPr>
  </w:style>
  <w:style w:type="paragraph" w:customStyle="1" w:styleId="211">
    <w:name w:val="页眉或页脚 (4)"/>
    <w:basedOn w:val="1"/>
    <w:link w:val="210"/>
    <w:qFormat/>
    <w:uiPriority w:val="99"/>
    <w:pPr>
      <w:shd w:val="clear" w:color="auto" w:fill="FFFFFF"/>
      <w:spacing w:line="240" w:lineRule="atLeast"/>
      <w:jc w:val="distribute"/>
    </w:pPr>
    <w:rPr>
      <w:rFonts w:ascii="MingLiU" w:eastAsia="MingLiU" w:cs="Times New Roman"/>
      <w:color w:val="auto"/>
      <w:sz w:val="22"/>
      <w:szCs w:val="22"/>
    </w:rPr>
  </w:style>
  <w:style w:type="character" w:customStyle="1" w:styleId="212">
    <w:name w:val="正文文本 (2) + Sylfaen12"/>
    <w:qFormat/>
    <w:uiPriority w:val="99"/>
    <w:rPr>
      <w:rFonts w:ascii="Sylfaen" w:hAnsi="Sylfaen" w:eastAsia="MingLiU" w:cs="Sylfaen"/>
      <w:spacing w:val="10"/>
      <w:sz w:val="19"/>
      <w:szCs w:val="19"/>
      <w:u w:val="none"/>
      <w:lang w:val="en-US" w:eastAsia="en-US"/>
    </w:rPr>
  </w:style>
  <w:style w:type="character" w:customStyle="1" w:styleId="213">
    <w:name w:val="正文文本 (2) + 10 pt3"/>
    <w:qFormat/>
    <w:uiPriority w:val="99"/>
    <w:rPr>
      <w:rFonts w:ascii="MingLiU" w:eastAsia="MingLiU" w:cs="MingLiU"/>
      <w:spacing w:val="-20"/>
      <w:sz w:val="20"/>
      <w:szCs w:val="20"/>
      <w:u w:val="none"/>
      <w:lang w:val="en-US" w:eastAsia="en-US"/>
    </w:rPr>
  </w:style>
  <w:style w:type="character" w:customStyle="1" w:styleId="214">
    <w:name w:val="正文文本 (2)_"/>
    <w:link w:val="215"/>
    <w:qFormat/>
    <w:locked/>
    <w:uiPriority w:val="99"/>
    <w:rPr>
      <w:rFonts w:ascii="MingLiU" w:eastAsia="MingLiU" w:cs="MingLiU"/>
      <w:spacing w:val="20"/>
      <w:sz w:val="22"/>
      <w:szCs w:val="22"/>
      <w:u w:val="none"/>
    </w:rPr>
  </w:style>
  <w:style w:type="paragraph" w:customStyle="1" w:styleId="215">
    <w:name w:val="正文文本 (2)1"/>
    <w:basedOn w:val="1"/>
    <w:link w:val="214"/>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216">
    <w:name w:val="正文文本 (2) + 10 pt8"/>
    <w:qFormat/>
    <w:uiPriority w:val="99"/>
    <w:rPr>
      <w:rFonts w:ascii="MingLiU" w:eastAsia="MingLiU" w:cs="MingLiU"/>
      <w:spacing w:val="100"/>
      <w:sz w:val="20"/>
      <w:szCs w:val="20"/>
      <w:u w:val="none"/>
    </w:rPr>
  </w:style>
  <w:style w:type="character" w:customStyle="1" w:styleId="217">
    <w:name w:val="正文文本 (34) + CordiaUPC"/>
    <w:qFormat/>
    <w:uiPriority w:val="99"/>
    <w:rPr>
      <w:rFonts w:ascii="CordiaUPC" w:hAnsi="CordiaUPC" w:cs="CordiaUPC"/>
      <w:sz w:val="34"/>
      <w:szCs w:val="34"/>
      <w:u w:val="none"/>
      <w:lang w:val="en-US" w:eastAsia="en-US"/>
    </w:rPr>
  </w:style>
  <w:style w:type="character" w:customStyle="1" w:styleId="218">
    <w:name w:val="正文文本 (5)_"/>
    <w:link w:val="219"/>
    <w:qFormat/>
    <w:locked/>
    <w:uiPriority w:val="99"/>
    <w:rPr>
      <w:rFonts w:ascii="MingLiU" w:eastAsia="MingLiU" w:cs="MingLiU"/>
      <w:sz w:val="20"/>
      <w:szCs w:val="20"/>
      <w:u w:val="none"/>
    </w:rPr>
  </w:style>
  <w:style w:type="paragraph" w:customStyle="1" w:styleId="219">
    <w:name w:val="正文文本 (5)1"/>
    <w:basedOn w:val="1"/>
    <w:link w:val="218"/>
    <w:qFormat/>
    <w:uiPriority w:val="99"/>
    <w:pPr>
      <w:shd w:val="clear" w:color="auto" w:fill="FFFFFF"/>
      <w:spacing w:before="5100" w:line="240" w:lineRule="atLeast"/>
    </w:pPr>
    <w:rPr>
      <w:rFonts w:ascii="MingLiU" w:eastAsia="MingLiU" w:cs="Times New Roman"/>
      <w:color w:val="auto"/>
      <w:sz w:val="20"/>
      <w:szCs w:val="20"/>
    </w:rPr>
  </w:style>
  <w:style w:type="character" w:customStyle="1" w:styleId="220">
    <w:name w:val="正文文本 (2) + 间距 24 pt"/>
    <w:qFormat/>
    <w:uiPriority w:val="99"/>
    <w:rPr>
      <w:rFonts w:ascii="MingLiU" w:eastAsia="MingLiU" w:cs="MingLiU"/>
      <w:spacing w:val="490"/>
      <w:sz w:val="22"/>
      <w:szCs w:val="22"/>
      <w:u w:val="none"/>
    </w:rPr>
  </w:style>
  <w:style w:type="character" w:customStyle="1" w:styleId="221">
    <w:name w:val="表格标题 (6)_"/>
    <w:link w:val="222"/>
    <w:qFormat/>
    <w:locked/>
    <w:uiPriority w:val="99"/>
    <w:rPr>
      <w:rFonts w:ascii="MingLiU" w:eastAsia="MingLiU" w:cs="MingLiU"/>
      <w:sz w:val="20"/>
      <w:szCs w:val="20"/>
      <w:u w:val="none"/>
    </w:rPr>
  </w:style>
  <w:style w:type="paragraph" w:customStyle="1" w:styleId="222">
    <w:name w:val="表格标题 (6)"/>
    <w:basedOn w:val="1"/>
    <w:link w:val="221"/>
    <w:qFormat/>
    <w:uiPriority w:val="99"/>
    <w:pPr>
      <w:shd w:val="clear" w:color="auto" w:fill="FFFFFF"/>
      <w:spacing w:line="240" w:lineRule="atLeast"/>
    </w:pPr>
    <w:rPr>
      <w:rFonts w:ascii="MingLiU" w:eastAsia="MingLiU" w:cs="Times New Roman"/>
      <w:color w:val="auto"/>
      <w:sz w:val="20"/>
      <w:szCs w:val="20"/>
    </w:rPr>
  </w:style>
  <w:style w:type="character" w:customStyle="1" w:styleId="223">
    <w:name w:val="标题 #5_"/>
    <w:link w:val="224"/>
    <w:qFormat/>
    <w:locked/>
    <w:uiPriority w:val="99"/>
    <w:rPr>
      <w:rFonts w:ascii="MingLiU" w:eastAsia="MingLiU" w:cs="MingLiU"/>
      <w:b/>
      <w:bCs/>
      <w:sz w:val="28"/>
      <w:szCs w:val="28"/>
      <w:u w:val="none"/>
    </w:rPr>
  </w:style>
  <w:style w:type="paragraph" w:customStyle="1" w:styleId="224">
    <w:name w:val="标题 #5"/>
    <w:basedOn w:val="1"/>
    <w:link w:val="223"/>
    <w:qFormat/>
    <w:uiPriority w:val="99"/>
    <w:pPr>
      <w:shd w:val="clear" w:color="auto" w:fill="FFFFFF"/>
      <w:spacing w:before="120" w:after="420" w:line="240" w:lineRule="atLeast"/>
      <w:jc w:val="distribute"/>
      <w:outlineLvl w:val="4"/>
    </w:pPr>
    <w:rPr>
      <w:rFonts w:ascii="MingLiU" w:eastAsia="MingLiU" w:cs="Times New Roman"/>
      <w:b/>
      <w:bCs/>
      <w:color w:val="auto"/>
      <w:sz w:val="28"/>
      <w:szCs w:val="28"/>
    </w:rPr>
  </w:style>
  <w:style w:type="character" w:customStyle="1" w:styleId="225">
    <w:name w:val="目录 (2)_"/>
    <w:link w:val="226"/>
    <w:qFormat/>
    <w:locked/>
    <w:uiPriority w:val="99"/>
    <w:rPr>
      <w:rFonts w:ascii="MingLiU" w:eastAsia="MingLiU" w:cs="MingLiU"/>
      <w:spacing w:val="20"/>
      <w:sz w:val="22"/>
      <w:szCs w:val="22"/>
      <w:u w:val="none"/>
    </w:rPr>
  </w:style>
  <w:style w:type="paragraph" w:customStyle="1" w:styleId="226">
    <w:name w:val="目录 (2)1"/>
    <w:basedOn w:val="1"/>
    <w:link w:val="225"/>
    <w:qFormat/>
    <w:uiPriority w:val="99"/>
    <w:pPr>
      <w:shd w:val="clear" w:color="auto" w:fill="FFFFFF"/>
      <w:spacing w:before="420" w:line="566" w:lineRule="exact"/>
      <w:jc w:val="distribute"/>
    </w:pPr>
    <w:rPr>
      <w:rFonts w:ascii="MingLiU" w:eastAsia="MingLiU" w:cs="Times New Roman"/>
      <w:color w:val="auto"/>
      <w:spacing w:val="20"/>
      <w:sz w:val="22"/>
      <w:szCs w:val="22"/>
    </w:rPr>
  </w:style>
  <w:style w:type="character" w:customStyle="1" w:styleId="227">
    <w:name w:val="正文文本 (19) + 非粗体1"/>
    <w:qFormat/>
    <w:uiPriority w:val="99"/>
    <w:rPr>
      <w:rFonts w:ascii="MingLiU" w:eastAsia="MingLiU" w:cs="MingLiU"/>
      <w:b/>
      <w:bCs/>
      <w:spacing w:val="-10"/>
      <w:sz w:val="22"/>
      <w:szCs w:val="22"/>
      <w:u w:val="none"/>
      <w:lang w:val="en-US" w:eastAsia="en-US"/>
    </w:rPr>
  </w:style>
  <w:style w:type="character" w:customStyle="1" w:styleId="228">
    <w:name w:val="正文文本 (2) + Calibri1"/>
    <w:qFormat/>
    <w:uiPriority w:val="99"/>
    <w:rPr>
      <w:rFonts w:ascii="Calibri" w:hAnsi="Calibri" w:eastAsia="MingLiU" w:cs="Calibri"/>
      <w:b/>
      <w:bCs/>
      <w:i/>
      <w:iCs/>
      <w:spacing w:val="0"/>
      <w:sz w:val="15"/>
      <w:szCs w:val="15"/>
      <w:u w:val="none"/>
      <w:lang w:val="en-US" w:eastAsia="en-US"/>
    </w:rPr>
  </w:style>
  <w:style w:type="character" w:customStyle="1" w:styleId="229">
    <w:name w:val="目录 (2) + 间距 0 pt"/>
    <w:qFormat/>
    <w:uiPriority w:val="99"/>
    <w:rPr>
      <w:rFonts w:ascii="MingLiU" w:eastAsia="MingLiU" w:cs="MingLiU"/>
      <w:spacing w:val="0"/>
      <w:sz w:val="22"/>
      <w:szCs w:val="22"/>
      <w:u w:val="none"/>
    </w:rPr>
  </w:style>
  <w:style w:type="character" w:customStyle="1" w:styleId="230">
    <w:name w:val="Char Char4"/>
    <w:qFormat/>
    <w:uiPriority w:val="0"/>
    <w:rPr>
      <w:rFonts w:hint="default" w:ascii="Cambria" w:hAnsi="Cambria" w:eastAsia="宋体"/>
      <w:b/>
      <w:bCs/>
      <w:kern w:val="2"/>
      <w:sz w:val="32"/>
      <w:szCs w:val="32"/>
      <w:lang w:val="en-US" w:eastAsia="zh-CN" w:bidi="ar-SA"/>
    </w:rPr>
  </w:style>
  <w:style w:type="character" w:customStyle="1" w:styleId="231">
    <w:name w:val="HTML 地址 Char1"/>
    <w:semiHidden/>
    <w:qFormat/>
    <w:uiPriority w:val="99"/>
    <w:rPr>
      <w:rFonts w:hint="default" w:ascii="Calibri" w:hAnsi="Calibri"/>
      <w:i/>
      <w:iCs/>
      <w:kern w:val="2"/>
      <w:sz w:val="21"/>
      <w:szCs w:val="24"/>
    </w:rPr>
  </w:style>
  <w:style w:type="character" w:customStyle="1" w:styleId="232">
    <w:name w:val="正文文本 (19) + 非粗体2"/>
    <w:qFormat/>
    <w:uiPriority w:val="99"/>
    <w:rPr>
      <w:rFonts w:ascii="MingLiU" w:eastAsia="MingLiU" w:cs="MingLiU"/>
      <w:b/>
      <w:bCs/>
      <w:spacing w:val="-10"/>
      <w:sz w:val="22"/>
      <w:szCs w:val="22"/>
      <w:u w:val="none"/>
      <w:lang w:val="en-US" w:eastAsia="en-US"/>
    </w:rPr>
  </w:style>
  <w:style w:type="character" w:customStyle="1" w:styleId="233">
    <w:name w:val="标题 #2_"/>
    <w:link w:val="234"/>
    <w:qFormat/>
    <w:locked/>
    <w:uiPriority w:val="99"/>
    <w:rPr>
      <w:rFonts w:ascii="MingLiU" w:eastAsia="MingLiU" w:cs="MingLiU"/>
      <w:sz w:val="42"/>
      <w:szCs w:val="42"/>
      <w:u w:val="none"/>
    </w:rPr>
  </w:style>
  <w:style w:type="paragraph" w:customStyle="1" w:styleId="234">
    <w:name w:val="标题 #2"/>
    <w:basedOn w:val="1"/>
    <w:link w:val="233"/>
    <w:qFormat/>
    <w:uiPriority w:val="99"/>
    <w:pPr>
      <w:shd w:val="clear" w:color="auto" w:fill="FFFFFF"/>
      <w:spacing w:after="600" w:line="240" w:lineRule="atLeast"/>
      <w:outlineLvl w:val="1"/>
    </w:pPr>
    <w:rPr>
      <w:rFonts w:ascii="MingLiU" w:eastAsia="MingLiU" w:cs="Times New Roman"/>
      <w:color w:val="auto"/>
      <w:sz w:val="42"/>
      <w:szCs w:val="42"/>
    </w:rPr>
  </w:style>
  <w:style w:type="character" w:customStyle="1" w:styleId="235">
    <w:name w:val="标题 #6 (2)_"/>
    <w:link w:val="236"/>
    <w:qFormat/>
    <w:locked/>
    <w:uiPriority w:val="99"/>
    <w:rPr>
      <w:rFonts w:ascii="MingLiU" w:eastAsia="MingLiU" w:cs="MingLiU"/>
      <w:b/>
      <w:bCs/>
      <w:sz w:val="28"/>
      <w:szCs w:val="28"/>
      <w:u w:val="none"/>
    </w:rPr>
  </w:style>
  <w:style w:type="paragraph" w:customStyle="1" w:styleId="236">
    <w:name w:val="标题 #6 (2)"/>
    <w:basedOn w:val="1"/>
    <w:link w:val="235"/>
    <w:qFormat/>
    <w:uiPriority w:val="99"/>
    <w:pPr>
      <w:shd w:val="clear" w:color="auto" w:fill="FFFFFF"/>
      <w:spacing w:before="720" w:after="420" w:line="240" w:lineRule="atLeast"/>
      <w:jc w:val="distribute"/>
      <w:outlineLvl w:val="5"/>
    </w:pPr>
    <w:rPr>
      <w:rFonts w:ascii="MingLiU" w:eastAsia="MingLiU" w:cs="Times New Roman"/>
      <w:b/>
      <w:bCs/>
      <w:color w:val="auto"/>
      <w:sz w:val="28"/>
      <w:szCs w:val="28"/>
    </w:rPr>
  </w:style>
  <w:style w:type="character" w:customStyle="1" w:styleId="237">
    <w:name w:val="正文文本 (2) + 间距 -1 pt4"/>
    <w:qFormat/>
    <w:uiPriority w:val="99"/>
    <w:rPr>
      <w:rFonts w:ascii="MingLiU" w:eastAsia="MingLiU" w:cs="MingLiU"/>
      <w:spacing w:val="-20"/>
      <w:sz w:val="22"/>
      <w:szCs w:val="22"/>
      <w:u w:val="none"/>
    </w:rPr>
  </w:style>
  <w:style w:type="character" w:customStyle="1" w:styleId="238">
    <w:name w:val="正文文本 (2) + 间距 0 pt"/>
    <w:qFormat/>
    <w:uiPriority w:val="99"/>
    <w:rPr>
      <w:rFonts w:ascii="MingLiU" w:eastAsia="MingLiU" w:cs="MingLiU"/>
      <w:spacing w:val="0"/>
      <w:sz w:val="22"/>
      <w:szCs w:val="22"/>
      <w:u w:val="none"/>
    </w:rPr>
  </w:style>
  <w:style w:type="character" w:customStyle="1" w:styleId="239">
    <w:name w:val="纯文本 字符"/>
    <w:qFormat/>
    <w:uiPriority w:val="0"/>
    <w:rPr>
      <w:rFonts w:ascii="宋体" w:hAnsi="Courier New" w:eastAsia="宋体"/>
      <w:kern w:val="2"/>
      <w:sz w:val="21"/>
      <w:lang w:val="en-US" w:eastAsia="zh-CN" w:bidi="ar-SA"/>
    </w:rPr>
  </w:style>
  <w:style w:type="character" w:customStyle="1" w:styleId="240">
    <w:name w:val="正文文本 (2) + 10 pt7"/>
    <w:qFormat/>
    <w:uiPriority w:val="99"/>
    <w:rPr>
      <w:rFonts w:ascii="MingLiU" w:eastAsia="MingLiU" w:cs="MingLiU"/>
      <w:spacing w:val="70"/>
      <w:sz w:val="20"/>
      <w:szCs w:val="20"/>
      <w:u w:val="none"/>
    </w:rPr>
  </w:style>
  <w:style w:type="character" w:customStyle="1" w:styleId="241">
    <w:name w:val="正文文本 (2) + Impact"/>
    <w:qFormat/>
    <w:uiPriority w:val="99"/>
    <w:rPr>
      <w:rFonts w:ascii="Impact" w:hAnsi="Impact" w:eastAsia="MingLiU" w:cs="Impact"/>
      <w:i/>
      <w:iCs/>
      <w:spacing w:val="0"/>
      <w:sz w:val="12"/>
      <w:szCs w:val="12"/>
      <w:u w:val="none"/>
      <w:lang w:val="en-US" w:eastAsia="en-US"/>
    </w:rPr>
  </w:style>
  <w:style w:type="character" w:customStyle="1" w:styleId="242">
    <w:name w:val="签名 Char1"/>
    <w:semiHidden/>
    <w:qFormat/>
    <w:uiPriority w:val="99"/>
    <w:rPr>
      <w:rFonts w:hint="default" w:ascii="Calibri" w:hAnsi="Calibri"/>
      <w:kern w:val="2"/>
      <w:sz w:val="21"/>
      <w:szCs w:val="24"/>
    </w:rPr>
  </w:style>
  <w:style w:type="character" w:customStyle="1" w:styleId="243">
    <w:name w:val="正文文本 (2) + AngsanaUPC3"/>
    <w:qFormat/>
    <w:uiPriority w:val="99"/>
    <w:rPr>
      <w:rFonts w:ascii="AngsanaUPC" w:hAnsi="AngsanaUPC" w:eastAsia="MingLiU" w:cs="AngsanaUPC"/>
      <w:b/>
      <w:bCs/>
      <w:spacing w:val="0"/>
      <w:sz w:val="30"/>
      <w:szCs w:val="30"/>
      <w:u w:val="none"/>
      <w:lang w:val="en-US" w:eastAsia="en-US"/>
    </w:rPr>
  </w:style>
  <w:style w:type="character" w:customStyle="1" w:styleId="244">
    <w:name w:val="正文文本 (2) + Sylfaen3"/>
    <w:qFormat/>
    <w:uiPriority w:val="99"/>
    <w:rPr>
      <w:rFonts w:ascii="Sylfaen" w:hAnsi="Sylfaen" w:eastAsia="MingLiU" w:cs="Sylfaen"/>
      <w:spacing w:val="0"/>
      <w:sz w:val="16"/>
      <w:szCs w:val="16"/>
      <w:u w:val="none"/>
      <w:lang w:val="en-US" w:eastAsia="en-US"/>
    </w:rPr>
  </w:style>
  <w:style w:type="character" w:customStyle="1" w:styleId="245">
    <w:name w:val="正文文本 (2) + 10 pt34"/>
    <w:qFormat/>
    <w:uiPriority w:val="99"/>
    <w:rPr>
      <w:rFonts w:ascii="MingLiU" w:eastAsia="MingLiU" w:cs="MingLiU"/>
      <w:spacing w:val="-20"/>
      <w:sz w:val="20"/>
      <w:szCs w:val="20"/>
      <w:u w:val="none"/>
      <w:lang w:val="en-US" w:eastAsia="en-US"/>
    </w:rPr>
  </w:style>
  <w:style w:type="character" w:customStyle="1" w:styleId="246">
    <w:name w:val="正文文本 (2) + 10 pt11"/>
    <w:qFormat/>
    <w:uiPriority w:val="99"/>
    <w:rPr>
      <w:rFonts w:ascii="MingLiU" w:eastAsia="MingLiU" w:cs="MingLiU"/>
      <w:spacing w:val="100"/>
      <w:sz w:val="20"/>
      <w:szCs w:val="20"/>
      <w:u w:val="none"/>
    </w:rPr>
  </w:style>
  <w:style w:type="character" w:customStyle="1" w:styleId="247">
    <w:name w:val="正文文本 (7)_"/>
    <w:link w:val="248"/>
    <w:qFormat/>
    <w:locked/>
    <w:uiPriority w:val="99"/>
    <w:rPr>
      <w:rFonts w:ascii="MingLiU" w:eastAsia="MingLiU" w:cs="MingLiU"/>
      <w:spacing w:val="10"/>
      <w:sz w:val="22"/>
      <w:szCs w:val="22"/>
      <w:u w:val="none"/>
    </w:rPr>
  </w:style>
  <w:style w:type="paragraph" w:customStyle="1" w:styleId="248">
    <w:name w:val="正文文本 (7)"/>
    <w:basedOn w:val="1"/>
    <w:link w:val="247"/>
    <w:qFormat/>
    <w:uiPriority w:val="99"/>
    <w:pPr>
      <w:shd w:val="clear" w:color="auto" w:fill="FFFFFF"/>
      <w:spacing w:before="120" w:after="300" w:line="240" w:lineRule="atLeast"/>
      <w:jc w:val="center"/>
    </w:pPr>
    <w:rPr>
      <w:rFonts w:ascii="MingLiU" w:eastAsia="MingLiU" w:cs="Times New Roman"/>
      <w:color w:val="auto"/>
      <w:spacing w:val="10"/>
      <w:sz w:val="22"/>
      <w:szCs w:val="22"/>
    </w:rPr>
  </w:style>
  <w:style w:type="character" w:customStyle="1" w:styleId="249">
    <w:name w:val="正文文本 (38)_"/>
    <w:link w:val="250"/>
    <w:qFormat/>
    <w:locked/>
    <w:uiPriority w:val="99"/>
    <w:rPr>
      <w:rFonts w:ascii="MingLiU" w:eastAsia="MingLiU" w:cs="MingLiU"/>
      <w:sz w:val="26"/>
      <w:szCs w:val="26"/>
      <w:u w:val="none"/>
    </w:rPr>
  </w:style>
  <w:style w:type="paragraph" w:customStyle="1" w:styleId="250">
    <w:name w:val="正文文本 (38)"/>
    <w:basedOn w:val="1"/>
    <w:link w:val="249"/>
    <w:qFormat/>
    <w:uiPriority w:val="99"/>
    <w:pPr>
      <w:shd w:val="clear" w:color="auto" w:fill="FFFFFF"/>
      <w:spacing w:line="240" w:lineRule="atLeast"/>
    </w:pPr>
    <w:rPr>
      <w:rFonts w:ascii="MingLiU" w:eastAsia="MingLiU" w:cs="Times New Roman"/>
      <w:color w:val="auto"/>
      <w:sz w:val="26"/>
      <w:szCs w:val="26"/>
    </w:rPr>
  </w:style>
  <w:style w:type="character" w:customStyle="1" w:styleId="251">
    <w:name w:val="正文文本 (8)_"/>
    <w:link w:val="252"/>
    <w:qFormat/>
    <w:locked/>
    <w:uiPriority w:val="99"/>
    <w:rPr>
      <w:rFonts w:ascii="MingLiU" w:eastAsia="MingLiU" w:cs="MingLiU"/>
      <w:sz w:val="26"/>
      <w:szCs w:val="26"/>
      <w:u w:val="none"/>
    </w:rPr>
  </w:style>
  <w:style w:type="paragraph" w:customStyle="1" w:styleId="252">
    <w:name w:val="正文文本 (8)"/>
    <w:basedOn w:val="1"/>
    <w:link w:val="251"/>
    <w:qFormat/>
    <w:uiPriority w:val="99"/>
    <w:pPr>
      <w:shd w:val="clear" w:color="auto" w:fill="FFFFFF"/>
      <w:spacing w:before="300" w:line="434" w:lineRule="exact"/>
      <w:jc w:val="right"/>
    </w:pPr>
    <w:rPr>
      <w:rFonts w:ascii="MingLiU" w:eastAsia="MingLiU" w:cs="Times New Roman"/>
      <w:color w:val="auto"/>
      <w:sz w:val="26"/>
      <w:szCs w:val="26"/>
    </w:rPr>
  </w:style>
  <w:style w:type="character" w:customStyle="1" w:styleId="253">
    <w:name w:val="标题 #6 (4) + 间距 0 pt"/>
    <w:qFormat/>
    <w:uiPriority w:val="99"/>
    <w:rPr>
      <w:rFonts w:ascii="MingLiU" w:eastAsia="MingLiU" w:cs="MingLiU"/>
      <w:spacing w:val="10"/>
      <w:sz w:val="26"/>
      <w:szCs w:val="26"/>
      <w:u w:val="none"/>
    </w:rPr>
  </w:style>
  <w:style w:type="character" w:customStyle="1" w:styleId="254">
    <w:name w:val="正文文本 (2) + 10 pt17"/>
    <w:qFormat/>
    <w:uiPriority w:val="99"/>
    <w:rPr>
      <w:rFonts w:ascii="MingLiU" w:eastAsia="MingLiU" w:cs="MingLiU"/>
      <w:b/>
      <w:bCs/>
      <w:spacing w:val="0"/>
      <w:sz w:val="20"/>
      <w:szCs w:val="20"/>
      <w:u w:val="none"/>
    </w:rPr>
  </w:style>
  <w:style w:type="character" w:customStyle="1" w:styleId="255">
    <w:name w:val="表格标题 (9)_"/>
    <w:link w:val="256"/>
    <w:qFormat/>
    <w:locked/>
    <w:uiPriority w:val="99"/>
    <w:rPr>
      <w:rFonts w:ascii="Microsoft Sans Serif" w:hAnsi="Microsoft Sans Serif" w:cs="Microsoft Sans Serif"/>
      <w:spacing w:val="-10"/>
      <w:sz w:val="19"/>
      <w:szCs w:val="19"/>
      <w:u w:val="none"/>
    </w:rPr>
  </w:style>
  <w:style w:type="paragraph" w:customStyle="1" w:styleId="256">
    <w:name w:val="表格标题 (9)"/>
    <w:basedOn w:val="1"/>
    <w:link w:val="255"/>
    <w:qFormat/>
    <w:uiPriority w:val="99"/>
    <w:pPr>
      <w:shd w:val="clear" w:color="auto" w:fill="FFFFFF"/>
      <w:spacing w:after="60" w:line="240" w:lineRule="atLeast"/>
    </w:pPr>
    <w:rPr>
      <w:rFonts w:ascii="Microsoft Sans Serif" w:hAnsi="Microsoft Sans Serif" w:cs="Times New Roman"/>
      <w:color w:val="auto"/>
      <w:spacing w:val="-10"/>
      <w:sz w:val="19"/>
      <w:szCs w:val="19"/>
    </w:rPr>
  </w:style>
  <w:style w:type="character" w:customStyle="1" w:styleId="257">
    <w:name w:val="正文文本 (29)_"/>
    <w:link w:val="258"/>
    <w:qFormat/>
    <w:locked/>
    <w:uiPriority w:val="99"/>
    <w:rPr>
      <w:rFonts w:ascii="AngsanaUPC" w:hAnsi="AngsanaUPC" w:cs="AngsanaUPC"/>
      <w:sz w:val="36"/>
      <w:szCs w:val="36"/>
      <w:u w:val="none"/>
      <w:lang w:val="en-US" w:eastAsia="en-US"/>
    </w:rPr>
  </w:style>
  <w:style w:type="paragraph" w:customStyle="1" w:styleId="258">
    <w:name w:val="正文文本 (29)"/>
    <w:basedOn w:val="1"/>
    <w:link w:val="257"/>
    <w:qFormat/>
    <w:uiPriority w:val="99"/>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259">
    <w:name w:val="Char Char41"/>
    <w:qFormat/>
    <w:uiPriority w:val="0"/>
    <w:rPr>
      <w:rFonts w:hint="default" w:ascii="Cambria" w:hAnsi="Cambria" w:eastAsia="宋体"/>
      <w:b/>
      <w:bCs/>
      <w:kern w:val="2"/>
      <w:sz w:val="32"/>
      <w:szCs w:val="32"/>
      <w:lang w:val="en-US" w:eastAsia="zh-CN" w:bidi="ar-SA"/>
    </w:rPr>
  </w:style>
  <w:style w:type="character" w:customStyle="1" w:styleId="260">
    <w:name w:val="正文文本 (2) + Sylfaen15"/>
    <w:qFormat/>
    <w:uiPriority w:val="99"/>
    <w:rPr>
      <w:rFonts w:ascii="Sylfaen" w:hAnsi="Sylfaen" w:eastAsia="MingLiU" w:cs="Sylfaen"/>
      <w:spacing w:val="0"/>
      <w:sz w:val="22"/>
      <w:szCs w:val="22"/>
      <w:u w:val="none"/>
      <w:lang w:val="en-US" w:eastAsia="en-US"/>
    </w:rPr>
  </w:style>
  <w:style w:type="character" w:customStyle="1" w:styleId="261">
    <w:name w:val="正文文本 (2) + 粗体"/>
    <w:qFormat/>
    <w:uiPriority w:val="99"/>
    <w:rPr>
      <w:rFonts w:ascii="MingLiU" w:eastAsia="MingLiU" w:cs="MingLiU"/>
      <w:b/>
      <w:bCs/>
      <w:spacing w:val="0"/>
      <w:sz w:val="22"/>
      <w:szCs w:val="22"/>
      <w:u w:val="none"/>
    </w:rPr>
  </w:style>
  <w:style w:type="character" w:customStyle="1" w:styleId="262">
    <w:name w:val="place"/>
    <w:qFormat/>
    <w:uiPriority w:val="0"/>
    <w:rPr>
      <w:rFonts w:hint="eastAsia" w:ascii="微软雅黑" w:hAnsi="微软雅黑" w:eastAsia="微软雅黑" w:cs="微软雅黑"/>
      <w:color w:val="888888"/>
      <w:sz w:val="25"/>
      <w:szCs w:val="25"/>
    </w:rPr>
  </w:style>
  <w:style w:type="character" w:customStyle="1" w:styleId="263">
    <w:name w:val="页眉或页脚 (2)_"/>
    <w:link w:val="264"/>
    <w:qFormat/>
    <w:locked/>
    <w:uiPriority w:val="99"/>
    <w:rPr>
      <w:rFonts w:ascii="Sylfaen" w:hAnsi="Sylfaen" w:cs="Sylfaen"/>
      <w:sz w:val="20"/>
      <w:szCs w:val="20"/>
      <w:u w:val="none"/>
    </w:rPr>
  </w:style>
  <w:style w:type="paragraph" w:customStyle="1" w:styleId="264">
    <w:name w:val="页眉或页脚 (2)"/>
    <w:basedOn w:val="1"/>
    <w:link w:val="263"/>
    <w:qFormat/>
    <w:uiPriority w:val="99"/>
    <w:pPr>
      <w:shd w:val="clear" w:color="auto" w:fill="FFFFFF"/>
      <w:spacing w:line="240" w:lineRule="atLeast"/>
    </w:pPr>
    <w:rPr>
      <w:rFonts w:ascii="Sylfaen" w:hAnsi="Sylfaen" w:cs="Times New Roman"/>
      <w:color w:val="auto"/>
      <w:sz w:val="20"/>
      <w:szCs w:val="20"/>
    </w:rPr>
  </w:style>
  <w:style w:type="character" w:customStyle="1" w:styleId="265">
    <w:name w:val="标题 1 Char1"/>
    <w:qFormat/>
    <w:locked/>
    <w:uiPriority w:val="0"/>
    <w:rPr>
      <w:b/>
      <w:bCs/>
      <w:kern w:val="44"/>
      <w:sz w:val="44"/>
      <w:szCs w:val="44"/>
    </w:rPr>
  </w:style>
  <w:style w:type="character" w:customStyle="1" w:styleId="266">
    <w:name w:val="正文文本 (2) + 间距 2 pt1"/>
    <w:qFormat/>
    <w:uiPriority w:val="99"/>
    <w:rPr>
      <w:rFonts w:ascii="MingLiU" w:eastAsia="MingLiU" w:cs="MingLiU"/>
      <w:spacing w:val="50"/>
      <w:sz w:val="22"/>
      <w:szCs w:val="22"/>
      <w:u w:val="none"/>
    </w:rPr>
  </w:style>
  <w:style w:type="character" w:customStyle="1" w:styleId="267">
    <w:name w:val="表格文字2 Char Char"/>
    <w:link w:val="268"/>
    <w:qFormat/>
    <w:locked/>
    <w:uiPriority w:val="0"/>
    <w:rPr>
      <w:kern w:val="2"/>
      <w:sz w:val="21"/>
    </w:rPr>
  </w:style>
  <w:style w:type="paragraph" w:customStyle="1" w:styleId="268">
    <w:name w:val="表格文字2"/>
    <w:basedOn w:val="1"/>
    <w:link w:val="267"/>
    <w:qFormat/>
    <w:uiPriority w:val="0"/>
    <w:pPr>
      <w:adjustRightInd w:val="0"/>
      <w:snapToGrid w:val="0"/>
      <w:spacing w:line="240" w:lineRule="atLeast"/>
      <w:jc w:val="center"/>
    </w:pPr>
    <w:rPr>
      <w:rFonts w:cs="Times New Roman"/>
      <w:color w:val="auto"/>
      <w:kern w:val="2"/>
      <w:sz w:val="21"/>
      <w:szCs w:val="20"/>
    </w:rPr>
  </w:style>
  <w:style w:type="character" w:customStyle="1" w:styleId="269">
    <w:name w:val="页眉或页脚 + 间距 11 pt"/>
    <w:qFormat/>
    <w:uiPriority w:val="99"/>
    <w:rPr>
      <w:rFonts w:ascii="MingLiU" w:eastAsia="MingLiU" w:cs="MingLiU"/>
      <w:spacing w:val="230"/>
      <w:sz w:val="20"/>
      <w:szCs w:val="20"/>
      <w:u w:val="none"/>
    </w:rPr>
  </w:style>
  <w:style w:type="character" w:customStyle="1" w:styleId="270">
    <w:name w:val="正文文本 (2) + 间距 3 pt"/>
    <w:qFormat/>
    <w:uiPriority w:val="99"/>
    <w:rPr>
      <w:rFonts w:ascii="MingLiU" w:eastAsia="MingLiU" w:cs="MingLiU"/>
      <w:spacing w:val="60"/>
      <w:sz w:val="22"/>
      <w:szCs w:val="22"/>
      <w:u w:val="none"/>
    </w:rPr>
  </w:style>
  <w:style w:type="character" w:customStyle="1" w:styleId="271">
    <w:name w:val="正文文本 (14)_"/>
    <w:link w:val="272"/>
    <w:qFormat/>
    <w:locked/>
    <w:uiPriority w:val="99"/>
    <w:rPr>
      <w:rFonts w:ascii="MingLiU" w:eastAsia="MingLiU" w:cs="MingLiU"/>
      <w:sz w:val="18"/>
      <w:szCs w:val="18"/>
      <w:u w:val="none"/>
    </w:rPr>
  </w:style>
  <w:style w:type="paragraph" w:customStyle="1" w:styleId="272">
    <w:name w:val="正文文本 (14)"/>
    <w:basedOn w:val="1"/>
    <w:link w:val="271"/>
    <w:qFormat/>
    <w:uiPriority w:val="99"/>
    <w:pPr>
      <w:shd w:val="clear" w:color="auto" w:fill="FFFFFF"/>
      <w:spacing w:before="300" w:line="300" w:lineRule="exact"/>
      <w:jc w:val="distribute"/>
    </w:pPr>
    <w:rPr>
      <w:rFonts w:ascii="MingLiU" w:eastAsia="MingLiU" w:cs="Times New Roman"/>
      <w:color w:val="auto"/>
      <w:sz w:val="18"/>
      <w:szCs w:val="18"/>
    </w:rPr>
  </w:style>
  <w:style w:type="character" w:customStyle="1" w:styleId="273">
    <w:name w:val="样式2 Char Char"/>
    <w:qFormat/>
    <w:uiPriority w:val="0"/>
    <w:rPr>
      <w:rFonts w:hint="eastAsia" w:ascii="黑体" w:hAnsi="Arial" w:eastAsia="黑体"/>
      <w:kern w:val="2"/>
      <w:sz w:val="24"/>
      <w:lang w:val="en-US" w:eastAsia="zh-CN" w:bidi="ar-SA"/>
    </w:rPr>
  </w:style>
  <w:style w:type="character" w:customStyle="1" w:styleId="274">
    <w:name w:val="正文文本 (5) + 间距 -1 pt"/>
    <w:qFormat/>
    <w:uiPriority w:val="99"/>
    <w:rPr>
      <w:rFonts w:ascii="MingLiU" w:eastAsia="MingLiU" w:cs="MingLiU"/>
      <w:spacing w:val="-20"/>
      <w:sz w:val="20"/>
      <w:szCs w:val="20"/>
      <w:u w:val="none"/>
      <w:lang w:val="en-US" w:eastAsia="en-US"/>
    </w:rPr>
  </w:style>
  <w:style w:type="character" w:customStyle="1" w:styleId="275">
    <w:name w:val="样式3 Char"/>
    <w:qFormat/>
    <w:uiPriority w:val="0"/>
    <w:rPr>
      <w:rFonts w:hint="eastAsia" w:ascii="宋体" w:hAnsi="Arial" w:eastAsia="黑体" w:cs="宋体"/>
      <w:b/>
      <w:bCs/>
      <w:kern w:val="2"/>
      <w:sz w:val="32"/>
      <w:szCs w:val="36"/>
      <w:lang w:val="zh-CN" w:eastAsia="zh-CN" w:bidi="ar-SA"/>
    </w:rPr>
  </w:style>
  <w:style w:type="character" w:customStyle="1" w:styleId="276">
    <w:name w:val="正文文本 (2) + Sylfaen2"/>
    <w:qFormat/>
    <w:uiPriority w:val="99"/>
    <w:rPr>
      <w:rFonts w:ascii="Sylfaen" w:hAnsi="Sylfaen" w:eastAsia="MingLiU" w:cs="Sylfaen"/>
      <w:spacing w:val="0"/>
      <w:sz w:val="23"/>
      <w:szCs w:val="23"/>
      <w:u w:val="none"/>
      <w:lang w:val="en-US" w:eastAsia="en-US"/>
    </w:rPr>
  </w:style>
  <w:style w:type="character" w:customStyle="1" w:styleId="277">
    <w:name w:val="标题 #7 (3)_"/>
    <w:link w:val="278"/>
    <w:qFormat/>
    <w:locked/>
    <w:uiPriority w:val="99"/>
    <w:rPr>
      <w:rFonts w:ascii="MingLiU" w:eastAsia="MingLiU" w:cs="MingLiU"/>
      <w:u w:val="none"/>
    </w:rPr>
  </w:style>
  <w:style w:type="paragraph" w:customStyle="1" w:styleId="278">
    <w:name w:val="标题 #7 (3)"/>
    <w:basedOn w:val="1"/>
    <w:link w:val="277"/>
    <w:qFormat/>
    <w:uiPriority w:val="99"/>
    <w:pPr>
      <w:shd w:val="clear" w:color="auto" w:fill="FFFFFF"/>
      <w:spacing w:before="300" w:after="420" w:line="240" w:lineRule="atLeast"/>
      <w:jc w:val="distribute"/>
      <w:outlineLvl w:val="6"/>
    </w:pPr>
    <w:rPr>
      <w:rFonts w:ascii="MingLiU" w:eastAsia="MingLiU" w:cs="Times New Roman"/>
      <w:color w:val="auto"/>
      <w:sz w:val="20"/>
      <w:szCs w:val="20"/>
    </w:rPr>
  </w:style>
  <w:style w:type="character" w:customStyle="1" w:styleId="279">
    <w:name w:val="正文文本 (2) + 10 pt6"/>
    <w:qFormat/>
    <w:uiPriority w:val="99"/>
    <w:rPr>
      <w:rFonts w:ascii="MingLiU" w:eastAsia="MingLiU" w:cs="MingLiU"/>
      <w:spacing w:val="100"/>
      <w:sz w:val="20"/>
      <w:szCs w:val="20"/>
      <w:u w:val="none"/>
    </w:rPr>
  </w:style>
  <w:style w:type="character" w:customStyle="1" w:styleId="280">
    <w:name w:val="正文文本 (20)_"/>
    <w:link w:val="281"/>
    <w:qFormat/>
    <w:locked/>
    <w:uiPriority w:val="99"/>
    <w:rPr>
      <w:rFonts w:ascii="Times New Roman" w:hAnsi="Times New Roman" w:cs="Times New Roman"/>
      <w:u w:val="none"/>
      <w:lang w:val="en-US" w:eastAsia="en-US"/>
    </w:rPr>
  </w:style>
  <w:style w:type="paragraph" w:customStyle="1" w:styleId="281">
    <w:name w:val="正文文本 (20)"/>
    <w:basedOn w:val="1"/>
    <w:link w:val="280"/>
    <w:qFormat/>
    <w:uiPriority w:val="99"/>
    <w:pPr>
      <w:shd w:val="clear" w:color="auto" w:fill="FFFFFF"/>
      <w:spacing w:line="398" w:lineRule="exact"/>
      <w:ind w:firstLine="520"/>
      <w:jc w:val="both"/>
    </w:pPr>
    <w:rPr>
      <w:rFonts w:cs="Times New Roman"/>
      <w:color w:val="auto"/>
      <w:sz w:val="20"/>
      <w:szCs w:val="20"/>
      <w:lang w:val="en-US" w:eastAsia="en-US"/>
    </w:rPr>
  </w:style>
  <w:style w:type="character" w:customStyle="1" w:styleId="282">
    <w:name w:val="style41"/>
    <w:qFormat/>
    <w:uiPriority w:val="0"/>
    <w:rPr>
      <w:sz w:val="21"/>
      <w:szCs w:val="21"/>
    </w:rPr>
  </w:style>
  <w:style w:type="character" w:customStyle="1" w:styleId="283">
    <w:name w:val="标题 #4 + 间距 3 pt"/>
    <w:qFormat/>
    <w:uiPriority w:val="99"/>
    <w:rPr>
      <w:rFonts w:ascii="MingLiU" w:eastAsia="MingLiU" w:cs="MingLiU"/>
      <w:b/>
      <w:bCs/>
      <w:spacing w:val="60"/>
      <w:sz w:val="28"/>
      <w:szCs w:val="28"/>
      <w:u w:val="none"/>
    </w:rPr>
  </w:style>
  <w:style w:type="character" w:customStyle="1" w:styleId="284">
    <w:name w:val="样式 标题2 + (中文) 宋体 Char Char"/>
    <w:link w:val="285"/>
    <w:qFormat/>
    <w:locked/>
    <w:uiPriority w:val="0"/>
    <w:rPr>
      <w:rFonts w:ascii="宋体" w:hAnsi="宋体" w:eastAsia="黑体"/>
      <w:b/>
      <w:bCs/>
      <w:kern w:val="44"/>
      <w:sz w:val="30"/>
      <w:szCs w:val="24"/>
    </w:rPr>
  </w:style>
  <w:style w:type="paragraph" w:customStyle="1" w:styleId="285">
    <w:name w:val="样式 标题2 + (中文) 宋体"/>
    <w:basedOn w:val="286"/>
    <w:link w:val="284"/>
    <w:qFormat/>
    <w:uiPriority w:val="0"/>
    <w:pPr>
      <w:tabs>
        <w:tab w:val="left" w:pos="396"/>
      </w:tabs>
    </w:pPr>
    <w:rPr>
      <w:rFonts w:eastAsia="黑体"/>
    </w:rPr>
  </w:style>
  <w:style w:type="paragraph" w:customStyle="1" w:styleId="286">
    <w:name w:val="标题2"/>
    <w:basedOn w:val="287"/>
    <w:link w:val="289"/>
    <w:qFormat/>
    <w:uiPriority w:val="0"/>
    <w:pPr>
      <w:tabs>
        <w:tab w:val="left" w:pos="396"/>
      </w:tabs>
      <w:spacing w:beforeLines="0"/>
      <w:outlineLvl w:val="1"/>
    </w:pPr>
    <w:rPr>
      <w:rFonts w:ascii="宋体" w:hAnsi="宋体" w:eastAsia="宋体"/>
      <w:sz w:val="30"/>
    </w:rPr>
  </w:style>
  <w:style w:type="paragraph" w:customStyle="1" w:styleId="287">
    <w:name w:val="标题1"/>
    <w:basedOn w:val="3"/>
    <w:link w:val="288"/>
    <w:qFormat/>
    <w:uiPriority w:val="0"/>
    <w:pPr>
      <w:keepNext w:val="0"/>
      <w:keepLines w:val="0"/>
      <w:adjustRightInd w:val="0"/>
      <w:snapToGrid w:val="0"/>
      <w:spacing w:before="0" w:beforeLines="20" w:after="0" w:line="360" w:lineRule="auto"/>
      <w:jc w:val="center"/>
    </w:pPr>
    <w:rPr>
      <w:rFonts w:ascii="黑体" w:hAnsi="黑体" w:eastAsia="黑体"/>
      <w:sz w:val="36"/>
      <w:szCs w:val="24"/>
    </w:rPr>
  </w:style>
  <w:style w:type="character" w:customStyle="1" w:styleId="288">
    <w:name w:val="标题1 Char Char"/>
    <w:link w:val="287"/>
    <w:qFormat/>
    <w:locked/>
    <w:uiPriority w:val="0"/>
    <w:rPr>
      <w:rFonts w:ascii="黑体" w:hAnsi="黑体" w:eastAsia="黑体"/>
      <w:b/>
      <w:bCs/>
      <w:kern w:val="44"/>
      <w:sz w:val="36"/>
      <w:szCs w:val="24"/>
    </w:rPr>
  </w:style>
  <w:style w:type="character" w:customStyle="1" w:styleId="289">
    <w:name w:val="标题2 Char Char"/>
    <w:link w:val="286"/>
    <w:qFormat/>
    <w:locked/>
    <w:uiPriority w:val="0"/>
    <w:rPr>
      <w:rFonts w:ascii="宋体" w:hAnsi="宋体"/>
      <w:b/>
      <w:bCs/>
      <w:kern w:val="44"/>
      <w:sz w:val="30"/>
      <w:szCs w:val="24"/>
    </w:rPr>
  </w:style>
  <w:style w:type="character" w:customStyle="1" w:styleId="290">
    <w:name w:val="正文文本 (2) + 间距 -2 pt"/>
    <w:qFormat/>
    <w:uiPriority w:val="99"/>
    <w:rPr>
      <w:rFonts w:ascii="MingLiU" w:eastAsia="MingLiU" w:cs="MingLiU"/>
      <w:spacing w:val="-40"/>
      <w:sz w:val="22"/>
      <w:szCs w:val="22"/>
      <w:u w:val="none"/>
      <w:lang w:val="en-US" w:eastAsia="en-US"/>
    </w:rPr>
  </w:style>
  <w:style w:type="character" w:customStyle="1" w:styleId="291">
    <w:name w:val="正文文本 (2) + 间距 -1 pt"/>
    <w:qFormat/>
    <w:uiPriority w:val="99"/>
    <w:rPr>
      <w:rFonts w:ascii="MingLiU" w:eastAsia="MingLiU" w:cs="MingLiU"/>
      <w:spacing w:val="-20"/>
      <w:sz w:val="22"/>
      <w:szCs w:val="22"/>
      <w:u w:val="none"/>
    </w:rPr>
  </w:style>
  <w:style w:type="character" w:customStyle="1" w:styleId="292">
    <w:name w:val="表格标题 Char Char Char"/>
    <w:qFormat/>
    <w:uiPriority w:val="0"/>
    <w:rPr>
      <w:sz w:val="24"/>
      <w:lang w:val="en-US" w:eastAsia="zh-CN" w:bidi="ar-SA"/>
    </w:rPr>
  </w:style>
  <w:style w:type="character" w:customStyle="1" w:styleId="293">
    <w:name w:val="正文文本缩进 Char1"/>
    <w:semiHidden/>
    <w:qFormat/>
    <w:uiPriority w:val="99"/>
    <w:rPr>
      <w:rFonts w:hint="default" w:ascii="Calibri" w:hAnsi="Calibri"/>
      <w:kern w:val="2"/>
      <w:sz w:val="21"/>
      <w:szCs w:val="24"/>
    </w:rPr>
  </w:style>
  <w:style w:type="character" w:customStyle="1" w:styleId="294">
    <w:name w:val="宏文本 Char1"/>
    <w:semiHidden/>
    <w:qFormat/>
    <w:uiPriority w:val="99"/>
    <w:rPr>
      <w:rFonts w:hint="default" w:ascii="Courier New" w:hAnsi="Courier New" w:cs="Courier New"/>
      <w:kern w:val="2"/>
      <w:sz w:val="24"/>
      <w:szCs w:val="24"/>
    </w:rPr>
  </w:style>
  <w:style w:type="character" w:customStyle="1" w:styleId="295">
    <w:name w:val="标题 #5 + 间距 1 pt"/>
    <w:qFormat/>
    <w:uiPriority w:val="99"/>
    <w:rPr>
      <w:rFonts w:ascii="MingLiU" w:eastAsia="MingLiU" w:cs="MingLiU"/>
      <w:b/>
      <w:bCs/>
      <w:spacing w:val="30"/>
      <w:sz w:val="28"/>
      <w:szCs w:val="28"/>
      <w:u w:val="none"/>
    </w:rPr>
  </w:style>
  <w:style w:type="character" w:customStyle="1" w:styleId="296">
    <w:name w:val="目录 + 间距 1 pt"/>
    <w:qFormat/>
    <w:uiPriority w:val="99"/>
    <w:rPr>
      <w:rFonts w:ascii="MingLiU" w:eastAsia="MingLiU" w:cs="MingLiU"/>
      <w:spacing w:val="30"/>
      <w:sz w:val="20"/>
      <w:szCs w:val="20"/>
      <w:u w:val="none"/>
    </w:rPr>
  </w:style>
  <w:style w:type="character" w:customStyle="1" w:styleId="297">
    <w:name w:val="正文文本 (2) + Sylfaen5"/>
    <w:qFormat/>
    <w:uiPriority w:val="99"/>
    <w:rPr>
      <w:rFonts w:ascii="Sylfaen" w:hAnsi="Sylfaen" w:eastAsia="MingLiU" w:cs="Sylfaen"/>
      <w:spacing w:val="0"/>
      <w:sz w:val="20"/>
      <w:szCs w:val="20"/>
      <w:u w:val="none"/>
      <w:lang w:val="en-US" w:eastAsia="en-US"/>
    </w:rPr>
  </w:style>
  <w:style w:type="character" w:customStyle="1" w:styleId="298">
    <w:name w:val="正文文本 (2) + 13 pt"/>
    <w:qFormat/>
    <w:uiPriority w:val="99"/>
    <w:rPr>
      <w:rFonts w:ascii="MingLiU" w:eastAsia="MingLiU" w:cs="MingLiU"/>
      <w:spacing w:val="0"/>
      <w:sz w:val="26"/>
      <w:szCs w:val="26"/>
      <w:u w:val="none"/>
    </w:rPr>
  </w:style>
  <w:style w:type="character" w:customStyle="1" w:styleId="299">
    <w:name w:val="正文文本 (26)_"/>
    <w:link w:val="300"/>
    <w:qFormat/>
    <w:locked/>
    <w:uiPriority w:val="99"/>
    <w:rPr>
      <w:rFonts w:ascii="AngsanaUPC" w:hAnsi="AngsanaUPC" w:cs="AngsanaUPC"/>
      <w:sz w:val="36"/>
      <w:szCs w:val="36"/>
      <w:u w:val="none"/>
      <w:lang w:val="en-US" w:eastAsia="en-US"/>
    </w:rPr>
  </w:style>
  <w:style w:type="paragraph" w:customStyle="1" w:styleId="300">
    <w:name w:val="正文文本 (26)"/>
    <w:basedOn w:val="1"/>
    <w:link w:val="299"/>
    <w:qFormat/>
    <w:uiPriority w:val="99"/>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301">
    <w:name w:val="标题 #4 + 间距 2 pt"/>
    <w:qFormat/>
    <w:uiPriority w:val="99"/>
    <w:rPr>
      <w:rFonts w:ascii="MingLiU" w:eastAsia="MingLiU" w:cs="MingLiU"/>
      <w:b/>
      <w:bCs/>
      <w:spacing w:val="50"/>
      <w:sz w:val="28"/>
      <w:szCs w:val="28"/>
      <w:u w:val="none"/>
    </w:rPr>
  </w:style>
  <w:style w:type="character" w:customStyle="1" w:styleId="302">
    <w:name w:val="fontstyle31"/>
    <w:basedOn w:val="90"/>
    <w:qFormat/>
    <w:uiPriority w:val="0"/>
    <w:rPr>
      <w:rFonts w:hint="eastAsia" w:ascii="宋体" w:hAnsi="宋体" w:eastAsia="宋体" w:cs="宋体"/>
      <w:color w:val="000000"/>
      <w:sz w:val="24"/>
      <w:szCs w:val="24"/>
    </w:rPr>
  </w:style>
  <w:style w:type="character" w:customStyle="1" w:styleId="303">
    <w:name w:val="脚注文本 Char"/>
    <w:qFormat/>
    <w:uiPriority w:val="0"/>
    <w:rPr>
      <w:rFonts w:cs="MingLiU_HKSCS"/>
      <w:color w:val="000000"/>
      <w:sz w:val="18"/>
      <w:szCs w:val="18"/>
      <w:lang w:val="zh-CN"/>
    </w:rPr>
  </w:style>
  <w:style w:type="character" w:customStyle="1" w:styleId="304">
    <w:name w:val="正文文本 (28) + CordiaUPC"/>
    <w:qFormat/>
    <w:uiPriority w:val="99"/>
    <w:rPr>
      <w:rFonts w:ascii="CordiaUPC" w:hAnsi="CordiaUPC" w:cs="CordiaUPC"/>
      <w:sz w:val="28"/>
      <w:szCs w:val="28"/>
      <w:u w:val="none"/>
      <w:lang w:val="en-US" w:eastAsia="en-US"/>
    </w:rPr>
  </w:style>
  <w:style w:type="character" w:customStyle="1" w:styleId="305">
    <w:name w:val="批注文字 Char1"/>
    <w:semiHidden/>
    <w:qFormat/>
    <w:uiPriority w:val="99"/>
    <w:rPr>
      <w:rFonts w:hint="default" w:ascii="Calibri" w:hAnsi="Calibri"/>
      <w:kern w:val="2"/>
      <w:sz w:val="21"/>
      <w:szCs w:val="24"/>
    </w:rPr>
  </w:style>
  <w:style w:type="character" w:customStyle="1" w:styleId="306">
    <w:name w:val="正文文本 (2) + 7.5 pt"/>
    <w:qFormat/>
    <w:uiPriority w:val="99"/>
    <w:rPr>
      <w:rFonts w:ascii="MingLiU" w:eastAsia="MingLiU" w:cs="MingLiU"/>
      <w:spacing w:val="0"/>
      <w:sz w:val="15"/>
      <w:szCs w:val="15"/>
      <w:u w:val="none"/>
      <w:lang w:val="en-US" w:eastAsia="en-US"/>
    </w:rPr>
  </w:style>
  <w:style w:type="character" w:customStyle="1" w:styleId="307">
    <w:name w:val="正文文本 (21)_"/>
    <w:link w:val="308"/>
    <w:qFormat/>
    <w:locked/>
    <w:uiPriority w:val="99"/>
    <w:rPr>
      <w:rFonts w:ascii="AngsanaUPC" w:hAnsi="AngsanaUPC" w:cs="AngsanaUPC"/>
      <w:sz w:val="36"/>
      <w:szCs w:val="36"/>
      <w:u w:val="none"/>
      <w:lang w:val="en-US" w:eastAsia="en-US"/>
    </w:rPr>
  </w:style>
  <w:style w:type="paragraph" w:customStyle="1" w:styleId="308">
    <w:name w:val="正文文本 (21)"/>
    <w:basedOn w:val="1"/>
    <w:link w:val="307"/>
    <w:qFormat/>
    <w:uiPriority w:val="99"/>
    <w:pPr>
      <w:shd w:val="clear" w:color="auto" w:fill="FFFFFF"/>
      <w:spacing w:before="420" w:line="401" w:lineRule="exact"/>
      <w:ind w:firstLine="520"/>
      <w:jc w:val="both"/>
    </w:pPr>
    <w:rPr>
      <w:rFonts w:ascii="AngsanaUPC" w:hAnsi="AngsanaUPC" w:cs="Times New Roman"/>
      <w:color w:val="auto"/>
      <w:sz w:val="36"/>
      <w:szCs w:val="36"/>
      <w:lang w:val="en-US" w:eastAsia="en-US"/>
    </w:rPr>
  </w:style>
  <w:style w:type="character" w:customStyle="1" w:styleId="309">
    <w:name w:val="目录 (2) + 间距 3 pt1"/>
    <w:qFormat/>
    <w:uiPriority w:val="99"/>
    <w:rPr>
      <w:rFonts w:ascii="MingLiU" w:eastAsia="MingLiU" w:cs="MingLiU"/>
      <w:spacing w:val="70"/>
      <w:sz w:val="22"/>
      <w:szCs w:val="22"/>
      <w:u w:val="none"/>
    </w:rPr>
  </w:style>
  <w:style w:type="character" w:customStyle="1" w:styleId="310">
    <w:name w:val="times"/>
    <w:qFormat/>
    <w:uiPriority w:val="0"/>
    <w:rPr>
      <w:color w:val="3399FF"/>
      <w:bdr w:val="single" w:color="D1EDF8" w:sz="6" w:space="0"/>
      <w:shd w:val="clear" w:color="auto" w:fill="EAF9FF"/>
    </w:rPr>
  </w:style>
  <w:style w:type="character" w:customStyle="1" w:styleId="311">
    <w:name w:val="正文文本 (3)_"/>
    <w:link w:val="312"/>
    <w:qFormat/>
    <w:locked/>
    <w:uiPriority w:val="99"/>
    <w:rPr>
      <w:rFonts w:ascii="MingLiU" w:eastAsia="MingLiU" w:cs="MingLiU"/>
      <w:sz w:val="34"/>
      <w:szCs w:val="34"/>
      <w:u w:val="none"/>
    </w:rPr>
  </w:style>
  <w:style w:type="paragraph" w:customStyle="1" w:styleId="312">
    <w:name w:val="正文文本 (3)"/>
    <w:basedOn w:val="1"/>
    <w:link w:val="311"/>
    <w:qFormat/>
    <w:uiPriority w:val="99"/>
    <w:pPr>
      <w:shd w:val="clear" w:color="auto" w:fill="FFFFFF"/>
      <w:spacing w:after="1140" w:line="240" w:lineRule="atLeast"/>
      <w:jc w:val="center"/>
    </w:pPr>
    <w:rPr>
      <w:rFonts w:ascii="MingLiU" w:eastAsia="MingLiU" w:cs="Times New Roman"/>
      <w:color w:val="auto"/>
      <w:sz w:val="34"/>
      <w:szCs w:val="34"/>
    </w:rPr>
  </w:style>
  <w:style w:type="character" w:customStyle="1" w:styleId="313">
    <w:name w:val="标题 #7 (4)_"/>
    <w:link w:val="314"/>
    <w:qFormat/>
    <w:locked/>
    <w:uiPriority w:val="99"/>
    <w:rPr>
      <w:rFonts w:ascii="MingLiU" w:eastAsia="MingLiU" w:cs="MingLiU"/>
      <w:sz w:val="26"/>
      <w:szCs w:val="26"/>
      <w:u w:val="none"/>
    </w:rPr>
  </w:style>
  <w:style w:type="paragraph" w:customStyle="1" w:styleId="314">
    <w:name w:val="标题 #7 (4)"/>
    <w:basedOn w:val="1"/>
    <w:link w:val="313"/>
    <w:qFormat/>
    <w:uiPriority w:val="99"/>
    <w:pPr>
      <w:shd w:val="clear" w:color="auto" w:fill="FFFFFF"/>
      <w:spacing w:line="391" w:lineRule="exact"/>
      <w:jc w:val="distribute"/>
      <w:outlineLvl w:val="6"/>
    </w:pPr>
    <w:rPr>
      <w:rFonts w:ascii="MingLiU" w:eastAsia="MingLiU" w:cs="Times New Roman"/>
      <w:color w:val="auto"/>
      <w:sz w:val="26"/>
      <w:szCs w:val="26"/>
    </w:rPr>
  </w:style>
  <w:style w:type="character" w:customStyle="1" w:styleId="315">
    <w:name w:val="正文文本 (2) + Sylfaen6"/>
    <w:qFormat/>
    <w:uiPriority w:val="99"/>
    <w:rPr>
      <w:rFonts w:ascii="Sylfaen" w:hAnsi="Sylfaen" w:eastAsia="MingLiU" w:cs="Sylfaen"/>
      <w:spacing w:val="0"/>
      <w:sz w:val="23"/>
      <w:szCs w:val="23"/>
      <w:u w:val="none"/>
      <w:lang w:val="en-US" w:eastAsia="en-US"/>
    </w:rPr>
  </w:style>
  <w:style w:type="character" w:customStyle="1" w:styleId="316">
    <w:name w:val="正文文本 (22) + Sylfaen"/>
    <w:qFormat/>
    <w:uiPriority w:val="99"/>
    <w:rPr>
      <w:rFonts w:ascii="Sylfaen" w:hAnsi="Sylfaen" w:cs="Sylfaen"/>
      <w:sz w:val="24"/>
      <w:szCs w:val="24"/>
      <w:u w:val="none"/>
      <w:lang w:val="en-US" w:eastAsia="en-US"/>
    </w:rPr>
  </w:style>
  <w:style w:type="character" w:customStyle="1" w:styleId="317">
    <w:name w:val="页眉或页脚 + 间距 2 pt1"/>
    <w:qFormat/>
    <w:uiPriority w:val="99"/>
    <w:rPr>
      <w:rFonts w:ascii="MingLiU" w:eastAsia="MingLiU" w:cs="MingLiU"/>
      <w:spacing w:val="40"/>
      <w:sz w:val="20"/>
      <w:szCs w:val="20"/>
      <w:u w:val="none"/>
    </w:rPr>
  </w:style>
  <w:style w:type="character" w:customStyle="1" w:styleId="318">
    <w:name w:val="正文文本 (19) + 非粗体"/>
    <w:qFormat/>
    <w:uiPriority w:val="99"/>
    <w:rPr>
      <w:rFonts w:ascii="MingLiU" w:eastAsia="MingLiU" w:cs="MingLiU"/>
      <w:b/>
      <w:bCs/>
      <w:spacing w:val="0"/>
      <w:sz w:val="22"/>
      <w:szCs w:val="22"/>
      <w:u w:val="none"/>
      <w:lang w:val="en-US" w:eastAsia="en-US"/>
    </w:rPr>
  </w:style>
  <w:style w:type="character" w:customStyle="1" w:styleId="319">
    <w:name w:val="正文文本 (2) + AngsanaUPC1"/>
    <w:qFormat/>
    <w:uiPriority w:val="99"/>
    <w:rPr>
      <w:rFonts w:ascii="AngsanaUPC" w:hAnsi="AngsanaUPC" w:eastAsia="MingLiU" w:cs="AngsanaUPC"/>
      <w:spacing w:val="0"/>
      <w:sz w:val="36"/>
      <w:szCs w:val="36"/>
      <w:u w:val="none"/>
      <w:lang w:val="en-US" w:eastAsia="en-US"/>
    </w:rPr>
  </w:style>
  <w:style w:type="character" w:customStyle="1" w:styleId="320">
    <w:name w:val="标题 #6 (3) + 间距 2 pt"/>
    <w:qFormat/>
    <w:uiPriority w:val="99"/>
    <w:rPr>
      <w:rFonts w:ascii="MingLiU" w:eastAsia="MingLiU" w:cs="MingLiU"/>
      <w:spacing w:val="50"/>
      <w:sz w:val="26"/>
      <w:szCs w:val="26"/>
      <w:u w:val="none"/>
    </w:rPr>
  </w:style>
  <w:style w:type="character" w:customStyle="1" w:styleId="321">
    <w:name w:val="Char Char31"/>
    <w:qFormat/>
    <w:uiPriority w:val="0"/>
    <w:rPr>
      <w:rFonts w:hint="eastAsia" w:ascii="宋体" w:hAnsi="Courier New" w:eastAsia="宋体" w:cs="Courier New"/>
      <w:kern w:val="2"/>
      <w:sz w:val="21"/>
      <w:szCs w:val="21"/>
    </w:rPr>
  </w:style>
  <w:style w:type="character" w:customStyle="1" w:styleId="322">
    <w:name w:val="正文文本 (11)_"/>
    <w:link w:val="323"/>
    <w:qFormat/>
    <w:locked/>
    <w:uiPriority w:val="99"/>
    <w:rPr>
      <w:rFonts w:ascii="MingLiU" w:eastAsia="MingLiU" w:cs="MingLiU"/>
      <w:spacing w:val="260"/>
      <w:sz w:val="48"/>
      <w:szCs w:val="48"/>
      <w:u w:val="none"/>
    </w:rPr>
  </w:style>
  <w:style w:type="paragraph" w:customStyle="1" w:styleId="323">
    <w:name w:val="正文文本 (11)"/>
    <w:basedOn w:val="1"/>
    <w:link w:val="322"/>
    <w:qFormat/>
    <w:uiPriority w:val="99"/>
    <w:pPr>
      <w:shd w:val="clear" w:color="auto" w:fill="FFFFFF"/>
      <w:spacing w:before="1620" w:after="5700" w:line="240" w:lineRule="atLeast"/>
      <w:jc w:val="center"/>
    </w:pPr>
    <w:rPr>
      <w:rFonts w:ascii="MingLiU" w:eastAsia="MingLiU" w:cs="Times New Roman"/>
      <w:color w:val="auto"/>
      <w:spacing w:val="260"/>
      <w:sz w:val="48"/>
      <w:szCs w:val="48"/>
    </w:rPr>
  </w:style>
  <w:style w:type="character" w:customStyle="1" w:styleId="324">
    <w:name w:val="标题 #6 + 7 pt"/>
    <w:qFormat/>
    <w:uiPriority w:val="99"/>
    <w:rPr>
      <w:rFonts w:ascii="MingLiU" w:eastAsia="MingLiU" w:cs="MingLiU"/>
      <w:spacing w:val="0"/>
      <w:sz w:val="14"/>
      <w:szCs w:val="14"/>
      <w:u w:val="none"/>
    </w:rPr>
  </w:style>
  <w:style w:type="character" w:customStyle="1" w:styleId="325">
    <w:name w:val="样式 标题2 + (中文) 宋体 Char Char Char"/>
    <w:qFormat/>
    <w:uiPriority w:val="0"/>
    <w:rPr>
      <w:rFonts w:hint="eastAsia" w:ascii="宋体" w:hAnsi="宋体" w:eastAsia="黑体"/>
      <w:b/>
      <w:bCs/>
      <w:kern w:val="44"/>
      <w:sz w:val="30"/>
      <w:szCs w:val="24"/>
      <w:lang w:val="en-US" w:eastAsia="zh-CN" w:bidi="ar-SA"/>
    </w:rPr>
  </w:style>
  <w:style w:type="character" w:customStyle="1" w:styleId="326">
    <w:name w:val="正文文本 (12)_"/>
    <w:link w:val="327"/>
    <w:qFormat/>
    <w:locked/>
    <w:uiPriority w:val="99"/>
    <w:rPr>
      <w:rFonts w:ascii="MingLiU" w:eastAsia="MingLiU" w:cs="MingLiU"/>
      <w:spacing w:val="140"/>
      <w:sz w:val="30"/>
      <w:szCs w:val="30"/>
      <w:u w:val="none"/>
    </w:rPr>
  </w:style>
  <w:style w:type="paragraph" w:customStyle="1" w:styleId="327">
    <w:name w:val="正文文本 (12)"/>
    <w:basedOn w:val="1"/>
    <w:link w:val="326"/>
    <w:qFormat/>
    <w:uiPriority w:val="99"/>
    <w:pPr>
      <w:shd w:val="clear" w:color="auto" w:fill="FFFFFF"/>
      <w:spacing w:before="660" w:after="420" w:line="240" w:lineRule="atLeast"/>
    </w:pPr>
    <w:rPr>
      <w:rFonts w:ascii="MingLiU" w:eastAsia="MingLiU" w:cs="Times New Roman"/>
      <w:color w:val="auto"/>
      <w:spacing w:val="140"/>
      <w:sz w:val="30"/>
      <w:szCs w:val="30"/>
    </w:rPr>
  </w:style>
  <w:style w:type="character" w:customStyle="1" w:styleId="328">
    <w:name w:val="正文文本 (32)_"/>
    <w:link w:val="329"/>
    <w:qFormat/>
    <w:locked/>
    <w:uiPriority w:val="99"/>
    <w:rPr>
      <w:rFonts w:ascii="AngsanaUPC" w:hAnsi="AngsanaUPC" w:cs="AngsanaUPC"/>
      <w:sz w:val="30"/>
      <w:szCs w:val="30"/>
      <w:u w:val="none"/>
      <w:lang w:val="en-US" w:eastAsia="en-US"/>
    </w:rPr>
  </w:style>
  <w:style w:type="paragraph" w:customStyle="1" w:styleId="329">
    <w:name w:val="正文文本 (32)"/>
    <w:basedOn w:val="1"/>
    <w:link w:val="328"/>
    <w:qFormat/>
    <w:uiPriority w:val="99"/>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330">
    <w:name w:val="标题 Char1"/>
    <w:qFormat/>
    <w:uiPriority w:val="10"/>
    <w:rPr>
      <w:rFonts w:hint="default" w:ascii="Cambria" w:hAnsi="Cambria" w:eastAsia="宋体" w:cs="Times New Roman"/>
      <w:b/>
      <w:bCs/>
      <w:sz w:val="32"/>
      <w:szCs w:val="32"/>
    </w:rPr>
  </w:style>
  <w:style w:type="character" w:customStyle="1" w:styleId="331">
    <w:name w:val="正文文本 (7) + Sylfaen"/>
    <w:qFormat/>
    <w:uiPriority w:val="99"/>
    <w:rPr>
      <w:rFonts w:ascii="Sylfaen" w:hAnsi="Sylfaen" w:eastAsia="MingLiU" w:cs="Sylfaen"/>
      <w:spacing w:val="20"/>
      <w:sz w:val="14"/>
      <w:szCs w:val="14"/>
      <w:u w:val="none"/>
      <w:lang w:val="en-US" w:eastAsia="en-US"/>
    </w:rPr>
  </w:style>
  <w:style w:type="character" w:customStyle="1" w:styleId="332">
    <w:name w:val="正文文本 (2) + Sylfaen14"/>
    <w:qFormat/>
    <w:uiPriority w:val="99"/>
    <w:rPr>
      <w:rFonts w:ascii="Sylfaen" w:hAnsi="Sylfaen" w:eastAsia="MingLiU" w:cs="Sylfaen"/>
      <w:spacing w:val="0"/>
      <w:sz w:val="23"/>
      <w:szCs w:val="23"/>
      <w:u w:val="none"/>
      <w:lang w:val="en-US" w:eastAsia="en-US"/>
    </w:rPr>
  </w:style>
  <w:style w:type="character" w:customStyle="1" w:styleId="333">
    <w:name w:val="正文文本 (2) + 10 pt37"/>
    <w:qFormat/>
    <w:uiPriority w:val="99"/>
    <w:rPr>
      <w:rFonts w:ascii="MingLiU" w:eastAsia="MingLiU" w:cs="MingLiU"/>
      <w:spacing w:val="0"/>
      <w:sz w:val="20"/>
      <w:szCs w:val="20"/>
      <w:u w:val="none"/>
    </w:rPr>
  </w:style>
  <w:style w:type="character" w:customStyle="1" w:styleId="334">
    <w:name w:val="正文一 Char"/>
    <w:link w:val="335"/>
    <w:qFormat/>
    <w:locked/>
    <w:uiPriority w:val="0"/>
    <w:rPr>
      <w:kern w:val="2"/>
      <w:sz w:val="24"/>
    </w:rPr>
  </w:style>
  <w:style w:type="paragraph" w:customStyle="1" w:styleId="335">
    <w:name w:val="正文一"/>
    <w:basedOn w:val="1"/>
    <w:link w:val="334"/>
    <w:qFormat/>
    <w:uiPriority w:val="0"/>
    <w:pPr>
      <w:overflowPunct w:val="0"/>
      <w:spacing w:line="400" w:lineRule="exact"/>
      <w:ind w:firstLine="480" w:firstLineChars="200"/>
      <w:jc w:val="both"/>
    </w:pPr>
    <w:rPr>
      <w:rFonts w:cs="Times New Roman"/>
      <w:color w:val="auto"/>
      <w:kern w:val="2"/>
      <w:szCs w:val="20"/>
    </w:rPr>
  </w:style>
  <w:style w:type="character" w:customStyle="1" w:styleId="336">
    <w:name w:val="正文文本 (2) + Sylfaen1"/>
    <w:qFormat/>
    <w:uiPriority w:val="99"/>
    <w:rPr>
      <w:rFonts w:ascii="Sylfaen" w:hAnsi="Sylfaen" w:eastAsia="MingLiU" w:cs="Sylfaen"/>
      <w:spacing w:val="0"/>
      <w:sz w:val="20"/>
      <w:szCs w:val="20"/>
      <w:u w:val="none"/>
      <w:lang w:val="en-US" w:eastAsia="en-US"/>
    </w:rPr>
  </w:style>
  <w:style w:type="character" w:customStyle="1" w:styleId="337">
    <w:name w:val="表格格式 Char Char"/>
    <w:link w:val="338"/>
    <w:qFormat/>
    <w:locked/>
    <w:uiPriority w:val="0"/>
    <w:rPr>
      <w:rFonts w:ascii="Calibri" w:hAnsi="Calibri"/>
      <w:bCs/>
      <w:sz w:val="21"/>
      <w:lang w:val="en-US" w:eastAsia="zh-CN" w:bidi="ar-SA"/>
    </w:rPr>
  </w:style>
  <w:style w:type="paragraph" w:customStyle="1" w:styleId="338">
    <w:name w:val="表格格式"/>
    <w:next w:val="1"/>
    <w:link w:val="337"/>
    <w:qFormat/>
    <w:uiPriority w:val="0"/>
    <w:pPr>
      <w:jc w:val="center"/>
    </w:pPr>
    <w:rPr>
      <w:rFonts w:ascii="Calibri" w:hAnsi="Calibri" w:eastAsia="宋体" w:cs="Times New Roman"/>
      <w:bCs/>
      <w:sz w:val="21"/>
      <w:lang w:val="en-US" w:eastAsia="zh-CN" w:bidi="ar-SA"/>
    </w:rPr>
  </w:style>
  <w:style w:type="character" w:customStyle="1" w:styleId="339">
    <w:name w:val="正文文本 (2) + CordiaUPC4"/>
    <w:qFormat/>
    <w:uiPriority w:val="99"/>
    <w:rPr>
      <w:rFonts w:ascii="CordiaUPC" w:hAnsi="CordiaUPC" w:eastAsia="MingLiU" w:cs="CordiaUPC"/>
      <w:b/>
      <w:bCs/>
      <w:spacing w:val="0"/>
      <w:sz w:val="34"/>
      <w:szCs w:val="34"/>
      <w:u w:val="none"/>
      <w:lang w:val="en-US" w:eastAsia="en-US"/>
    </w:rPr>
  </w:style>
  <w:style w:type="character" w:customStyle="1" w:styleId="340">
    <w:name w:val="标题 #6 (4)_"/>
    <w:link w:val="341"/>
    <w:qFormat/>
    <w:locked/>
    <w:uiPriority w:val="99"/>
    <w:rPr>
      <w:rFonts w:ascii="MingLiU" w:eastAsia="MingLiU" w:cs="MingLiU"/>
      <w:sz w:val="26"/>
      <w:szCs w:val="26"/>
      <w:u w:val="none"/>
    </w:rPr>
  </w:style>
  <w:style w:type="paragraph" w:customStyle="1" w:styleId="341">
    <w:name w:val="标题 #6 (4)"/>
    <w:basedOn w:val="1"/>
    <w:link w:val="340"/>
    <w:qFormat/>
    <w:uiPriority w:val="99"/>
    <w:pPr>
      <w:shd w:val="clear" w:color="auto" w:fill="FFFFFF"/>
      <w:spacing w:after="1020" w:line="240" w:lineRule="atLeast"/>
      <w:outlineLvl w:val="5"/>
    </w:pPr>
    <w:rPr>
      <w:rFonts w:ascii="MingLiU" w:eastAsia="MingLiU" w:cs="Times New Roman"/>
      <w:color w:val="auto"/>
      <w:sz w:val="26"/>
      <w:szCs w:val="26"/>
    </w:rPr>
  </w:style>
  <w:style w:type="character" w:customStyle="1" w:styleId="342">
    <w:name w:val="正文文本 (2) + 10 pt35"/>
    <w:qFormat/>
    <w:uiPriority w:val="99"/>
    <w:rPr>
      <w:rFonts w:ascii="MingLiU" w:eastAsia="MingLiU" w:cs="MingLiU"/>
      <w:b/>
      <w:bCs/>
      <w:spacing w:val="10"/>
      <w:sz w:val="20"/>
      <w:szCs w:val="20"/>
      <w:u w:val="none"/>
    </w:rPr>
  </w:style>
  <w:style w:type="character" w:customStyle="1" w:styleId="343">
    <w:name w:val="标题 #7 + 间距 2 pt"/>
    <w:qFormat/>
    <w:uiPriority w:val="99"/>
    <w:rPr>
      <w:rFonts w:ascii="MingLiU" w:eastAsia="MingLiU" w:cs="MingLiU"/>
      <w:b/>
      <w:bCs/>
      <w:spacing w:val="40"/>
      <w:sz w:val="22"/>
      <w:szCs w:val="22"/>
      <w:u w:val="none"/>
    </w:rPr>
  </w:style>
  <w:style w:type="character" w:customStyle="1" w:styleId="344">
    <w:name w:val="文档结构图 Char1"/>
    <w:semiHidden/>
    <w:qFormat/>
    <w:uiPriority w:val="99"/>
    <w:rPr>
      <w:rFonts w:hint="eastAsia" w:ascii="宋体" w:hAnsi="Calibri" w:eastAsia="宋体"/>
      <w:kern w:val="2"/>
      <w:sz w:val="18"/>
      <w:szCs w:val="18"/>
    </w:rPr>
  </w:style>
  <w:style w:type="character" w:customStyle="1" w:styleId="345">
    <w:name w:val="表格格式 Char"/>
    <w:qFormat/>
    <w:uiPriority w:val="0"/>
    <w:rPr>
      <w:rFonts w:hint="default" w:ascii="Times New Roman" w:hAnsi="Times New Roman" w:eastAsia="宋体" w:cs="Times New Roman"/>
      <w:bCs/>
      <w:sz w:val="21"/>
      <w:lang w:val="en-US" w:eastAsia="zh-CN" w:bidi="ar-SA"/>
    </w:rPr>
  </w:style>
  <w:style w:type="character" w:customStyle="1" w:styleId="346">
    <w:name w:val="结束语 Char1"/>
    <w:semiHidden/>
    <w:qFormat/>
    <w:uiPriority w:val="99"/>
    <w:rPr>
      <w:rFonts w:hint="default" w:ascii="Calibri" w:hAnsi="Calibri"/>
      <w:kern w:val="2"/>
      <w:sz w:val="21"/>
      <w:szCs w:val="24"/>
    </w:rPr>
  </w:style>
  <w:style w:type="character" w:customStyle="1" w:styleId="347">
    <w:name w:val="页脚 Char1"/>
    <w:semiHidden/>
    <w:qFormat/>
    <w:uiPriority w:val="99"/>
    <w:rPr>
      <w:rFonts w:hint="default" w:ascii="Calibri" w:hAnsi="Calibri"/>
      <w:kern w:val="2"/>
      <w:sz w:val="18"/>
      <w:szCs w:val="18"/>
    </w:rPr>
  </w:style>
  <w:style w:type="character" w:customStyle="1" w:styleId="348">
    <w:name w:val="正文文本 (4)_"/>
    <w:link w:val="349"/>
    <w:qFormat/>
    <w:locked/>
    <w:uiPriority w:val="99"/>
    <w:rPr>
      <w:rFonts w:ascii="MingLiU" w:eastAsia="MingLiU" w:cs="MingLiU"/>
      <w:spacing w:val="110"/>
      <w:w w:val="70"/>
      <w:sz w:val="52"/>
      <w:szCs w:val="52"/>
      <w:u w:val="none"/>
      <w:lang w:val="en-US" w:eastAsia="en-US"/>
    </w:rPr>
  </w:style>
  <w:style w:type="paragraph" w:customStyle="1" w:styleId="349">
    <w:name w:val="正文文本 (4)"/>
    <w:basedOn w:val="1"/>
    <w:link w:val="348"/>
    <w:qFormat/>
    <w:uiPriority w:val="99"/>
    <w:pPr>
      <w:shd w:val="clear" w:color="auto" w:fill="FFFFFF"/>
      <w:spacing w:after="1680" w:line="240" w:lineRule="atLeast"/>
      <w:jc w:val="center"/>
    </w:pPr>
    <w:rPr>
      <w:rFonts w:ascii="MingLiU" w:eastAsia="MingLiU" w:cs="Times New Roman"/>
      <w:color w:val="auto"/>
      <w:spacing w:val="110"/>
      <w:w w:val="70"/>
      <w:sz w:val="52"/>
      <w:szCs w:val="52"/>
      <w:lang w:val="en-US" w:eastAsia="en-US"/>
    </w:rPr>
  </w:style>
  <w:style w:type="character" w:customStyle="1" w:styleId="350">
    <w:name w:val="目录 (2) + 间距 -2 pt"/>
    <w:qFormat/>
    <w:uiPriority w:val="99"/>
    <w:rPr>
      <w:rFonts w:ascii="MingLiU" w:eastAsia="MingLiU" w:cs="MingLiU"/>
      <w:spacing w:val="-40"/>
      <w:sz w:val="22"/>
      <w:szCs w:val="22"/>
      <w:u w:val="none"/>
    </w:rPr>
  </w:style>
  <w:style w:type="character" w:customStyle="1" w:styleId="351">
    <w:name w:val="正文文本 (43)_"/>
    <w:link w:val="352"/>
    <w:qFormat/>
    <w:locked/>
    <w:uiPriority w:val="99"/>
    <w:rPr>
      <w:rFonts w:ascii="MingLiU" w:eastAsia="MingLiU" w:cs="MingLiU"/>
      <w:b/>
      <w:bCs/>
      <w:sz w:val="20"/>
      <w:szCs w:val="20"/>
      <w:u w:val="none"/>
    </w:rPr>
  </w:style>
  <w:style w:type="paragraph" w:customStyle="1" w:styleId="352">
    <w:name w:val="正文文本 (43)1"/>
    <w:basedOn w:val="1"/>
    <w:link w:val="351"/>
    <w:qFormat/>
    <w:uiPriority w:val="99"/>
    <w:pPr>
      <w:shd w:val="clear" w:color="auto" w:fill="FFFFFF"/>
      <w:spacing w:line="398" w:lineRule="exact"/>
      <w:jc w:val="distribute"/>
    </w:pPr>
    <w:rPr>
      <w:rFonts w:ascii="MingLiU" w:eastAsia="MingLiU" w:cs="Times New Roman"/>
      <w:b/>
      <w:bCs/>
      <w:color w:val="auto"/>
      <w:sz w:val="20"/>
      <w:szCs w:val="20"/>
    </w:rPr>
  </w:style>
  <w:style w:type="character" w:customStyle="1" w:styleId="353">
    <w:name w:val="正文文本 (2) + 间距 0 pt6"/>
    <w:qFormat/>
    <w:uiPriority w:val="99"/>
    <w:rPr>
      <w:rFonts w:ascii="MingLiU" w:eastAsia="MingLiU" w:cs="MingLiU"/>
      <w:spacing w:val="-10"/>
      <w:sz w:val="22"/>
      <w:szCs w:val="22"/>
      <w:u w:val="none"/>
    </w:rPr>
  </w:style>
  <w:style w:type="character" w:customStyle="1" w:styleId="354">
    <w:name w:val="目录 (2) + 间距 -1 pt1"/>
    <w:qFormat/>
    <w:uiPriority w:val="99"/>
    <w:rPr>
      <w:rFonts w:ascii="MingLiU" w:eastAsia="MingLiU" w:cs="MingLiU"/>
      <w:spacing w:val="-20"/>
      <w:sz w:val="22"/>
      <w:szCs w:val="22"/>
      <w:u w:val="none"/>
    </w:rPr>
  </w:style>
  <w:style w:type="character" w:customStyle="1" w:styleId="355">
    <w:name w:val="正文文本 (2) + 10 pt2"/>
    <w:qFormat/>
    <w:uiPriority w:val="99"/>
    <w:rPr>
      <w:rFonts w:ascii="MingLiU" w:eastAsia="MingLiU" w:cs="MingLiU"/>
      <w:smallCaps/>
      <w:spacing w:val="-20"/>
      <w:w w:val="100"/>
      <w:sz w:val="20"/>
      <w:szCs w:val="20"/>
      <w:u w:val="none"/>
      <w:lang w:val="en-US" w:eastAsia="en-US"/>
    </w:rPr>
  </w:style>
  <w:style w:type="character" w:customStyle="1" w:styleId="356">
    <w:name w:val="正文 宋小四"/>
    <w:qFormat/>
    <w:uiPriority w:val="0"/>
    <w:rPr>
      <w:rFonts w:ascii="宋体" w:hAnsi="宋体" w:eastAsia="宋体"/>
      <w:sz w:val="24"/>
    </w:rPr>
  </w:style>
  <w:style w:type="character" w:customStyle="1" w:styleId="357">
    <w:name w:val="正文文本 (2) + 间距 2 pt"/>
    <w:qFormat/>
    <w:uiPriority w:val="99"/>
    <w:rPr>
      <w:rFonts w:ascii="MingLiU" w:eastAsia="MingLiU" w:cs="MingLiU"/>
      <w:spacing w:val="40"/>
      <w:sz w:val="22"/>
      <w:szCs w:val="22"/>
      <w:u w:val="none"/>
      <w:lang w:val="en-US" w:eastAsia="en-US"/>
    </w:rPr>
  </w:style>
  <w:style w:type="character" w:customStyle="1" w:styleId="358">
    <w:name w:val="正文文本 (41)_"/>
    <w:link w:val="359"/>
    <w:qFormat/>
    <w:locked/>
    <w:uiPriority w:val="99"/>
    <w:rPr>
      <w:rFonts w:ascii="MingLiU" w:eastAsia="MingLiU" w:cs="MingLiU"/>
      <w:spacing w:val="110"/>
      <w:sz w:val="21"/>
      <w:szCs w:val="21"/>
      <w:u w:val="none"/>
    </w:rPr>
  </w:style>
  <w:style w:type="paragraph" w:customStyle="1" w:styleId="359">
    <w:name w:val="正文文本 (41)"/>
    <w:basedOn w:val="1"/>
    <w:link w:val="358"/>
    <w:qFormat/>
    <w:uiPriority w:val="99"/>
    <w:pPr>
      <w:shd w:val="clear" w:color="auto" w:fill="FFFFFF"/>
      <w:spacing w:before="840" w:after="240" w:line="240" w:lineRule="atLeast"/>
    </w:pPr>
    <w:rPr>
      <w:rFonts w:ascii="MingLiU" w:eastAsia="MingLiU" w:cs="Times New Roman"/>
      <w:color w:val="auto"/>
      <w:spacing w:val="110"/>
      <w:sz w:val="21"/>
      <w:szCs w:val="21"/>
    </w:rPr>
  </w:style>
  <w:style w:type="character" w:customStyle="1" w:styleId="360">
    <w:name w:val="表格标题 (3)_"/>
    <w:link w:val="361"/>
    <w:qFormat/>
    <w:locked/>
    <w:uiPriority w:val="99"/>
    <w:rPr>
      <w:rFonts w:ascii="MingLiU" w:eastAsia="MingLiU" w:cs="MingLiU"/>
      <w:sz w:val="22"/>
      <w:szCs w:val="22"/>
      <w:u w:val="none"/>
    </w:rPr>
  </w:style>
  <w:style w:type="paragraph" w:customStyle="1" w:styleId="361">
    <w:name w:val="表格标题 (3)"/>
    <w:basedOn w:val="1"/>
    <w:link w:val="360"/>
    <w:qFormat/>
    <w:uiPriority w:val="99"/>
    <w:pPr>
      <w:shd w:val="clear" w:color="auto" w:fill="FFFFFF"/>
      <w:spacing w:line="240" w:lineRule="atLeast"/>
    </w:pPr>
    <w:rPr>
      <w:rFonts w:ascii="MingLiU" w:eastAsia="MingLiU" w:cs="Times New Roman"/>
      <w:color w:val="auto"/>
      <w:sz w:val="22"/>
      <w:szCs w:val="22"/>
    </w:rPr>
  </w:style>
  <w:style w:type="character" w:customStyle="1" w:styleId="362">
    <w:name w:val="正文文本 (2) + Times New Roman2"/>
    <w:qFormat/>
    <w:uiPriority w:val="99"/>
    <w:rPr>
      <w:rFonts w:ascii="Times New Roman" w:hAnsi="Times New Roman" w:eastAsia="MingLiU" w:cs="Times New Roman"/>
      <w:spacing w:val="0"/>
      <w:sz w:val="20"/>
      <w:szCs w:val="20"/>
      <w:u w:val="none"/>
      <w:lang w:val="en-US" w:eastAsia="en-US"/>
    </w:rPr>
  </w:style>
  <w:style w:type="character" w:customStyle="1" w:styleId="363">
    <w:name w:val="正文文本 (2) + 粗体1"/>
    <w:qFormat/>
    <w:uiPriority w:val="99"/>
    <w:rPr>
      <w:rFonts w:ascii="MingLiU" w:eastAsia="MingLiU" w:cs="MingLiU"/>
      <w:b/>
      <w:bCs/>
      <w:spacing w:val="-20"/>
      <w:sz w:val="22"/>
      <w:szCs w:val="22"/>
      <w:u w:val="none"/>
      <w:lang w:val="en-US" w:eastAsia="en-US"/>
    </w:rPr>
  </w:style>
  <w:style w:type="character" w:customStyle="1" w:styleId="364">
    <w:name w:val="表格标题 (10)_"/>
    <w:link w:val="365"/>
    <w:qFormat/>
    <w:locked/>
    <w:uiPriority w:val="99"/>
    <w:rPr>
      <w:rFonts w:ascii="Sylfaen" w:hAnsi="Sylfaen" w:cs="Sylfaen"/>
      <w:sz w:val="20"/>
      <w:szCs w:val="20"/>
      <w:u w:val="none"/>
    </w:rPr>
  </w:style>
  <w:style w:type="paragraph" w:customStyle="1" w:styleId="365">
    <w:name w:val="表格标题 (10)"/>
    <w:basedOn w:val="1"/>
    <w:link w:val="364"/>
    <w:qFormat/>
    <w:uiPriority w:val="99"/>
    <w:pPr>
      <w:shd w:val="clear" w:color="auto" w:fill="FFFFFF"/>
      <w:spacing w:before="60" w:line="240" w:lineRule="atLeast"/>
    </w:pPr>
    <w:rPr>
      <w:rFonts w:ascii="Sylfaen" w:hAnsi="Sylfaen" w:cs="Times New Roman"/>
      <w:color w:val="auto"/>
      <w:sz w:val="20"/>
      <w:szCs w:val="20"/>
    </w:rPr>
  </w:style>
  <w:style w:type="character" w:customStyle="1" w:styleId="366">
    <w:name w:val="正文首行缩进 Char1"/>
    <w:semiHidden/>
    <w:qFormat/>
    <w:uiPriority w:val="99"/>
  </w:style>
  <w:style w:type="character" w:customStyle="1" w:styleId="367">
    <w:name w:val="z-窗体顶端 Char"/>
    <w:link w:val="368"/>
    <w:qFormat/>
    <w:locked/>
    <w:uiPriority w:val="0"/>
    <w:rPr>
      <w:rFonts w:ascii="Arial" w:hAnsi="Arial" w:cs="Arial"/>
      <w:vanish/>
      <w:kern w:val="2"/>
      <w:sz w:val="16"/>
      <w:szCs w:val="16"/>
    </w:rPr>
  </w:style>
  <w:style w:type="paragraph" w:customStyle="1" w:styleId="368">
    <w:name w:val="z-窗体顶端1"/>
    <w:basedOn w:val="1"/>
    <w:next w:val="1"/>
    <w:link w:val="367"/>
    <w:qFormat/>
    <w:uiPriority w:val="0"/>
    <w:pPr>
      <w:pBdr>
        <w:bottom w:val="single" w:color="auto" w:sz="6" w:space="1"/>
      </w:pBdr>
      <w:jc w:val="center"/>
    </w:pPr>
    <w:rPr>
      <w:rFonts w:ascii="Arial" w:hAnsi="Arial" w:cs="Times New Roman"/>
      <w:vanish/>
      <w:color w:val="auto"/>
      <w:kern w:val="2"/>
      <w:sz w:val="16"/>
      <w:szCs w:val="16"/>
    </w:rPr>
  </w:style>
  <w:style w:type="character" w:customStyle="1" w:styleId="369">
    <w:name w:val="标题 #7 + 非粗体1"/>
    <w:qFormat/>
    <w:uiPriority w:val="99"/>
    <w:rPr>
      <w:rFonts w:ascii="MingLiU" w:eastAsia="MingLiU" w:cs="MingLiU"/>
      <w:b/>
      <w:bCs/>
      <w:spacing w:val="-10"/>
      <w:sz w:val="22"/>
      <w:szCs w:val="22"/>
      <w:u w:val="none"/>
      <w:lang w:val="en-US" w:eastAsia="en-US"/>
    </w:rPr>
  </w:style>
  <w:style w:type="character" w:customStyle="1" w:styleId="370">
    <w:name w:val="正文文本 (2) + 10 pt"/>
    <w:qFormat/>
    <w:uiPriority w:val="99"/>
    <w:rPr>
      <w:rFonts w:ascii="MingLiU" w:eastAsia="MingLiU" w:cs="MingLiU"/>
      <w:b/>
      <w:bCs/>
      <w:spacing w:val="10"/>
      <w:sz w:val="20"/>
      <w:szCs w:val="20"/>
      <w:u w:val="none"/>
    </w:rPr>
  </w:style>
  <w:style w:type="character" w:customStyle="1" w:styleId="371">
    <w:name w:val="正文文本 (2) + 10 pt36"/>
    <w:qFormat/>
    <w:uiPriority w:val="99"/>
    <w:rPr>
      <w:rFonts w:ascii="MingLiU" w:eastAsia="MingLiU" w:cs="MingLiU"/>
      <w:spacing w:val="370"/>
      <w:sz w:val="20"/>
      <w:szCs w:val="20"/>
      <w:u w:val="none"/>
    </w:rPr>
  </w:style>
  <w:style w:type="character" w:customStyle="1" w:styleId="372">
    <w:name w:val="正文文本 (2) + 5 pt2"/>
    <w:qFormat/>
    <w:uiPriority w:val="99"/>
    <w:rPr>
      <w:rFonts w:ascii="MingLiU" w:eastAsia="MingLiU" w:cs="MingLiU"/>
      <w:spacing w:val="0"/>
      <w:sz w:val="10"/>
      <w:szCs w:val="10"/>
      <w:u w:val="none"/>
    </w:rPr>
  </w:style>
  <w:style w:type="character" w:customStyle="1" w:styleId="373">
    <w:name w:val="样式 表格文字2 + Char"/>
    <w:qFormat/>
    <w:uiPriority w:val="0"/>
    <w:rPr>
      <w:rFonts w:hint="eastAsia" w:ascii="宋体" w:hAnsi="宋体" w:eastAsia="宋体"/>
      <w:kern w:val="2"/>
      <w:sz w:val="21"/>
      <w:lang w:val="en-US" w:eastAsia="zh-CN" w:bidi="ar-SA"/>
    </w:rPr>
  </w:style>
  <w:style w:type="character" w:customStyle="1" w:styleId="374">
    <w:name w:val="标题 #5 + 间距 0 pt"/>
    <w:qFormat/>
    <w:uiPriority w:val="99"/>
    <w:rPr>
      <w:rFonts w:ascii="MingLiU" w:eastAsia="MingLiU" w:cs="MingLiU"/>
      <w:b/>
      <w:bCs/>
      <w:spacing w:val="-10"/>
      <w:sz w:val="28"/>
      <w:szCs w:val="28"/>
      <w:u w:val="none"/>
    </w:rPr>
  </w:style>
  <w:style w:type="character" w:customStyle="1" w:styleId="375">
    <w:name w:val="正文文本 (2) + 6.5 pt1"/>
    <w:qFormat/>
    <w:uiPriority w:val="99"/>
    <w:rPr>
      <w:rFonts w:ascii="MingLiU" w:eastAsia="MingLiU" w:cs="MingLiU"/>
      <w:spacing w:val="0"/>
      <w:sz w:val="13"/>
      <w:szCs w:val="13"/>
      <w:u w:val="none"/>
    </w:rPr>
  </w:style>
  <w:style w:type="character" w:customStyle="1" w:styleId="376">
    <w:name w:val="正文文本 (32) + CordiaUPC"/>
    <w:qFormat/>
    <w:uiPriority w:val="99"/>
    <w:rPr>
      <w:rFonts w:ascii="CordiaUPC" w:hAnsi="CordiaUPC" w:cs="CordiaUPC"/>
      <w:sz w:val="28"/>
      <w:szCs w:val="28"/>
      <w:u w:val="none"/>
      <w:lang w:val="en-US" w:eastAsia="en-US"/>
    </w:rPr>
  </w:style>
  <w:style w:type="character" w:customStyle="1" w:styleId="377">
    <w:name w:val="目录 + 12 pt"/>
    <w:qFormat/>
    <w:uiPriority w:val="99"/>
    <w:rPr>
      <w:rFonts w:ascii="MingLiU" w:eastAsia="MingLiU" w:cs="MingLiU"/>
      <w:i/>
      <w:iCs/>
      <w:spacing w:val="-20"/>
      <w:sz w:val="24"/>
      <w:szCs w:val="24"/>
      <w:u w:val="none"/>
      <w:lang w:val="en-US" w:eastAsia="en-US"/>
    </w:rPr>
  </w:style>
  <w:style w:type="character" w:customStyle="1" w:styleId="378">
    <w:name w:val="标题 #7 + 非粗体2"/>
    <w:qFormat/>
    <w:uiPriority w:val="99"/>
    <w:rPr>
      <w:rFonts w:ascii="MingLiU" w:eastAsia="MingLiU" w:cs="MingLiU"/>
      <w:b/>
      <w:bCs/>
      <w:spacing w:val="-10"/>
      <w:sz w:val="22"/>
      <w:szCs w:val="22"/>
      <w:u w:val="none"/>
      <w:lang w:val="en-US" w:eastAsia="en-US"/>
    </w:rPr>
  </w:style>
  <w:style w:type="character" w:customStyle="1" w:styleId="379">
    <w:name w:val="正文文本 (46)_"/>
    <w:link w:val="380"/>
    <w:qFormat/>
    <w:locked/>
    <w:uiPriority w:val="99"/>
    <w:rPr>
      <w:rFonts w:ascii="MingLiU" w:eastAsia="MingLiU" w:cs="MingLiU"/>
      <w:sz w:val="22"/>
      <w:szCs w:val="22"/>
      <w:u w:val="none"/>
    </w:rPr>
  </w:style>
  <w:style w:type="paragraph" w:customStyle="1" w:styleId="380">
    <w:name w:val="正文文本 (46)"/>
    <w:basedOn w:val="1"/>
    <w:link w:val="379"/>
    <w:qFormat/>
    <w:uiPriority w:val="99"/>
    <w:pPr>
      <w:shd w:val="clear" w:color="auto" w:fill="FFFFFF"/>
      <w:spacing w:after="420" w:line="240" w:lineRule="atLeast"/>
      <w:jc w:val="center"/>
    </w:pPr>
    <w:rPr>
      <w:rFonts w:ascii="MingLiU" w:eastAsia="MingLiU" w:cs="Times New Roman"/>
      <w:color w:val="auto"/>
      <w:sz w:val="22"/>
      <w:szCs w:val="22"/>
    </w:rPr>
  </w:style>
  <w:style w:type="character" w:customStyle="1" w:styleId="381">
    <w:name w:val="正文文本 (2) + Sylfaen9"/>
    <w:qFormat/>
    <w:uiPriority w:val="99"/>
    <w:rPr>
      <w:rFonts w:ascii="Sylfaen" w:hAnsi="Sylfaen" w:eastAsia="MingLiU" w:cs="Sylfaen"/>
      <w:spacing w:val="20"/>
      <w:sz w:val="19"/>
      <w:szCs w:val="19"/>
      <w:u w:val="none"/>
      <w:lang w:val="en-US" w:eastAsia="en-US"/>
    </w:rPr>
  </w:style>
  <w:style w:type="character" w:customStyle="1" w:styleId="382">
    <w:name w:val="正文文本 (2) + 10 pt14"/>
    <w:qFormat/>
    <w:uiPriority w:val="99"/>
    <w:rPr>
      <w:rFonts w:ascii="MingLiU" w:eastAsia="MingLiU" w:cs="MingLiU"/>
      <w:spacing w:val="-10"/>
      <w:w w:val="100"/>
      <w:sz w:val="20"/>
      <w:szCs w:val="20"/>
      <w:u w:val="none"/>
      <w:lang w:val="en-US" w:eastAsia="en-US"/>
    </w:rPr>
  </w:style>
  <w:style w:type="character" w:customStyle="1" w:styleId="383">
    <w:name w:val="正文文本 (10)_"/>
    <w:link w:val="384"/>
    <w:qFormat/>
    <w:locked/>
    <w:uiPriority w:val="99"/>
    <w:rPr>
      <w:rFonts w:ascii="MingLiU" w:eastAsia="MingLiU" w:cs="MingLiU"/>
      <w:spacing w:val="30"/>
      <w:sz w:val="26"/>
      <w:szCs w:val="26"/>
      <w:u w:val="none"/>
    </w:rPr>
  </w:style>
  <w:style w:type="paragraph" w:customStyle="1" w:styleId="384">
    <w:name w:val="正文文本 (10)"/>
    <w:basedOn w:val="1"/>
    <w:link w:val="383"/>
    <w:qFormat/>
    <w:uiPriority w:val="99"/>
    <w:pPr>
      <w:shd w:val="clear" w:color="auto" w:fill="FFFFFF"/>
      <w:spacing w:line="602" w:lineRule="exact"/>
      <w:jc w:val="distribute"/>
    </w:pPr>
    <w:rPr>
      <w:rFonts w:ascii="MingLiU" w:eastAsia="MingLiU" w:cs="Times New Roman"/>
      <w:color w:val="auto"/>
      <w:spacing w:val="30"/>
      <w:sz w:val="26"/>
      <w:szCs w:val="26"/>
    </w:rPr>
  </w:style>
  <w:style w:type="character" w:customStyle="1" w:styleId="385">
    <w:name w:val="第一卷-CCC Char"/>
    <w:link w:val="386"/>
    <w:qFormat/>
    <w:locked/>
    <w:uiPriority w:val="0"/>
    <w:rPr>
      <w:rFonts w:ascii="创艺简老宋" w:hAnsi="Times New Roman" w:eastAsia="创艺简老宋"/>
      <w:kern w:val="2"/>
      <w:sz w:val="26"/>
    </w:rPr>
  </w:style>
  <w:style w:type="paragraph" w:customStyle="1" w:styleId="386">
    <w:name w:val="第一卷-CCC"/>
    <w:basedOn w:val="1"/>
    <w:link w:val="385"/>
    <w:qFormat/>
    <w:uiPriority w:val="0"/>
    <w:pPr>
      <w:spacing w:before="120" w:beforeLines="50" w:after="120" w:afterLines="50" w:line="400" w:lineRule="exact"/>
      <w:jc w:val="center"/>
    </w:pPr>
    <w:rPr>
      <w:rFonts w:ascii="创艺简老宋" w:eastAsia="创艺简老宋" w:cs="Times New Roman"/>
      <w:color w:val="auto"/>
      <w:kern w:val="2"/>
      <w:sz w:val="26"/>
      <w:szCs w:val="20"/>
    </w:rPr>
  </w:style>
  <w:style w:type="character" w:customStyle="1" w:styleId="387">
    <w:name w:val="正文文本 (2) + 间距 0 pt5"/>
    <w:qFormat/>
    <w:uiPriority w:val="99"/>
    <w:rPr>
      <w:rFonts w:ascii="MingLiU" w:eastAsia="MingLiU" w:cs="MingLiU"/>
      <w:spacing w:val="0"/>
      <w:sz w:val="22"/>
      <w:szCs w:val="22"/>
      <w:u w:val="none"/>
    </w:rPr>
  </w:style>
  <w:style w:type="character" w:customStyle="1" w:styleId="388">
    <w:name w:val="正文文本 (40)_"/>
    <w:link w:val="389"/>
    <w:qFormat/>
    <w:locked/>
    <w:uiPriority w:val="99"/>
    <w:rPr>
      <w:rFonts w:ascii="MingLiU" w:eastAsia="MingLiU" w:cs="MingLiU"/>
      <w:sz w:val="22"/>
      <w:szCs w:val="22"/>
      <w:u w:val="none"/>
      <w:lang w:val="en-US" w:eastAsia="en-US"/>
    </w:rPr>
  </w:style>
  <w:style w:type="paragraph" w:customStyle="1" w:styleId="389">
    <w:name w:val="正文文本 (40)"/>
    <w:basedOn w:val="1"/>
    <w:link w:val="388"/>
    <w:qFormat/>
    <w:uiPriority w:val="99"/>
    <w:pPr>
      <w:shd w:val="clear" w:color="auto" w:fill="FFFFFF"/>
      <w:spacing w:line="398" w:lineRule="exact"/>
      <w:ind w:firstLine="760"/>
      <w:jc w:val="distribute"/>
    </w:pPr>
    <w:rPr>
      <w:rFonts w:ascii="MingLiU" w:eastAsia="MingLiU" w:cs="Times New Roman"/>
      <w:color w:val="auto"/>
      <w:sz w:val="22"/>
      <w:szCs w:val="22"/>
      <w:lang w:val="en-US" w:eastAsia="en-US"/>
    </w:rPr>
  </w:style>
  <w:style w:type="character" w:customStyle="1" w:styleId="390">
    <w:name w:val="style21"/>
    <w:qFormat/>
    <w:uiPriority w:val="0"/>
    <w:rPr>
      <w:b/>
      <w:bCs/>
      <w:sz w:val="24"/>
      <w:szCs w:val="24"/>
    </w:rPr>
  </w:style>
  <w:style w:type="character" w:customStyle="1" w:styleId="391">
    <w:name w:val="标题 #6 + 间距 0 pt"/>
    <w:qFormat/>
    <w:uiPriority w:val="99"/>
    <w:rPr>
      <w:rFonts w:ascii="MingLiU" w:eastAsia="MingLiU" w:cs="MingLiU"/>
      <w:spacing w:val="0"/>
      <w:sz w:val="26"/>
      <w:szCs w:val="26"/>
      <w:u w:val="none"/>
    </w:rPr>
  </w:style>
  <w:style w:type="character" w:customStyle="1" w:styleId="392">
    <w:name w:val="正文文本 (2) + 10 pt28"/>
    <w:qFormat/>
    <w:uiPriority w:val="99"/>
    <w:rPr>
      <w:rFonts w:ascii="MingLiU" w:eastAsia="MingLiU" w:cs="MingLiU"/>
      <w:b/>
      <w:bCs/>
      <w:spacing w:val="-10"/>
      <w:sz w:val="20"/>
      <w:szCs w:val="20"/>
      <w:u w:val="none"/>
    </w:rPr>
  </w:style>
  <w:style w:type="character" w:customStyle="1" w:styleId="393">
    <w:name w:val="正文文本 (31)_"/>
    <w:link w:val="394"/>
    <w:qFormat/>
    <w:locked/>
    <w:uiPriority w:val="99"/>
    <w:rPr>
      <w:rFonts w:ascii="MingLiU" w:eastAsia="MingLiU" w:cs="MingLiU"/>
      <w:b/>
      <w:bCs/>
      <w:sz w:val="20"/>
      <w:szCs w:val="20"/>
      <w:u w:val="none"/>
    </w:rPr>
  </w:style>
  <w:style w:type="paragraph" w:customStyle="1" w:styleId="394">
    <w:name w:val="正文文本 (31)1"/>
    <w:basedOn w:val="1"/>
    <w:link w:val="393"/>
    <w:qFormat/>
    <w:uiPriority w:val="99"/>
    <w:pPr>
      <w:shd w:val="clear" w:color="auto" w:fill="FFFFFF"/>
      <w:spacing w:after="120" w:line="240" w:lineRule="atLeast"/>
      <w:jc w:val="distribute"/>
    </w:pPr>
    <w:rPr>
      <w:rFonts w:ascii="MingLiU" w:eastAsia="MingLiU" w:cs="Times New Roman"/>
      <w:b/>
      <w:bCs/>
      <w:color w:val="auto"/>
      <w:sz w:val="20"/>
      <w:szCs w:val="20"/>
    </w:rPr>
  </w:style>
  <w:style w:type="character" w:customStyle="1" w:styleId="395">
    <w:name w:val="标题 Char2"/>
    <w:qFormat/>
    <w:uiPriority w:val="10"/>
    <w:rPr>
      <w:rFonts w:hint="default" w:ascii="Cambria" w:hAnsi="Cambria" w:cs="Times New Roman"/>
      <w:b/>
      <w:bCs/>
      <w:kern w:val="2"/>
      <w:sz w:val="32"/>
      <w:szCs w:val="32"/>
    </w:rPr>
  </w:style>
  <w:style w:type="character" w:customStyle="1" w:styleId="396">
    <w:name w:val="正文文本 (2) + 10 pt4"/>
    <w:qFormat/>
    <w:uiPriority w:val="99"/>
    <w:rPr>
      <w:rFonts w:ascii="MingLiU" w:eastAsia="MingLiU" w:cs="MingLiU"/>
      <w:spacing w:val="80"/>
      <w:sz w:val="20"/>
      <w:szCs w:val="20"/>
      <w:u w:val="none"/>
    </w:rPr>
  </w:style>
  <w:style w:type="character" w:customStyle="1" w:styleId="397">
    <w:name w:val="表格格式 Char Char Char"/>
    <w:qFormat/>
    <w:uiPriority w:val="0"/>
    <w:rPr>
      <w:bCs/>
      <w:sz w:val="21"/>
      <w:lang w:val="en-US" w:eastAsia="zh-CN" w:bidi="ar-SA"/>
    </w:rPr>
  </w:style>
  <w:style w:type="character" w:customStyle="1" w:styleId="398">
    <w:name w:val="标题 #7 (2) + 间距 0 pt"/>
    <w:qFormat/>
    <w:uiPriority w:val="99"/>
    <w:rPr>
      <w:rFonts w:ascii="MingLiU" w:eastAsia="MingLiU" w:cs="MingLiU"/>
      <w:spacing w:val="0"/>
      <w:sz w:val="22"/>
      <w:szCs w:val="22"/>
      <w:u w:val="none"/>
    </w:rPr>
  </w:style>
  <w:style w:type="character" w:customStyle="1" w:styleId="399">
    <w:name w:val="正文文本 (33) + CordiaUPC"/>
    <w:qFormat/>
    <w:uiPriority w:val="99"/>
    <w:rPr>
      <w:rFonts w:ascii="CordiaUPC" w:hAnsi="CordiaUPC" w:cs="CordiaUPC"/>
      <w:sz w:val="34"/>
      <w:szCs w:val="34"/>
      <w:u w:val="none"/>
      <w:lang w:val="en-US" w:eastAsia="en-US"/>
    </w:rPr>
  </w:style>
  <w:style w:type="character" w:customStyle="1" w:styleId="400">
    <w:name w:val="正文文本 (21) + CordiaUPC"/>
    <w:qFormat/>
    <w:uiPriority w:val="99"/>
    <w:rPr>
      <w:rFonts w:ascii="CordiaUPC" w:hAnsi="CordiaUPC" w:cs="CordiaUPC"/>
      <w:sz w:val="34"/>
      <w:szCs w:val="34"/>
      <w:u w:val="none"/>
      <w:lang w:val="en-US" w:eastAsia="en-US"/>
    </w:rPr>
  </w:style>
  <w:style w:type="character" w:customStyle="1" w:styleId="401">
    <w:name w:val="正文文本 (18)_"/>
    <w:link w:val="402"/>
    <w:qFormat/>
    <w:locked/>
    <w:uiPriority w:val="99"/>
    <w:rPr>
      <w:rFonts w:ascii="MingLiU" w:eastAsia="MingLiU" w:cs="MingLiU"/>
      <w:sz w:val="14"/>
      <w:szCs w:val="14"/>
      <w:u w:val="none"/>
    </w:rPr>
  </w:style>
  <w:style w:type="paragraph" w:customStyle="1" w:styleId="402">
    <w:name w:val="正文文本 (18)"/>
    <w:basedOn w:val="1"/>
    <w:link w:val="401"/>
    <w:qFormat/>
    <w:uiPriority w:val="99"/>
    <w:pPr>
      <w:shd w:val="clear" w:color="auto" w:fill="FFFFFF"/>
      <w:spacing w:line="240" w:lineRule="atLeast"/>
    </w:pPr>
    <w:rPr>
      <w:rFonts w:ascii="MingLiU" w:eastAsia="MingLiU" w:cs="Times New Roman"/>
      <w:color w:val="auto"/>
      <w:sz w:val="14"/>
      <w:szCs w:val="14"/>
    </w:rPr>
  </w:style>
  <w:style w:type="character" w:customStyle="1" w:styleId="403">
    <w:name w:val="样式 标题 4 + (西文) Times New Roman (中文) 黑体 四号 Char"/>
    <w:qFormat/>
    <w:uiPriority w:val="0"/>
    <w:rPr>
      <w:rFonts w:hint="default" w:ascii="Times New Roman" w:hAnsi="Times New Roman" w:eastAsia="黑体" w:cs="Times New Roman"/>
      <w:b/>
      <w:bCs/>
      <w:kern w:val="2"/>
      <w:sz w:val="28"/>
      <w:szCs w:val="28"/>
      <w:lang w:val="en-US" w:eastAsia="zh-CN" w:bidi="ar-SA"/>
    </w:rPr>
  </w:style>
  <w:style w:type="character" w:customStyle="1" w:styleId="404">
    <w:name w:val="apple-converted-space"/>
    <w:qFormat/>
    <w:uiPriority w:val="0"/>
  </w:style>
  <w:style w:type="character" w:customStyle="1" w:styleId="405">
    <w:name w:val="标题 #6 + 间距 5 pt"/>
    <w:qFormat/>
    <w:uiPriority w:val="99"/>
    <w:rPr>
      <w:rFonts w:ascii="MingLiU" w:eastAsia="MingLiU" w:cs="MingLiU"/>
      <w:spacing w:val="110"/>
      <w:sz w:val="26"/>
      <w:szCs w:val="26"/>
      <w:u w:val="none"/>
    </w:rPr>
  </w:style>
  <w:style w:type="character" w:customStyle="1" w:styleId="406">
    <w:name w:val="正文文本 (10) + 间距 4 pt"/>
    <w:qFormat/>
    <w:uiPriority w:val="99"/>
    <w:rPr>
      <w:rFonts w:ascii="MingLiU" w:eastAsia="MingLiU" w:cs="MingLiU"/>
      <w:spacing w:val="80"/>
      <w:sz w:val="26"/>
      <w:szCs w:val="26"/>
      <w:u w:val="none"/>
    </w:rPr>
  </w:style>
  <w:style w:type="character" w:customStyle="1" w:styleId="407">
    <w:name w:val="正文文本缩进 2 Char1"/>
    <w:semiHidden/>
    <w:qFormat/>
    <w:uiPriority w:val="99"/>
    <w:rPr>
      <w:rFonts w:hint="default" w:ascii="Calibri" w:hAnsi="Calibri"/>
      <w:kern w:val="2"/>
      <w:sz w:val="21"/>
      <w:szCs w:val="24"/>
    </w:rPr>
  </w:style>
  <w:style w:type="character" w:customStyle="1" w:styleId="408">
    <w:name w:val="标题2 Char"/>
    <w:qFormat/>
    <w:uiPriority w:val="0"/>
    <w:rPr>
      <w:rFonts w:hint="eastAsia" w:ascii="宋体" w:hAnsi="宋体" w:eastAsia="宋体"/>
      <w:b/>
      <w:bCs/>
      <w:kern w:val="44"/>
      <w:sz w:val="28"/>
      <w:szCs w:val="30"/>
      <w:lang w:val="en-US" w:eastAsia="zh-CN" w:bidi="ar-SA"/>
    </w:rPr>
  </w:style>
  <w:style w:type="character" w:customStyle="1" w:styleId="409">
    <w:name w:val="fontstyle11"/>
    <w:basedOn w:val="90"/>
    <w:qFormat/>
    <w:uiPriority w:val="0"/>
    <w:rPr>
      <w:rFonts w:hint="default" w:ascii="Times New Roman" w:hAnsi="Times New Roman" w:cs="Times New Roman"/>
      <w:b/>
      <w:bCs/>
      <w:color w:val="000000"/>
      <w:sz w:val="28"/>
      <w:szCs w:val="28"/>
    </w:rPr>
  </w:style>
  <w:style w:type="character" w:customStyle="1" w:styleId="410">
    <w:name w:val="正文文本 (2) + 9 pt"/>
    <w:qFormat/>
    <w:uiPriority w:val="99"/>
    <w:rPr>
      <w:rFonts w:ascii="MingLiU" w:eastAsia="MingLiU" w:cs="MingLiU"/>
      <w:spacing w:val="0"/>
      <w:sz w:val="18"/>
      <w:szCs w:val="18"/>
      <w:u w:val="none"/>
    </w:rPr>
  </w:style>
  <w:style w:type="character" w:customStyle="1" w:styleId="411">
    <w:name w:val="正文文本 (14) + Sylfaen"/>
    <w:qFormat/>
    <w:uiPriority w:val="99"/>
    <w:rPr>
      <w:rFonts w:ascii="Sylfaen" w:hAnsi="Sylfaen" w:eastAsia="MingLiU" w:cs="Sylfaen"/>
      <w:sz w:val="18"/>
      <w:szCs w:val="18"/>
      <w:u w:val="none"/>
      <w:lang w:val="en-US" w:eastAsia="en-US"/>
    </w:rPr>
  </w:style>
  <w:style w:type="character" w:customStyle="1" w:styleId="412">
    <w:name w:val="font161"/>
    <w:qFormat/>
    <w:uiPriority w:val="0"/>
    <w:rPr>
      <w:b/>
      <w:sz w:val="32"/>
    </w:rPr>
  </w:style>
  <w:style w:type="character" w:customStyle="1" w:styleId="413">
    <w:name w:val="正文文本 (13) + 间距 0 pt"/>
    <w:qFormat/>
    <w:uiPriority w:val="99"/>
    <w:rPr>
      <w:rFonts w:ascii="MingLiU" w:eastAsia="MingLiU" w:cs="MingLiU"/>
      <w:spacing w:val="0"/>
      <w:sz w:val="56"/>
      <w:szCs w:val="56"/>
      <w:u w:val="none"/>
    </w:rPr>
  </w:style>
  <w:style w:type="character" w:customStyle="1" w:styleId="414">
    <w:name w:val="正文首行缩进 2 Char1"/>
    <w:semiHidden/>
    <w:qFormat/>
    <w:uiPriority w:val="99"/>
  </w:style>
  <w:style w:type="character" w:customStyle="1" w:styleId="415">
    <w:name w:val="正文文本 (2) + Sylfaen8"/>
    <w:qFormat/>
    <w:uiPriority w:val="99"/>
    <w:rPr>
      <w:rFonts w:ascii="Sylfaen" w:hAnsi="Sylfaen" w:eastAsia="MingLiU" w:cs="Sylfaen"/>
      <w:spacing w:val="10"/>
      <w:sz w:val="20"/>
      <w:szCs w:val="20"/>
      <w:u w:val="none"/>
      <w:lang w:val="en-US" w:eastAsia="en-US"/>
    </w:rPr>
  </w:style>
  <w:style w:type="character" w:customStyle="1" w:styleId="416">
    <w:name w:val="副标题 Char1"/>
    <w:qFormat/>
    <w:uiPriority w:val="11"/>
    <w:rPr>
      <w:rFonts w:hint="default" w:ascii="Cambria" w:hAnsi="Cambria" w:cs="Times New Roman"/>
      <w:b/>
      <w:bCs/>
      <w:kern w:val="28"/>
      <w:sz w:val="32"/>
      <w:szCs w:val="32"/>
    </w:rPr>
  </w:style>
  <w:style w:type="character" w:customStyle="1" w:styleId="417">
    <w:name w:val="正文文本 (2) + 10 pt19"/>
    <w:qFormat/>
    <w:uiPriority w:val="99"/>
    <w:rPr>
      <w:rFonts w:ascii="MingLiU" w:eastAsia="MingLiU" w:cs="MingLiU"/>
      <w:b/>
      <w:bCs/>
      <w:spacing w:val="0"/>
      <w:sz w:val="20"/>
      <w:szCs w:val="20"/>
      <w:u w:val="none"/>
      <w:lang w:val="en-US" w:eastAsia="en-US"/>
    </w:rPr>
  </w:style>
  <w:style w:type="character" w:customStyle="1" w:styleId="418">
    <w:name w:val="fontstyle01"/>
    <w:basedOn w:val="90"/>
    <w:qFormat/>
    <w:uiPriority w:val="0"/>
    <w:rPr>
      <w:rFonts w:ascii="CIDFont + F1" w:hAnsi="CIDFont + F1" w:eastAsia="CIDFont + F1" w:cs="CIDFont + F1"/>
      <w:color w:val="000000"/>
      <w:sz w:val="24"/>
      <w:szCs w:val="24"/>
    </w:rPr>
  </w:style>
  <w:style w:type="character" w:customStyle="1" w:styleId="419">
    <w:name w:val="页眉或页脚 (5)_"/>
    <w:link w:val="420"/>
    <w:qFormat/>
    <w:locked/>
    <w:uiPriority w:val="99"/>
    <w:rPr>
      <w:rFonts w:ascii="MingLiU" w:eastAsia="MingLiU" w:cs="MingLiU"/>
      <w:sz w:val="17"/>
      <w:szCs w:val="17"/>
      <w:u w:val="none"/>
    </w:rPr>
  </w:style>
  <w:style w:type="paragraph" w:customStyle="1" w:styleId="420">
    <w:name w:val="页眉或页脚 (5)"/>
    <w:basedOn w:val="1"/>
    <w:link w:val="419"/>
    <w:qFormat/>
    <w:uiPriority w:val="99"/>
    <w:pPr>
      <w:shd w:val="clear" w:color="auto" w:fill="FFFFFF"/>
      <w:spacing w:line="240" w:lineRule="atLeast"/>
    </w:pPr>
    <w:rPr>
      <w:rFonts w:ascii="MingLiU" w:eastAsia="MingLiU" w:cs="Times New Roman"/>
      <w:color w:val="auto"/>
      <w:sz w:val="17"/>
      <w:szCs w:val="17"/>
    </w:rPr>
  </w:style>
  <w:style w:type="character" w:customStyle="1" w:styleId="421">
    <w:name w:val="标题 #6 + 间距 4 pt"/>
    <w:qFormat/>
    <w:uiPriority w:val="99"/>
    <w:rPr>
      <w:rFonts w:ascii="MingLiU" w:eastAsia="MingLiU" w:cs="MingLiU"/>
      <w:spacing w:val="90"/>
      <w:sz w:val="26"/>
      <w:szCs w:val="26"/>
      <w:u w:val="none"/>
    </w:rPr>
  </w:style>
  <w:style w:type="character" w:customStyle="1" w:styleId="422">
    <w:name w:val="正文文本 (42)_"/>
    <w:link w:val="423"/>
    <w:qFormat/>
    <w:locked/>
    <w:uiPriority w:val="99"/>
    <w:rPr>
      <w:rFonts w:ascii="MingLiU" w:eastAsia="MingLiU" w:cs="MingLiU"/>
      <w:spacing w:val="20"/>
      <w:sz w:val="21"/>
      <w:szCs w:val="21"/>
      <w:u w:val="none"/>
    </w:rPr>
  </w:style>
  <w:style w:type="paragraph" w:customStyle="1" w:styleId="423">
    <w:name w:val="正文文本 (42)"/>
    <w:basedOn w:val="1"/>
    <w:link w:val="422"/>
    <w:qFormat/>
    <w:uiPriority w:val="99"/>
    <w:pPr>
      <w:shd w:val="clear" w:color="auto" w:fill="FFFFFF"/>
      <w:spacing w:before="240" w:after="60" w:line="401" w:lineRule="exact"/>
      <w:ind w:hanging="780"/>
      <w:jc w:val="distribute"/>
    </w:pPr>
    <w:rPr>
      <w:rFonts w:ascii="MingLiU" w:eastAsia="MingLiU" w:cs="Times New Roman"/>
      <w:color w:val="auto"/>
      <w:spacing w:val="20"/>
      <w:sz w:val="21"/>
      <w:szCs w:val="21"/>
    </w:rPr>
  </w:style>
  <w:style w:type="character" w:customStyle="1" w:styleId="424">
    <w:name w:val="place2"/>
    <w:qFormat/>
    <w:uiPriority w:val="0"/>
  </w:style>
  <w:style w:type="character" w:customStyle="1" w:styleId="425">
    <w:name w:val="正文文本 (27)_"/>
    <w:link w:val="426"/>
    <w:qFormat/>
    <w:locked/>
    <w:uiPriority w:val="99"/>
    <w:rPr>
      <w:rFonts w:ascii="AngsanaUPC" w:hAnsi="AngsanaUPC" w:cs="AngsanaUPC"/>
      <w:sz w:val="36"/>
      <w:szCs w:val="36"/>
      <w:u w:val="none"/>
      <w:lang w:val="en-US" w:eastAsia="en-US"/>
    </w:rPr>
  </w:style>
  <w:style w:type="paragraph" w:customStyle="1" w:styleId="426">
    <w:name w:val="正文文本 (27)"/>
    <w:basedOn w:val="1"/>
    <w:link w:val="425"/>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427">
    <w:name w:val="正文文本 (2) + 间距 0 pt4"/>
    <w:qFormat/>
    <w:uiPriority w:val="99"/>
    <w:rPr>
      <w:rFonts w:ascii="MingLiU" w:eastAsia="MingLiU" w:cs="MingLiU"/>
      <w:spacing w:val="-10"/>
      <w:sz w:val="22"/>
      <w:szCs w:val="22"/>
      <w:u w:val="none"/>
      <w:lang w:val="en-US" w:eastAsia="en-US"/>
    </w:rPr>
  </w:style>
  <w:style w:type="character" w:customStyle="1" w:styleId="428">
    <w:name w:val="表格样 Char"/>
    <w:link w:val="429"/>
    <w:qFormat/>
    <w:locked/>
    <w:uiPriority w:val="0"/>
    <w:rPr>
      <w:sz w:val="24"/>
    </w:rPr>
  </w:style>
  <w:style w:type="paragraph" w:customStyle="1" w:styleId="429">
    <w:name w:val="表格样"/>
    <w:basedOn w:val="1"/>
    <w:link w:val="428"/>
    <w:qFormat/>
    <w:uiPriority w:val="0"/>
    <w:pPr>
      <w:widowControl/>
      <w:tabs>
        <w:tab w:val="decimal" w:pos="238"/>
      </w:tabs>
      <w:spacing w:beforeLines="20"/>
      <w:jc w:val="center"/>
    </w:pPr>
    <w:rPr>
      <w:rFonts w:cs="Times New Roman"/>
      <w:color w:val="auto"/>
      <w:szCs w:val="20"/>
    </w:rPr>
  </w:style>
  <w:style w:type="character" w:customStyle="1" w:styleId="430">
    <w:name w:val="目录 (5) + 5 pt"/>
    <w:qFormat/>
    <w:uiPriority w:val="99"/>
    <w:rPr>
      <w:rFonts w:ascii="MingLiU" w:eastAsia="MingLiU" w:cs="MingLiU"/>
      <w:b/>
      <w:bCs/>
      <w:spacing w:val="0"/>
      <w:sz w:val="10"/>
      <w:szCs w:val="10"/>
      <w:u w:val="none"/>
    </w:rPr>
  </w:style>
  <w:style w:type="character" w:customStyle="1" w:styleId="431">
    <w:name w:val="标题 #3 + 间距 0 pt"/>
    <w:qFormat/>
    <w:uiPriority w:val="99"/>
    <w:rPr>
      <w:rFonts w:ascii="MingLiU" w:eastAsia="MingLiU" w:cs="MingLiU"/>
      <w:spacing w:val="0"/>
      <w:sz w:val="42"/>
      <w:szCs w:val="42"/>
      <w:u w:val="none"/>
    </w:rPr>
  </w:style>
  <w:style w:type="character" w:customStyle="1" w:styleId="432">
    <w:name w:val="附件正文ffff Char"/>
    <w:link w:val="433"/>
    <w:qFormat/>
    <w:locked/>
    <w:uiPriority w:val="0"/>
    <w:rPr>
      <w:rFonts w:ascii="方正宋三简体" w:hAnsi="Times New Roman" w:eastAsia="方正宋三简体"/>
      <w:spacing w:val="4"/>
      <w:kern w:val="2"/>
      <w:sz w:val="21"/>
    </w:rPr>
  </w:style>
  <w:style w:type="paragraph" w:customStyle="1" w:styleId="433">
    <w:name w:val="附件正文ffff"/>
    <w:basedOn w:val="1"/>
    <w:link w:val="432"/>
    <w:qFormat/>
    <w:uiPriority w:val="0"/>
    <w:pPr>
      <w:spacing w:line="340" w:lineRule="exact"/>
      <w:ind w:firstLine="436" w:firstLineChars="200"/>
      <w:jc w:val="both"/>
    </w:pPr>
    <w:rPr>
      <w:rFonts w:ascii="方正宋三简体" w:eastAsia="方正宋三简体" w:cs="Times New Roman"/>
      <w:color w:val="auto"/>
      <w:spacing w:val="4"/>
      <w:kern w:val="2"/>
      <w:sz w:val="21"/>
      <w:szCs w:val="20"/>
    </w:rPr>
  </w:style>
  <w:style w:type="character" w:customStyle="1" w:styleId="434">
    <w:name w:val="标题1-BBB Char"/>
    <w:link w:val="435"/>
    <w:qFormat/>
    <w:locked/>
    <w:uiPriority w:val="0"/>
    <w:rPr>
      <w:rFonts w:ascii="方正黑体_GBK" w:hAnsi="Times New Roman" w:eastAsia="方正黑体_GBK"/>
      <w:b/>
      <w:kern w:val="2"/>
      <w:sz w:val="36"/>
    </w:rPr>
  </w:style>
  <w:style w:type="paragraph" w:customStyle="1" w:styleId="435">
    <w:name w:val="标题1-BBB"/>
    <w:basedOn w:val="1"/>
    <w:link w:val="434"/>
    <w:qFormat/>
    <w:uiPriority w:val="0"/>
    <w:pPr>
      <w:spacing w:before="240" w:beforeLines="100" w:line="540" w:lineRule="exact"/>
      <w:jc w:val="center"/>
    </w:pPr>
    <w:rPr>
      <w:rFonts w:ascii="方正黑体_GBK" w:eastAsia="方正黑体_GBK" w:cs="Times New Roman"/>
      <w:b/>
      <w:color w:val="auto"/>
      <w:kern w:val="2"/>
      <w:sz w:val="36"/>
      <w:szCs w:val="20"/>
    </w:rPr>
  </w:style>
  <w:style w:type="character" w:customStyle="1" w:styleId="436">
    <w:name w:val="注释标题 Char1"/>
    <w:semiHidden/>
    <w:qFormat/>
    <w:uiPriority w:val="99"/>
    <w:rPr>
      <w:rFonts w:hint="default" w:ascii="Calibri" w:hAnsi="Calibri"/>
      <w:kern w:val="2"/>
      <w:sz w:val="21"/>
      <w:szCs w:val="24"/>
    </w:rPr>
  </w:style>
  <w:style w:type="character" w:customStyle="1" w:styleId="437">
    <w:name w:val="正文（首行缩进两字） Char Char"/>
    <w:qFormat/>
    <w:uiPriority w:val="0"/>
    <w:rPr>
      <w:rFonts w:hint="eastAsia" w:ascii="宋体" w:hAnsi="宋体" w:eastAsia="宋体"/>
      <w:kern w:val="2"/>
      <w:sz w:val="24"/>
      <w:szCs w:val="24"/>
      <w:lang w:val="en-US" w:eastAsia="zh-CN" w:bidi="ar-SA"/>
    </w:rPr>
  </w:style>
  <w:style w:type="character" w:customStyle="1" w:styleId="438">
    <w:name w:val="目录 + 间距 -1 pt"/>
    <w:qFormat/>
    <w:uiPriority w:val="99"/>
    <w:rPr>
      <w:rFonts w:ascii="MingLiU" w:eastAsia="MingLiU" w:cs="MingLiU"/>
      <w:spacing w:val="-20"/>
      <w:w w:val="100"/>
      <w:sz w:val="20"/>
      <w:szCs w:val="20"/>
      <w:u w:val="none"/>
      <w:lang w:val="en-US" w:eastAsia="en-US"/>
    </w:rPr>
  </w:style>
  <w:style w:type="character" w:customStyle="1" w:styleId="439">
    <w:name w:val="正文文本 (2) + 间距 6 pt"/>
    <w:qFormat/>
    <w:uiPriority w:val="99"/>
    <w:rPr>
      <w:rFonts w:ascii="MingLiU" w:eastAsia="MingLiU" w:cs="MingLiU"/>
      <w:spacing w:val="120"/>
      <w:sz w:val="22"/>
      <w:szCs w:val="22"/>
      <w:u w:val="none"/>
    </w:rPr>
  </w:style>
  <w:style w:type="character" w:customStyle="1" w:styleId="440">
    <w:name w:val="正文文本 (2) + 间距 1 pt"/>
    <w:qFormat/>
    <w:uiPriority w:val="99"/>
    <w:rPr>
      <w:rFonts w:ascii="MingLiU" w:eastAsia="MingLiU" w:cs="MingLiU"/>
      <w:spacing w:val="30"/>
      <w:sz w:val="22"/>
      <w:szCs w:val="22"/>
      <w:u w:val="none"/>
    </w:rPr>
  </w:style>
  <w:style w:type="character" w:customStyle="1" w:styleId="441">
    <w:name w:val="正文文本缩进 3 Char1"/>
    <w:semiHidden/>
    <w:qFormat/>
    <w:uiPriority w:val="99"/>
    <w:rPr>
      <w:rFonts w:hint="default" w:ascii="Calibri" w:hAnsi="Calibri"/>
      <w:kern w:val="2"/>
      <w:sz w:val="16"/>
      <w:szCs w:val="16"/>
    </w:rPr>
  </w:style>
  <w:style w:type="character" w:customStyle="1" w:styleId="442">
    <w:name w:val="正文文本 (13) + 间距 4 pt"/>
    <w:qFormat/>
    <w:uiPriority w:val="99"/>
    <w:rPr>
      <w:rFonts w:ascii="MingLiU" w:eastAsia="MingLiU" w:cs="MingLiU"/>
      <w:spacing w:val="90"/>
      <w:sz w:val="56"/>
      <w:szCs w:val="56"/>
      <w:u w:val="none"/>
    </w:rPr>
  </w:style>
  <w:style w:type="character" w:customStyle="1" w:styleId="443">
    <w:name w:val="标题 3 Char Char"/>
    <w:qFormat/>
    <w:uiPriority w:val="0"/>
    <w:rPr>
      <w:rFonts w:hint="eastAsia" w:ascii="宋体" w:hAnsi="宋体" w:eastAsia="宋体"/>
      <w:b/>
      <w:bCs/>
      <w:kern w:val="2"/>
      <w:sz w:val="24"/>
      <w:szCs w:val="24"/>
      <w:lang w:val="en-US" w:eastAsia="zh-CN" w:bidi="ar-SA"/>
    </w:rPr>
  </w:style>
  <w:style w:type="character" w:customStyle="1" w:styleId="444">
    <w:name w:val="正文文本 (2) + 10 pt20"/>
    <w:qFormat/>
    <w:uiPriority w:val="99"/>
    <w:rPr>
      <w:rFonts w:ascii="MingLiU" w:eastAsia="MingLiU" w:cs="MingLiU"/>
      <w:spacing w:val="0"/>
      <w:sz w:val="20"/>
      <w:szCs w:val="20"/>
      <w:u w:val="none"/>
    </w:rPr>
  </w:style>
  <w:style w:type="character" w:customStyle="1" w:styleId="445">
    <w:name w:val="标题 #6 (5)_"/>
    <w:link w:val="446"/>
    <w:qFormat/>
    <w:locked/>
    <w:uiPriority w:val="99"/>
    <w:rPr>
      <w:rFonts w:ascii="MingLiU" w:eastAsia="MingLiU" w:cs="MingLiU"/>
      <w:spacing w:val="50"/>
      <w:sz w:val="30"/>
      <w:szCs w:val="30"/>
      <w:u w:val="none"/>
    </w:rPr>
  </w:style>
  <w:style w:type="paragraph" w:customStyle="1" w:styleId="446">
    <w:name w:val="标题 #6 (5)"/>
    <w:basedOn w:val="1"/>
    <w:link w:val="445"/>
    <w:qFormat/>
    <w:uiPriority w:val="99"/>
    <w:pPr>
      <w:shd w:val="clear" w:color="auto" w:fill="FFFFFF"/>
      <w:spacing w:line="559" w:lineRule="exact"/>
      <w:outlineLvl w:val="5"/>
    </w:pPr>
    <w:rPr>
      <w:rFonts w:ascii="MingLiU" w:eastAsia="MingLiU" w:cs="Times New Roman"/>
      <w:color w:val="auto"/>
      <w:spacing w:val="50"/>
      <w:sz w:val="30"/>
      <w:szCs w:val="30"/>
    </w:rPr>
  </w:style>
  <w:style w:type="character" w:customStyle="1" w:styleId="447">
    <w:name w:val="其他 + MingLiU"/>
    <w:qFormat/>
    <w:uiPriority w:val="99"/>
    <w:rPr>
      <w:rFonts w:ascii="MingLiU" w:hAnsi="Times New Roman" w:eastAsia="MingLiU" w:cs="MingLiU"/>
      <w:sz w:val="22"/>
      <w:szCs w:val="22"/>
      <w:u w:val="none"/>
    </w:rPr>
  </w:style>
  <w:style w:type="character" w:customStyle="1" w:styleId="448">
    <w:name w:val="页眉或页脚 + 间距 2 pt"/>
    <w:qFormat/>
    <w:uiPriority w:val="99"/>
    <w:rPr>
      <w:rFonts w:ascii="MingLiU" w:eastAsia="MingLiU" w:cs="MingLiU"/>
      <w:spacing w:val="40"/>
      <w:sz w:val="20"/>
      <w:szCs w:val="20"/>
      <w:u w:val="none"/>
    </w:rPr>
  </w:style>
  <w:style w:type="character" w:customStyle="1" w:styleId="449">
    <w:name w:val="正文文本 (25) + CordiaUPC"/>
    <w:qFormat/>
    <w:uiPriority w:val="99"/>
    <w:rPr>
      <w:rFonts w:ascii="CordiaUPC" w:hAnsi="CordiaUPC" w:cs="CordiaUPC"/>
      <w:sz w:val="28"/>
      <w:szCs w:val="28"/>
      <w:u w:val="none"/>
      <w:lang w:val="en-US" w:eastAsia="en-US"/>
    </w:rPr>
  </w:style>
  <w:style w:type="character" w:customStyle="1" w:styleId="450">
    <w:name w:val="HTML 预设格式 Char1"/>
    <w:semiHidden/>
    <w:qFormat/>
    <w:uiPriority w:val="99"/>
    <w:rPr>
      <w:rFonts w:hint="default" w:ascii="Courier New" w:hAnsi="Courier New" w:cs="Courier New"/>
      <w:kern w:val="2"/>
    </w:rPr>
  </w:style>
  <w:style w:type="character" w:customStyle="1" w:styleId="451">
    <w:name w:val="批注主题 Char1"/>
    <w:semiHidden/>
    <w:qFormat/>
    <w:uiPriority w:val="99"/>
    <w:rPr>
      <w:rFonts w:hint="default" w:ascii="Calibri" w:hAnsi="Calibri"/>
      <w:b/>
      <w:bCs/>
      <w:kern w:val="2"/>
      <w:sz w:val="21"/>
      <w:szCs w:val="24"/>
    </w:rPr>
  </w:style>
  <w:style w:type="character" w:customStyle="1" w:styleId="452">
    <w:name w:val="正文文本 (2) + Sylfaen10"/>
    <w:qFormat/>
    <w:uiPriority w:val="99"/>
    <w:rPr>
      <w:rFonts w:ascii="Sylfaen" w:hAnsi="Sylfaen" w:eastAsia="MingLiU" w:cs="Sylfaen"/>
      <w:spacing w:val="20"/>
      <w:sz w:val="14"/>
      <w:szCs w:val="14"/>
      <w:u w:val="none"/>
      <w:lang w:val="en-US" w:eastAsia="en-US"/>
    </w:rPr>
  </w:style>
  <w:style w:type="character" w:customStyle="1" w:styleId="453">
    <w:name w:val="正文文本 (2) + 10 pt38"/>
    <w:qFormat/>
    <w:uiPriority w:val="99"/>
    <w:rPr>
      <w:rFonts w:ascii="MingLiU" w:eastAsia="MingLiU" w:cs="MingLiU"/>
      <w:b/>
      <w:bCs/>
      <w:spacing w:val="-20"/>
      <w:sz w:val="20"/>
      <w:szCs w:val="20"/>
      <w:u w:val="none"/>
      <w:lang w:val="en-US" w:eastAsia="en-US"/>
    </w:rPr>
  </w:style>
  <w:style w:type="character" w:customStyle="1" w:styleId="454">
    <w:name w:val="标题 #7 + CordiaUPC"/>
    <w:qFormat/>
    <w:uiPriority w:val="99"/>
    <w:rPr>
      <w:rFonts w:ascii="CordiaUPC" w:hAnsi="CordiaUPC" w:eastAsia="MingLiU" w:cs="CordiaUPC"/>
      <w:b/>
      <w:bCs/>
      <w:spacing w:val="0"/>
      <w:sz w:val="34"/>
      <w:szCs w:val="34"/>
      <w:u w:val="none"/>
      <w:lang w:val="en-US" w:eastAsia="en-US"/>
    </w:rPr>
  </w:style>
  <w:style w:type="character" w:customStyle="1" w:styleId="455">
    <w:name w:val="正文文本 (2) + 10 pt341"/>
    <w:qFormat/>
    <w:uiPriority w:val="99"/>
    <w:rPr>
      <w:rFonts w:ascii="MingLiU" w:eastAsia="MingLiU" w:cs="MingLiU"/>
      <w:spacing w:val="-20"/>
      <w:sz w:val="20"/>
      <w:szCs w:val="20"/>
      <w:u w:val="none"/>
      <w:lang w:val="en-US" w:eastAsia="en-US"/>
    </w:rPr>
  </w:style>
  <w:style w:type="character" w:customStyle="1" w:styleId="456">
    <w:name w:val="标题 #2 + 间距 2 pt"/>
    <w:qFormat/>
    <w:uiPriority w:val="99"/>
    <w:rPr>
      <w:rFonts w:ascii="MingLiU" w:eastAsia="MingLiU" w:cs="MingLiU"/>
      <w:spacing w:val="50"/>
      <w:sz w:val="42"/>
      <w:szCs w:val="42"/>
      <w:u w:val="none"/>
    </w:rPr>
  </w:style>
  <w:style w:type="character" w:customStyle="1" w:styleId="457">
    <w:name w:val="标题 #6 + 间距 7 pt"/>
    <w:qFormat/>
    <w:uiPriority w:val="99"/>
    <w:rPr>
      <w:rFonts w:ascii="MingLiU" w:eastAsia="MingLiU" w:cs="MingLiU"/>
      <w:spacing w:val="150"/>
      <w:sz w:val="26"/>
      <w:szCs w:val="26"/>
      <w:u w:val="none"/>
    </w:rPr>
  </w:style>
  <w:style w:type="character" w:customStyle="1" w:styleId="458">
    <w:name w:val="Char Char2"/>
    <w:qFormat/>
    <w:uiPriority w:val="0"/>
    <w:rPr>
      <w:rFonts w:hint="eastAsia" w:ascii="黑体" w:hAnsi="黑体" w:eastAsia="黑体"/>
      <w:sz w:val="52"/>
      <w:lang w:val="en-US" w:eastAsia="zh-CN" w:bidi="ar-SA"/>
    </w:rPr>
  </w:style>
  <w:style w:type="character" w:customStyle="1" w:styleId="459">
    <w:name w:val="place1"/>
    <w:qFormat/>
    <w:uiPriority w:val="0"/>
  </w:style>
  <w:style w:type="character" w:customStyle="1" w:styleId="460">
    <w:name w:val="正文文本 (2) + 10 pt22"/>
    <w:qFormat/>
    <w:uiPriority w:val="99"/>
    <w:rPr>
      <w:rFonts w:ascii="MingLiU" w:eastAsia="MingLiU" w:cs="MingLiU"/>
      <w:spacing w:val="-40"/>
      <w:sz w:val="20"/>
      <w:szCs w:val="20"/>
      <w:u w:val="none"/>
    </w:rPr>
  </w:style>
  <w:style w:type="character" w:customStyle="1" w:styleId="461">
    <w:name w:val="正文文本 (2) + 间距 0 pt3"/>
    <w:qFormat/>
    <w:uiPriority w:val="99"/>
    <w:rPr>
      <w:rFonts w:ascii="MingLiU" w:eastAsia="MingLiU" w:cs="MingLiU"/>
      <w:spacing w:val="0"/>
      <w:sz w:val="22"/>
      <w:szCs w:val="22"/>
      <w:u w:val="none"/>
    </w:rPr>
  </w:style>
  <w:style w:type="character" w:customStyle="1" w:styleId="462">
    <w:name w:val="正文文本 (2) + 4 pt1"/>
    <w:qFormat/>
    <w:uiPriority w:val="99"/>
    <w:rPr>
      <w:rFonts w:ascii="MingLiU" w:eastAsia="MingLiU" w:cs="MingLiU"/>
      <w:spacing w:val="0"/>
      <w:sz w:val="8"/>
      <w:szCs w:val="8"/>
      <w:u w:val="none"/>
    </w:rPr>
  </w:style>
  <w:style w:type="character" w:customStyle="1" w:styleId="463">
    <w:name w:val="gwds_nopic1"/>
    <w:qFormat/>
    <w:uiPriority w:val="0"/>
  </w:style>
  <w:style w:type="character" w:customStyle="1" w:styleId="464">
    <w:name w:val="正文文本 (40) + CordiaUPC"/>
    <w:qFormat/>
    <w:uiPriority w:val="99"/>
    <w:rPr>
      <w:rFonts w:ascii="CordiaUPC" w:hAnsi="CordiaUPC" w:eastAsia="MingLiU" w:cs="CordiaUPC"/>
      <w:sz w:val="34"/>
      <w:szCs w:val="34"/>
      <w:u w:val="none"/>
      <w:lang w:val="en-US" w:eastAsia="en-US"/>
    </w:rPr>
  </w:style>
  <w:style w:type="character" w:customStyle="1" w:styleId="465">
    <w:name w:val="正文文本 2 Char1"/>
    <w:semiHidden/>
    <w:qFormat/>
    <w:uiPriority w:val="99"/>
    <w:rPr>
      <w:rFonts w:hint="default" w:ascii="Calibri" w:hAnsi="Calibri"/>
      <w:kern w:val="2"/>
      <w:sz w:val="21"/>
      <w:szCs w:val="24"/>
    </w:rPr>
  </w:style>
  <w:style w:type="character" w:customStyle="1" w:styleId="466">
    <w:name w:val="正文文本 (2) + 12 pt1"/>
    <w:qFormat/>
    <w:uiPriority w:val="99"/>
    <w:rPr>
      <w:rFonts w:ascii="MingLiU" w:eastAsia="MingLiU" w:cs="MingLiU"/>
      <w:i/>
      <w:iCs/>
      <w:spacing w:val="-30"/>
      <w:sz w:val="24"/>
      <w:szCs w:val="24"/>
      <w:u w:val="none"/>
      <w:lang w:val="en-US" w:eastAsia="en-US"/>
    </w:rPr>
  </w:style>
  <w:style w:type="character" w:customStyle="1" w:styleId="467">
    <w:name w:val="Char Char11"/>
    <w:qFormat/>
    <w:uiPriority w:val="0"/>
    <w:rPr>
      <w:kern w:val="2"/>
      <w:sz w:val="21"/>
      <w:szCs w:val="24"/>
    </w:rPr>
  </w:style>
  <w:style w:type="character" w:customStyle="1" w:styleId="468">
    <w:name w:val="正文文本 (10) + 14 pt"/>
    <w:qFormat/>
    <w:uiPriority w:val="99"/>
    <w:rPr>
      <w:rFonts w:ascii="MingLiU" w:eastAsia="MingLiU" w:cs="MingLiU"/>
      <w:spacing w:val="-10"/>
      <w:sz w:val="28"/>
      <w:szCs w:val="28"/>
      <w:u w:val="none"/>
    </w:rPr>
  </w:style>
  <w:style w:type="character" w:customStyle="1" w:styleId="469">
    <w:name w:val="正文文本 (43)"/>
    <w:qFormat/>
    <w:uiPriority w:val="99"/>
    <w:rPr>
      <w:rFonts w:ascii="MingLiU" w:eastAsia="MingLiU" w:cs="MingLiU"/>
      <w:b/>
      <w:bCs/>
      <w:sz w:val="20"/>
      <w:szCs w:val="20"/>
      <w:u w:val="single"/>
    </w:rPr>
  </w:style>
  <w:style w:type="character" w:customStyle="1" w:styleId="470">
    <w:name w:val="正文文本 (17) + 间距 0 pt"/>
    <w:qFormat/>
    <w:uiPriority w:val="99"/>
    <w:rPr>
      <w:rFonts w:ascii="MingLiU" w:eastAsia="MingLiU" w:cs="MingLiU"/>
      <w:spacing w:val="0"/>
      <w:sz w:val="22"/>
      <w:szCs w:val="22"/>
      <w:u w:val="single"/>
    </w:rPr>
  </w:style>
  <w:style w:type="character" w:customStyle="1" w:styleId="471">
    <w:name w:val="正文文本 (6)_"/>
    <w:link w:val="472"/>
    <w:qFormat/>
    <w:locked/>
    <w:uiPriority w:val="99"/>
    <w:rPr>
      <w:rFonts w:ascii="MingLiU" w:eastAsia="MingLiU" w:cs="MingLiU"/>
      <w:sz w:val="38"/>
      <w:szCs w:val="38"/>
      <w:u w:val="none"/>
    </w:rPr>
  </w:style>
  <w:style w:type="paragraph" w:customStyle="1" w:styleId="472">
    <w:name w:val="正文文本 (6)"/>
    <w:basedOn w:val="1"/>
    <w:link w:val="471"/>
    <w:qFormat/>
    <w:uiPriority w:val="99"/>
    <w:pPr>
      <w:shd w:val="clear" w:color="auto" w:fill="FFFFFF"/>
      <w:spacing w:after="120" w:line="487" w:lineRule="exact"/>
      <w:jc w:val="distribute"/>
    </w:pPr>
    <w:rPr>
      <w:rFonts w:ascii="MingLiU" w:eastAsia="MingLiU" w:cs="Times New Roman"/>
      <w:color w:val="auto"/>
      <w:sz w:val="38"/>
      <w:szCs w:val="38"/>
    </w:rPr>
  </w:style>
  <w:style w:type="character" w:customStyle="1" w:styleId="473">
    <w:name w:val="表格区 Char Char"/>
    <w:link w:val="474"/>
    <w:qFormat/>
    <w:locked/>
    <w:uiPriority w:val="0"/>
    <w:rPr>
      <w:sz w:val="21"/>
      <w:szCs w:val="21"/>
    </w:rPr>
  </w:style>
  <w:style w:type="paragraph" w:customStyle="1" w:styleId="474">
    <w:name w:val="表格区"/>
    <w:basedOn w:val="1"/>
    <w:link w:val="473"/>
    <w:qFormat/>
    <w:uiPriority w:val="0"/>
    <w:pPr>
      <w:jc w:val="center"/>
    </w:pPr>
    <w:rPr>
      <w:rFonts w:cs="Times New Roman"/>
      <w:color w:val="auto"/>
      <w:sz w:val="21"/>
      <w:szCs w:val="21"/>
    </w:rPr>
  </w:style>
  <w:style w:type="character" w:customStyle="1" w:styleId="475">
    <w:name w:val="正文文本 (10) + 间距 0 pt"/>
    <w:qFormat/>
    <w:uiPriority w:val="99"/>
    <w:rPr>
      <w:rFonts w:ascii="MingLiU" w:eastAsia="MingLiU" w:cs="MingLiU"/>
      <w:spacing w:val="0"/>
      <w:sz w:val="26"/>
      <w:szCs w:val="26"/>
      <w:u w:val="none"/>
    </w:rPr>
  </w:style>
  <w:style w:type="character" w:customStyle="1" w:styleId="476">
    <w:name w:val="正文文本 (2) + Lucida Sans Unicode1"/>
    <w:qFormat/>
    <w:uiPriority w:val="99"/>
    <w:rPr>
      <w:rFonts w:ascii="Lucida Sans Unicode" w:hAnsi="Lucida Sans Unicode" w:eastAsia="MingLiU" w:cs="Lucida Sans Unicode"/>
      <w:spacing w:val="0"/>
      <w:sz w:val="20"/>
      <w:szCs w:val="20"/>
      <w:u w:val="none"/>
      <w:lang w:val="en-US" w:eastAsia="en-US"/>
    </w:rPr>
  </w:style>
  <w:style w:type="character" w:customStyle="1" w:styleId="477">
    <w:name w:val="正文文本 (2) + 10 pt12"/>
    <w:qFormat/>
    <w:uiPriority w:val="99"/>
    <w:rPr>
      <w:rFonts w:ascii="MingLiU" w:eastAsia="MingLiU" w:cs="MingLiU"/>
      <w:spacing w:val="60"/>
      <w:sz w:val="20"/>
      <w:szCs w:val="20"/>
      <w:u w:val="none"/>
    </w:rPr>
  </w:style>
  <w:style w:type="character" w:customStyle="1" w:styleId="478">
    <w:name w:val="正文文本 (20) + Lucida Sans Unicode"/>
    <w:qFormat/>
    <w:uiPriority w:val="99"/>
    <w:rPr>
      <w:rFonts w:ascii="Lucida Sans Unicode" w:hAnsi="Lucida Sans Unicode" w:cs="Lucida Sans Unicode"/>
      <w:sz w:val="20"/>
      <w:szCs w:val="20"/>
      <w:u w:val="none"/>
      <w:lang w:val="en-US" w:eastAsia="en-US"/>
    </w:rPr>
  </w:style>
  <w:style w:type="character" w:customStyle="1" w:styleId="479">
    <w:name w:val="font"/>
    <w:qFormat/>
    <w:uiPriority w:val="0"/>
  </w:style>
  <w:style w:type="character" w:customStyle="1" w:styleId="480">
    <w:name w:val="正文文本 (2) + 10 pt371"/>
    <w:qFormat/>
    <w:uiPriority w:val="99"/>
    <w:rPr>
      <w:rFonts w:ascii="MingLiU" w:eastAsia="MingLiU" w:cs="MingLiU"/>
      <w:spacing w:val="0"/>
      <w:sz w:val="20"/>
      <w:szCs w:val="20"/>
      <w:u w:val="none"/>
    </w:rPr>
  </w:style>
  <w:style w:type="character" w:customStyle="1" w:styleId="481">
    <w:name w:val="页眉或页脚 (3)_"/>
    <w:link w:val="482"/>
    <w:qFormat/>
    <w:locked/>
    <w:uiPriority w:val="99"/>
    <w:rPr>
      <w:rFonts w:ascii="Sylfaen" w:hAnsi="Sylfaen" w:cs="Sylfaen"/>
      <w:sz w:val="18"/>
      <w:szCs w:val="18"/>
      <w:u w:val="none"/>
    </w:rPr>
  </w:style>
  <w:style w:type="paragraph" w:customStyle="1" w:styleId="482">
    <w:name w:val="页眉或页脚 (3)"/>
    <w:basedOn w:val="1"/>
    <w:link w:val="481"/>
    <w:qFormat/>
    <w:uiPriority w:val="99"/>
    <w:pPr>
      <w:shd w:val="clear" w:color="auto" w:fill="FFFFFF"/>
      <w:spacing w:line="240" w:lineRule="atLeast"/>
    </w:pPr>
    <w:rPr>
      <w:rFonts w:ascii="Sylfaen" w:hAnsi="Sylfaen" w:cs="Times New Roman"/>
      <w:color w:val="auto"/>
      <w:sz w:val="18"/>
      <w:szCs w:val="18"/>
    </w:rPr>
  </w:style>
  <w:style w:type="character" w:customStyle="1" w:styleId="483">
    <w:name w:val="正文文本 (2) + Times New Roman1"/>
    <w:qFormat/>
    <w:uiPriority w:val="99"/>
    <w:rPr>
      <w:rFonts w:ascii="Times New Roman" w:hAnsi="Times New Roman" w:eastAsia="MingLiU" w:cs="Times New Roman"/>
      <w:i/>
      <w:iCs/>
      <w:spacing w:val="0"/>
      <w:sz w:val="10"/>
      <w:szCs w:val="10"/>
      <w:u w:val="none"/>
      <w:lang w:val="en-US" w:eastAsia="en-US"/>
    </w:rPr>
  </w:style>
  <w:style w:type="character" w:customStyle="1" w:styleId="484">
    <w:name w:val="正文文本 (2) + Lucida Sans Unicode"/>
    <w:qFormat/>
    <w:uiPriority w:val="99"/>
    <w:rPr>
      <w:rFonts w:ascii="Lucida Sans Unicode" w:hAnsi="Lucida Sans Unicode" w:eastAsia="MingLiU" w:cs="Lucida Sans Unicode"/>
      <w:spacing w:val="0"/>
      <w:sz w:val="20"/>
      <w:szCs w:val="20"/>
      <w:u w:val="none"/>
      <w:lang w:val="en-US" w:eastAsia="en-US"/>
    </w:rPr>
  </w:style>
  <w:style w:type="character" w:customStyle="1" w:styleId="485">
    <w:name w:val="正文文本 (37) + CordiaUPC"/>
    <w:qFormat/>
    <w:uiPriority w:val="99"/>
    <w:rPr>
      <w:rFonts w:ascii="CordiaUPC" w:hAnsi="CordiaUPC" w:cs="CordiaUPC"/>
      <w:sz w:val="34"/>
      <w:szCs w:val="34"/>
      <w:u w:val="none"/>
      <w:lang w:val="en-US" w:eastAsia="en-US"/>
    </w:rPr>
  </w:style>
  <w:style w:type="character" w:customStyle="1" w:styleId="486">
    <w:name w:val="正文文本 (8) + 间距 2 pt"/>
    <w:qFormat/>
    <w:uiPriority w:val="99"/>
    <w:rPr>
      <w:rFonts w:ascii="MingLiU" w:eastAsia="MingLiU" w:cs="MingLiU"/>
      <w:spacing w:val="40"/>
      <w:sz w:val="26"/>
      <w:szCs w:val="26"/>
      <w:u w:val="none"/>
    </w:rPr>
  </w:style>
  <w:style w:type="character" w:customStyle="1" w:styleId="487">
    <w:name w:val="页眉或页脚 + 间距 1 pt1"/>
    <w:qFormat/>
    <w:uiPriority w:val="99"/>
    <w:rPr>
      <w:rFonts w:ascii="MingLiU" w:eastAsia="MingLiU" w:cs="MingLiU"/>
      <w:spacing w:val="30"/>
      <w:sz w:val="20"/>
      <w:szCs w:val="20"/>
      <w:u w:val="none"/>
    </w:rPr>
  </w:style>
  <w:style w:type="character" w:customStyle="1" w:styleId="488">
    <w:name w:val="正文文本 (31)"/>
    <w:qFormat/>
    <w:uiPriority w:val="99"/>
    <w:rPr>
      <w:rFonts w:ascii="MingLiU" w:eastAsia="MingLiU" w:cs="MingLiU"/>
      <w:b/>
      <w:bCs/>
      <w:sz w:val="20"/>
      <w:szCs w:val="20"/>
      <w:u w:val="single"/>
    </w:rPr>
  </w:style>
  <w:style w:type="character" w:customStyle="1" w:styleId="489">
    <w:name w:val="标题 #4 (2) + Times New Roman"/>
    <w:qFormat/>
    <w:uiPriority w:val="99"/>
    <w:rPr>
      <w:rFonts w:ascii="Times New Roman" w:hAnsi="Times New Roman" w:eastAsia="MingLiU" w:cs="Times New Roman"/>
      <w:sz w:val="30"/>
      <w:szCs w:val="30"/>
      <w:u w:val="none"/>
      <w:lang w:val="en-US" w:eastAsia="en-US"/>
    </w:rPr>
  </w:style>
  <w:style w:type="character" w:customStyle="1" w:styleId="490">
    <w:name w:val="正文文本 (2) + CordiaUPC"/>
    <w:qFormat/>
    <w:uiPriority w:val="99"/>
    <w:rPr>
      <w:rFonts w:ascii="CordiaUPC" w:hAnsi="CordiaUPC" w:eastAsia="MingLiU" w:cs="CordiaUPC"/>
      <w:spacing w:val="0"/>
      <w:sz w:val="34"/>
      <w:szCs w:val="34"/>
      <w:u w:val="none"/>
      <w:lang w:val="en-US" w:eastAsia="en-US"/>
    </w:rPr>
  </w:style>
  <w:style w:type="character" w:customStyle="1" w:styleId="491">
    <w:name w:val="标题 #4 (3)_"/>
    <w:link w:val="492"/>
    <w:qFormat/>
    <w:locked/>
    <w:uiPriority w:val="99"/>
    <w:rPr>
      <w:rFonts w:ascii="MingLiU" w:eastAsia="MingLiU" w:cs="MingLiU"/>
      <w:sz w:val="26"/>
      <w:szCs w:val="26"/>
      <w:u w:val="none"/>
    </w:rPr>
  </w:style>
  <w:style w:type="paragraph" w:customStyle="1" w:styleId="492">
    <w:name w:val="标题 #4 (3)"/>
    <w:basedOn w:val="1"/>
    <w:link w:val="491"/>
    <w:qFormat/>
    <w:uiPriority w:val="99"/>
    <w:pPr>
      <w:shd w:val="clear" w:color="auto" w:fill="FFFFFF"/>
      <w:spacing w:after="600" w:line="240" w:lineRule="atLeast"/>
      <w:jc w:val="right"/>
      <w:outlineLvl w:val="3"/>
    </w:pPr>
    <w:rPr>
      <w:rFonts w:ascii="MingLiU" w:eastAsia="MingLiU" w:cs="Times New Roman"/>
      <w:color w:val="auto"/>
      <w:sz w:val="26"/>
      <w:szCs w:val="26"/>
    </w:rPr>
  </w:style>
  <w:style w:type="character" w:customStyle="1" w:styleId="493">
    <w:name w:val="正文文本 (44)_"/>
    <w:link w:val="494"/>
    <w:qFormat/>
    <w:locked/>
    <w:uiPriority w:val="99"/>
    <w:rPr>
      <w:rFonts w:ascii="MingLiU" w:eastAsia="MingLiU" w:cs="MingLiU"/>
      <w:spacing w:val="730"/>
      <w:sz w:val="68"/>
      <w:szCs w:val="68"/>
      <w:u w:val="none"/>
    </w:rPr>
  </w:style>
  <w:style w:type="paragraph" w:customStyle="1" w:styleId="494">
    <w:name w:val="正文文本 (44)"/>
    <w:basedOn w:val="1"/>
    <w:link w:val="493"/>
    <w:qFormat/>
    <w:uiPriority w:val="99"/>
    <w:pPr>
      <w:shd w:val="clear" w:color="auto" w:fill="FFFFFF"/>
      <w:spacing w:before="2340" w:after="600" w:line="240" w:lineRule="atLeast"/>
    </w:pPr>
    <w:rPr>
      <w:rFonts w:ascii="MingLiU" w:eastAsia="MingLiU" w:cs="Times New Roman"/>
      <w:color w:val="auto"/>
      <w:spacing w:val="730"/>
      <w:sz w:val="68"/>
      <w:szCs w:val="68"/>
    </w:rPr>
  </w:style>
  <w:style w:type="character" w:customStyle="1" w:styleId="495">
    <w:name w:val="页眉或页脚 + 间距 0 pt"/>
    <w:qFormat/>
    <w:uiPriority w:val="99"/>
    <w:rPr>
      <w:rFonts w:ascii="MingLiU" w:eastAsia="MingLiU" w:cs="MingLiU"/>
      <w:spacing w:val="0"/>
      <w:sz w:val="20"/>
      <w:szCs w:val="20"/>
      <w:u w:val="none"/>
    </w:rPr>
  </w:style>
  <w:style w:type="character" w:customStyle="1" w:styleId="496">
    <w:name w:val="666 Char Char"/>
    <w:link w:val="497"/>
    <w:qFormat/>
    <w:locked/>
    <w:uiPriority w:val="0"/>
    <w:rPr>
      <w:rFonts w:eastAsia="宋体"/>
      <w:kern w:val="2"/>
      <w:sz w:val="24"/>
    </w:rPr>
  </w:style>
  <w:style w:type="paragraph" w:customStyle="1" w:styleId="497">
    <w:name w:val="666"/>
    <w:basedOn w:val="1"/>
    <w:link w:val="496"/>
    <w:qFormat/>
    <w:uiPriority w:val="0"/>
    <w:pPr>
      <w:overflowPunct w:val="0"/>
      <w:spacing w:line="400" w:lineRule="exact"/>
      <w:ind w:firstLine="480" w:firstLineChars="200"/>
      <w:jc w:val="both"/>
    </w:pPr>
    <w:rPr>
      <w:rFonts w:cs="Times New Roman"/>
      <w:color w:val="auto"/>
      <w:kern w:val="2"/>
      <w:szCs w:val="20"/>
    </w:rPr>
  </w:style>
  <w:style w:type="character" w:customStyle="1" w:styleId="498">
    <w:name w:val="标题 #7 + 非粗体"/>
    <w:qFormat/>
    <w:uiPriority w:val="99"/>
    <w:rPr>
      <w:rFonts w:ascii="MingLiU" w:eastAsia="MingLiU" w:cs="MingLiU"/>
      <w:b/>
      <w:bCs/>
      <w:spacing w:val="0"/>
      <w:sz w:val="22"/>
      <w:szCs w:val="22"/>
      <w:u w:val="none"/>
      <w:lang w:val="en-US" w:eastAsia="en-US"/>
    </w:rPr>
  </w:style>
  <w:style w:type="character" w:customStyle="1" w:styleId="499">
    <w:name w:val="正文文本 (45)_"/>
    <w:link w:val="500"/>
    <w:qFormat/>
    <w:locked/>
    <w:uiPriority w:val="99"/>
    <w:rPr>
      <w:rFonts w:ascii="MingLiU" w:eastAsia="MingLiU" w:cs="MingLiU"/>
      <w:b/>
      <w:bCs/>
      <w:sz w:val="20"/>
      <w:szCs w:val="20"/>
      <w:u w:val="none"/>
    </w:rPr>
  </w:style>
  <w:style w:type="paragraph" w:customStyle="1" w:styleId="500">
    <w:name w:val="正文文本 (45)"/>
    <w:basedOn w:val="1"/>
    <w:link w:val="499"/>
    <w:qFormat/>
    <w:uiPriority w:val="99"/>
    <w:pPr>
      <w:shd w:val="clear" w:color="auto" w:fill="FFFFFF"/>
      <w:spacing w:before="180" w:line="240" w:lineRule="atLeast"/>
      <w:jc w:val="right"/>
    </w:pPr>
    <w:rPr>
      <w:rFonts w:ascii="MingLiU" w:eastAsia="MingLiU" w:cs="Times New Roman"/>
      <w:b/>
      <w:bCs/>
      <w:color w:val="auto"/>
      <w:sz w:val="20"/>
      <w:szCs w:val="20"/>
    </w:rPr>
  </w:style>
  <w:style w:type="character" w:customStyle="1" w:styleId="501">
    <w:name w:val="标题 2 Char Char Char"/>
    <w:qFormat/>
    <w:uiPriority w:val="0"/>
    <w:rPr>
      <w:rFonts w:hint="default" w:ascii="Arial" w:hAnsi="Arial" w:eastAsia="黑体" w:cs="Times New Roman"/>
      <w:b/>
      <w:sz w:val="24"/>
      <w:szCs w:val="20"/>
    </w:rPr>
  </w:style>
  <w:style w:type="character" w:customStyle="1" w:styleId="502">
    <w:name w:val="正文文本 (2) + 12 pt"/>
    <w:qFormat/>
    <w:uiPriority w:val="99"/>
    <w:rPr>
      <w:rFonts w:ascii="MingLiU" w:eastAsia="MingLiU" w:cs="MingLiU"/>
      <w:i/>
      <w:iCs/>
      <w:spacing w:val="0"/>
      <w:sz w:val="24"/>
      <w:szCs w:val="24"/>
      <w:u w:val="none"/>
      <w:lang w:val="en-US" w:eastAsia="en-US"/>
    </w:rPr>
  </w:style>
  <w:style w:type="character" w:customStyle="1" w:styleId="503">
    <w:name w:val="电子邮件签名 Char1"/>
    <w:semiHidden/>
    <w:qFormat/>
    <w:uiPriority w:val="99"/>
    <w:rPr>
      <w:rFonts w:hint="default" w:ascii="Calibri" w:hAnsi="Calibri"/>
      <w:kern w:val="2"/>
      <w:sz w:val="21"/>
      <w:szCs w:val="24"/>
    </w:rPr>
  </w:style>
  <w:style w:type="character" w:customStyle="1" w:styleId="504">
    <w:name w:val="正文文本 (6) + Times New Roman"/>
    <w:qFormat/>
    <w:uiPriority w:val="99"/>
    <w:rPr>
      <w:rFonts w:ascii="Times New Roman" w:hAnsi="Times New Roman" w:eastAsia="MingLiU" w:cs="Times New Roman"/>
      <w:b/>
      <w:bCs/>
      <w:sz w:val="38"/>
      <w:szCs w:val="38"/>
      <w:u w:val="none"/>
    </w:rPr>
  </w:style>
  <w:style w:type="character" w:customStyle="1" w:styleId="505">
    <w:name w:val="确定正文 Char Char"/>
    <w:link w:val="506"/>
    <w:qFormat/>
    <w:locked/>
    <w:uiPriority w:val="0"/>
    <w:rPr>
      <w:rFonts w:ascii="宋体" w:hAnsi="宋体" w:cs="宋体"/>
      <w:kern w:val="2"/>
      <w:sz w:val="24"/>
    </w:rPr>
  </w:style>
  <w:style w:type="paragraph" w:customStyle="1" w:styleId="506">
    <w:name w:val="确定正文"/>
    <w:basedOn w:val="1"/>
    <w:link w:val="505"/>
    <w:qFormat/>
    <w:uiPriority w:val="0"/>
    <w:pPr>
      <w:spacing w:line="360" w:lineRule="auto"/>
      <w:ind w:firstLine="200" w:firstLineChars="200"/>
      <w:jc w:val="both"/>
    </w:pPr>
    <w:rPr>
      <w:rFonts w:ascii="宋体" w:hAnsi="宋体" w:cs="Times New Roman"/>
      <w:color w:val="auto"/>
      <w:kern w:val="2"/>
      <w:szCs w:val="20"/>
    </w:rPr>
  </w:style>
  <w:style w:type="character" w:customStyle="1" w:styleId="507">
    <w:name w:val="gwds_nopic2"/>
    <w:qFormat/>
    <w:uiPriority w:val="0"/>
  </w:style>
  <w:style w:type="character" w:customStyle="1" w:styleId="508">
    <w:name w:val="标题 #7_"/>
    <w:link w:val="509"/>
    <w:qFormat/>
    <w:locked/>
    <w:uiPriority w:val="99"/>
    <w:rPr>
      <w:rFonts w:ascii="MingLiU" w:eastAsia="MingLiU" w:cs="MingLiU"/>
      <w:b/>
      <w:bCs/>
      <w:spacing w:val="10"/>
      <w:sz w:val="22"/>
      <w:szCs w:val="22"/>
      <w:u w:val="none"/>
    </w:rPr>
  </w:style>
  <w:style w:type="paragraph" w:customStyle="1" w:styleId="509">
    <w:name w:val="标题 #7"/>
    <w:basedOn w:val="1"/>
    <w:link w:val="508"/>
    <w:qFormat/>
    <w:uiPriority w:val="99"/>
    <w:pPr>
      <w:shd w:val="clear" w:color="auto" w:fill="FFFFFF"/>
      <w:spacing w:before="120" w:after="420" w:line="240" w:lineRule="atLeast"/>
      <w:outlineLvl w:val="6"/>
    </w:pPr>
    <w:rPr>
      <w:rFonts w:ascii="MingLiU" w:eastAsia="MingLiU" w:cs="Times New Roman"/>
      <w:b/>
      <w:bCs/>
      <w:color w:val="auto"/>
      <w:spacing w:val="10"/>
      <w:sz w:val="22"/>
      <w:szCs w:val="22"/>
    </w:rPr>
  </w:style>
  <w:style w:type="character" w:customStyle="1" w:styleId="510">
    <w:name w:val="标题 #6 + 间距 0 pt1"/>
    <w:qFormat/>
    <w:uiPriority w:val="99"/>
    <w:rPr>
      <w:rFonts w:ascii="MingLiU" w:eastAsia="MingLiU" w:cs="MingLiU"/>
      <w:spacing w:val="10"/>
      <w:sz w:val="26"/>
      <w:szCs w:val="26"/>
      <w:u w:val="single"/>
    </w:rPr>
  </w:style>
  <w:style w:type="character" w:customStyle="1" w:styleId="511">
    <w:name w:val="正文文本 (42) + 11 pt"/>
    <w:qFormat/>
    <w:uiPriority w:val="99"/>
    <w:rPr>
      <w:rFonts w:ascii="MingLiU" w:eastAsia="MingLiU" w:cs="MingLiU"/>
      <w:b/>
      <w:bCs/>
      <w:spacing w:val="0"/>
      <w:sz w:val="22"/>
      <w:szCs w:val="22"/>
      <w:u w:val="none"/>
    </w:rPr>
  </w:style>
  <w:style w:type="character" w:customStyle="1" w:styleId="512">
    <w:name w:val="目录 + 5 pt"/>
    <w:qFormat/>
    <w:uiPriority w:val="99"/>
    <w:rPr>
      <w:rFonts w:ascii="MingLiU" w:eastAsia="MingLiU" w:cs="MingLiU"/>
      <w:sz w:val="10"/>
      <w:szCs w:val="10"/>
      <w:u w:val="none"/>
    </w:rPr>
  </w:style>
  <w:style w:type="character" w:customStyle="1" w:styleId="513">
    <w:name w:val="正文文本 (28)_"/>
    <w:link w:val="514"/>
    <w:qFormat/>
    <w:locked/>
    <w:uiPriority w:val="99"/>
    <w:rPr>
      <w:rFonts w:ascii="AngsanaUPC" w:hAnsi="AngsanaUPC" w:cs="AngsanaUPC"/>
      <w:sz w:val="30"/>
      <w:szCs w:val="30"/>
      <w:u w:val="none"/>
      <w:lang w:val="en-US" w:eastAsia="en-US"/>
    </w:rPr>
  </w:style>
  <w:style w:type="paragraph" w:customStyle="1" w:styleId="514">
    <w:name w:val="正文文本 (28)"/>
    <w:basedOn w:val="1"/>
    <w:link w:val="513"/>
    <w:qFormat/>
    <w:uiPriority w:val="99"/>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515">
    <w:name w:val="正文文本 (30) + CordiaUPC"/>
    <w:qFormat/>
    <w:uiPriority w:val="99"/>
    <w:rPr>
      <w:rFonts w:ascii="CordiaUPC" w:hAnsi="CordiaUPC" w:cs="CordiaUPC"/>
      <w:sz w:val="34"/>
      <w:szCs w:val="34"/>
      <w:u w:val="none"/>
      <w:lang w:val="en-US" w:eastAsia="en-US"/>
    </w:rPr>
  </w:style>
  <w:style w:type="character" w:customStyle="1" w:styleId="516">
    <w:name w:val="正文文本 (2) + 10 pt29"/>
    <w:qFormat/>
    <w:uiPriority w:val="99"/>
    <w:rPr>
      <w:rFonts w:ascii="MingLiU" w:eastAsia="MingLiU" w:cs="MingLiU"/>
      <w:b/>
      <w:bCs/>
      <w:spacing w:val="220"/>
      <w:sz w:val="20"/>
      <w:szCs w:val="20"/>
      <w:u w:val="none"/>
    </w:rPr>
  </w:style>
  <w:style w:type="character" w:customStyle="1" w:styleId="517">
    <w:name w:val="页眉或页脚 + 间距 1 pt2"/>
    <w:qFormat/>
    <w:uiPriority w:val="99"/>
    <w:rPr>
      <w:rFonts w:ascii="MingLiU" w:eastAsia="MingLiU" w:cs="MingLiU"/>
      <w:spacing w:val="30"/>
      <w:sz w:val="20"/>
      <w:szCs w:val="20"/>
      <w:u w:val="none"/>
    </w:rPr>
  </w:style>
  <w:style w:type="character" w:customStyle="1" w:styleId="518">
    <w:name w:val="正文文本 (2) + 10 pt271"/>
    <w:qFormat/>
    <w:uiPriority w:val="99"/>
    <w:rPr>
      <w:rFonts w:ascii="MingLiU" w:eastAsia="MingLiU" w:cs="MingLiU"/>
      <w:spacing w:val="0"/>
      <w:w w:val="100"/>
      <w:sz w:val="20"/>
      <w:szCs w:val="20"/>
      <w:u w:val="none"/>
      <w:lang w:val="en-US" w:eastAsia="en-US"/>
    </w:rPr>
  </w:style>
  <w:style w:type="character" w:customStyle="1" w:styleId="519">
    <w:name w:val="正文标题 Char"/>
    <w:link w:val="520"/>
    <w:qFormat/>
    <w:locked/>
    <w:uiPriority w:val="0"/>
    <w:rPr>
      <w:rFonts w:ascii="黑体" w:eastAsia="黑体"/>
      <w:b/>
      <w:color w:val="FF0000"/>
      <w:kern w:val="2"/>
      <w:sz w:val="30"/>
    </w:rPr>
  </w:style>
  <w:style w:type="paragraph" w:customStyle="1" w:styleId="520">
    <w:name w:val="正文标题"/>
    <w:basedOn w:val="335"/>
    <w:link w:val="519"/>
    <w:qFormat/>
    <w:uiPriority w:val="0"/>
    <w:pPr>
      <w:spacing w:before="156" w:beforeLines="50" w:after="156" w:afterLines="50"/>
      <w:ind w:firstLine="0" w:firstLineChars="0"/>
      <w:jc w:val="center"/>
    </w:pPr>
    <w:rPr>
      <w:rFonts w:ascii="黑体" w:eastAsia="黑体"/>
      <w:b/>
      <w:color w:val="FF0000"/>
      <w:sz w:val="30"/>
    </w:rPr>
  </w:style>
  <w:style w:type="character" w:customStyle="1" w:styleId="521">
    <w:name w:val="标题 #7 + Times New Roman"/>
    <w:qFormat/>
    <w:uiPriority w:val="99"/>
    <w:rPr>
      <w:rFonts w:ascii="Times New Roman" w:hAnsi="Times New Roman" w:eastAsia="MingLiU" w:cs="Times New Roman"/>
      <w:b/>
      <w:bCs/>
      <w:spacing w:val="0"/>
      <w:sz w:val="24"/>
      <w:szCs w:val="24"/>
      <w:u w:val="none"/>
      <w:lang w:val="en-US" w:eastAsia="en-US"/>
    </w:rPr>
  </w:style>
  <w:style w:type="character" w:customStyle="1" w:styleId="522">
    <w:name w:val="text92"/>
    <w:qFormat/>
    <w:uiPriority w:val="0"/>
    <w:rPr>
      <w:rFonts w:hint="eastAsia" w:ascii="宋体" w:hAnsi="宋体" w:eastAsia="宋体"/>
      <w:color w:val="000000"/>
      <w:spacing w:val="0"/>
      <w:kern w:val="2"/>
      <w:sz w:val="18"/>
      <w:szCs w:val="18"/>
      <w:lang w:val="en-US" w:eastAsia="zh-CN" w:bidi="ar-SA"/>
    </w:rPr>
  </w:style>
  <w:style w:type="character" w:customStyle="1" w:styleId="523">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524">
    <w:name w:val="正文文本 (19) + 非粗体3"/>
    <w:qFormat/>
    <w:uiPriority w:val="99"/>
    <w:rPr>
      <w:rFonts w:ascii="MingLiU" w:eastAsia="MingLiU" w:cs="MingLiU"/>
      <w:b/>
      <w:bCs/>
      <w:spacing w:val="-20"/>
      <w:sz w:val="22"/>
      <w:szCs w:val="22"/>
      <w:u w:val="none"/>
      <w:lang w:val="en-US" w:eastAsia="en-US"/>
    </w:rPr>
  </w:style>
  <w:style w:type="character" w:customStyle="1" w:styleId="525">
    <w:name w:val="正文文本 (14) + 11 pt"/>
    <w:qFormat/>
    <w:uiPriority w:val="99"/>
    <w:rPr>
      <w:rFonts w:ascii="MingLiU" w:eastAsia="MingLiU" w:cs="MingLiU"/>
      <w:sz w:val="22"/>
      <w:szCs w:val="22"/>
      <w:u w:val="none"/>
      <w:lang w:val="en-US" w:eastAsia="en-US"/>
    </w:rPr>
  </w:style>
  <w:style w:type="character" w:customStyle="1" w:styleId="526">
    <w:name w:val="尾注文本 Char1"/>
    <w:semiHidden/>
    <w:qFormat/>
    <w:uiPriority w:val="99"/>
    <w:rPr>
      <w:rFonts w:hint="default" w:ascii="Calibri" w:hAnsi="Calibri"/>
      <w:kern w:val="2"/>
      <w:sz w:val="21"/>
      <w:szCs w:val="24"/>
    </w:rPr>
  </w:style>
  <w:style w:type="character" w:customStyle="1" w:styleId="527">
    <w:name w:val="正文文本 (2) + 10 pt16"/>
    <w:qFormat/>
    <w:uiPriority w:val="99"/>
    <w:rPr>
      <w:rFonts w:ascii="MingLiU" w:eastAsia="MingLiU" w:cs="MingLiU"/>
      <w:spacing w:val="40"/>
      <w:sz w:val="20"/>
      <w:szCs w:val="20"/>
      <w:u w:val="none"/>
    </w:rPr>
  </w:style>
  <w:style w:type="character" w:customStyle="1" w:styleId="528">
    <w:name w:val="标题 #4 + 间距 1 pt"/>
    <w:qFormat/>
    <w:uiPriority w:val="99"/>
    <w:rPr>
      <w:rFonts w:ascii="MingLiU" w:eastAsia="MingLiU" w:cs="MingLiU"/>
      <w:b/>
      <w:bCs/>
      <w:spacing w:val="30"/>
      <w:sz w:val="28"/>
      <w:szCs w:val="28"/>
      <w:u w:val="none"/>
    </w:rPr>
  </w:style>
  <w:style w:type="character" w:customStyle="1" w:styleId="529">
    <w:name w:val="正文文本 (13) + 间距 3 pt"/>
    <w:qFormat/>
    <w:uiPriority w:val="99"/>
    <w:rPr>
      <w:rFonts w:ascii="MingLiU" w:eastAsia="MingLiU" w:cs="MingLiU"/>
      <w:spacing w:val="70"/>
      <w:sz w:val="56"/>
      <w:szCs w:val="56"/>
      <w:u w:val="none"/>
    </w:rPr>
  </w:style>
  <w:style w:type="character" w:customStyle="1" w:styleId="530">
    <w:name w:val="数字"/>
    <w:qFormat/>
    <w:uiPriority w:val="0"/>
    <w:rPr>
      <w:rFonts w:eastAsia="黑体"/>
      <w:b/>
      <w:sz w:val="21"/>
    </w:rPr>
  </w:style>
  <w:style w:type="character" w:customStyle="1" w:styleId="531">
    <w:name w:val="CharStyle418"/>
    <w:qFormat/>
    <w:uiPriority w:val="0"/>
    <w:rPr>
      <w:rFonts w:hint="eastAsia" w:ascii="宋体" w:hAnsi="宋体" w:eastAsia="宋体" w:cs="宋体"/>
      <w:sz w:val="22"/>
      <w:szCs w:val="22"/>
    </w:rPr>
  </w:style>
  <w:style w:type="character" w:customStyle="1" w:styleId="532">
    <w:name w:val="正文文本 (2) + 10 pt24"/>
    <w:qFormat/>
    <w:uiPriority w:val="99"/>
    <w:rPr>
      <w:rFonts w:ascii="MingLiU" w:eastAsia="MingLiU" w:cs="MingLiU"/>
      <w:b/>
      <w:bCs/>
      <w:spacing w:val="0"/>
      <w:sz w:val="20"/>
      <w:szCs w:val="20"/>
      <w:u w:val="none"/>
    </w:rPr>
  </w:style>
  <w:style w:type="character" w:customStyle="1" w:styleId="533">
    <w:name w:val="标题 #7 + 间距 1 pt"/>
    <w:qFormat/>
    <w:uiPriority w:val="99"/>
    <w:rPr>
      <w:rFonts w:ascii="MingLiU" w:eastAsia="MingLiU" w:cs="MingLiU"/>
      <w:b/>
      <w:bCs/>
      <w:spacing w:val="20"/>
      <w:sz w:val="22"/>
      <w:szCs w:val="22"/>
      <w:u w:val="none"/>
    </w:rPr>
  </w:style>
  <w:style w:type="character" w:customStyle="1" w:styleId="534">
    <w:name w:val="正文文本 (7) + 10 pt"/>
    <w:qFormat/>
    <w:uiPriority w:val="99"/>
    <w:rPr>
      <w:rFonts w:ascii="MingLiU" w:eastAsia="MingLiU" w:cs="MingLiU"/>
      <w:spacing w:val="0"/>
      <w:sz w:val="20"/>
      <w:szCs w:val="20"/>
      <w:u w:val="none"/>
      <w:lang w:val="en-US" w:eastAsia="en-US"/>
    </w:rPr>
  </w:style>
  <w:style w:type="character" w:customStyle="1" w:styleId="535">
    <w:name w:val="noline"/>
    <w:qFormat/>
    <w:uiPriority w:val="0"/>
  </w:style>
  <w:style w:type="character" w:customStyle="1" w:styleId="536">
    <w:name w:val="正文文本 (2) + 5.5 pt"/>
    <w:qFormat/>
    <w:uiPriority w:val="99"/>
    <w:rPr>
      <w:rFonts w:ascii="MingLiU" w:eastAsia="MingLiU" w:cs="MingLiU"/>
      <w:i/>
      <w:iCs/>
      <w:spacing w:val="10"/>
      <w:sz w:val="11"/>
      <w:szCs w:val="11"/>
      <w:u w:val="none"/>
    </w:rPr>
  </w:style>
  <w:style w:type="character" w:customStyle="1" w:styleId="537">
    <w:name w:val="正文文本 (2) + 4.5 pt"/>
    <w:qFormat/>
    <w:uiPriority w:val="99"/>
    <w:rPr>
      <w:rFonts w:ascii="MingLiU" w:eastAsia="MingLiU" w:cs="MingLiU"/>
      <w:spacing w:val="0"/>
      <w:w w:val="60"/>
      <w:sz w:val="9"/>
      <w:szCs w:val="9"/>
      <w:u w:val="none"/>
      <w:lang w:val="en-US" w:eastAsia="en-US"/>
    </w:rPr>
  </w:style>
  <w:style w:type="character" w:customStyle="1" w:styleId="538">
    <w:name w:val="正文文本 (2) + 9.5 pt"/>
    <w:qFormat/>
    <w:uiPriority w:val="99"/>
    <w:rPr>
      <w:rFonts w:ascii="MingLiU" w:eastAsia="MingLiU" w:cs="MingLiU"/>
      <w:i/>
      <w:iCs/>
      <w:spacing w:val="-30"/>
      <w:sz w:val="19"/>
      <w:szCs w:val="19"/>
      <w:u w:val="none"/>
      <w:lang w:val="en-US" w:eastAsia="en-US"/>
    </w:rPr>
  </w:style>
  <w:style w:type="character" w:customStyle="1" w:styleId="539">
    <w:name w:val="正文文本 (9) + 间距 9 pt"/>
    <w:qFormat/>
    <w:uiPriority w:val="99"/>
    <w:rPr>
      <w:rFonts w:ascii="MingLiU" w:eastAsia="MingLiU" w:cs="MingLiU"/>
      <w:spacing w:val="190"/>
      <w:sz w:val="24"/>
      <w:szCs w:val="24"/>
      <w:u w:val="none"/>
    </w:rPr>
  </w:style>
  <w:style w:type="character" w:customStyle="1" w:styleId="540">
    <w:name w:val="正文文本 (19) + 间距 0 pt"/>
    <w:qFormat/>
    <w:uiPriority w:val="99"/>
    <w:rPr>
      <w:rFonts w:ascii="MingLiU" w:eastAsia="MingLiU" w:cs="MingLiU"/>
      <w:b/>
      <w:bCs/>
      <w:spacing w:val="0"/>
      <w:sz w:val="22"/>
      <w:szCs w:val="22"/>
      <w:u w:val="none"/>
    </w:rPr>
  </w:style>
  <w:style w:type="character" w:customStyle="1" w:styleId="541">
    <w:name w:val="其他_"/>
    <w:link w:val="542"/>
    <w:qFormat/>
    <w:locked/>
    <w:uiPriority w:val="99"/>
    <w:rPr>
      <w:rFonts w:ascii="Times New Roman" w:hAnsi="Times New Roman" w:cs="Times New Roman"/>
      <w:sz w:val="20"/>
      <w:szCs w:val="20"/>
      <w:u w:val="none"/>
    </w:rPr>
  </w:style>
  <w:style w:type="paragraph" w:customStyle="1" w:styleId="542">
    <w:name w:val="其他"/>
    <w:basedOn w:val="1"/>
    <w:link w:val="541"/>
    <w:qFormat/>
    <w:uiPriority w:val="99"/>
    <w:pPr>
      <w:shd w:val="clear" w:color="auto" w:fill="FFFFFF"/>
    </w:pPr>
    <w:rPr>
      <w:rFonts w:cs="Times New Roman"/>
      <w:color w:val="auto"/>
      <w:sz w:val="20"/>
      <w:szCs w:val="20"/>
    </w:rPr>
  </w:style>
  <w:style w:type="character" w:customStyle="1" w:styleId="543">
    <w:name w:val="正文文本 (2) + AngsanaUPC"/>
    <w:qFormat/>
    <w:uiPriority w:val="99"/>
    <w:rPr>
      <w:rFonts w:ascii="AngsanaUPC" w:hAnsi="AngsanaUPC" w:eastAsia="MingLiU" w:cs="AngsanaUPC"/>
      <w:spacing w:val="0"/>
      <w:sz w:val="36"/>
      <w:szCs w:val="36"/>
      <w:u w:val="none"/>
      <w:lang w:val="en-US" w:eastAsia="en-US"/>
    </w:rPr>
  </w:style>
  <w:style w:type="character" w:customStyle="1" w:styleId="544">
    <w:name w:val="表格标题 (11)_"/>
    <w:link w:val="545"/>
    <w:qFormat/>
    <w:locked/>
    <w:uiPriority w:val="99"/>
    <w:rPr>
      <w:rFonts w:ascii="MingLiU" w:eastAsia="MingLiU" w:cs="MingLiU"/>
      <w:sz w:val="22"/>
      <w:szCs w:val="22"/>
      <w:u w:val="none"/>
    </w:rPr>
  </w:style>
  <w:style w:type="paragraph" w:customStyle="1" w:styleId="545">
    <w:name w:val="表格标题 (11)"/>
    <w:basedOn w:val="1"/>
    <w:link w:val="544"/>
    <w:qFormat/>
    <w:uiPriority w:val="99"/>
    <w:pPr>
      <w:shd w:val="clear" w:color="auto" w:fill="FFFFFF"/>
      <w:spacing w:line="240" w:lineRule="atLeast"/>
    </w:pPr>
    <w:rPr>
      <w:rFonts w:ascii="MingLiU" w:eastAsia="MingLiU" w:cs="Times New Roman"/>
      <w:color w:val="auto"/>
      <w:sz w:val="22"/>
      <w:szCs w:val="22"/>
    </w:rPr>
  </w:style>
  <w:style w:type="character" w:customStyle="1" w:styleId="546">
    <w:name w:val="font12pt1"/>
    <w:qFormat/>
    <w:uiPriority w:val="0"/>
    <w:rPr>
      <w:rFonts w:hint="default" w:ascii="ˎ̥" w:hAnsi="ˎ̥"/>
      <w:sz w:val="18"/>
      <w:szCs w:val="18"/>
      <w:u w:val="none"/>
    </w:rPr>
  </w:style>
  <w:style w:type="character" w:customStyle="1" w:styleId="547">
    <w:name w:val="批注框文本 Char1"/>
    <w:semiHidden/>
    <w:qFormat/>
    <w:uiPriority w:val="99"/>
    <w:rPr>
      <w:rFonts w:hint="default" w:ascii="Calibri" w:hAnsi="Calibri"/>
      <w:kern w:val="2"/>
      <w:sz w:val="18"/>
      <w:szCs w:val="18"/>
    </w:rPr>
  </w:style>
  <w:style w:type="character" w:customStyle="1" w:styleId="548">
    <w:name w:val="标题 #6 + 间距 1 pt"/>
    <w:qFormat/>
    <w:uiPriority w:val="99"/>
    <w:rPr>
      <w:rFonts w:ascii="MingLiU" w:eastAsia="MingLiU" w:cs="MingLiU"/>
      <w:spacing w:val="20"/>
      <w:sz w:val="26"/>
      <w:szCs w:val="26"/>
      <w:u w:val="none"/>
    </w:rPr>
  </w:style>
  <w:style w:type="character" w:customStyle="1" w:styleId="549">
    <w:name w:val="称呼 Char1"/>
    <w:semiHidden/>
    <w:qFormat/>
    <w:uiPriority w:val="99"/>
    <w:rPr>
      <w:rFonts w:hint="default" w:ascii="Calibri" w:hAnsi="Calibri"/>
      <w:kern w:val="2"/>
      <w:sz w:val="21"/>
      <w:szCs w:val="24"/>
    </w:rPr>
  </w:style>
  <w:style w:type="character" w:customStyle="1" w:styleId="550">
    <w:name w:val="正文文本 (27) + CordiaUPC"/>
    <w:qFormat/>
    <w:uiPriority w:val="99"/>
    <w:rPr>
      <w:rFonts w:ascii="CordiaUPC" w:hAnsi="CordiaUPC" w:cs="CordiaUPC"/>
      <w:sz w:val="34"/>
      <w:szCs w:val="34"/>
      <w:u w:val="none"/>
      <w:lang w:val="en-US" w:eastAsia="en-US"/>
    </w:rPr>
  </w:style>
  <w:style w:type="character" w:customStyle="1" w:styleId="551">
    <w:name w:val="正文文本 (2) + 10 pt39"/>
    <w:qFormat/>
    <w:uiPriority w:val="99"/>
    <w:rPr>
      <w:rFonts w:ascii="MingLiU" w:eastAsia="MingLiU" w:cs="MingLiU"/>
      <w:b/>
      <w:bCs/>
      <w:spacing w:val="180"/>
      <w:sz w:val="20"/>
      <w:szCs w:val="20"/>
      <w:u w:val="none"/>
    </w:rPr>
  </w:style>
  <w:style w:type="character" w:customStyle="1" w:styleId="552">
    <w:name w:val="表格文字2 Char"/>
    <w:qFormat/>
    <w:uiPriority w:val="0"/>
    <w:rPr>
      <w:rFonts w:hint="eastAsia" w:ascii="宋体" w:hAnsi="宋体" w:eastAsia="宋体"/>
      <w:kern w:val="2"/>
      <w:sz w:val="21"/>
      <w:lang w:val="en-US" w:eastAsia="zh-CN" w:bidi="ar-SA"/>
    </w:rPr>
  </w:style>
  <w:style w:type="character" w:customStyle="1" w:styleId="553">
    <w:name w:val="正文文本 (15)_"/>
    <w:link w:val="554"/>
    <w:qFormat/>
    <w:locked/>
    <w:uiPriority w:val="99"/>
    <w:rPr>
      <w:rFonts w:ascii="MingLiU" w:eastAsia="MingLiU" w:cs="MingLiU"/>
      <w:b/>
      <w:bCs/>
      <w:sz w:val="28"/>
      <w:szCs w:val="28"/>
      <w:u w:val="none"/>
    </w:rPr>
  </w:style>
  <w:style w:type="paragraph" w:customStyle="1" w:styleId="554">
    <w:name w:val="正文文本 (15)"/>
    <w:basedOn w:val="1"/>
    <w:link w:val="553"/>
    <w:qFormat/>
    <w:uiPriority w:val="99"/>
    <w:pPr>
      <w:shd w:val="clear" w:color="auto" w:fill="FFFFFF"/>
      <w:spacing w:before="120" w:after="420" w:line="240" w:lineRule="atLeast"/>
      <w:jc w:val="distribute"/>
    </w:pPr>
    <w:rPr>
      <w:rFonts w:ascii="MingLiU" w:eastAsia="MingLiU" w:cs="Times New Roman"/>
      <w:b/>
      <w:bCs/>
      <w:color w:val="auto"/>
      <w:sz w:val="28"/>
      <w:szCs w:val="28"/>
    </w:rPr>
  </w:style>
  <w:style w:type="character" w:customStyle="1" w:styleId="555">
    <w:name w:val="fontstyle21"/>
    <w:basedOn w:val="90"/>
    <w:qFormat/>
    <w:uiPriority w:val="0"/>
    <w:rPr>
      <w:rFonts w:hint="eastAsia" w:ascii="宋体" w:hAnsi="宋体" w:eastAsia="宋体" w:cs="宋体"/>
      <w:color w:val="000000"/>
      <w:sz w:val="22"/>
      <w:szCs w:val="22"/>
    </w:rPr>
  </w:style>
  <w:style w:type="character" w:customStyle="1" w:styleId="556">
    <w:name w:val="标题 #3 + 间距 2 pt"/>
    <w:qFormat/>
    <w:uiPriority w:val="99"/>
    <w:rPr>
      <w:rFonts w:ascii="MingLiU" w:eastAsia="MingLiU" w:cs="MingLiU"/>
      <w:spacing w:val="50"/>
      <w:sz w:val="42"/>
      <w:szCs w:val="42"/>
      <w:u w:val="none"/>
    </w:rPr>
  </w:style>
  <w:style w:type="character" w:customStyle="1" w:styleId="557">
    <w:name w:val="目录 (2) + 间距 -1 pt"/>
    <w:qFormat/>
    <w:uiPriority w:val="99"/>
    <w:rPr>
      <w:rFonts w:ascii="MingLiU" w:eastAsia="MingLiU" w:cs="MingLiU"/>
      <w:spacing w:val="-20"/>
      <w:sz w:val="22"/>
      <w:szCs w:val="22"/>
      <w:u w:val="none"/>
    </w:rPr>
  </w:style>
  <w:style w:type="character" w:customStyle="1" w:styleId="558">
    <w:name w:val="正文文本 (5)"/>
    <w:qFormat/>
    <w:uiPriority w:val="99"/>
    <w:rPr>
      <w:rFonts w:ascii="MingLiU" w:eastAsia="MingLiU" w:cs="MingLiU"/>
      <w:w w:val="100"/>
      <w:sz w:val="20"/>
      <w:szCs w:val="20"/>
      <w:u w:val="none"/>
      <w:lang w:val="en-US" w:eastAsia="en-US"/>
    </w:rPr>
  </w:style>
  <w:style w:type="character" w:customStyle="1" w:styleId="559">
    <w:name w:val="标题 #7 (2)_"/>
    <w:link w:val="560"/>
    <w:qFormat/>
    <w:locked/>
    <w:uiPriority w:val="99"/>
    <w:rPr>
      <w:rFonts w:ascii="MingLiU" w:eastAsia="MingLiU" w:cs="MingLiU"/>
      <w:spacing w:val="30"/>
      <w:sz w:val="22"/>
      <w:szCs w:val="22"/>
      <w:u w:val="none"/>
    </w:rPr>
  </w:style>
  <w:style w:type="paragraph" w:customStyle="1" w:styleId="560">
    <w:name w:val="标题 #7 (2)"/>
    <w:basedOn w:val="1"/>
    <w:link w:val="559"/>
    <w:qFormat/>
    <w:uiPriority w:val="99"/>
    <w:pPr>
      <w:shd w:val="clear" w:color="auto" w:fill="FFFFFF"/>
      <w:spacing w:before="60" w:after="300" w:line="240" w:lineRule="atLeast"/>
      <w:jc w:val="both"/>
      <w:outlineLvl w:val="6"/>
    </w:pPr>
    <w:rPr>
      <w:rFonts w:ascii="MingLiU" w:eastAsia="MingLiU" w:cs="Times New Roman"/>
      <w:color w:val="auto"/>
      <w:spacing w:val="30"/>
      <w:sz w:val="22"/>
      <w:szCs w:val="22"/>
    </w:rPr>
  </w:style>
  <w:style w:type="character" w:customStyle="1" w:styleId="561">
    <w:name w:val="正文文本 (2) + CordiaUPC2"/>
    <w:qFormat/>
    <w:uiPriority w:val="99"/>
    <w:rPr>
      <w:rFonts w:ascii="CordiaUPC" w:hAnsi="CordiaUPC" w:eastAsia="MingLiU" w:cs="CordiaUPC"/>
      <w:spacing w:val="0"/>
      <w:sz w:val="30"/>
      <w:szCs w:val="30"/>
      <w:u w:val="none"/>
      <w:lang w:val="en-US" w:eastAsia="en-US"/>
    </w:rPr>
  </w:style>
  <w:style w:type="character" w:customStyle="1" w:styleId="562">
    <w:name w:val="标题 #4 (2)_"/>
    <w:link w:val="563"/>
    <w:qFormat/>
    <w:locked/>
    <w:uiPriority w:val="99"/>
    <w:rPr>
      <w:rFonts w:ascii="MingLiU" w:eastAsia="MingLiU" w:cs="MingLiU"/>
      <w:sz w:val="26"/>
      <w:szCs w:val="26"/>
      <w:u w:val="none"/>
    </w:rPr>
  </w:style>
  <w:style w:type="paragraph" w:customStyle="1" w:styleId="563">
    <w:name w:val="标题 #4 (2)"/>
    <w:basedOn w:val="1"/>
    <w:link w:val="562"/>
    <w:qFormat/>
    <w:uiPriority w:val="99"/>
    <w:pPr>
      <w:shd w:val="clear" w:color="auto" w:fill="FFFFFF"/>
      <w:spacing w:after="840" w:line="240" w:lineRule="atLeast"/>
      <w:jc w:val="center"/>
      <w:outlineLvl w:val="3"/>
    </w:pPr>
    <w:rPr>
      <w:rFonts w:ascii="MingLiU" w:eastAsia="MingLiU" w:cs="Times New Roman"/>
      <w:color w:val="auto"/>
      <w:sz w:val="26"/>
      <w:szCs w:val="26"/>
    </w:rPr>
  </w:style>
  <w:style w:type="character" w:customStyle="1" w:styleId="564">
    <w:name w:val="gwds_nopic"/>
    <w:qFormat/>
    <w:uiPriority w:val="0"/>
  </w:style>
  <w:style w:type="character" w:customStyle="1" w:styleId="565">
    <w:name w:val="正文文本 (19) + 间距 -1 pt"/>
    <w:qFormat/>
    <w:uiPriority w:val="99"/>
    <w:rPr>
      <w:rFonts w:ascii="MingLiU" w:eastAsia="MingLiU" w:cs="MingLiU"/>
      <w:b/>
      <w:bCs/>
      <w:spacing w:val="-20"/>
      <w:sz w:val="22"/>
      <w:szCs w:val="22"/>
      <w:u w:val="none"/>
      <w:lang w:val="en-US" w:eastAsia="en-US"/>
    </w:rPr>
  </w:style>
  <w:style w:type="character" w:customStyle="1" w:styleId="566">
    <w:name w:val="正文文本 (2)3"/>
    <w:qFormat/>
    <w:uiPriority w:val="99"/>
  </w:style>
  <w:style w:type="character" w:customStyle="1" w:styleId="567">
    <w:name w:val="标题 #4_"/>
    <w:link w:val="568"/>
    <w:qFormat/>
    <w:locked/>
    <w:uiPriority w:val="99"/>
    <w:rPr>
      <w:rFonts w:ascii="MingLiU" w:eastAsia="MingLiU" w:cs="MingLiU"/>
      <w:b/>
      <w:bCs/>
      <w:sz w:val="28"/>
      <w:szCs w:val="28"/>
      <w:u w:val="none"/>
    </w:rPr>
  </w:style>
  <w:style w:type="paragraph" w:customStyle="1" w:styleId="568">
    <w:name w:val="标题 #4"/>
    <w:basedOn w:val="1"/>
    <w:link w:val="567"/>
    <w:qFormat/>
    <w:uiPriority w:val="99"/>
    <w:pPr>
      <w:shd w:val="clear" w:color="auto" w:fill="FFFFFF"/>
      <w:spacing w:after="540" w:line="607" w:lineRule="exact"/>
      <w:jc w:val="center"/>
      <w:outlineLvl w:val="3"/>
    </w:pPr>
    <w:rPr>
      <w:rFonts w:ascii="MingLiU" w:eastAsia="MingLiU" w:cs="Times New Roman"/>
      <w:b/>
      <w:bCs/>
      <w:color w:val="auto"/>
      <w:sz w:val="28"/>
      <w:szCs w:val="28"/>
    </w:rPr>
  </w:style>
  <w:style w:type="character" w:customStyle="1" w:styleId="569">
    <w:name w:val="正文文本 (14) + AngsanaUPC1"/>
    <w:qFormat/>
    <w:uiPriority w:val="99"/>
    <w:rPr>
      <w:rFonts w:ascii="AngsanaUPC" w:hAnsi="AngsanaUPC" w:eastAsia="MingLiU" w:cs="AngsanaUPC"/>
      <w:b/>
      <w:bCs/>
      <w:sz w:val="18"/>
      <w:szCs w:val="18"/>
      <w:u w:val="none"/>
      <w:lang w:val="en-US" w:eastAsia="en-US"/>
    </w:rPr>
  </w:style>
  <w:style w:type="character" w:customStyle="1" w:styleId="570">
    <w:name w:val="正文文本 (36) + CordiaUPC"/>
    <w:qFormat/>
    <w:uiPriority w:val="99"/>
    <w:rPr>
      <w:rFonts w:ascii="CordiaUPC" w:hAnsi="CordiaUPC"/>
      <w:sz w:val="34"/>
      <w:u w:val="none"/>
      <w:lang w:val="en-US" w:eastAsia="en-US"/>
    </w:rPr>
  </w:style>
  <w:style w:type="character" w:customStyle="1" w:styleId="571">
    <w:name w:val="标题 #5 (2)_"/>
    <w:link w:val="572"/>
    <w:qFormat/>
    <w:locked/>
    <w:uiPriority w:val="99"/>
    <w:rPr>
      <w:rFonts w:ascii="MingLiU" w:eastAsia="MingLiU" w:cs="MingLiU"/>
      <w:sz w:val="26"/>
      <w:szCs w:val="26"/>
      <w:u w:val="none"/>
    </w:rPr>
  </w:style>
  <w:style w:type="paragraph" w:customStyle="1" w:styleId="572">
    <w:name w:val="标题 #5 (2)"/>
    <w:basedOn w:val="1"/>
    <w:link w:val="571"/>
    <w:qFormat/>
    <w:uiPriority w:val="99"/>
    <w:pPr>
      <w:shd w:val="clear" w:color="auto" w:fill="FFFFFF"/>
      <w:spacing w:after="300" w:line="744" w:lineRule="exact"/>
      <w:jc w:val="center"/>
      <w:outlineLvl w:val="4"/>
    </w:pPr>
    <w:rPr>
      <w:rFonts w:ascii="MingLiU" w:eastAsia="MingLiU" w:cs="Times New Roman"/>
      <w:color w:val="auto"/>
      <w:sz w:val="26"/>
      <w:szCs w:val="26"/>
    </w:rPr>
  </w:style>
  <w:style w:type="character" w:customStyle="1" w:styleId="573">
    <w:name w:val="正文文本 (2) + 间距 0 pt1"/>
    <w:qFormat/>
    <w:uiPriority w:val="99"/>
    <w:rPr>
      <w:rFonts w:ascii="MingLiU" w:eastAsia="MingLiU" w:cs="MingLiU"/>
      <w:spacing w:val="0"/>
      <w:sz w:val="22"/>
      <w:szCs w:val="22"/>
      <w:u w:val="single"/>
    </w:rPr>
  </w:style>
  <w:style w:type="character" w:customStyle="1" w:styleId="574">
    <w:name w:val="正文文本 (2) + 10 pt18"/>
    <w:qFormat/>
    <w:uiPriority w:val="99"/>
    <w:rPr>
      <w:rFonts w:ascii="MingLiU" w:eastAsia="MingLiU" w:cs="MingLiU"/>
      <w:b/>
      <w:bCs/>
      <w:spacing w:val="-30"/>
      <w:sz w:val="20"/>
      <w:szCs w:val="20"/>
      <w:u w:val="none"/>
    </w:rPr>
  </w:style>
  <w:style w:type="character" w:customStyle="1" w:styleId="575">
    <w:name w:val="正文文本 (2) + 间距 -1 pt3"/>
    <w:qFormat/>
    <w:uiPriority w:val="99"/>
    <w:rPr>
      <w:rFonts w:ascii="MingLiU" w:eastAsia="MingLiU" w:cs="MingLiU"/>
      <w:spacing w:val="-30"/>
      <w:sz w:val="22"/>
      <w:szCs w:val="22"/>
      <w:u w:val="none"/>
      <w:lang w:val="en-US" w:eastAsia="en-US"/>
    </w:rPr>
  </w:style>
  <w:style w:type="character" w:customStyle="1" w:styleId="576">
    <w:name w:val="正文文本 (2) + 间距 3 pt1"/>
    <w:qFormat/>
    <w:uiPriority w:val="99"/>
    <w:rPr>
      <w:rFonts w:ascii="MingLiU" w:eastAsia="MingLiU" w:cs="MingLiU"/>
      <w:spacing w:val="70"/>
      <w:sz w:val="22"/>
      <w:szCs w:val="22"/>
      <w:u w:val="none"/>
    </w:rPr>
  </w:style>
  <w:style w:type="character" w:customStyle="1" w:styleId="577">
    <w:name w:val="正文文本 (16)_"/>
    <w:link w:val="578"/>
    <w:qFormat/>
    <w:locked/>
    <w:uiPriority w:val="99"/>
    <w:rPr>
      <w:rFonts w:ascii="MingLiU" w:eastAsia="MingLiU" w:cs="MingLiU"/>
      <w:sz w:val="22"/>
      <w:szCs w:val="22"/>
      <w:u w:val="none"/>
    </w:rPr>
  </w:style>
  <w:style w:type="paragraph" w:customStyle="1" w:styleId="578">
    <w:name w:val="正文文本 (16)"/>
    <w:basedOn w:val="1"/>
    <w:link w:val="577"/>
    <w:qFormat/>
    <w:uiPriority w:val="99"/>
    <w:pPr>
      <w:shd w:val="clear" w:color="auto" w:fill="FFFFFF"/>
      <w:spacing w:line="398" w:lineRule="exact"/>
      <w:jc w:val="distribute"/>
    </w:pPr>
    <w:rPr>
      <w:rFonts w:ascii="MingLiU" w:eastAsia="MingLiU" w:cs="Times New Roman"/>
      <w:color w:val="auto"/>
      <w:sz w:val="22"/>
      <w:szCs w:val="22"/>
    </w:rPr>
  </w:style>
  <w:style w:type="character" w:customStyle="1" w:styleId="579">
    <w:name w:val="表格标题_"/>
    <w:link w:val="580"/>
    <w:qFormat/>
    <w:locked/>
    <w:uiPriority w:val="99"/>
    <w:rPr>
      <w:rFonts w:ascii="MingLiU" w:eastAsia="MingLiU" w:cs="MingLiU"/>
      <w:sz w:val="20"/>
      <w:szCs w:val="20"/>
      <w:u w:val="none"/>
    </w:rPr>
  </w:style>
  <w:style w:type="paragraph" w:customStyle="1" w:styleId="580">
    <w:name w:val="表格标题"/>
    <w:basedOn w:val="1"/>
    <w:link w:val="579"/>
    <w:qFormat/>
    <w:uiPriority w:val="99"/>
    <w:pPr>
      <w:shd w:val="clear" w:color="auto" w:fill="FFFFFF"/>
      <w:spacing w:line="322" w:lineRule="exact"/>
      <w:jc w:val="distribute"/>
    </w:pPr>
    <w:rPr>
      <w:rFonts w:ascii="MingLiU" w:eastAsia="MingLiU" w:cs="Times New Roman"/>
      <w:color w:val="auto"/>
      <w:sz w:val="20"/>
      <w:szCs w:val="20"/>
    </w:rPr>
  </w:style>
  <w:style w:type="character" w:customStyle="1" w:styleId="581">
    <w:name w:val="正文文本 (2) + 10 pt13"/>
    <w:qFormat/>
    <w:uiPriority w:val="99"/>
    <w:rPr>
      <w:rFonts w:ascii="MingLiU" w:eastAsia="MingLiU" w:cs="MingLiU"/>
      <w:spacing w:val="-20"/>
      <w:sz w:val="20"/>
      <w:szCs w:val="20"/>
      <w:u w:val="none"/>
      <w:lang w:val="en-US" w:eastAsia="en-US"/>
    </w:rPr>
  </w:style>
  <w:style w:type="character" w:customStyle="1" w:styleId="582">
    <w:name w:val="正文文本 (17)_"/>
    <w:link w:val="583"/>
    <w:qFormat/>
    <w:locked/>
    <w:uiPriority w:val="99"/>
    <w:rPr>
      <w:rFonts w:ascii="MingLiU" w:eastAsia="MingLiU" w:cs="MingLiU"/>
      <w:spacing w:val="-10"/>
      <w:sz w:val="22"/>
      <w:szCs w:val="22"/>
      <w:u w:val="none"/>
    </w:rPr>
  </w:style>
  <w:style w:type="paragraph" w:customStyle="1" w:styleId="583">
    <w:name w:val="正文文本 (17)"/>
    <w:basedOn w:val="1"/>
    <w:link w:val="582"/>
    <w:qFormat/>
    <w:uiPriority w:val="99"/>
    <w:pPr>
      <w:shd w:val="clear" w:color="auto" w:fill="FFFFFF"/>
      <w:spacing w:line="240" w:lineRule="atLeast"/>
      <w:jc w:val="distribute"/>
    </w:pPr>
    <w:rPr>
      <w:rFonts w:ascii="MingLiU" w:eastAsia="MingLiU" w:cs="Times New Roman"/>
      <w:color w:val="auto"/>
      <w:spacing w:val="-10"/>
      <w:sz w:val="22"/>
      <w:szCs w:val="22"/>
    </w:rPr>
  </w:style>
  <w:style w:type="character" w:customStyle="1" w:styleId="584">
    <w:name w:val="正文文本 (2) + Sylfaen131"/>
    <w:qFormat/>
    <w:uiPriority w:val="99"/>
    <w:rPr>
      <w:rFonts w:ascii="Sylfaen" w:hAnsi="Sylfaen" w:eastAsia="MingLiU" w:cs="Sylfaen"/>
      <w:spacing w:val="0"/>
      <w:sz w:val="14"/>
      <w:szCs w:val="14"/>
      <w:u w:val="none"/>
      <w:lang w:val="en-US" w:eastAsia="en-US"/>
    </w:rPr>
  </w:style>
  <w:style w:type="character" w:customStyle="1" w:styleId="585">
    <w:name w:val="正文文本 (2) + 10 pt25"/>
    <w:qFormat/>
    <w:uiPriority w:val="99"/>
    <w:rPr>
      <w:rFonts w:ascii="MingLiU" w:eastAsia="MingLiU" w:cs="MingLiU"/>
      <w:b/>
      <w:bCs/>
      <w:spacing w:val="0"/>
      <w:sz w:val="20"/>
      <w:szCs w:val="20"/>
      <w:u w:val="none"/>
    </w:rPr>
  </w:style>
  <w:style w:type="character" w:customStyle="1" w:styleId="586">
    <w:name w:val="正文文本 (2) + 10 pt21"/>
    <w:qFormat/>
    <w:uiPriority w:val="99"/>
    <w:rPr>
      <w:rFonts w:ascii="MingLiU" w:eastAsia="MingLiU" w:cs="MingLiU"/>
      <w:b/>
      <w:bCs/>
      <w:spacing w:val="-20"/>
      <w:sz w:val="20"/>
      <w:szCs w:val="20"/>
      <w:u w:val="none"/>
      <w:lang w:val="en-US" w:eastAsia="en-US"/>
    </w:rPr>
  </w:style>
  <w:style w:type="character" w:customStyle="1" w:styleId="587">
    <w:name w:val="正文文本 (2) + 4 pt2"/>
    <w:qFormat/>
    <w:uiPriority w:val="99"/>
    <w:rPr>
      <w:rFonts w:ascii="MingLiU" w:eastAsia="MingLiU" w:cs="MingLiU"/>
      <w:spacing w:val="0"/>
      <w:w w:val="120"/>
      <w:sz w:val="8"/>
      <w:szCs w:val="8"/>
      <w:u w:val="none"/>
    </w:rPr>
  </w:style>
  <w:style w:type="character" w:customStyle="1" w:styleId="588">
    <w:name w:val="纯文本 Char"/>
    <w:qFormat/>
    <w:uiPriority w:val="0"/>
    <w:rPr>
      <w:rFonts w:ascii="宋体" w:hAnsi="Courier New" w:eastAsia="宋体" w:cs="Courier New"/>
      <w:color w:val="000000"/>
      <w:sz w:val="21"/>
      <w:szCs w:val="21"/>
      <w:lang w:val="zh-CN"/>
    </w:rPr>
  </w:style>
  <w:style w:type="character" w:customStyle="1" w:styleId="589">
    <w:name w:val="样式 标题 3B HeadH3ReHead 3 WSAh3标题 3 Char标题 3 Char Char Char...1 Char Char"/>
    <w:link w:val="590"/>
    <w:qFormat/>
    <w:locked/>
    <w:uiPriority w:val="0"/>
    <w:rPr>
      <w:rFonts w:ascii="宋体" w:hAnsi="宋体" w:eastAsia="黑体"/>
      <w:b/>
      <w:bCs/>
      <w:color w:val="000000"/>
      <w:kern w:val="2"/>
      <w:sz w:val="24"/>
      <w:szCs w:val="32"/>
    </w:rPr>
  </w:style>
  <w:style w:type="paragraph" w:customStyle="1" w:styleId="590">
    <w:name w:val="样式 标题 3B HeadH3ReHead 3 WSAh3标题 3 Char标题 3 Char Char Char...1"/>
    <w:basedOn w:val="6"/>
    <w:link w:val="589"/>
    <w:qFormat/>
    <w:uiPriority w:val="0"/>
    <w:pPr>
      <w:keepNext w:val="0"/>
      <w:keepLines w:val="0"/>
      <w:widowControl w:val="0"/>
      <w:numPr>
        <w:ilvl w:val="0"/>
        <w:numId w:val="0"/>
      </w:numPr>
      <w:tabs>
        <w:tab w:val="clear" w:pos="3229"/>
      </w:tabs>
      <w:spacing w:before="0" w:after="0"/>
      <w:jc w:val="both"/>
    </w:pPr>
    <w:rPr>
      <w:rFonts w:ascii="宋体" w:hAnsi="宋体" w:eastAsia="黑体"/>
      <w:bCs/>
      <w:color w:val="000000"/>
      <w:kern w:val="2"/>
      <w:sz w:val="24"/>
      <w:szCs w:val="32"/>
    </w:rPr>
  </w:style>
  <w:style w:type="character" w:customStyle="1" w:styleId="591">
    <w:name w:val="Char Char51"/>
    <w:qFormat/>
    <w:uiPriority w:val="0"/>
    <w:rPr>
      <w:rFonts w:hint="eastAsia" w:ascii="宋体" w:hAnsi="宋体" w:eastAsia="宋体"/>
      <w:kern w:val="2"/>
      <w:sz w:val="18"/>
      <w:szCs w:val="18"/>
      <w:lang w:val="en-US" w:eastAsia="zh-CN" w:bidi="ar-SA"/>
    </w:rPr>
  </w:style>
  <w:style w:type="character" w:customStyle="1" w:styleId="592">
    <w:name w:val="标题 #7 + 间距 0 pt"/>
    <w:qFormat/>
    <w:uiPriority w:val="99"/>
    <w:rPr>
      <w:rFonts w:ascii="MingLiU" w:eastAsia="MingLiU" w:cs="MingLiU"/>
      <w:b/>
      <w:bCs/>
      <w:spacing w:val="0"/>
      <w:sz w:val="22"/>
      <w:szCs w:val="22"/>
      <w:u w:val="none"/>
    </w:rPr>
  </w:style>
  <w:style w:type="character" w:customStyle="1" w:styleId="593">
    <w:name w:val="正文文本 (2) + 10 pt33"/>
    <w:qFormat/>
    <w:uiPriority w:val="99"/>
    <w:rPr>
      <w:rFonts w:ascii="MingLiU" w:eastAsia="MingLiU" w:cs="MingLiU"/>
      <w:b/>
      <w:bCs/>
      <w:spacing w:val="160"/>
      <w:sz w:val="20"/>
      <w:szCs w:val="20"/>
      <w:u w:val="none"/>
    </w:rPr>
  </w:style>
  <w:style w:type="character" w:customStyle="1" w:styleId="594">
    <w:name w:val="正文文本 (2) + CordiaUPC3"/>
    <w:qFormat/>
    <w:uiPriority w:val="99"/>
    <w:rPr>
      <w:rFonts w:ascii="CordiaUPC" w:hAnsi="CordiaUPC" w:eastAsia="MingLiU" w:cs="CordiaUPC"/>
      <w:spacing w:val="0"/>
      <w:sz w:val="40"/>
      <w:szCs w:val="40"/>
      <w:u w:val="none"/>
      <w:lang w:val="en-US" w:eastAsia="en-US"/>
    </w:rPr>
  </w:style>
  <w:style w:type="character" w:customStyle="1" w:styleId="595">
    <w:name w:val="表格标题 (7) + 间距 -1 pt"/>
    <w:qFormat/>
    <w:uiPriority w:val="99"/>
    <w:rPr>
      <w:rFonts w:ascii="MingLiU" w:eastAsia="MingLiU" w:cs="MingLiU"/>
      <w:spacing w:val="-20"/>
      <w:sz w:val="20"/>
      <w:szCs w:val="20"/>
      <w:u w:val="none"/>
    </w:rPr>
  </w:style>
  <w:style w:type="character" w:customStyle="1" w:styleId="596">
    <w:name w:val="正文文本 (2) + 间距 10 pt"/>
    <w:qFormat/>
    <w:uiPriority w:val="99"/>
    <w:rPr>
      <w:rFonts w:ascii="MingLiU" w:eastAsia="MingLiU" w:cs="MingLiU"/>
      <w:spacing w:val="210"/>
      <w:sz w:val="22"/>
      <w:szCs w:val="22"/>
      <w:u w:val="none"/>
    </w:rPr>
  </w:style>
  <w:style w:type="character" w:customStyle="1" w:styleId="597">
    <w:name w:val="正文文本 (2) + 10 pt110"/>
    <w:qFormat/>
    <w:uiPriority w:val="99"/>
    <w:rPr>
      <w:rFonts w:ascii="MingLiU" w:eastAsia="MingLiU" w:cs="MingLiU"/>
      <w:b/>
      <w:bCs/>
      <w:spacing w:val="10"/>
      <w:sz w:val="20"/>
      <w:szCs w:val="20"/>
      <w:u w:val="none"/>
    </w:rPr>
  </w:style>
  <w:style w:type="character" w:customStyle="1" w:styleId="598">
    <w:name w:val="正文文本 (23)_"/>
    <w:link w:val="599"/>
    <w:qFormat/>
    <w:locked/>
    <w:uiPriority w:val="99"/>
    <w:rPr>
      <w:rFonts w:ascii="MingLiU" w:eastAsia="MingLiU" w:cs="MingLiU"/>
      <w:spacing w:val="-20"/>
      <w:sz w:val="54"/>
      <w:szCs w:val="54"/>
      <w:u w:val="none"/>
    </w:rPr>
  </w:style>
  <w:style w:type="paragraph" w:customStyle="1" w:styleId="599">
    <w:name w:val="正文文本 (23)"/>
    <w:basedOn w:val="1"/>
    <w:link w:val="598"/>
    <w:qFormat/>
    <w:uiPriority w:val="99"/>
    <w:pPr>
      <w:shd w:val="clear" w:color="auto" w:fill="FFFFFF"/>
      <w:spacing w:line="240" w:lineRule="atLeast"/>
    </w:pPr>
    <w:rPr>
      <w:rFonts w:ascii="MingLiU" w:eastAsia="MingLiU" w:cs="Times New Roman"/>
      <w:color w:val="auto"/>
      <w:spacing w:val="-20"/>
      <w:sz w:val="54"/>
      <w:szCs w:val="54"/>
    </w:rPr>
  </w:style>
  <w:style w:type="character" w:customStyle="1" w:styleId="600">
    <w:name w:val="标题 #3 + 间距 1 pt"/>
    <w:qFormat/>
    <w:uiPriority w:val="99"/>
    <w:rPr>
      <w:rFonts w:ascii="MingLiU" w:eastAsia="MingLiU" w:cs="MingLiU"/>
      <w:spacing w:val="30"/>
      <w:sz w:val="42"/>
      <w:szCs w:val="42"/>
      <w:u w:val="none"/>
    </w:rPr>
  </w:style>
  <w:style w:type="character" w:customStyle="1" w:styleId="601">
    <w:name w:val="样式 表格文字2 + Char Char"/>
    <w:link w:val="602"/>
    <w:qFormat/>
    <w:locked/>
    <w:uiPriority w:val="0"/>
    <w:rPr>
      <w:rFonts w:ascii="Calibri" w:hAnsi="Calibri"/>
      <w:kern w:val="2"/>
      <w:sz w:val="21"/>
      <w:szCs w:val="24"/>
    </w:rPr>
  </w:style>
  <w:style w:type="paragraph" w:customStyle="1" w:styleId="602">
    <w:name w:val="样式 表格文字2 +"/>
    <w:basedOn w:val="1"/>
    <w:link w:val="601"/>
    <w:qFormat/>
    <w:uiPriority w:val="0"/>
    <w:pPr>
      <w:jc w:val="both"/>
    </w:pPr>
    <w:rPr>
      <w:rFonts w:ascii="Calibri" w:hAnsi="Calibri" w:cs="Times New Roman"/>
      <w:color w:val="auto"/>
      <w:kern w:val="2"/>
      <w:sz w:val="21"/>
    </w:rPr>
  </w:style>
  <w:style w:type="character" w:customStyle="1" w:styleId="603">
    <w:name w:val="目录 + 间距 -2 pt"/>
    <w:qFormat/>
    <w:uiPriority w:val="99"/>
    <w:rPr>
      <w:rFonts w:ascii="MingLiU" w:eastAsia="MingLiU" w:cs="MingLiU"/>
      <w:spacing w:val="-40"/>
      <w:sz w:val="20"/>
      <w:szCs w:val="20"/>
      <w:u w:val="none"/>
    </w:rPr>
  </w:style>
  <w:style w:type="character" w:customStyle="1" w:styleId="604">
    <w:name w:val="内容2 Char"/>
    <w:link w:val="605"/>
    <w:qFormat/>
    <w:locked/>
    <w:uiPriority w:val="0"/>
    <w:rPr>
      <w:rFonts w:ascii="宋体" w:eastAsia="宋体"/>
      <w:sz w:val="24"/>
    </w:rPr>
  </w:style>
  <w:style w:type="paragraph" w:customStyle="1" w:styleId="605">
    <w:name w:val="内容2"/>
    <w:basedOn w:val="1"/>
    <w:link w:val="604"/>
    <w:qFormat/>
    <w:uiPriority w:val="0"/>
    <w:pPr>
      <w:spacing w:line="400" w:lineRule="exact"/>
      <w:ind w:firstLine="480" w:firstLineChars="200"/>
      <w:outlineLvl w:val="2"/>
    </w:pPr>
    <w:rPr>
      <w:rFonts w:ascii="宋体" w:cs="Times New Roman"/>
      <w:color w:val="auto"/>
      <w:szCs w:val="20"/>
    </w:rPr>
  </w:style>
  <w:style w:type="character" w:customStyle="1" w:styleId="606">
    <w:name w:val="正文文本 (2) + 10 pt241"/>
    <w:qFormat/>
    <w:uiPriority w:val="99"/>
    <w:rPr>
      <w:rFonts w:ascii="MingLiU" w:eastAsia="MingLiU" w:cs="MingLiU"/>
      <w:b/>
      <w:bCs/>
      <w:spacing w:val="0"/>
      <w:sz w:val="20"/>
      <w:szCs w:val="20"/>
      <w:u w:val="none"/>
    </w:rPr>
  </w:style>
  <w:style w:type="character" w:customStyle="1" w:styleId="607">
    <w:name w:val="正文文本 (19) + 间距 1 pt"/>
    <w:qFormat/>
    <w:uiPriority w:val="99"/>
    <w:rPr>
      <w:rFonts w:ascii="MingLiU" w:eastAsia="MingLiU" w:cs="MingLiU"/>
      <w:b/>
      <w:bCs/>
      <w:spacing w:val="30"/>
      <w:sz w:val="22"/>
      <w:szCs w:val="22"/>
      <w:u w:val="none"/>
    </w:rPr>
  </w:style>
  <w:style w:type="character" w:customStyle="1" w:styleId="608">
    <w:name w:val="正文文本 (2) + 间距 7 pt"/>
    <w:qFormat/>
    <w:uiPriority w:val="99"/>
    <w:rPr>
      <w:rFonts w:ascii="MingLiU" w:eastAsia="MingLiU" w:cs="MingLiU"/>
      <w:spacing w:val="150"/>
      <w:sz w:val="22"/>
      <w:szCs w:val="22"/>
      <w:u w:val="none"/>
    </w:rPr>
  </w:style>
  <w:style w:type="character" w:customStyle="1" w:styleId="609">
    <w:name w:val="标题 #6_"/>
    <w:link w:val="610"/>
    <w:qFormat/>
    <w:locked/>
    <w:uiPriority w:val="99"/>
    <w:rPr>
      <w:rFonts w:ascii="MingLiU" w:eastAsia="MingLiU" w:cs="MingLiU"/>
      <w:spacing w:val="30"/>
      <w:sz w:val="26"/>
      <w:szCs w:val="26"/>
      <w:u w:val="none"/>
    </w:rPr>
  </w:style>
  <w:style w:type="paragraph" w:customStyle="1" w:styleId="610">
    <w:name w:val="标题 #6"/>
    <w:basedOn w:val="1"/>
    <w:link w:val="609"/>
    <w:qFormat/>
    <w:uiPriority w:val="99"/>
    <w:pPr>
      <w:shd w:val="clear" w:color="auto" w:fill="FFFFFF"/>
      <w:spacing w:before="540" w:after="540" w:line="240" w:lineRule="atLeast"/>
      <w:jc w:val="center"/>
      <w:outlineLvl w:val="5"/>
    </w:pPr>
    <w:rPr>
      <w:rFonts w:ascii="MingLiU" w:eastAsia="MingLiU" w:cs="Times New Roman"/>
      <w:color w:val="auto"/>
      <w:spacing w:val="30"/>
      <w:sz w:val="26"/>
      <w:szCs w:val="26"/>
    </w:rPr>
  </w:style>
  <w:style w:type="character" w:customStyle="1" w:styleId="611">
    <w:name w:val="正文文本 (2) + 5.5 pt1"/>
    <w:qFormat/>
    <w:uiPriority w:val="99"/>
    <w:rPr>
      <w:rFonts w:ascii="MingLiU" w:eastAsia="MingLiU" w:cs="MingLiU"/>
      <w:i/>
      <w:iCs/>
      <w:spacing w:val="-20"/>
      <w:sz w:val="11"/>
      <w:szCs w:val="11"/>
      <w:u w:val="none"/>
    </w:rPr>
  </w:style>
  <w:style w:type="character" w:customStyle="1" w:styleId="612">
    <w:name w:val="正文文本 (24)_"/>
    <w:link w:val="613"/>
    <w:qFormat/>
    <w:locked/>
    <w:uiPriority w:val="99"/>
    <w:rPr>
      <w:rFonts w:ascii="MingLiU" w:eastAsia="MingLiU" w:cs="MingLiU"/>
      <w:spacing w:val="30"/>
      <w:sz w:val="42"/>
      <w:szCs w:val="42"/>
      <w:u w:val="none"/>
    </w:rPr>
  </w:style>
  <w:style w:type="paragraph" w:customStyle="1" w:styleId="613">
    <w:name w:val="正文文本 (24)"/>
    <w:basedOn w:val="1"/>
    <w:link w:val="612"/>
    <w:qFormat/>
    <w:uiPriority w:val="99"/>
    <w:pPr>
      <w:shd w:val="clear" w:color="auto" w:fill="FFFFFF"/>
      <w:spacing w:after="600" w:line="240" w:lineRule="atLeast"/>
      <w:jc w:val="center"/>
    </w:pPr>
    <w:rPr>
      <w:rFonts w:ascii="MingLiU" w:eastAsia="MingLiU" w:cs="Times New Roman"/>
      <w:color w:val="auto"/>
      <w:spacing w:val="30"/>
      <w:sz w:val="42"/>
      <w:szCs w:val="42"/>
    </w:rPr>
  </w:style>
  <w:style w:type="character" w:customStyle="1" w:styleId="614">
    <w:name w:val="正文文本 (2) + CordiaUPC1"/>
    <w:qFormat/>
    <w:uiPriority w:val="99"/>
    <w:rPr>
      <w:rFonts w:ascii="CordiaUPC" w:hAnsi="CordiaUPC" w:eastAsia="MingLiU" w:cs="CordiaUPC"/>
      <w:spacing w:val="0"/>
      <w:sz w:val="32"/>
      <w:szCs w:val="32"/>
      <w:u w:val="none"/>
      <w:lang w:val="en-US" w:eastAsia="en-US"/>
    </w:rPr>
  </w:style>
  <w:style w:type="character" w:customStyle="1" w:styleId="615">
    <w:name w:val="正文文本 (2) + Calibri"/>
    <w:qFormat/>
    <w:uiPriority w:val="99"/>
    <w:rPr>
      <w:rFonts w:ascii="Calibri" w:hAnsi="Calibri" w:eastAsia="MingLiU" w:cs="Calibri"/>
      <w:spacing w:val="0"/>
      <w:sz w:val="8"/>
      <w:szCs w:val="8"/>
      <w:u w:val="none"/>
      <w:lang w:val="en-US" w:eastAsia="en-US"/>
    </w:rPr>
  </w:style>
  <w:style w:type="character" w:customStyle="1" w:styleId="616">
    <w:name w:val="正文文本 (2) + 10 pt381"/>
    <w:qFormat/>
    <w:uiPriority w:val="99"/>
    <w:rPr>
      <w:rFonts w:ascii="MingLiU" w:eastAsia="MingLiU" w:cs="MingLiU"/>
      <w:b/>
      <w:bCs/>
      <w:spacing w:val="-20"/>
      <w:sz w:val="20"/>
      <w:szCs w:val="20"/>
      <w:u w:val="none"/>
      <w:lang w:val="en-US" w:eastAsia="en-US"/>
    </w:rPr>
  </w:style>
  <w:style w:type="character" w:customStyle="1" w:styleId="617">
    <w:name w:val="正文文本 (33)_"/>
    <w:link w:val="618"/>
    <w:qFormat/>
    <w:locked/>
    <w:uiPriority w:val="99"/>
    <w:rPr>
      <w:rFonts w:ascii="AngsanaUPC" w:hAnsi="AngsanaUPC" w:cs="AngsanaUPC"/>
      <w:sz w:val="36"/>
      <w:szCs w:val="36"/>
      <w:u w:val="none"/>
      <w:lang w:val="en-US" w:eastAsia="en-US"/>
    </w:rPr>
  </w:style>
  <w:style w:type="paragraph" w:customStyle="1" w:styleId="618">
    <w:name w:val="正文文本 (33)"/>
    <w:basedOn w:val="1"/>
    <w:link w:val="617"/>
    <w:qFormat/>
    <w:uiPriority w:val="99"/>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619">
    <w:name w:val="正文文本 (13)_"/>
    <w:link w:val="620"/>
    <w:qFormat/>
    <w:locked/>
    <w:uiPriority w:val="99"/>
    <w:rPr>
      <w:rFonts w:ascii="MingLiU" w:eastAsia="MingLiU" w:cs="MingLiU"/>
      <w:spacing w:val="40"/>
      <w:sz w:val="56"/>
      <w:szCs w:val="56"/>
      <w:u w:val="none"/>
    </w:rPr>
  </w:style>
  <w:style w:type="paragraph" w:customStyle="1" w:styleId="620">
    <w:name w:val="正文文本 (13)"/>
    <w:basedOn w:val="1"/>
    <w:link w:val="619"/>
    <w:qFormat/>
    <w:uiPriority w:val="99"/>
    <w:pPr>
      <w:shd w:val="clear" w:color="auto" w:fill="FFFFFF"/>
      <w:spacing w:line="240" w:lineRule="atLeast"/>
    </w:pPr>
    <w:rPr>
      <w:rFonts w:ascii="MingLiU" w:eastAsia="MingLiU" w:cs="Times New Roman"/>
      <w:color w:val="auto"/>
      <w:spacing w:val="40"/>
      <w:sz w:val="56"/>
      <w:szCs w:val="56"/>
    </w:rPr>
  </w:style>
  <w:style w:type="character" w:customStyle="1" w:styleId="621">
    <w:name w:val="正文文本 (9) + 间距 6 pt1"/>
    <w:qFormat/>
    <w:uiPriority w:val="99"/>
    <w:rPr>
      <w:rFonts w:ascii="MingLiU" w:eastAsia="MingLiU" w:cs="MingLiU"/>
      <w:spacing w:val="120"/>
      <w:sz w:val="24"/>
      <w:szCs w:val="24"/>
      <w:u w:val="none"/>
    </w:rPr>
  </w:style>
  <w:style w:type="character" w:customStyle="1" w:styleId="622">
    <w:name w:val="正文文本 (2) + 间距 6 pt1"/>
    <w:qFormat/>
    <w:uiPriority w:val="99"/>
    <w:rPr>
      <w:rFonts w:ascii="MingLiU" w:eastAsia="MingLiU" w:cs="MingLiU"/>
      <w:spacing w:val="130"/>
      <w:sz w:val="22"/>
      <w:szCs w:val="22"/>
      <w:u w:val="none"/>
    </w:rPr>
  </w:style>
  <w:style w:type="character" w:customStyle="1" w:styleId="623">
    <w:name w:val="标题2 Char Char Char"/>
    <w:qFormat/>
    <w:uiPriority w:val="0"/>
    <w:rPr>
      <w:rFonts w:hint="eastAsia" w:ascii="宋体" w:hAnsi="宋体" w:eastAsia="宋体"/>
      <w:b/>
      <w:bCs/>
      <w:kern w:val="44"/>
      <w:sz w:val="30"/>
      <w:szCs w:val="24"/>
      <w:lang w:val="en-US" w:eastAsia="zh-CN" w:bidi="ar-SA"/>
    </w:rPr>
  </w:style>
  <w:style w:type="character" w:customStyle="1" w:styleId="624">
    <w:name w:val="正文文本 (2) + 9.5 pt1"/>
    <w:qFormat/>
    <w:uiPriority w:val="99"/>
    <w:rPr>
      <w:rFonts w:ascii="MingLiU" w:eastAsia="MingLiU" w:cs="MingLiU"/>
      <w:i/>
      <w:iCs/>
      <w:spacing w:val="-40"/>
      <w:sz w:val="19"/>
      <w:szCs w:val="19"/>
      <w:u w:val="none"/>
      <w:lang w:val="en-US" w:eastAsia="en-US"/>
    </w:rPr>
  </w:style>
  <w:style w:type="character" w:customStyle="1" w:styleId="625">
    <w:name w:val="标题 #1_"/>
    <w:link w:val="626"/>
    <w:qFormat/>
    <w:locked/>
    <w:uiPriority w:val="99"/>
    <w:rPr>
      <w:rFonts w:ascii="MingLiU" w:eastAsia="MingLiU" w:cs="MingLiU"/>
      <w:spacing w:val="80"/>
      <w:sz w:val="90"/>
      <w:szCs w:val="90"/>
      <w:u w:val="none"/>
    </w:rPr>
  </w:style>
  <w:style w:type="paragraph" w:customStyle="1" w:styleId="626">
    <w:name w:val="标题 #1"/>
    <w:basedOn w:val="1"/>
    <w:link w:val="625"/>
    <w:qFormat/>
    <w:uiPriority w:val="99"/>
    <w:pPr>
      <w:shd w:val="clear" w:color="auto" w:fill="FFFFFF"/>
      <w:spacing w:before="1140" w:line="1111" w:lineRule="exact"/>
      <w:jc w:val="center"/>
      <w:outlineLvl w:val="0"/>
    </w:pPr>
    <w:rPr>
      <w:rFonts w:ascii="MingLiU" w:eastAsia="MingLiU" w:cs="Times New Roman"/>
      <w:color w:val="auto"/>
      <w:spacing w:val="80"/>
      <w:sz w:val="90"/>
      <w:szCs w:val="90"/>
    </w:rPr>
  </w:style>
  <w:style w:type="character" w:customStyle="1" w:styleId="627">
    <w:name w:val="正文文本 (2) + Sylfaen"/>
    <w:qFormat/>
    <w:uiPriority w:val="99"/>
    <w:rPr>
      <w:rFonts w:ascii="Sylfaen" w:hAnsi="Sylfaen" w:eastAsia="MingLiU" w:cs="Sylfaen"/>
      <w:spacing w:val="0"/>
      <w:sz w:val="23"/>
      <w:szCs w:val="23"/>
      <w:u w:val="none"/>
      <w:lang w:val="en-US" w:eastAsia="en-US"/>
    </w:rPr>
  </w:style>
  <w:style w:type="character" w:customStyle="1" w:styleId="628">
    <w:name w:val="标题 #6 (3) + 间距 1 pt"/>
    <w:qFormat/>
    <w:uiPriority w:val="99"/>
    <w:rPr>
      <w:rFonts w:ascii="MingLiU" w:eastAsia="MingLiU" w:cs="MingLiU"/>
      <w:spacing w:val="20"/>
      <w:sz w:val="26"/>
      <w:szCs w:val="26"/>
      <w:u w:val="none"/>
    </w:rPr>
  </w:style>
  <w:style w:type="character" w:customStyle="1" w:styleId="629">
    <w:name w:val="标题 #3_"/>
    <w:link w:val="630"/>
    <w:qFormat/>
    <w:locked/>
    <w:uiPriority w:val="99"/>
    <w:rPr>
      <w:rFonts w:ascii="MingLiU" w:eastAsia="MingLiU" w:cs="MingLiU"/>
      <w:spacing w:val="370"/>
      <w:sz w:val="42"/>
      <w:szCs w:val="42"/>
      <w:u w:val="none"/>
    </w:rPr>
  </w:style>
  <w:style w:type="paragraph" w:customStyle="1" w:styleId="630">
    <w:name w:val="标题 #3"/>
    <w:basedOn w:val="1"/>
    <w:link w:val="629"/>
    <w:qFormat/>
    <w:uiPriority w:val="99"/>
    <w:pPr>
      <w:shd w:val="clear" w:color="auto" w:fill="FFFFFF"/>
      <w:spacing w:after="660" w:line="240" w:lineRule="atLeast"/>
      <w:jc w:val="center"/>
      <w:outlineLvl w:val="2"/>
    </w:pPr>
    <w:rPr>
      <w:rFonts w:ascii="MingLiU" w:eastAsia="MingLiU" w:cs="Times New Roman"/>
      <w:color w:val="auto"/>
      <w:spacing w:val="370"/>
      <w:sz w:val="42"/>
      <w:szCs w:val="42"/>
    </w:rPr>
  </w:style>
  <w:style w:type="character" w:customStyle="1" w:styleId="631">
    <w:name w:val="目录 (5) + 非粗体"/>
    <w:qFormat/>
    <w:uiPriority w:val="99"/>
    <w:rPr>
      <w:rFonts w:ascii="MingLiU" w:eastAsia="MingLiU" w:cs="MingLiU"/>
      <w:b/>
      <w:bCs/>
      <w:spacing w:val="0"/>
      <w:sz w:val="20"/>
      <w:szCs w:val="20"/>
      <w:u w:val="none"/>
    </w:rPr>
  </w:style>
  <w:style w:type="character" w:customStyle="1" w:styleId="632">
    <w:name w:val="正文文本 (9) + 间距 6 pt"/>
    <w:qFormat/>
    <w:uiPriority w:val="99"/>
    <w:rPr>
      <w:rFonts w:ascii="MingLiU" w:eastAsia="MingLiU" w:cs="MingLiU"/>
      <w:spacing w:val="120"/>
      <w:sz w:val="24"/>
      <w:szCs w:val="24"/>
      <w:u w:val="none"/>
    </w:rPr>
  </w:style>
  <w:style w:type="character" w:customStyle="1" w:styleId="633">
    <w:name w:val="正文文本 (2) + 10 pt31"/>
    <w:qFormat/>
    <w:uiPriority w:val="99"/>
    <w:rPr>
      <w:rFonts w:ascii="MingLiU" w:eastAsia="MingLiU" w:cs="MingLiU"/>
      <w:spacing w:val="-20"/>
      <w:w w:val="100"/>
      <w:sz w:val="20"/>
      <w:szCs w:val="20"/>
      <w:u w:val="none"/>
      <w:lang w:val="en-US" w:eastAsia="en-US"/>
    </w:rPr>
  </w:style>
  <w:style w:type="character" w:customStyle="1" w:styleId="634">
    <w:name w:val="正文文本 (2) + Sylfaen11"/>
    <w:qFormat/>
    <w:uiPriority w:val="99"/>
    <w:rPr>
      <w:rFonts w:ascii="Sylfaen" w:hAnsi="Sylfaen" w:eastAsia="MingLiU" w:cs="Sylfaen"/>
      <w:smallCaps/>
      <w:spacing w:val="10"/>
      <w:sz w:val="19"/>
      <w:szCs w:val="19"/>
      <w:u w:val="none"/>
      <w:lang w:val="en-US" w:eastAsia="en-US"/>
    </w:rPr>
  </w:style>
  <w:style w:type="character" w:customStyle="1" w:styleId="635">
    <w:name w:val="目录 (2)"/>
    <w:qFormat/>
    <w:uiPriority w:val="99"/>
  </w:style>
  <w:style w:type="character" w:customStyle="1" w:styleId="636">
    <w:name w:val="标题 #6 (4) + 间距 7 pt"/>
    <w:qFormat/>
    <w:uiPriority w:val="99"/>
    <w:rPr>
      <w:rFonts w:ascii="MingLiU" w:eastAsia="MingLiU" w:cs="MingLiU"/>
      <w:spacing w:val="140"/>
      <w:sz w:val="26"/>
      <w:szCs w:val="26"/>
      <w:u w:val="none"/>
    </w:rPr>
  </w:style>
  <w:style w:type="character" w:customStyle="1" w:styleId="637">
    <w:name w:val="表格标题 (8)_"/>
    <w:link w:val="638"/>
    <w:qFormat/>
    <w:locked/>
    <w:uiPriority w:val="99"/>
    <w:rPr>
      <w:rFonts w:ascii="Sylfaen" w:hAnsi="Sylfaen" w:cs="Sylfaen"/>
      <w:b/>
      <w:bCs/>
      <w:sz w:val="20"/>
      <w:szCs w:val="20"/>
      <w:u w:val="none"/>
    </w:rPr>
  </w:style>
  <w:style w:type="paragraph" w:customStyle="1" w:styleId="638">
    <w:name w:val="表格标题 (8)"/>
    <w:basedOn w:val="1"/>
    <w:link w:val="637"/>
    <w:qFormat/>
    <w:uiPriority w:val="99"/>
    <w:pPr>
      <w:shd w:val="clear" w:color="auto" w:fill="FFFFFF"/>
      <w:spacing w:line="240" w:lineRule="atLeast"/>
    </w:pPr>
    <w:rPr>
      <w:rFonts w:ascii="Sylfaen" w:hAnsi="Sylfaen" w:cs="Times New Roman"/>
      <w:b/>
      <w:bCs/>
      <w:color w:val="auto"/>
      <w:sz w:val="20"/>
      <w:szCs w:val="20"/>
    </w:rPr>
  </w:style>
  <w:style w:type="character" w:customStyle="1" w:styleId="639">
    <w:name w:val="目录 (4)_"/>
    <w:link w:val="640"/>
    <w:qFormat/>
    <w:locked/>
    <w:uiPriority w:val="99"/>
    <w:rPr>
      <w:rFonts w:ascii="MingLiU" w:eastAsia="MingLiU" w:cs="MingLiU"/>
      <w:spacing w:val="30"/>
      <w:sz w:val="26"/>
      <w:szCs w:val="26"/>
      <w:u w:val="none"/>
    </w:rPr>
  </w:style>
  <w:style w:type="paragraph" w:customStyle="1" w:styleId="640">
    <w:name w:val="目录 (4)"/>
    <w:basedOn w:val="1"/>
    <w:link w:val="639"/>
    <w:qFormat/>
    <w:uiPriority w:val="99"/>
    <w:pPr>
      <w:shd w:val="clear" w:color="auto" w:fill="FFFFFF"/>
      <w:spacing w:line="677" w:lineRule="exact"/>
    </w:pPr>
    <w:rPr>
      <w:rFonts w:ascii="MingLiU" w:eastAsia="MingLiU" w:cs="Times New Roman"/>
      <w:color w:val="auto"/>
      <w:spacing w:val="30"/>
      <w:sz w:val="26"/>
      <w:szCs w:val="26"/>
    </w:rPr>
  </w:style>
  <w:style w:type="character" w:customStyle="1" w:styleId="641">
    <w:name w:val="正文文本 (2) + AngsanaUPC2"/>
    <w:qFormat/>
    <w:uiPriority w:val="99"/>
    <w:rPr>
      <w:rFonts w:ascii="AngsanaUPC" w:hAnsi="AngsanaUPC" w:eastAsia="MingLiU" w:cs="AngsanaUPC"/>
      <w:spacing w:val="0"/>
      <w:sz w:val="36"/>
      <w:szCs w:val="36"/>
      <w:u w:val="none"/>
      <w:lang w:val="en-US" w:eastAsia="en-US"/>
    </w:rPr>
  </w:style>
  <w:style w:type="character" w:customStyle="1" w:styleId="642">
    <w:name w:val="正文文本 3 Char1"/>
    <w:semiHidden/>
    <w:qFormat/>
    <w:uiPriority w:val="99"/>
    <w:rPr>
      <w:rFonts w:hint="default" w:ascii="Calibri" w:hAnsi="Calibri"/>
      <w:kern w:val="2"/>
      <w:sz w:val="16"/>
      <w:szCs w:val="16"/>
    </w:rPr>
  </w:style>
  <w:style w:type="character" w:customStyle="1" w:styleId="643">
    <w:name w:val="页眉或页脚_"/>
    <w:link w:val="644"/>
    <w:qFormat/>
    <w:locked/>
    <w:uiPriority w:val="99"/>
    <w:rPr>
      <w:rFonts w:ascii="MingLiU" w:eastAsia="MingLiU" w:cs="MingLiU"/>
      <w:spacing w:val="10"/>
      <w:sz w:val="20"/>
      <w:szCs w:val="20"/>
      <w:u w:val="none"/>
    </w:rPr>
  </w:style>
  <w:style w:type="paragraph" w:customStyle="1" w:styleId="644">
    <w:name w:val="页眉或页脚"/>
    <w:basedOn w:val="1"/>
    <w:link w:val="643"/>
    <w:qFormat/>
    <w:uiPriority w:val="99"/>
    <w:pPr>
      <w:shd w:val="clear" w:color="auto" w:fill="FFFFFF"/>
      <w:spacing w:line="240" w:lineRule="atLeast"/>
    </w:pPr>
    <w:rPr>
      <w:rFonts w:ascii="MingLiU" w:eastAsia="MingLiU" w:cs="Times New Roman"/>
      <w:color w:val="auto"/>
      <w:spacing w:val="10"/>
      <w:sz w:val="20"/>
      <w:szCs w:val="20"/>
    </w:rPr>
  </w:style>
  <w:style w:type="character" w:customStyle="1" w:styleId="645">
    <w:name w:val="z-窗体底端 Char"/>
    <w:link w:val="646"/>
    <w:qFormat/>
    <w:locked/>
    <w:uiPriority w:val="0"/>
    <w:rPr>
      <w:rFonts w:ascii="Arial" w:hAnsi="Arial" w:cs="Arial"/>
      <w:vanish/>
      <w:kern w:val="2"/>
      <w:sz w:val="16"/>
      <w:szCs w:val="16"/>
    </w:rPr>
  </w:style>
  <w:style w:type="paragraph" w:customStyle="1" w:styleId="646">
    <w:name w:val="z-窗体底端1"/>
    <w:basedOn w:val="1"/>
    <w:next w:val="1"/>
    <w:link w:val="645"/>
    <w:qFormat/>
    <w:uiPriority w:val="0"/>
    <w:pPr>
      <w:pBdr>
        <w:top w:val="single" w:color="auto" w:sz="6" w:space="1"/>
      </w:pBdr>
      <w:jc w:val="center"/>
    </w:pPr>
    <w:rPr>
      <w:rFonts w:ascii="Arial" w:hAnsi="Arial" w:cs="Times New Roman"/>
      <w:vanish/>
      <w:color w:val="auto"/>
      <w:kern w:val="2"/>
      <w:sz w:val="16"/>
      <w:szCs w:val="16"/>
    </w:rPr>
  </w:style>
  <w:style w:type="character" w:customStyle="1" w:styleId="647">
    <w:name w:val="正文文本 (36)_"/>
    <w:link w:val="648"/>
    <w:qFormat/>
    <w:locked/>
    <w:uiPriority w:val="99"/>
    <w:rPr>
      <w:rFonts w:ascii="AngsanaUPC" w:hAnsi="AngsanaUPC" w:cs="AngsanaUPC"/>
      <w:sz w:val="36"/>
      <w:szCs w:val="36"/>
      <w:u w:val="none"/>
      <w:lang w:val="en-US" w:eastAsia="en-US"/>
    </w:rPr>
  </w:style>
  <w:style w:type="paragraph" w:customStyle="1" w:styleId="648">
    <w:name w:val="正文文本 (36)"/>
    <w:basedOn w:val="1"/>
    <w:link w:val="647"/>
    <w:qFormat/>
    <w:uiPriority w:val="99"/>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649">
    <w:name w:val="正文文本 (7) + 间距 0 pt"/>
    <w:qFormat/>
    <w:uiPriority w:val="99"/>
    <w:rPr>
      <w:rFonts w:ascii="MingLiU" w:eastAsia="MingLiU" w:cs="MingLiU"/>
      <w:spacing w:val="0"/>
      <w:sz w:val="22"/>
      <w:szCs w:val="22"/>
      <w:u w:val="none"/>
    </w:rPr>
  </w:style>
  <w:style w:type="character" w:customStyle="1" w:styleId="650">
    <w:name w:val="正文文本 (19)_"/>
    <w:link w:val="651"/>
    <w:qFormat/>
    <w:locked/>
    <w:uiPriority w:val="99"/>
    <w:rPr>
      <w:rFonts w:ascii="MingLiU" w:eastAsia="MingLiU" w:cs="MingLiU"/>
      <w:b/>
      <w:bCs/>
      <w:spacing w:val="10"/>
      <w:sz w:val="22"/>
      <w:szCs w:val="22"/>
      <w:u w:val="none"/>
    </w:rPr>
  </w:style>
  <w:style w:type="paragraph" w:customStyle="1" w:styleId="651">
    <w:name w:val="正文文本 (19)"/>
    <w:basedOn w:val="1"/>
    <w:link w:val="650"/>
    <w:qFormat/>
    <w:uiPriority w:val="99"/>
    <w:pPr>
      <w:shd w:val="clear" w:color="auto" w:fill="FFFFFF"/>
      <w:spacing w:line="559" w:lineRule="exact"/>
    </w:pPr>
    <w:rPr>
      <w:rFonts w:ascii="MingLiU" w:eastAsia="MingLiU" w:cs="Times New Roman"/>
      <w:b/>
      <w:bCs/>
      <w:color w:val="auto"/>
      <w:spacing w:val="10"/>
      <w:sz w:val="22"/>
      <w:szCs w:val="22"/>
    </w:rPr>
  </w:style>
  <w:style w:type="character" w:customStyle="1" w:styleId="652">
    <w:name w:val="正文文本 (2) + 间距 0 pt2"/>
    <w:qFormat/>
    <w:uiPriority w:val="99"/>
    <w:rPr>
      <w:rFonts w:ascii="MingLiU" w:eastAsia="MingLiU" w:cs="MingLiU"/>
      <w:spacing w:val="-10"/>
      <w:sz w:val="22"/>
      <w:szCs w:val="22"/>
      <w:u w:val="none"/>
      <w:lang w:val="en-US" w:eastAsia="en-US"/>
    </w:rPr>
  </w:style>
  <w:style w:type="character" w:customStyle="1" w:styleId="653">
    <w:name w:val="正文文本 (17) + 间距 0 pt1"/>
    <w:qFormat/>
    <w:uiPriority w:val="99"/>
    <w:rPr>
      <w:rFonts w:ascii="MingLiU" w:eastAsia="MingLiU" w:cs="MingLiU"/>
      <w:spacing w:val="0"/>
      <w:sz w:val="22"/>
      <w:szCs w:val="22"/>
      <w:u w:val="none"/>
    </w:rPr>
  </w:style>
  <w:style w:type="character" w:customStyle="1" w:styleId="654">
    <w:name w:val="日期 Char1"/>
    <w:semiHidden/>
    <w:qFormat/>
    <w:uiPriority w:val="99"/>
    <w:rPr>
      <w:rFonts w:hint="default" w:ascii="Calibri" w:hAnsi="Calibri"/>
      <w:kern w:val="2"/>
      <w:sz w:val="21"/>
      <w:szCs w:val="24"/>
    </w:rPr>
  </w:style>
  <w:style w:type="character" w:customStyle="1" w:styleId="655">
    <w:name w:val="标题 #4 + 间距 13 pt"/>
    <w:qFormat/>
    <w:uiPriority w:val="99"/>
    <w:rPr>
      <w:rFonts w:ascii="MingLiU" w:eastAsia="MingLiU" w:cs="MingLiU"/>
      <w:b/>
      <w:bCs/>
      <w:spacing w:val="260"/>
      <w:sz w:val="28"/>
      <w:szCs w:val="28"/>
      <w:u w:val="none"/>
    </w:rPr>
  </w:style>
  <w:style w:type="character" w:customStyle="1" w:styleId="656">
    <w:name w:val="正文文本 (2) + 10 pt1"/>
    <w:qFormat/>
    <w:uiPriority w:val="99"/>
    <w:rPr>
      <w:rFonts w:ascii="MingLiU" w:eastAsia="MingLiU" w:cs="MingLiU"/>
      <w:spacing w:val="140"/>
      <w:sz w:val="20"/>
      <w:szCs w:val="20"/>
      <w:u w:val="none"/>
    </w:rPr>
  </w:style>
  <w:style w:type="character" w:customStyle="1" w:styleId="657">
    <w:name w:val="正文文本 (2) + 4 pt"/>
    <w:qFormat/>
    <w:uiPriority w:val="99"/>
    <w:rPr>
      <w:rFonts w:ascii="MingLiU" w:eastAsia="MingLiU" w:cs="MingLiU"/>
      <w:spacing w:val="0"/>
      <w:w w:val="300"/>
      <w:sz w:val="8"/>
      <w:szCs w:val="8"/>
      <w:u w:val="none"/>
    </w:rPr>
  </w:style>
  <w:style w:type="character" w:customStyle="1" w:styleId="658">
    <w:name w:val="正文文本 (26) + CordiaUPC"/>
    <w:qFormat/>
    <w:uiPriority w:val="99"/>
    <w:rPr>
      <w:rFonts w:ascii="CordiaUPC" w:hAnsi="CordiaUPC" w:cs="CordiaUPC"/>
      <w:sz w:val="34"/>
      <w:szCs w:val="34"/>
      <w:u w:val="none"/>
      <w:lang w:val="en-US" w:eastAsia="en-US"/>
    </w:rPr>
  </w:style>
  <w:style w:type="character" w:customStyle="1" w:styleId="659">
    <w:name w:val="目录 (2) + 5.5 pt"/>
    <w:qFormat/>
    <w:uiPriority w:val="99"/>
    <w:rPr>
      <w:rFonts w:ascii="MingLiU" w:eastAsia="MingLiU" w:cs="MingLiU"/>
      <w:i/>
      <w:iCs/>
      <w:spacing w:val="0"/>
      <w:sz w:val="11"/>
      <w:szCs w:val="11"/>
      <w:u w:val="none"/>
    </w:rPr>
  </w:style>
  <w:style w:type="character" w:customStyle="1" w:styleId="660">
    <w:name w:val="正文文本 (2) + Sylfaen4"/>
    <w:qFormat/>
    <w:uiPriority w:val="99"/>
    <w:rPr>
      <w:rFonts w:ascii="Sylfaen" w:hAnsi="Sylfaen" w:eastAsia="MingLiU" w:cs="Sylfaen"/>
      <w:i/>
      <w:iCs/>
      <w:spacing w:val="0"/>
      <w:sz w:val="9"/>
      <w:szCs w:val="9"/>
      <w:u w:val="none"/>
      <w:lang w:val="en-US" w:eastAsia="en-US"/>
    </w:rPr>
  </w:style>
  <w:style w:type="character" w:customStyle="1" w:styleId="661">
    <w:name w:val="标题 #6 (3)_"/>
    <w:link w:val="662"/>
    <w:qFormat/>
    <w:locked/>
    <w:uiPriority w:val="99"/>
    <w:rPr>
      <w:rFonts w:ascii="MingLiU" w:eastAsia="MingLiU" w:cs="MingLiU"/>
      <w:sz w:val="26"/>
      <w:szCs w:val="26"/>
      <w:u w:val="none"/>
    </w:rPr>
  </w:style>
  <w:style w:type="paragraph" w:customStyle="1" w:styleId="662">
    <w:name w:val="标题 #6 (3)"/>
    <w:basedOn w:val="1"/>
    <w:link w:val="661"/>
    <w:qFormat/>
    <w:uiPriority w:val="99"/>
    <w:pPr>
      <w:shd w:val="clear" w:color="auto" w:fill="FFFFFF"/>
      <w:spacing w:after="960" w:line="240" w:lineRule="atLeast"/>
      <w:outlineLvl w:val="5"/>
    </w:pPr>
    <w:rPr>
      <w:rFonts w:ascii="MingLiU" w:eastAsia="MingLiU" w:cs="Times New Roman"/>
      <w:color w:val="auto"/>
      <w:sz w:val="26"/>
      <w:szCs w:val="26"/>
    </w:rPr>
  </w:style>
  <w:style w:type="character" w:customStyle="1" w:styleId="663">
    <w:name w:val="正文文本 (2) + 10 pt10"/>
    <w:qFormat/>
    <w:uiPriority w:val="99"/>
    <w:rPr>
      <w:rFonts w:ascii="MingLiU" w:eastAsia="MingLiU" w:cs="MingLiU"/>
      <w:spacing w:val="0"/>
      <w:sz w:val="20"/>
      <w:szCs w:val="20"/>
      <w:u w:val="none"/>
    </w:rPr>
  </w:style>
  <w:style w:type="character" w:customStyle="1" w:styleId="664">
    <w:name w:val="正文首行缩进 Char"/>
    <w:semiHidden/>
    <w:qFormat/>
    <w:uiPriority w:val="0"/>
  </w:style>
  <w:style w:type="character" w:customStyle="1" w:styleId="665">
    <w:name w:val="正文文本 (2) + 间距 -2 pt1"/>
    <w:qFormat/>
    <w:uiPriority w:val="99"/>
    <w:rPr>
      <w:rFonts w:ascii="MingLiU" w:eastAsia="MingLiU" w:cs="MingLiU"/>
      <w:spacing w:val="-40"/>
      <w:sz w:val="22"/>
      <w:szCs w:val="22"/>
      <w:u w:val="none"/>
      <w:lang w:val="en-US" w:eastAsia="en-US"/>
    </w:rPr>
  </w:style>
  <w:style w:type="character" w:customStyle="1" w:styleId="666">
    <w:name w:val="正文文本 (14) + 12 pt"/>
    <w:qFormat/>
    <w:uiPriority w:val="99"/>
    <w:rPr>
      <w:rFonts w:ascii="MingLiU" w:eastAsia="MingLiU" w:cs="MingLiU"/>
      <w:sz w:val="24"/>
      <w:szCs w:val="24"/>
      <w:u w:val="none"/>
      <w:lang w:val="en-US" w:eastAsia="en-US"/>
    </w:rPr>
  </w:style>
  <w:style w:type="character" w:customStyle="1" w:styleId="667">
    <w:name w:val="表格标题 Char Char"/>
    <w:qFormat/>
    <w:locked/>
    <w:uiPriority w:val="0"/>
    <w:rPr>
      <w:rFonts w:ascii="Calibri" w:hAnsi="Calibri" w:cs="Calibri"/>
      <w:sz w:val="24"/>
    </w:rPr>
  </w:style>
  <w:style w:type="character" w:customStyle="1" w:styleId="668">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669">
    <w:name w:val="font1"/>
    <w:qFormat/>
    <w:uiPriority w:val="0"/>
  </w:style>
  <w:style w:type="character" w:customStyle="1" w:styleId="670">
    <w:name w:val="标题 #7 + Lucida Sans Unicode1"/>
    <w:qFormat/>
    <w:uiPriority w:val="99"/>
    <w:rPr>
      <w:rFonts w:ascii="Lucida Sans Unicode" w:hAnsi="Lucida Sans Unicode" w:eastAsia="MingLiU" w:cs="Lucida Sans Unicode"/>
      <w:b/>
      <w:bCs/>
      <w:spacing w:val="20"/>
      <w:sz w:val="22"/>
      <w:szCs w:val="22"/>
      <w:u w:val="none"/>
      <w:lang w:val="en-US" w:eastAsia="en-US"/>
    </w:rPr>
  </w:style>
  <w:style w:type="character" w:customStyle="1" w:styleId="671">
    <w:name w:val="正文文本 (2) + 10 pt9"/>
    <w:qFormat/>
    <w:uiPriority w:val="99"/>
    <w:rPr>
      <w:rFonts w:ascii="MingLiU" w:eastAsia="MingLiU" w:cs="MingLiU"/>
      <w:spacing w:val="60"/>
      <w:sz w:val="20"/>
      <w:szCs w:val="20"/>
      <w:u w:val="none"/>
    </w:rPr>
  </w:style>
  <w:style w:type="character" w:customStyle="1" w:styleId="672">
    <w:name w:val="正文文本 (29) + CordiaUPC"/>
    <w:qFormat/>
    <w:uiPriority w:val="99"/>
    <w:rPr>
      <w:rFonts w:ascii="CordiaUPC" w:hAnsi="CordiaUPC" w:cs="CordiaUPC"/>
      <w:sz w:val="34"/>
      <w:szCs w:val="34"/>
      <w:u w:val="none"/>
      <w:lang w:val="en-US" w:eastAsia="en-US"/>
    </w:rPr>
  </w:style>
  <w:style w:type="character" w:customStyle="1" w:styleId="673">
    <w:name w:val="正文文本 (2) + 6.5 pt"/>
    <w:qFormat/>
    <w:uiPriority w:val="99"/>
    <w:rPr>
      <w:rFonts w:ascii="MingLiU" w:eastAsia="MingLiU" w:cs="MingLiU"/>
      <w:i/>
      <w:iCs/>
      <w:spacing w:val="0"/>
      <w:sz w:val="13"/>
      <w:szCs w:val="13"/>
      <w:u w:val="none"/>
      <w:lang w:val="en-US" w:eastAsia="en-US"/>
    </w:rPr>
  </w:style>
  <w:style w:type="character" w:customStyle="1" w:styleId="674">
    <w:name w:val="hover18"/>
    <w:qFormat/>
    <w:uiPriority w:val="0"/>
    <w:rPr>
      <w:color w:val="025291"/>
    </w:rPr>
  </w:style>
  <w:style w:type="character" w:customStyle="1" w:styleId="675">
    <w:name w:val="目录 (2) + 间距 3 pt"/>
    <w:qFormat/>
    <w:uiPriority w:val="99"/>
    <w:rPr>
      <w:rFonts w:ascii="MingLiU" w:eastAsia="MingLiU" w:cs="MingLiU"/>
      <w:spacing w:val="70"/>
      <w:sz w:val="22"/>
      <w:szCs w:val="22"/>
      <w:u w:val="none"/>
    </w:rPr>
  </w:style>
  <w:style w:type="character" w:customStyle="1" w:styleId="676">
    <w:name w:val="正文文本 Char1"/>
    <w:semiHidden/>
    <w:qFormat/>
    <w:uiPriority w:val="99"/>
    <w:rPr>
      <w:rFonts w:hint="default" w:ascii="Calibri" w:hAnsi="Calibri"/>
      <w:kern w:val="2"/>
      <w:sz w:val="21"/>
      <w:szCs w:val="24"/>
    </w:rPr>
  </w:style>
  <w:style w:type="character" w:customStyle="1" w:styleId="677">
    <w:name w:val="times1"/>
    <w:qFormat/>
    <w:uiPriority w:val="0"/>
    <w:rPr>
      <w:color w:val="CDCDCD"/>
      <w:bdr w:val="single" w:color="CDCDCD" w:sz="6" w:space="0"/>
      <w:shd w:val="clear" w:color="auto" w:fill="EFEFEF"/>
    </w:rPr>
  </w:style>
  <w:style w:type="character" w:customStyle="1" w:styleId="678">
    <w:name w:val="目录 (3)_"/>
    <w:link w:val="679"/>
    <w:qFormat/>
    <w:locked/>
    <w:uiPriority w:val="99"/>
    <w:rPr>
      <w:rFonts w:ascii="MingLiU" w:eastAsia="MingLiU" w:cs="MingLiU"/>
      <w:spacing w:val="140"/>
      <w:sz w:val="30"/>
      <w:szCs w:val="30"/>
      <w:u w:val="none"/>
    </w:rPr>
  </w:style>
  <w:style w:type="paragraph" w:customStyle="1" w:styleId="679">
    <w:name w:val="目录 (3)"/>
    <w:basedOn w:val="1"/>
    <w:link w:val="678"/>
    <w:qFormat/>
    <w:uiPriority w:val="99"/>
    <w:pPr>
      <w:shd w:val="clear" w:color="auto" w:fill="FFFFFF"/>
      <w:spacing w:after="420" w:line="240" w:lineRule="atLeast"/>
    </w:pPr>
    <w:rPr>
      <w:rFonts w:ascii="MingLiU" w:eastAsia="MingLiU" w:cs="Times New Roman"/>
      <w:color w:val="auto"/>
      <w:spacing w:val="140"/>
      <w:sz w:val="30"/>
      <w:szCs w:val="30"/>
    </w:rPr>
  </w:style>
  <w:style w:type="character" w:customStyle="1" w:styleId="680">
    <w:name w:val="正文文本 (2) + 5 pt1"/>
    <w:qFormat/>
    <w:uiPriority w:val="99"/>
    <w:rPr>
      <w:rFonts w:ascii="MingLiU" w:eastAsia="MingLiU" w:cs="MingLiU"/>
      <w:spacing w:val="10"/>
      <w:sz w:val="10"/>
      <w:szCs w:val="10"/>
      <w:u w:val="none"/>
    </w:rPr>
  </w:style>
  <w:style w:type="character" w:customStyle="1" w:styleId="681">
    <w:name w:val="标题 #6 + 间距 0 pt2"/>
    <w:qFormat/>
    <w:uiPriority w:val="99"/>
    <w:rPr>
      <w:rFonts w:ascii="MingLiU" w:eastAsia="MingLiU" w:cs="MingLiU"/>
      <w:spacing w:val="10"/>
      <w:sz w:val="26"/>
      <w:szCs w:val="26"/>
      <w:u w:val="none"/>
    </w:rPr>
  </w:style>
  <w:style w:type="character" w:customStyle="1" w:styleId="682">
    <w:name w:val="Char Char21"/>
    <w:qFormat/>
    <w:uiPriority w:val="0"/>
    <w:rPr>
      <w:rFonts w:hint="eastAsia" w:ascii="黑体" w:hAnsi="黑体" w:eastAsia="黑体"/>
      <w:sz w:val="52"/>
      <w:lang w:val="en-US" w:eastAsia="zh-CN" w:bidi="ar-SA"/>
    </w:rPr>
  </w:style>
  <w:style w:type="character" w:customStyle="1" w:styleId="683">
    <w:name w:val="Char Char5"/>
    <w:qFormat/>
    <w:uiPriority w:val="0"/>
    <w:rPr>
      <w:rFonts w:hint="eastAsia" w:ascii="宋体" w:hAnsi="宋体" w:eastAsia="宋体"/>
      <w:kern w:val="2"/>
      <w:sz w:val="18"/>
      <w:szCs w:val="18"/>
      <w:lang w:val="en-US" w:eastAsia="zh-CN" w:bidi="ar-SA"/>
    </w:rPr>
  </w:style>
  <w:style w:type="character" w:customStyle="1" w:styleId="684">
    <w:name w:val="正文文本 (10) + 间距 -1 pt"/>
    <w:qFormat/>
    <w:uiPriority w:val="99"/>
    <w:rPr>
      <w:rFonts w:ascii="MingLiU" w:eastAsia="MingLiU" w:cs="MingLiU"/>
      <w:spacing w:val="-20"/>
      <w:sz w:val="26"/>
      <w:szCs w:val="26"/>
      <w:u w:val="none"/>
    </w:rPr>
  </w:style>
  <w:style w:type="paragraph" w:customStyle="1" w:styleId="68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86">
    <w:name w:val="xl99"/>
    <w:basedOn w:val="1"/>
    <w:qFormat/>
    <w:uiPriority w:val="0"/>
    <w:pPr>
      <w:widowControl/>
      <w:spacing w:before="100" w:beforeAutospacing="1" w:after="100" w:afterAutospacing="1"/>
    </w:pPr>
    <w:rPr>
      <w:rFonts w:ascii="宋体" w:hAnsi="宋体" w:cs="宋体"/>
      <w:color w:val="auto"/>
      <w:lang w:val="en-US"/>
    </w:rPr>
  </w:style>
  <w:style w:type="paragraph" w:customStyle="1" w:styleId="687">
    <w:name w:val="正文文本缩进 32"/>
    <w:basedOn w:val="1"/>
    <w:qFormat/>
    <w:uiPriority w:val="0"/>
    <w:pPr>
      <w:overflowPunct w:val="0"/>
      <w:autoSpaceDE w:val="0"/>
      <w:autoSpaceDN w:val="0"/>
      <w:adjustRightInd w:val="0"/>
      <w:spacing w:line="240" w:lineRule="exact"/>
      <w:ind w:left="227"/>
      <w:jc w:val="both"/>
    </w:pPr>
    <w:rPr>
      <w:rFonts w:ascii="宋体" w:cs="Times New Roman"/>
      <w:color w:val="auto"/>
      <w:sz w:val="21"/>
      <w:szCs w:val="20"/>
      <w:lang w:val="en-US"/>
    </w:rPr>
  </w:style>
  <w:style w:type="paragraph" w:customStyle="1" w:styleId="688">
    <w:name w:val="2"/>
    <w:basedOn w:val="1"/>
    <w:qFormat/>
    <w:uiPriority w:val="0"/>
    <w:pPr>
      <w:adjustRightInd w:val="0"/>
      <w:spacing w:line="420" w:lineRule="atLeast"/>
      <w:ind w:left="1134" w:hanging="227"/>
      <w:jc w:val="both"/>
      <w:textAlignment w:val="baseline"/>
    </w:pPr>
    <w:rPr>
      <w:rFonts w:ascii="Times New Roman" w:hAnsi="Times New Roman" w:eastAsia="宋体" w:cs="Times New Roman"/>
      <w:color w:val="auto"/>
      <w:sz w:val="21"/>
      <w:szCs w:val="20"/>
      <w:lang w:val="en-US"/>
    </w:rPr>
  </w:style>
  <w:style w:type="paragraph" w:customStyle="1" w:styleId="689">
    <w:name w:val="样式 样式 标题 2 + 小三 黑色1 + 段前: 1 行 段后: 1 行"/>
    <w:basedOn w:val="690"/>
    <w:qFormat/>
    <w:uiPriority w:val="0"/>
    <w:pPr>
      <w:spacing w:beforeLines="50" w:afterLines="50"/>
    </w:pPr>
    <w:rPr>
      <w:rFonts w:cs="宋体"/>
      <w:szCs w:val="20"/>
    </w:rPr>
  </w:style>
  <w:style w:type="paragraph" w:customStyle="1" w:styleId="690">
    <w:name w:val="样式 标题 2 + 小三 黑色1"/>
    <w:basedOn w:val="4"/>
    <w:qFormat/>
    <w:uiPriority w:val="0"/>
    <w:pPr>
      <w:spacing w:before="0" w:beforeLines="100" w:after="0" w:afterLines="100" w:line="360" w:lineRule="auto"/>
      <w:jc w:val="both"/>
    </w:pPr>
    <w:rPr>
      <w:rFonts w:ascii="Times New Roman" w:hAnsi="Times New Roman"/>
      <w:b/>
      <w:i w:val="0"/>
      <w:iCs w:val="0"/>
      <w:color w:val="000000"/>
      <w:kern w:val="0"/>
      <w:sz w:val="28"/>
      <w:szCs w:val="32"/>
      <w:lang w:val="en-US" w:eastAsia="zh-CN"/>
    </w:rPr>
  </w:style>
  <w:style w:type="paragraph" w:customStyle="1" w:styleId="691">
    <w:name w:val="Header or footer|2"/>
    <w:basedOn w:val="1"/>
    <w:qFormat/>
    <w:uiPriority w:val="0"/>
    <w:pPr>
      <w:jc w:val="both"/>
    </w:pPr>
    <w:rPr>
      <w:rFonts w:ascii="Calibri" w:hAnsi="Calibri" w:cs="Times New Roman"/>
      <w:color w:val="auto"/>
      <w:kern w:val="2"/>
      <w:sz w:val="20"/>
      <w:szCs w:val="20"/>
      <w:lang w:val="zh-TW" w:eastAsia="zh-TW" w:bidi="zh-TW"/>
    </w:rPr>
  </w:style>
  <w:style w:type="paragraph" w:customStyle="1" w:styleId="692">
    <w:name w:val="h3"/>
    <w:basedOn w:val="1"/>
    <w:qFormat/>
    <w:uiPriority w:val="0"/>
    <w:pPr>
      <w:tabs>
        <w:tab w:val="left" w:pos="1134"/>
      </w:tabs>
      <w:autoSpaceDE w:val="0"/>
      <w:autoSpaceDN w:val="0"/>
      <w:adjustRightInd w:val="0"/>
      <w:spacing w:before="240" w:after="60" w:line="227" w:lineRule="atLeast"/>
      <w:ind w:left="1134" w:hanging="1134"/>
    </w:pPr>
    <w:rPr>
      <w:rFonts w:ascii="Arial" w:hAnsi="Arial" w:cs="Times New Roman"/>
      <w:color w:val="auto"/>
      <w:spacing w:val="5"/>
      <w:sz w:val="28"/>
      <w:szCs w:val="20"/>
      <w:lang w:val="en-US"/>
    </w:rPr>
  </w:style>
  <w:style w:type="paragraph" w:customStyle="1" w:styleId="693">
    <w:name w:val="表格文字居中"/>
    <w:basedOn w:val="1"/>
    <w:next w:val="1"/>
    <w:qFormat/>
    <w:uiPriority w:val="99"/>
    <w:pPr>
      <w:tabs>
        <w:tab w:val="left" w:pos="720"/>
        <w:tab w:val="left" w:pos="900"/>
      </w:tabs>
      <w:adjustRightInd w:val="0"/>
      <w:snapToGrid w:val="0"/>
      <w:spacing w:before="62" w:beforeLines="20" w:after="62" w:afterLines="20" w:line="360" w:lineRule="auto"/>
      <w:jc w:val="center"/>
    </w:pPr>
    <w:rPr>
      <w:rFonts w:ascii="宋体" w:hAnsi="Arial" w:eastAsia="宋体" w:cs="宋体"/>
      <w:color w:val="auto"/>
      <w:sz w:val="18"/>
      <w:szCs w:val="18"/>
      <w:lang w:val="en-US"/>
    </w:rPr>
  </w:style>
  <w:style w:type="paragraph" w:customStyle="1" w:styleId="694">
    <w:name w:val="xl100"/>
    <w:basedOn w:val="1"/>
    <w:qFormat/>
    <w:uiPriority w:val="0"/>
    <w:pPr>
      <w:widowControl/>
      <w:spacing w:before="100" w:beforeAutospacing="1" w:after="100" w:afterAutospacing="1"/>
    </w:pPr>
    <w:rPr>
      <w:rFonts w:ascii="Calibri" w:hAnsi="Calibri" w:cs="Times New Roman"/>
      <w:color w:val="auto"/>
      <w:sz w:val="28"/>
      <w:szCs w:val="28"/>
      <w:lang w:val="en-US"/>
    </w:rPr>
  </w:style>
  <w:style w:type="paragraph" w:customStyle="1" w:styleId="695">
    <w:name w:val="xl83"/>
    <w:basedOn w:val="1"/>
    <w:qFormat/>
    <w:uiPriority w:val="0"/>
    <w:pPr>
      <w:widowControl/>
      <w:pBdr>
        <w:left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696">
    <w:name w:val="横表"/>
    <w:basedOn w:val="1"/>
    <w:qFormat/>
    <w:uiPriority w:val="0"/>
    <w:pPr>
      <w:adjustRightInd w:val="0"/>
      <w:snapToGrid w:val="0"/>
      <w:spacing w:line="360" w:lineRule="exact"/>
      <w:jc w:val="center"/>
    </w:pPr>
    <w:rPr>
      <w:rFonts w:ascii="宋体" w:hAnsi="Calibri" w:cs="Times New Roman"/>
      <w:color w:val="auto"/>
      <w:kern w:val="2"/>
      <w:sz w:val="21"/>
      <w:szCs w:val="21"/>
      <w:lang w:val="en-US"/>
    </w:rPr>
  </w:style>
  <w:style w:type="paragraph" w:customStyle="1" w:styleId="697">
    <w:name w:val="表格表头"/>
    <w:basedOn w:val="1"/>
    <w:qFormat/>
    <w:uiPriority w:val="0"/>
    <w:pPr>
      <w:spacing w:before="120" w:after="120" w:line="460" w:lineRule="exact"/>
      <w:ind w:firstLine="200" w:firstLineChars="200"/>
    </w:pPr>
    <w:rPr>
      <w:rFonts w:ascii="Calibri" w:hAnsi="Calibri" w:eastAsia="仿宋_GB2312" w:cs="Times New Roman"/>
      <w:b/>
      <w:color w:val="auto"/>
      <w:szCs w:val="36"/>
      <w:lang w:val="en-US"/>
    </w:rPr>
  </w:style>
  <w:style w:type="paragraph" w:customStyle="1" w:styleId="698">
    <w:name w:val="list1"/>
    <w:basedOn w:val="1"/>
    <w:qFormat/>
    <w:uiPriority w:val="0"/>
    <w:pPr>
      <w:tabs>
        <w:tab w:val="left" w:pos="1134"/>
      </w:tabs>
      <w:autoSpaceDE w:val="0"/>
      <w:autoSpaceDN w:val="0"/>
      <w:adjustRightInd w:val="0"/>
      <w:spacing w:before="60" w:after="60" w:line="480" w:lineRule="atLeast"/>
      <w:ind w:left="1134" w:hanging="284"/>
      <w:jc w:val="both"/>
    </w:pPr>
    <w:rPr>
      <w:rFonts w:ascii="Arial" w:hAnsi="Arial" w:cs="Times New Roman"/>
      <w:color w:val="auto"/>
      <w:spacing w:val="5"/>
      <w:sz w:val="28"/>
      <w:szCs w:val="20"/>
      <w:lang w:val="en-US"/>
    </w:rPr>
  </w:style>
  <w:style w:type="paragraph" w:customStyle="1" w:styleId="699">
    <w:name w:val="Blockquote"/>
    <w:basedOn w:val="1"/>
    <w:qFormat/>
    <w:uiPriority w:val="0"/>
    <w:pPr>
      <w:autoSpaceDE w:val="0"/>
      <w:autoSpaceDN w:val="0"/>
      <w:adjustRightInd w:val="0"/>
      <w:spacing w:before="100" w:after="100"/>
      <w:ind w:left="360" w:right="360"/>
    </w:pPr>
    <w:rPr>
      <w:rFonts w:ascii="Times New Roman" w:hAnsi="Times New Roman" w:eastAsia="宋体" w:cs="Times New Roman"/>
      <w:color w:val="auto"/>
      <w:szCs w:val="20"/>
      <w:lang w:val="en-US"/>
    </w:rPr>
  </w:style>
  <w:style w:type="paragraph" w:customStyle="1" w:styleId="700">
    <w:name w:val="正文文本缩进 22"/>
    <w:basedOn w:val="1"/>
    <w:qFormat/>
    <w:uiPriority w:val="0"/>
    <w:pPr>
      <w:overflowPunct w:val="0"/>
      <w:autoSpaceDE w:val="0"/>
      <w:autoSpaceDN w:val="0"/>
      <w:adjustRightInd w:val="0"/>
      <w:spacing w:line="240" w:lineRule="exact"/>
      <w:ind w:left="204"/>
      <w:jc w:val="both"/>
    </w:pPr>
    <w:rPr>
      <w:rFonts w:ascii="宋体" w:cs="Times New Roman"/>
      <w:color w:val="auto"/>
      <w:sz w:val="21"/>
      <w:szCs w:val="20"/>
      <w:lang w:val="en-US"/>
    </w:rPr>
  </w:style>
  <w:style w:type="paragraph" w:customStyle="1" w:styleId="701">
    <w:name w:val="Style426"/>
    <w:basedOn w:val="1"/>
    <w:qFormat/>
    <w:uiPriority w:val="0"/>
    <w:pPr>
      <w:widowControl/>
      <w:spacing w:line="472" w:lineRule="exact"/>
      <w:ind w:firstLine="485"/>
    </w:pPr>
    <w:rPr>
      <w:rFonts w:ascii="宋体" w:hAnsi="宋体" w:cs="宋体"/>
      <w:color w:val="auto"/>
      <w:sz w:val="20"/>
      <w:szCs w:val="20"/>
      <w:lang w:val="en-US"/>
    </w:rPr>
  </w:style>
  <w:style w:type="paragraph" w:customStyle="1" w:styleId="702">
    <w:name w:val="表格"/>
    <w:basedOn w:val="1"/>
    <w:qFormat/>
    <w:uiPriority w:val="0"/>
    <w:pPr>
      <w:jc w:val="center"/>
      <w:textAlignment w:val="center"/>
    </w:pPr>
    <w:rPr>
      <w:rFonts w:ascii="华文细黑" w:hAnsi="华文细黑" w:eastAsia="宋体" w:cs="Times New Roman"/>
      <w:color w:val="auto"/>
      <w:sz w:val="21"/>
      <w:szCs w:val="20"/>
      <w:lang w:val="en-US"/>
    </w:rPr>
  </w:style>
  <w:style w:type="paragraph" w:customStyle="1" w:styleId="703">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jc w:val="both"/>
    </w:pPr>
    <w:rPr>
      <w:rFonts w:ascii="Arial" w:hAnsi="Arial" w:cs="Times New Roman"/>
      <w:color w:val="auto"/>
      <w:szCs w:val="20"/>
      <w:lang w:val="en-US"/>
    </w:rPr>
  </w:style>
  <w:style w:type="paragraph" w:customStyle="1" w:styleId="704">
    <w:name w:val="xl76"/>
    <w:basedOn w:val="1"/>
    <w:qFormat/>
    <w:uiPriority w:val="0"/>
    <w:pPr>
      <w:widowControl/>
      <w:pBdr>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05">
    <w:name w:val="xl55"/>
    <w:basedOn w:val="1"/>
    <w:qFormat/>
    <w:uiPriority w:val="0"/>
    <w:pPr>
      <w:widowControl/>
      <w:pBdr>
        <w:top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06">
    <w:name w:val="xl34"/>
    <w:basedOn w:val="1"/>
    <w:qFormat/>
    <w:uiPriority w:val="0"/>
    <w:pPr>
      <w:widowControl/>
      <w:spacing w:before="100" w:beforeAutospacing="1" w:after="100" w:afterAutospacing="1"/>
    </w:pPr>
    <w:rPr>
      <w:rFonts w:ascii="Arial Unicode MS" w:hAnsi="Arial Unicode MS" w:eastAsia="Arial Unicode MS" w:cs="Arial Unicode MS"/>
      <w:b/>
      <w:bCs/>
      <w:color w:val="auto"/>
      <w:sz w:val="20"/>
      <w:szCs w:val="20"/>
      <w:lang w:val="en-US"/>
    </w:rPr>
  </w:style>
  <w:style w:type="paragraph" w:customStyle="1" w:styleId="707">
    <w:name w:val="LL"/>
    <w:basedOn w:val="1"/>
    <w:qFormat/>
    <w:uiPriority w:val="0"/>
    <w:pPr>
      <w:autoSpaceDE w:val="0"/>
      <w:autoSpaceDN w:val="0"/>
      <w:adjustRightInd w:val="0"/>
      <w:spacing w:before="60" w:after="60" w:line="360" w:lineRule="atLeast"/>
      <w:ind w:left="1560"/>
      <w:jc w:val="both"/>
    </w:pPr>
    <w:rPr>
      <w:rFonts w:ascii="宋体" w:hAnsi="Calibri" w:cs="Times New Roman"/>
      <w:color w:val="auto"/>
      <w:spacing w:val="5"/>
      <w:szCs w:val="20"/>
      <w:lang w:val="en-US"/>
    </w:rPr>
  </w:style>
  <w:style w:type="paragraph" w:customStyle="1" w:styleId="708">
    <w:name w:val="表格4"/>
    <w:basedOn w:val="1"/>
    <w:qFormat/>
    <w:uiPriority w:val="0"/>
    <w:pPr>
      <w:adjustRightInd w:val="0"/>
      <w:spacing w:line="420" w:lineRule="atLeast"/>
      <w:ind w:left="1021"/>
      <w:jc w:val="both"/>
      <w:textAlignment w:val="baseline"/>
    </w:pPr>
    <w:rPr>
      <w:rFonts w:ascii="Times New Roman" w:hAnsi="Times New Roman" w:eastAsia="宋体" w:cs="Times New Roman"/>
      <w:color w:val="auto"/>
      <w:sz w:val="21"/>
      <w:szCs w:val="20"/>
      <w:lang w:val="en-US"/>
    </w:rPr>
  </w:style>
  <w:style w:type="paragraph" w:customStyle="1" w:styleId="709">
    <w:name w:val="SpecContent"/>
    <w:basedOn w:val="1"/>
    <w:qFormat/>
    <w:uiPriority w:val="0"/>
    <w:pPr>
      <w:widowControl/>
      <w:tabs>
        <w:tab w:val="left" w:pos="425"/>
        <w:tab w:val="left" w:pos="1418"/>
        <w:tab w:val="left" w:pos="1701"/>
        <w:tab w:val="left" w:pos="1729"/>
        <w:tab w:val="left" w:pos="2268"/>
        <w:tab w:val="left" w:pos="7200"/>
      </w:tabs>
      <w:suppressAutoHyphens/>
      <w:overflowPunct w:val="0"/>
      <w:autoSpaceDE w:val="0"/>
      <w:autoSpaceDN w:val="0"/>
      <w:adjustRightInd w:val="0"/>
      <w:spacing w:after="240"/>
      <w:ind w:left="425" w:hanging="425"/>
    </w:pPr>
    <w:rPr>
      <w:rFonts w:ascii="Arial" w:hAnsi="Arial" w:cs="Times New Roman"/>
      <w:color w:val="auto"/>
      <w:sz w:val="22"/>
      <w:szCs w:val="20"/>
      <w:lang w:val="en-GB" w:eastAsia="en-US"/>
    </w:rPr>
  </w:style>
  <w:style w:type="paragraph" w:customStyle="1" w:styleId="710">
    <w:name w:val="Char2"/>
    <w:basedOn w:val="1"/>
    <w:qFormat/>
    <w:uiPriority w:val="0"/>
    <w:pPr>
      <w:tabs>
        <w:tab w:val="left" w:pos="432"/>
      </w:tabs>
      <w:spacing w:line="360" w:lineRule="auto"/>
      <w:ind w:firstLine="480" w:firstLineChars="200"/>
      <w:jc w:val="both"/>
    </w:pPr>
    <w:rPr>
      <w:rFonts w:ascii="宋体" w:hAnsi="宋体" w:cs="Times New Roman"/>
      <w:color w:val="auto"/>
      <w:kern w:val="2"/>
      <w:lang w:val="en-US"/>
    </w:rPr>
  </w:style>
  <w:style w:type="paragraph" w:customStyle="1" w:styleId="711">
    <w:name w:val="纯文本2"/>
    <w:basedOn w:val="1"/>
    <w:qFormat/>
    <w:uiPriority w:val="0"/>
    <w:pPr>
      <w:overflowPunct w:val="0"/>
      <w:autoSpaceDE w:val="0"/>
      <w:autoSpaceDN w:val="0"/>
      <w:adjustRightInd w:val="0"/>
      <w:jc w:val="both"/>
    </w:pPr>
    <w:rPr>
      <w:rFonts w:ascii="宋体" w:cs="Times New Roman"/>
      <w:color w:val="auto"/>
      <w:kern w:val="2"/>
      <w:sz w:val="21"/>
      <w:szCs w:val="20"/>
      <w:lang w:val="en-US"/>
    </w:rPr>
  </w:style>
  <w:style w:type="paragraph" w:customStyle="1" w:styleId="712">
    <w:name w:val="样式 标题4 + 左侧:  6 字符1"/>
    <w:basedOn w:val="1"/>
    <w:next w:val="34"/>
    <w:qFormat/>
    <w:uiPriority w:val="0"/>
    <w:pPr>
      <w:shd w:val="clear" w:color="auto" w:fill="FFFFFF"/>
      <w:snapToGrid w:val="0"/>
      <w:spacing w:line="480" w:lineRule="auto"/>
      <w:jc w:val="both"/>
    </w:pPr>
    <w:rPr>
      <w:rFonts w:ascii="宋体" w:hAnsi="宋体" w:cs="Times New Roman"/>
      <w:kern w:val="2"/>
      <w:lang w:val="en-US"/>
    </w:rPr>
  </w:style>
  <w:style w:type="paragraph" w:customStyle="1" w:styleId="713">
    <w:name w:val="样式 样式 标题 4Sub-Clause Sub-paragraph标题 4 Char Char Char Char款标题1.1...1"/>
    <w:basedOn w:val="714"/>
    <w:qFormat/>
    <w:uiPriority w:val="0"/>
    <w:pPr>
      <w:spacing w:line="360" w:lineRule="auto"/>
    </w:pPr>
    <w:rPr>
      <w:rFonts w:cs="宋体"/>
      <w:szCs w:val="20"/>
    </w:rPr>
  </w:style>
  <w:style w:type="paragraph" w:customStyle="1" w:styleId="714">
    <w:name w:val="样式 标题 4Sub-Clause Sub-paragraph标题 4 Char Char Char Char款标题1.1..."/>
    <w:basedOn w:val="7"/>
    <w:qFormat/>
    <w:uiPriority w:val="0"/>
    <w:pPr>
      <w:keepNext w:val="0"/>
      <w:spacing w:beforeLines="50" w:line="440" w:lineRule="exact"/>
      <w:ind w:firstLine="0"/>
      <w:textAlignment w:val="auto"/>
    </w:pPr>
    <w:rPr>
      <w:rFonts w:eastAsia="黑体"/>
      <w:bCs/>
      <w:i w:val="0"/>
      <w:spacing w:val="2"/>
      <w:position w:val="-3"/>
      <w:sz w:val="32"/>
      <w:szCs w:val="32"/>
    </w:rPr>
  </w:style>
  <w:style w:type="paragraph" w:customStyle="1" w:styleId="715">
    <w:name w:val="注左6"/>
    <w:basedOn w:val="716"/>
    <w:qFormat/>
    <w:uiPriority w:val="0"/>
    <w:pPr>
      <w:ind w:left="950" w:leftChars="600"/>
    </w:pPr>
  </w:style>
  <w:style w:type="paragraph" w:customStyle="1" w:styleId="716">
    <w:name w:val="注1"/>
    <w:basedOn w:val="717"/>
    <w:qFormat/>
    <w:uiPriority w:val="0"/>
    <w:pPr>
      <w:ind w:left="550" w:hanging="350" w:hangingChars="350"/>
    </w:pPr>
  </w:style>
  <w:style w:type="paragraph" w:customStyle="1" w:styleId="717">
    <w:name w:val="注"/>
    <w:basedOn w:val="1"/>
    <w:qFormat/>
    <w:uiPriority w:val="0"/>
    <w:pPr>
      <w:spacing w:line="360" w:lineRule="auto"/>
      <w:ind w:left="500" w:leftChars="300" w:hanging="200" w:hangingChars="200"/>
      <w:jc w:val="both"/>
    </w:pPr>
    <w:rPr>
      <w:rFonts w:ascii="Calibri" w:hAnsi="Calibri" w:cs="Times New Roman"/>
      <w:bCs/>
      <w:color w:val="auto"/>
      <w:kern w:val="2"/>
      <w:sz w:val="21"/>
      <w:lang w:val="en-US"/>
    </w:rPr>
  </w:style>
  <w:style w:type="paragraph" w:customStyle="1" w:styleId="718">
    <w:name w:val="样式 标题 2标题 2（报告）标题 2（报告）(3黑) + 黑体1"/>
    <w:basedOn w:val="4"/>
    <w:qFormat/>
    <w:uiPriority w:val="0"/>
    <w:pPr>
      <w:spacing w:before="0" w:beforeLines="100" w:after="0" w:line="360" w:lineRule="auto"/>
    </w:pPr>
    <w:rPr>
      <w:rFonts w:ascii="黑体" w:hAnsi="黑体"/>
      <w:b/>
      <w:i w:val="0"/>
      <w:iCs w:val="0"/>
      <w:kern w:val="0"/>
      <w:sz w:val="28"/>
      <w:szCs w:val="28"/>
      <w:lang w:val="en-US" w:eastAsia="zh-CN"/>
    </w:rPr>
  </w:style>
  <w:style w:type="paragraph" w:customStyle="1" w:styleId="7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0">
    <w:name w:val="xl21"/>
    <w:basedOn w:val="1"/>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pPr>
    <w:rPr>
      <w:rFonts w:ascii="Arial Unicode MS" w:hAnsi="Arial Unicode MS" w:eastAsia="Arial Unicode MS" w:cs="Arial Unicode MS"/>
      <w:color w:val="auto"/>
      <w:sz w:val="16"/>
      <w:szCs w:val="16"/>
      <w:lang w:val="en-US"/>
    </w:rPr>
  </w:style>
  <w:style w:type="paragraph" w:customStyle="1" w:styleId="7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cs="Arial Unicode MS"/>
      <w:color w:val="auto"/>
      <w:lang w:val="en-US"/>
    </w:rPr>
  </w:style>
  <w:style w:type="paragraph" w:customStyle="1" w:styleId="722">
    <w:name w:val="h4"/>
    <w:basedOn w:val="1"/>
    <w:qFormat/>
    <w:uiPriority w:val="0"/>
    <w:pPr>
      <w:tabs>
        <w:tab w:val="left" w:pos="1134"/>
      </w:tabs>
      <w:autoSpaceDE w:val="0"/>
      <w:autoSpaceDN w:val="0"/>
      <w:adjustRightInd w:val="0"/>
      <w:spacing w:before="60" w:after="60" w:line="227" w:lineRule="atLeast"/>
      <w:ind w:left="1134" w:hanging="1134"/>
    </w:pPr>
    <w:rPr>
      <w:rFonts w:ascii="黑体" w:hAnsi="Calibri" w:eastAsia="黑体" w:cs="Times New Roman"/>
      <w:color w:val="auto"/>
      <w:spacing w:val="5"/>
      <w:sz w:val="28"/>
      <w:szCs w:val="20"/>
      <w:lang w:val="en-US"/>
    </w:rPr>
  </w:style>
  <w:style w:type="paragraph" w:customStyle="1" w:styleId="723">
    <w:name w:val="样式 标题 2 + 段前: 7.8 磅 段后: 7.8 磅"/>
    <w:basedOn w:val="4"/>
    <w:qFormat/>
    <w:uiPriority w:val="0"/>
    <w:pPr>
      <w:keepLines w:val="0"/>
      <w:spacing w:before="200" w:after="200" w:line="300" w:lineRule="exact"/>
      <w:jc w:val="left"/>
    </w:pPr>
    <w:rPr>
      <w:rFonts w:ascii="Arial" w:hAnsi="Arial" w:eastAsia="宋体" w:cs="宋体"/>
      <w:b/>
      <w:i w:val="0"/>
      <w:iCs w:val="0"/>
      <w:kern w:val="0"/>
      <w:sz w:val="30"/>
      <w:lang w:val="en-US" w:eastAsia="zh-CN"/>
    </w:rPr>
  </w:style>
  <w:style w:type="paragraph" w:customStyle="1" w:styleId="724">
    <w:name w:val="xl77"/>
    <w:basedOn w:val="1"/>
    <w:qFormat/>
    <w:uiPriority w:val="0"/>
    <w:pPr>
      <w:widowControl/>
      <w:pBdr>
        <w:lef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25">
    <w:name w:val="样式 标题 3Section Header3Sub-Clause Paragraph标题 3 Char Char Char...2"/>
    <w:basedOn w:val="6"/>
    <w:qFormat/>
    <w:uiPriority w:val="0"/>
    <w:pPr>
      <w:keepNext w:val="0"/>
      <w:keepLines w:val="0"/>
      <w:widowControl w:val="0"/>
      <w:numPr>
        <w:ilvl w:val="0"/>
        <w:numId w:val="0"/>
      </w:numPr>
      <w:tabs>
        <w:tab w:val="clear" w:pos="3229"/>
      </w:tabs>
      <w:adjustRightInd w:val="0"/>
      <w:spacing w:before="0" w:after="0" w:line="440" w:lineRule="exact"/>
      <w:jc w:val="left"/>
    </w:pPr>
    <w:rPr>
      <w:rFonts w:ascii="宋体" w:hAnsi="宋体" w:cs="宋体"/>
      <w:bCs/>
      <w:sz w:val="24"/>
      <w:szCs w:val="24"/>
      <w:lang w:val="en-US" w:eastAsia="zh-CN"/>
    </w:rPr>
  </w:style>
  <w:style w:type="paragraph" w:customStyle="1" w:styleId="72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黑体"/>
      <w:b w:val="0"/>
      <w:bCs w:val="0"/>
      <w:sz w:val="32"/>
      <w:szCs w:val="32"/>
      <w:lang w:val="en-US"/>
    </w:rPr>
  </w:style>
  <w:style w:type="paragraph" w:customStyle="1" w:styleId="727">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bCs w:val="0"/>
      <w:i w:val="0"/>
      <w:iCs w:val="0"/>
      <w:sz w:val="28"/>
      <w:szCs w:val="28"/>
      <w:lang w:val="en-US" w:eastAsia="zh-CN"/>
    </w:rPr>
  </w:style>
  <w:style w:type="paragraph" w:customStyle="1" w:styleId="7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729">
    <w:name w:val="表名"/>
    <w:basedOn w:val="1"/>
    <w:qFormat/>
    <w:uiPriority w:val="0"/>
    <w:pPr>
      <w:spacing w:beforeLines="50" w:line="360" w:lineRule="auto"/>
      <w:ind w:left="200" w:leftChars="200"/>
      <w:jc w:val="both"/>
    </w:pPr>
    <w:rPr>
      <w:rFonts w:ascii="宋体" w:hAnsi="宋体" w:cs="Times New Roman"/>
      <w:color w:val="auto"/>
      <w:kern w:val="2"/>
      <w:szCs w:val="20"/>
      <w:lang w:val="en-US"/>
    </w:rPr>
  </w:style>
  <w:style w:type="paragraph" w:customStyle="1" w:styleId="730">
    <w:name w:val="文一"/>
    <w:basedOn w:val="1"/>
    <w:qFormat/>
    <w:uiPriority w:val="0"/>
    <w:pPr>
      <w:topLinePunct/>
      <w:adjustRightInd w:val="0"/>
      <w:snapToGrid w:val="0"/>
      <w:spacing w:line="360" w:lineRule="auto"/>
      <w:ind w:firstLine="200" w:firstLineChars="200"/>
      <w:jc w:val="both"/>
    </w:pPr>
    <w:rPr>
      <w:rFonts w:ascii="等线" w:hAnsi="等线" w:eastAsia="等线" w:cs="Times New Roman"/>
      <w:color w:val="auto"/>
      <w:spacing w:val="4"/>
      <w:lang w:val="en-US"/>
    </w:rPr>
  </w:style>
  <w:style w:type="paragraph" w:customStyle="1" w:styleId="731">
    <w:name w:val="font5"/>
    <w:basedOn w:val="1"/>
    <w:qFormat/>
    <w:uiPriority w:val="0"/>
    <w:pPr>
      <w:widowControl/>
      <w:spacing w:before="100" w:beforeAutospacing="1" w:after="100" w:afterAutospacing="1"/>
    </w:pPr>
    <w:rPr>
      <w:rFonts w:ascii="宋体" w:hAnsi="宋体" w:cs="Arial Unicode MS"/>
      <w:color w:val="auto"/>
      <w:sz w:val="18"/>
      <w:szCs w:val="18"/>
      <w:lang w:val="en-US"/>
    </w:rPr>
  </w:style>
  <w:style w:type="paragraph" w:customStyle="1" w:styleId="732">
    <w:name w:val="样式1"/>
    <w:basedOn w:val="57"/>
    <w:next w:val="57"/>
    <w:qFormat/>
    <w:uiPriority w:val="0"/>
    <w:pPr>
      <w:jc w:val="right"/>
    </w:pPr>
    <w:rPr>
      <w:rFonts w:ascii="Times New Roman" w:hAnsi="Times New Roman" w:eastAsia="隶书" w:cs="Times New Roman"/>
      <w:color w:val="auto"/>
      <w:kern w:val="2"/>
      <w:szCs w:val="20"/>
      <w:lang w:val="en-US"/>
    </w:rPr>
  </w:style>
  <w:style w:type="paragraph" w:customStyle="1" w:styleId="733">
    <w:name w:val="xl48"/>
    <w:basedOn w:val="1"/>
    <w:qFormat/>
    <w:uiPriority w:val="0"/>
    <w:pPr>
      <w:widowControl/>
      <w:spacing w:before="100" w:beforeAutospacing="1" w:after="100" w:afterAutospacing="1"/>
    </w:pPr>
    <w:rPr>
      <w:rFonts w:ascii="Calibri" w:hAnsi="Calibri" w:eastAsia="Arial Unicode MS" w:cs="Times New Roman"/>
      <w:b/>
      <w:bCs/>
      <w:color w:val="auto"/>
      <w:sz w:val="28"/>
      <w:szCs w:val="28"/>
      <w:lang w:val="en-US"/>
    </w:rPr>
  </w:style>
  <w:style w:type="paragraph" w:customStyle="1" w:styleId="734">
    <w:name w:val="标题 3n"/>
    <w:basedOn w:val="6"/>
    <w:next w:val="6"/>
    <w:qFormat/>
    <w:uiPriority w:val="0"/>
    <w:pPr>
      <w:keepNext w:val="0"/>
      <w:keepLines w:val="0"/>
      <w:widowControl w:val="0"/>
      <w:numPr>
        <w:ilvl w:val="0"/>
        <w:numId w:val="0"/>
      </w:numPr>
      <w:tabs>
        <w:tab w:val="clear" w:pos="3229"/>
      </w:tabs>
      <w:autoSpaceDE w:val="0"/>
      <w:autoSpaceDN w:val="0"/>
      <w:adjustRightInd w:val="0"/>
      <w:spacing w:before="0" w:after="0" w:line="360" w:lineRule="atLeast"/>
      <w:ind w:left="360"/>
      <w:jc w:val="both"/>
      <w:outlineLvl w:val="9"/>
    </w:pPr>
    <w:rPr>
      <w:rFonts w:ascii="宋体"/>
      <w:sz w:val="24"/>
      <w:szCs w:val="24"/>
      <w:lang w:val="en-US" w:eastAsia="zh-CN"/>
    </w:rPr>
  </w:style>
  <w:style w:type="paragraph" w:customStyle="1" w:styleId="735">
    <w:name w:val="xl121"/>
    <w:basedOn w:val="1"/>
    <w:qFormat/>
    <w:uiPriority w:val="0"/>
    <w:pPr>
      <w:widowControl/>
      <w:pBdr>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36">
    <w:name w:val="xl63"/>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37">
    <w:name w:val="样式4"/>
    <w:basedOn w:val="84"/>
    <w:qFormat/>
    <w:uiPriority w:val="0"/>
    <w:pPr>
      <w:adjustRightInd/>
      <w:spacing w:line="240" w:lineRule="auto"/>
      <w:jc w:val="left"/>
      <w:textAlignment w:val="auto"/>
    </w:pPr>
    <w:rPr>
      <w:rFonts w:eastAsia="黑体" w:cs="Arial"/>
      <w:bCs/>
      <w:kern w:val="2"/>
      <w:sz w:val="24"/>
      <w:szCs w:val="32"/>
      <w:lang w:val="en-US" w:eastAsia="zh-CN"/>
    </w:rPr>
  </w:style>
  <w:style w:type="paragraph" w:customStyle="1" w:styleId="738">
    <w:name w:val="表格1"/>
    <w:basedOn w:val="1"/>
    <w:qFormat/>
    <w:uiPriority w:val="0"/>
    <w:pPr>
      <w:adjustRightInd w:val="0"/>
      <w:spacing w:line="420" w:lineRule="atLeast"/>
      <w:ind w:left="284"/>
      <w:jc w:val="both"/>
      <w:textAlignment w:val="baseline"/>
    </w:pPr>
    <w:rPr>
      <w:rFonts w:ascii="Times New Roman" w:hAnsi="Times New Roman" w:eastAsia="宋体" w:cs="Times New Roman"/>
      <w:color w:val="auto"/>
      <w:sz w:val="21"/>
      <w:szCs w:val="20"/>
      <w:lang w:val="en-US"/>
    </w:rPr>
  </w:style>
  <w:style w:type="paragraph" w:customStyle="1" w:styleId="739">
    <w:name w:val="Char1"/>
    <w:basedOn w:val="26"/>
    <w:qFormat/>
    <w:uiPriority w:val="0"/>
    <w:pPr>
      <w:shd w:val="clear" w:color="auto" w:fill="000080"/>
      <w:jc w:val="both"/>
    </w:pPr>
    <w:rPr>
      <w:rFonts w:ascii="Times New Roman"/>
      <w:color w:val="auto"/>
      <w:kern w:val="2"/>
      <w:sz w:val="21"/>
      <w:szCs w:val="24"/>
      <w:lang w:val="en-US" w:eastAsia="zh-CN"/>
    </w:rPr>
  </w:style>
  <w:style w:type="paragraph" w:customStyle="1" w:styleId="740">
    <w:name w:val="Char Char1 Char Char Char Char"/>
    <w:basedOn w:val="26"/>
    <w:qFormat/>
    <w:uiPriority w:val="0"/>
    <w:pPr>
      <w:shd w:val="clear" w:color="auto" w:fill="000080"/>
      <w:jc w:val="both"/>
    </w:pPr>
    <w:rPr>
      <w:rFonts w:ascii="Times New Roman"/>
      <w:color w:val="auto"/>
      <w:kern w:val="2"/>
      <w:sz w:val="21"/>
      <w:szCs w:val="24"/>
      <w:lang w:val="en-US" w:eastAsia="zh-CN"/>
    </w:rPr>
  </w:style>
  <w:style w:type="paragraph" w:customStyle="1" w:styleId="741">
    <w:name w:val="LY标题2"/>
    <w:basedOn w:val="1"/>
    <w:qFormat/>
    <w:uiPriority w:val="0"/>
    <w:pPr>
      <w:spacing w:after="360"/>
      <w:jc w:val="center"/>
      <w:outlineLvl w:val="1"/>
    </w:pPr>
    <w:rPr>
      <w:rFonts w:ascii="CG Times" w:hAnsi="CG Times" w:eastAsia="黑体" w:cs="Times New Roman"/>
      <w:b/>
      <w:color w:val="auto"/>
      <w:kern w:val="2"/>
      <w:sz w:val="32"/>
      <w:szCs w:val="20"/>
      <w:lang w:val="en-US"/>
    </w:rPr>
  </w:style>
  <w:style w:type="paragraph" w:customStyle="1" w:styleId="742">
    <w:name w:val="xl11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43">
    <w:name w:val="LL1"/>
    <w:basedOn w:val="1"/>
    <w:qFormat/>
    <w:uiPriority w:val="0"/>
    <w:pPr>
      <w:autoSpaceDE w:val="0"/>
      <w:autoSpaceDN w:val="0"/>
      <w:adjustRightInd w:val="0"/>
      <w:spacing w:before="60" w:after="60" w:line="360" w:lineRule="atLeast"/>
      <w:ind w:left="1843"/>
      <w:jc w:val="both"/>
    </w:pPr>
    <w:rPr>
      <w:rFonts w:ascii="宋体" w:hAnsi="Calibri" w:cs="Times New Roman"/>
      <w:color w:val="auto"/>
      <w:spacing w:val="5"/>
      <w:szCs w:val="20"/>
      <w:lang w:val="en-US"/>
    </w:rPr>
  </w:style>
  <w:style w:type="paragraph" w:customStyle="1" w:styleId="744">
    <w:name w:val="xl30"/>
    <w:basedOn w:val="1"/>
    <w:qFormat/>
    <w:uiPriority w:val="0"/>
    <w:pPr>
      <w:widowControl/>
      <w:pBdr>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45">
    <w:name w:val="font2"/>
    <w:basedOn w:val="1"/>
    <w:qFormat/>
    <w:uiPriority w:val="0"/>
    <w:pPr>
      <w:widowControl/>
      <w:spacing w:before="100" w:beforeAutospacing="1" w:after="100" w:afterAutospacing="1"/>
    </w:pPr>
    <w:rPr>
      <w:rFonts w:ascii="MS Sans Serif" w:hAnsi="MS Sans Serif" w:eastAsia="Arial Unicode MS" w:cs="Arial Unicode MS"/>
      <w:sz w:val="16"/>
      <w:szCs w:val="16"/>
      <w:lang w:val="en-US"/>
    </w:rPr>
  </w:style>
  <w:style w:type="paragraph" w:customStyle="1" w:styleId="746">
    <w:name w:val="font0"/>
    <w:basedOn w:val="1"/>
    <w:qFormat/>
    <w:uiPriority w:val="0"/>
    <w:pPr>
      <w:widowControl/>
      <w:spacing w:before="100" w:beforeAutospacing="1" w:after="100" w:afterAutospacing="1"/>
    </w:pPr>
    <w:rPr>
      <w:rFonts w:ascii="宋体" w:hAnsi="宋体" w:cs="Arial Unicode MS"/>
      <w:color w:val="auto"/>
      <w:lang w:val="en-US"/>
    </w:rPr>
  </w:style>
  <w:style w:type="paragraph" w:customStyle="1" w:styleId="747">
    <w:name w:val="xl46"/>
    <w:basedOn w:val="1"/>
    <w:qFormat/>
    <w:uiPriority w:val="0"/>
    <w:pPr>
      <w:widowControl/>
      <w:pBdr>
        <w:bottom w:val="single" w:color="auto" w:sz="4" w:space="0"/>
        <w:right w:val="single" w:color="auto" w:sz="4" w:space="0"/>
      </w:pBdr>
      <w:spacing w:before="100" w:after="100"/>
      <w:jc w:val="center"/>
    </w:pPr>
    <w:rPr>
      <w:rFonts w:ascii="Calibri" w:hAnsi="Calibri" w:cs="Times New Roman"/>
      <w:color w:val="auto"/>
      <w:sz w:val="21"/>
      <w:szCs w:val="20"/>
      <w:lang w:val="en-US"/>
    </w:rPr>
  </w:style>
  <w:style w:type="paragraph" w:customStyle="1" w:styleId="748">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49">
    <w:name w:val="xl59"/>
    <w:basedOn w:val="1"/>
    <w:qFormat/>
    <w:uiPriority w:val="0"/>
    <w:pPr>
      <w:widowControl/>
      <w:pBdr>
        <w:left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5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751">
    <w:name w:val="xl104"/>
    <w:basedOn w:val="1"/>
    <w:qFormat/>
    <w:uiPriority w:val="0"/>
    <w:pPr>
      <w:widowControl/>
      <w:spacing w:before="100" w:beforeAutospacing="1" w:after="100" w:afterAutospacing="1"/>
    </w:pPr>
    <w:rPr>
      <w:rFonts w:ascii="宋体" w:hAnsi="宋体" w:cs="宋体"/>
      <w:color w:val="auto"/>
      <w:lang w:val="en-US"/>
    </w:rPr>
  </w:style>
  <w:style w:type="paragraph" w:customStyle="1" w:styleId="752">
    <w:name w:val="font10"/>
    <w:basedOn w:val="1"/>
    <w:qFormat/>
    <w:uiPriority w:val="0"/>
    <w:pPr>
      <w:widowControl/>
      <w:spacing w:before="100" w:beforeAutospacing="1" w:after="100" w:afterAutospacing="1"/>
    </w:pPr>
    <w:rPr>
      <w:rFonts w:ascii="Calibri" w:hAnsi="Calibri" w:eastAsia="Arial Unicode MS" w:cs="Times New Roman"/>
      <w:color w:val="auto"/>
      <w:sz w:val="16"/>
      <w:szCs w:val="16"/>
      <w:lang w:val="en-US"/>
    </w:rPr>
  </w:style>
  <w:style w:type="paragraph" w:customStyle="1" w:styleId="753">
    <w:name w:val="_Style 158"/>
    <w:next w:val="1"/>
    <w:qFormat/>
    <w:uiPriority w:val="0"/>
    <w:pPr>
      <w:widowControl w:val="0"/>
    </w:pPr>
    <w:rPr>
      <w:rFonts w:ascii="Times New Roman" w:hAnsi="Times New Roman" w:eastAsia="宋体" w:cs="MingLiU_HKSCS"/>
      <w:color w:val="000000"/>
      <w:sz w:val="24"/>
      <w:szCs w:val="24"/>
      <w:lang w:val="zh-CN" w:eastAsia="zh-CN" w:bidi="ar-SA"/>
    </w:rPr>
  </w:style>
  <w:style w:type="paragraph" w:customStyle="1" w:styleId="754">
    <w:name w:val="Char Char1 Char Char Char Char1"/>
    <w:basedOn w:val="26"/>
    <w:qFormat/>
    <w:uiPriority w:val="0"/>
    <w:pPr>
      <w:shd w:val="clear" w:color="auto" w:fill="000080"/>
      <w:jc w:val="both"/>
    </w:pPr>
    <w:rPr>
      <w:rFonts w:ascii="Times New Roman"/>
      <w:color w:val="auto"/>
      <w:kern w:val="2"/>
      <w:sz w:val="21"/>
      <w:szCs w:val="24"/>
      <w:lang w:val="en-US" w:eastAsia="zh-CN"/>
    </w:rPr>
  </w:style>
  <w:style w:type="paragraph" w:customStyle="1" w:styleId="755">
    <w:name w:val=" Char Char Char Char Char Char2 Char Char Char Char Char Char1 Char Char Char Char"/>
    <w:basedOn w:val="1"/>
    <w:qFormat/>
    <w:uiPriority w:val="0"/>
    <w:pPr>
      <w:spacing w:line="360" w:lineRule="auto"/>
      <w:ind w:firstLine="200" w:firstLineChars="200"/>
      <w:jc w:val="both"/>
    </w:pPr>
    <w:rPr>
      <w:rFonts w:ascii="Times New Roman" w:hAnsi="Times New Roman" w:eastAsia="宋体" w:cs="Times New Roman"/>
      <w:color w:val="auto"/>
      <w:kern w:val="2"/>
      <w:sz w:val="21"/>
      <w:lang w:val="en-US"/>
    </w:rPr>
  </w:style>
  <w:style w:type="paragraph" w:customStyle="1" w:styleId="756">
    <w:name w:val="3"/>
    <w:basedOn w:val="1"/>
    <w:next w:val="70"/>
    <w:qFormat/>
    <w:uiPriority w:val="0"/>
    <w:pPr>
      <w:snapToGrid w:val="0"/>
      <w:spacing w:line="440" w:lineRule="exact"/>
      <w:ind w:left="960" w:leftChars="400"/>
      <w:jc w:val="both"/>
    </w:pPr>
    <w:rPr>
      <w:rFonts w:ascii="Calibri" w:hAnsi="Calibri" w:cs="Times New Roman"/>
      <w:color w:val="auto"/>
      <w:kern w:val="2"/>
      <w:sz w:val="21"/>
      <w:szCs w:val="21"/>
      <w:lang w:val="en-US"/>
    </w:rPr>
  </w:style>
  <w:style w:type="paragraph" w:customStyle="1" w:styleId="757">
    <w:name w:val="Body text|1"/>
    <w:basedOn w:val="1"/>
    <w:qFormat/>
    <w:uiPriority w:val="0"/>
    <w:pPr>
      <w:spacing w:line="441" w:lineRule="auto"/>
      <w:ind w:firstLine="400"/>
      <w:jc w:val="both"/>
    </w:pPr>
    <w:rPr>
      <w:rFonts w:ascii="宋体" w:hAnsi="宋体" w:cs="宋体"/>
      <w:color w:val="auto"/>
      <w:kern w:val="2"/>
      <w:sz w:val="20"/>
      <w:szCs w:val="20"/>
      <w:lang w:val="zh-TW" w:eastAsia="zh-TW" w:bidi="zh-TW"/>
    </w:rPr>
  </w:style>
  <w:style w:type="paragraph" w:customStyle="1" w:styleId="758">
    <w:name w:val="标题 3m1"/>
    <w:basedOn w:val="759"/>
    <w:qFormat/>
    <w:uiPriority w:val="0"/>
    <w:pPr>
      <w:ind w:left="1985" w:hanging="567"/>
    </w:pPr>
  </w:style>
  <w:style w:type="paragraph" w:customStyle="1" w:styleId="759">
    <w:name w:val="标题 3m"/>
    <w:basedOn w:val="6"/>
    <w:qFormat/>
    <w:uiPriority w:val="0"/>
    <w:pPr>
      <w:keepNext w:val="0"/>
      <w:keepLines w:val="0"/>
      <w:widowControl w:val="0"/>
      <w:numPr>
        <w:ilvl w:val="0"/>
        <w:numId w:val="0"/>
      </w:numPr>
      <w:tabs>
        <w:tab w:val="clear" w:pos="3229"/>
      </w:tabs>
      <w:autoSpaceDE w:val="0"/>
      <w:autoSpaceDN w:val="0"/>
      <w:adjustRightInd w:val="0"/>
      <w:spacing w:before="0" w:after="0" w:line="360" w:lineRule="atLeast"/>
      <w:ind w:left="1560" w:hanging="426"/>
      <w:jc w:val="both"/>
      <w:outlineLvl w:val="9"/>
    </w:pPr>
    <w:rPr>
      <w:rFonts w:ascii="宋体"/>
      <w:sz w:val="24"/>
      <w:szCs w:val="24"/>
      <w:lang w:val="en-US" w:eastAsia="zh-CN"/>
    </w:rPr>
  </w:style>
  <w:style w:type="paragraph" w:customStyle="1" w:styleId="760">
    <w:name w:val="Char Char Char Char Char"/>
    <w:basedOn w:val="1"/>
    <w:qFormat/>
    <w:uiPriority w:val="0"/>
    <w:pPr>
      <w:widowControl/>
      <w:spacing w:after="160" w:line="240" w:lineRule="exact"/>
      <w:jc w:val="center"/>
    </w:pPr>
    <w:rPr>
      <w:rFonts w:ascii="黑体" w:hAnsi="Verdana" w:eastAsia="黑体" w:cs="Times New Roman"/>
      <w:color w:val="auto"/>
      <w:sz w:val="32"/>
      <w:szCs w:val="32"/>
      <w:lang w:val="en-US" w:eastAsia="en-US"/>
    </w:rPr>
  </w:style>
  <w:style w:type="paragraph" w:customStyle="1" w:styleId="761">
    <w:name w:val="双签字"/>
    <w:basedOn w:val="1"/>
    <w:qFormat/>
    <w:uiPriority w:val="0"/>
    <w:pPr>
      <w:adjustRightInd w:val="0"/>
      <w:snapToGrid w:val="0"/>
      <w:spacing w:line="440" w:lineRule="exact"/>
      <w:ind w:left="1200" w:leftChars="1200"/>
      <w:jc w:val="both"/>
    </w:pPr>
    <w:rPr>
      <w:rFonts w:ascii="Calibri" w:hAnsi="Calibri" w:cs="Times New Roman"/>
      <w:color w:val="auto"/>
      <w:kern w:val="2"/>
      <w:szCs w:val="20"/>
      <w:lang w:val="en-US"/>
    </w:rPr>
  </w:style>
  <w:style w:type="paragraph" w:customStyle="1" w:styleId="762">
    <w:name w:val="xl39"/>
    <w:basedOn w:val="1"/>
    <w:qFormat/>
    <w:uiPriority w:val="0"/>
    <w:pPr>
      <w:widowControl/>
      <w:pBdr>
        <w:top w:val="single" w:color="auto" w:sz="4" w:space="0"/>
        <w:lef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6"/>
      <w:szCs w:val="26"/>
      <w:lang w:val="en-US"/>
    </w:rPr>
  </w:style>
  <w:style w:type="paragraph" w:customStyle="1" w:styleId="764">
    <w:name w:val="BB"/>
    <w:basedOn w:val="765"/>
    <w:qFormat/>
    <w:uiPriority w:val="0"/>
    <w:pPr>
      <w:tabs>
        <w:tab w:val="left" w:pos="993"/>
        <w:tab w:val="left" w:pos="1134"/>
      </w:tabs>
      <w:ind w:firstLine="0"/>
    </w:pPr>
    <w:rPr>
      <w:spacing w:val="0"/>
    </w:rPr>
  </w:style>
  <w:style w:type="paragraph" w:customStyle="1" w:styleId="765">
    <w:name w:val="BT3"/>
    <w:basedOn w:val="1"/>
    <w:qFormat/>
    <w:uiPriority w:val="0"/>
    <w:pPr>
      <w:tabs>
        <w:tab w:val="left" w:pos="1134"/>
      </w:tabs>
      <w:autoSpaceDE w:val="0"/>
      <w:autoSpaceDN w:val="0"/>
      <w:adjustRightInd w:val="0"/>
      <w:spacing w:before="60" w:after="60" w:line="360" w:lineRule="atLeast"/>
      <w:ind w:left="1134" w:hanging="1134"/>
      <w:jc w:val="both"/>
    </w:pPr>
    <w:rPr>
      <w:rFonts w:ascii="宋体" w:hAnsi="Calibri" w:cs="Times New Roman"/>
      <w:color w:val="auto"/>
      <w:spacing w:val="5"/>
      <w:szCs w:val="20"/>
      <w:lang w:val="en-US"/>
    </w:rPr>
  </w:style>
  <w:style w:type="paragraph" w:customStyle="1" w:styleId="766">
    <w:name w:val="Table Paragraph"/>
    <w:basedOn w:val="1"/>
    <w:qFormat/>
    <w:uiPriority w:val="1"/>
    <w:pPr>
      <w:autoSpaceDE w:val="0"/>
      <w:autoSpaceDN w:val="0"/>
    </w:pPr>
    <w:rPr>
      <w:rFonts w:ascii="宋体" w:hAnsi="宋体" w:cs="宋体"/>
      <w:color w:val="auto"/>
      <w:sz w:val="22"/>
      <w:szCs w:val="22"/>
      <w:lang w:bidi="zh-CN"/>
    </w:rPr>
  </w:style>
  <w:style w:type="paragraph" w:customStyle="1" w:styleId="767">
    <w:name w:val="list2"/>
    <w:basedOn w:val="698"/>
    <w:qFormat/>
    <w:uiPriority w:val="0"/>
    <w:pPr>
      <w:tabs>
        <w:tab w:val="left" w:pos="993"/>
      </w:tabs>
      <w:spacing w:line="360" w:lineRule="atLeast"/>
      <w:ind w:hanging="340"/>
    </w:pPr>
    <w:rPr>
      <w:sz w:val="24"/>
    </w:rPr>
  </w:style>
  <w:style w:type="paragraph" w:customStyle="1" w:styleId="768">
    <w:name w:val="Char Char Char Char1 Char Char Char"/>
    <w:basedOn w:val="1"/>
    <w:qFormat/>
    <w:uiPriority w:val="0"/>
    <w:pPr>
      <w:jc w:val="both"/>
    </w:pPr>
    <w:rPr>
      <w:rFonts w:ascii="Times New Roman" w:hAnsi="Times New Roman" w:eastAsia="宋体" w:cs="Times New Roman"/>
      <w:color w:val="auto"/>
      <w:kern w:val="2"/>
      <w:sz w:val="21"/>
      <w:szCs w:val="22"/>
      <w:lang w:val="en-US"/>
    </w:rPr>
  </w:style>
  <w:style w:type="paragraph" w:customStyle="1" w:styleId="769">
    <w:name w:val="报告正文"/>
    <w:basedOn w:val="1"/>
    <w:qFormat/>
    <w:uiPriority w:val="0"/>
    <w:pPr>
      <w:autoSpaceDE w:val="0"/>
      <w:autoSpaceDN w:val="0"/>
      <w:adjustRightInd w:val="0"/>
      <w:spacing w:line="480" w:lineRule="atLeast"/>
      <w:jc w:val="both"/>
    </w:pPr>
    <w:rPr>
      <w:rFonts w:ascii="宋体" w:hAnsi="Calibri" w:cs="Times New Roman"/>
      <w:color w:val="auto"/>
      <w:sz w:val="28"/>
      <w:szCs w:val="20"/>
      <w:lang w:val="en-US"/>
    </w:rPr>
  </w:style>
  <w:style w:type="paragraph" w:customStyle="1" w:styleId="770">
    <w:name w:val="xl112"/>
    <w:basedOn w:val="1"/>
    <w:qFormat/>
    <w:uiPriority w:val="0"/>
    <w:pPr>
      <w:widowControl/>
      <w:pBdr>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71">
    <w:name w:val="样式 标题 4 + 段后: 6 磅"/>
    <w:basedOn w:val="7"/>
    <w:qFormat/>
    <w:uiPriority w:val="0"/>
    <w:pPr>
      <w:keepNext w:val="0"/>
      <w:spacing w:beforeLines="50" w:line="440" w:lineRule="exact"/>
      <w:ind w:firstLine="0"/>
      <w:textAlignment w:val="auto"/>
    </w:pPr>
    <w:rPr>
      <w:rFonts w:ascii="宋体" w:hAnsi="宋体" w:cs="宋体"/>
      <w:bCs/>
      <w:i w:val="0"/>
      <w:sz w:val="32"/>
      <w:szCs w:val="32"/>
    </w:rPr>
  </w:style>
  <w:style w:type="paragraph" w:customStyle="1" w:styleId="772">
    <w:name w:val="xl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73">
    <w:name w:val="font7"/>
    <w:basedOn w:val="1"/>
    <w:qFormat/>
    <w:uiPriority w:val="0"/>
    <w:pPr>
      <w:widowControl/>
      <w:spacing w:before="100" w:beforeAutospacing="1" w:after="100" w:afterAutospacing="1"/>
    </w:pPr>
    <w:rPr>
      <w:rFonts w:ascii="Calibri" w:hAnsi="Calibri" w:eastAsia="Arial Unicode MS" w:cs="Arial Unicode MS"/>
      <w:color w:val="auto"/>
      <w:lang w:val="en-US"/>
    </w:rPr>
  </w:style>
  <w:style w:type="paragraph" w:customStyle="1" w:styleId="774">
    <w:name w:val="表头"/>
    <w:basedOn w:val="775"/>
    <w:qFormat/>
    <w:uiPriority w:val="0"/>
  </w:style>
  <w:style w:type="paragraph" w:customStyle="1" w:styleId="775">
    <w:name w:val="表格方字"/>
    <w:basedOn w:val="1"/>
    <w:qFormat/>
    <w:uiPriority w:val="0"/>
    <w:pPr>
      <w:adjustRightInd w:val="0"/>
      <w:spacing w:before="60" w:after="60" w:line="420" w:lineRule="atLeast"/>
      <w:textAlignment w:val="baseline"/>
    </w:pPr>
    <w:rPr>
      <w:rFonts w:ascii="Times New Roman" w:hAnsi="Times New Roman" w:eastAsia="宋体" w:cs="Times New Roman"/>
      <w:color w:val="auto"/>
      <w:sz w:val="21"/>
      <w:szCs w:val="20"/>
      <w:lang w:val="en-US"/>
    </w:rPr>
  </w:style>
  <w:style w:type="paragraph" w:customStyle="1" w:styleId="776">
    <w:name w:val="样式 样式 样式 标题 2 + 小三 黑色1 + 段前: 1 行 段后: 1 行 + 段前: 0.5 行 段后: 0.5 行"/>
    <w:basedOn w:val="689"/>
    <w:qFormat/>
    <w:uiPriority w:val="0"/>
    <w:pPr>
      <w:spacing w:before="120" w:beforeLines="0" w:after="120" w:afterLines="0"/>
    </w:pPr>
  </w:style>
  <w:style w:type="paragraph" w:customStyle="1" w:styleId="777">
    <w:name w:val="A"/>
    <w:basedOn w:val="1"/>
    <w:next w:val="1"/>
    <w:qFormat/>
    <w:uiPriority w:val="0"/>
    <w:pPr>
      <w:tabs>
        <w:tab w:val="left" w:pos="198"/>
      </w:tabs>
      <w:ind w:firstLine="476"/>
      <w:jc w:val="both"/>
    </w:pPr>
    <w:rPr>
      <w:rFonts w:ascii="Calibri" w:hAnsi="Calibri" w:cs="Times New Roman"/>
      <w:color w:val="auto"/>
      <w:kern w:val="2"/>
      <w:szCs w:val="20"/>
      <w:lang w:val="en-US"/>
    </w:rPr>
  </w:style>
  <w:style w:type="paragraph" w:customStyle="1" w:styleId="778">
    <w:name w:val="tj"/>
    <w:basedOn w:val="779"/>
    <w:qFormat/>
    <w:uiPriority w:val="0"/>
    <w:pPr>
      <w:tabs>
        <w:tab w:val="left" w:pos="1134"/>
      </w:tabs>
      <w:autoSpaceDE w:val="0"/>
      <w:autoSpaceDN w:val="0"/>
      <w:ind w:left="0" w:right="170" w:firstLine="0"/>
    </w:pPr>
    <w:rPr>
      <w:rFonts w:ascii="宋体" w:hAnsi="Times New Roman"/>
      <w:sz w:val="20"/>
      <w:szCs w:val="24"/>
    </w:rPr>
  </w:style>
  <w:style w:type="paragraph" w:customStyle="1" w:styleId="779">
    <w:name w:val="1.1.1.1"/>
    <w:basedOn w:val="1"/>
    <w:qFormat/>
    <w:uiPriority w:val="0"/>
    <w:pPr>
      <w:tabs>
        <w:tab w:val="left" w:pos="1134"/>
      </w:tabs>
      <w:adjustRightInd w:val="0"/>
      <w:spacing w:before="60" w:after="60" w:line="360" w:lineRule="atLeast"/>
      <w:ind w:left="1134" w:hanging="1134"/>
      <w:jc w:val="both"/>
    </w:pPr>
    <w:rPr>
      <w:rFonts w:ascii="Arial" w:hAnsi="Arial" w:cs="Times New Roman"/>
      <w:color w:val="auto"/>
      <w:szCs w:val="20"/>
      <w:lang w:val="en-US"/>
    </w:rPr>
  </w:style>
  <w:style w:type="paragraph" w:customStyle="1" w:styleId="780">
    <w:name w:val="合同书"/>
    <w:basedOn w:val="1"/>
    <w:qFormat/>
    <w:uiPriority w:val="0"/>
    <w:pPr>
      <w:jc w:val="center"/>
    </w:pPr>
    <w:rPr>
      <w:rFonts w:ascii="黑体" w:hAnsi="宋体" w:eastAsia="黑体" w:cs="Times New Roman"/>
      <w:b/>
      <w:color w:val="auto"/>
      <w:kern w:val="2"/>
      <w:sz w:val="32"/>
      <w:szCs w:val="32"/>
      <w:lang w:val="en-US"/>
    </w:rPr>
  </w:style>
  <w:style w:type="paragraph" w:customStyle="1" w:styleId="781">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82">
    <w:name w:val="正文样式 Char"/>
    <w:basedOn w:val="1"/>
    <w:qFormat/>
    <w:uiPriority w:val="0"/>
    <w:pPr>
      <w:snapToGrid w:val="0"/>
      <w:spacing w:after="120" w:line="500" w:lineRule="exact"/>
      <w:ind w:firstLine="610" w:firstLineChars="218"/>
    </w:pPr>
    <w:rPr>
      <w:rFonts w:ascii="宋体" w:hAnsi="宋体" w:cs="Times New Roman"/>
      <w:bCs/>
      <w:color w:val="auto"/>
      <w:kern w:val="2"/>
      <w:sz w:val="28"/>
      <w:szCs w:val="28"/>
      <w:lang w:val="en-US"/>
    </w:rPr>
  </w:style>
  <w:style w:type="paragraph" w:customStyle="1" w:styleId="783">
    <w:name w:val="xl11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84">
    <w:name w:val="LY列表1"/>
    <w:basedOn w:val="37"/>
    <w:qFormat/>
    <w:uiPriority w:val="0"/>
    <w:pPr>
      <w:snapToGrid w:val="0"/>
      <w:spacing w:before="120"/>
      <w:ind w:left="840" w:leftChars="0" w:hanging="420" w:firstLineChars="0"/>
    </w:pPr>
    <w:rPr>
      <w:rFonts w:ascii="黑体" w:hAnsi="Albertus (W1)" w:eastAsia="黑体"/>
      <w:b/>
      <w:sz w:val="24"/>
    </w:rPr>
  </w:style>
  <w:style w:type="paragraph" w:customStyle="1" w:styleId="785">
    <w:name w:val="样式2"/>
    <w:basedOn w:val="1"/>
    <w:qFormat/>
    <w:uiPriority w:val="0"/>
    <w:pPr>
      <w:spacing w:line="360" w:lineRule="auto"/>
      <w:jc w:val="both"/>
    </w:pPr>
    <w:rPr>
      <w:rFonts w:ascii="Calibri" w:hAnsi="Calibri" w:cs="Times New Roman"/>
      <w:color w:val="auto"/>
      <w:kern w:val="2"/>
      <w:lang w:val="en-US"/>
    </w:rPr>
  </w:style>
  <w:style w:type="paragraph" w:customStyle="1" w:styleId="786">
    <w:name w:val="xl120"/>
    <w:basedOn w:val="1"/>
    <w:qFormat/>
    <w:uiPriority w:val="0"/>
    <w:pPr>
      <w:widowControl/>
      <w:pBdr>
        <w:top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87">
    <w:name w:val="xl45"/>
    <w:basedOn w:val="1"/>
    <w:qFormat/>
    <w:uiPriority w:val="0"/>
    <w:pPr>
      <w:widowControl/>
      <w:pBdr>
        <w:bottom w:val="single" w:color="auto" w:sz="4" w:space="0"/>
      </w:pBdr>
      <w:spacing w:before="100" w:beforeAutospacing="1" w:after="100" w:afterAutospacing="1"/>
    </w:pPr>
    <w:rPr>
      <w:rFonts w:ascii="Arial Unicode MS" w:hAnsi="Arial Unicode MS" w:eastAsia="Arial Unicode MS" w:cs="Arial Unicode MS"/>
      <w:b/>
      <w:bCs/>
      <w:color w:val="auto"/>
      <w:sz w:val="20"/>
      <w:szCs w:val="20"/>
      <w:lang w:val="en-US"/>
    </w:rPr>
  </w:style>
  <w:style w:type="paragraph" w:customStyle="1" w:styleId="788">
    <w:name w:val="ml"/>
    <w:basedOn w:val="1"/>
    <w:qFormat/>
    <w:uiPriority w:val="0"/>
    <w:pPr>
      <w:tabs>
        <w:tab w:val="left" w:pos="0"/>
      </w:tabs>
      <w:autoSpaceDE w:val="0"/>
      <w:autoSpaceDN w:val="0"/>
      <w:adjustRightInd w:val="0"/>
      <w:spacing w:before="240" w:after="120" w:line="360" w:lineRule="atLeast"/>
      <w:jc w:val="center"/>
    </w:pPr>
    <w:rPr>
      <w:rFonts w:ascii="黑体" w:hAnsi="Calibri" w:eastAsia="黑体" w:cs="Times New Roman"/>
      <w:color w:val="auto"/>
      <w:sz w:val="32"/>
      <w:szCs w:val="20"/>
      <w:lang w:val="en-US"/>
    </w:rPr>
  </w:style>
  <w:style w:type="paragraph" w:customStyle="1" w:styleId="7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Times New Roman"/>
      <w:color w:val="auto"/>
      <w:sz w:val="20"/>
      <w:szCs w:val="20"/>
      <w:lang w:val="en-US"/>
    </w:rPr>
  </w:style>
  <w:style w:type="paragraph" w:customStyle="1" w:styleId="790">
    <w:name w:val="注释标题2"/>
    <w:basedOn w:val="1"/>
    <w:next w:val="1"/>
    <w:qFormat/>
    <w:uiPriority w:val="0"/>
    <w:pPr>
      <w:overflowPunct w:val="0"/>
      <w:autoSpaceDE w:val="0"/>
      <w:autoSpaceDN w:val="0"/>
      <w:adjustRightInd w:val="0"/>
      <w:spacing w:line="240" w:lineRule="exact"/>
      <w:jc w:val="center"/>
    </w:pPr>
    <w:rPr>
      <w:rFonts w:ascii="宋体" w:cs="Times New Roman"/>
      <w:b/>
      <w:color w:val="auto"/>
      <w:sz w:val="22"/>
      <w:szCs w:val="20"/>
      <w:u w:val="single"/>
      <w:lang w:val="en-US"/>
    </w:rPr>
  </w:style>
  <w:style w:type="paragraph" w:customStyle="1" w:styleId="791">
    <w:name w:val="样式 标题 3"/>
    <w:basedOn w:val="6"/>
    <w:qFormat/>
    <w:uiPriority w:val="0"/>
    <w:pPr>
      <w:keepNext w:val="0"/>
      <w:keepLines w:val="0"/>
      <w:widowControl w:val="0"/>
      <w:numPr>
        <w:ilvl w:val="0"/>
        <w:numId w:val="0"/>
      </w:numPr>
      <w:suppressLineNumbers/>
      <w:tabs>
        <w:tab w:val="left" w:pos="720"/>
        <w:tab w:val="clear" w:pos="3229"/>
      </w:tabs>
      <w:suppressAutoHyphens/>
      <w:autoSpaceDE w:val="0"/>
      <w:autoSpaceDN w:val="0"/>
      <w:adjustRightInd w:val="0"/>
      <w:spacing w:before="0" w:beforeLines="25" w:after="0"/>
      <w:jc w:val="left"/>
    </w:pPr>
    <w:rPr>
      <w:rFonts w:ascii="宋体" w:hAnsi="宋体" w:eastAsia="黑体"/>
      <w:color w:val="000000"/>
      <w:sz w:val="28"/>
      <w:szCs w:val="28"/>
      <w:lang w:val="en-US" w:eastAsia="zh-CN"/>
    </w:rPr>
  </w:style>
  <w:style w:type="paragraph" w:customStyle="1" w:styleId="792">
    <w:name w:val="简单回函地址"/>
    <w:basedOn w:val="1"/>
    <w:qFormat/>
    <w:uiPriority w:val="0"/>
    <w:pPr>
      <w:jc w:val="both"/>
    </w:pPr>
    <w:rPr>
      <w:rFonts w:ascii="Calibri" w:hAnsi="Calibri" w:cs="Times New Roman"/>
      <w:color w:val="auto"/>
      <w:kern w:val="2"/>
      <w:sz w:val="21"/>
      <w:lang w:val="en-US"/>
    </w:rPr>
  </w:style>
  <w:style w:type="paragraph" w:customStyle="1" w:styleId="793">
    <w:name w:val="xl103"/>
    <w:basedOn w:val="1"/>
    <w:qFormat/>
    <w:uiPriority w:val="0"/>
    <w:pPr>
      <w:widowControl/>
      <w:spacing w:before="100" w:beforeAutospacing="1" w:after="100" w:afterAutospacing="1"/>
    </w:pPr>
    <w:rPr>
      <w:rFonts w:ascii="Calibri" w:hAnsi="Calibri" w:cs="Times New Roman"/>
      <w:color w:val="auto"/>
      <w:sz w:val="28"/>
      <w:szCs w:val="28"/>
      <w:lang w:val="en-US"/>
    </w:rPr>
  </w:style>
  <w:style w:type="paragraph" w:customStyle="1" w:styleId="794">
    <w:name w:val="Char"/>
    <w:basedOn w:val="1"/>
    <w:qFormat/>
    <w:uiPriority w:val="0"/>
    <w:pPr>
      <w:jc w:val="both"/>
    </w:pPr>
    <w:rPr>
      <w:rFonts w:ascii="Times New Roman" w:hAnsi="Times New Roman" w:eastAsia="宋体" w:cs="Times New Roman"/>
      <w:color w:val="auto"/>
      <w:kern w:val="2"/>
      <w:sz w:val="21"/>
      <w:lang w:val="en-US"/>
    </w:rPr>
  </w:style>
  <w:style w:type="paragraph" w:customStyle="1" w:styleId="795">
    <w:name w:val="font9"/>
    <w:basedOn w:val="1"/>
    <w:qFormat/>
    <w:uiPriority w:val="0"/>
    <w:pPr>
      <w:widowControl/>
      <w:spacing w:before="100" w:beforeAutospacing="1" w:after="100" w:afterAutospacing="1"/>
    </w:pPr>
    <w:rPr>
      <w:rFonts w:ascii="Calibri" w:hAnsi="Calibri" w:eastAsia="Arial Unicode MS" w:cs="Times New Roman"/>
      <w:b/>
      <w:bCs/>
      <w:color w:val="auto"/>
      <w:sz w:val="20"/>
      <w:szCs w:val="20"/>
      <w:lang w:val="en-US"/>
    </w:rPr>
  </w:style>
  <w:style w:type="paragraph" w:customStyle="1" w:styleId="796">
    <w:name w:val="样式 样式 标题 3 + 段前: 0.25 行 段后: 0.25 行"/>
    <w:basedOn w:val="791"/>
    <w:qFormat/>
    <w:uiPriority w:val="0"/>
    <w:pPr>
      <w:tabs>
        <w:tab w:val="left" w:pos="356"/>
        <w:tab w:val="left" w:pos="820"/>
        <w:tab w:val="clear" w:pos="720"/>
      </w:tabs>
      <w:snapToGrid w:val="0"/>
      <w:spacing w:beforeLines="0"/>
      <w:ind w:firstLine="482" w:firstLineChars="200"/>
      <w:jc w:val="both"/>
    </w:pPr>
    <w:rPr>
      <w:bCs/>
      <w:sz w:val="24"/>
      <w:szCs w:val="24"/>
    </w:rPr>
  </w:style>
  <w:style w:type="paragraph" w:customStyle="1" w:styleId="797">
    <w:name w:val="_Style 796"/>
    <w:semiHidden/>
    <w:qFormat/>
    <w:uiPriority w:val="99"/>
    <w:rPr>
      <w:rFonts w:ascii="Times New Roman" w:hAnsi="Times New Roman" w:eastAsia="宋体" w:cs="MingLiU_HKSCS"/>
      <w:color w:val="000000"/>
      <w:sz w:val="24"/>
      <w:szCs w:val="24"/>
      <w:lang w:val="zh-CN" w:eastAsia="zh-CN" w:bidi="ar-SA"/>
    </w:rPr>
  </w:style>
  <w:style w:type="paragraph" w:customStyle="1" w:styleId="798">
    <w:name w:val="NNNN"/>
    <w:basedOn w:val="799"/>
    <w:qFormat/>
    <w:uiPriority w:val="0"/>
    <w:pPr>
      <w:tabs>
        <w:tab w:val="left" w:pos="1134"/>
      </w:tabs>
      <w:ind w:left="1843" w:firstLine="0"/>
    </w:pPr>
    <w:rPr>
      <w:rFonts w:ascii="宋体" w:hAnsi="Times New Roman"/>
    </w:rPr>
  </w:style>
  <w:style w:type="paragraph" w:customStyle="1" w:styleId="799">
    <w:name w:val="NNN"/>
    <w:basedOn w:val="800"/>
    <w:qFormat/>
    <w:uiPriority w:val="0"/>
    <w:pPr>
      <w:tabs>
        <w:tab w:val="left" w:pos="1134"/>
      </w:tabs>
      <w:spacing w:before="60" w:after="60"/>
      <w:ind w:left="1361" w:hanging="227"/>
    </w:pPr>
    <w:rPr>
      <w:rFonts w:ascii="Arial" w:hAnsi="Arial"/>
    </w:rPr>
  </w:style>
  <w:style w:type="paragraph" w:customStyle="1" w:styleId="800">
    <w:name w:val="NN"/>
    <w:basedOn w:val="1"/>
    <w:qFormat/>
    <w:uiPriority w:val="0"/>
    <w:pPr>
      <w:autoSpaceDE w:val="0"/>
      <w:autoSpaceDN w:val="0"/>
      <w:adjustRightInd w:val="0"/>
      <w:spacing w:line="360" w:lineRule="atLeast"/>
      <w:ind w:left="1134"/>
      <w:jc w:val="both"/>
    </w:pPr>
    <w:rPr>
      <w:rFonts w:ascii="宋体" w:hAnsi="Calibri" w:cs="Times New Roman"/>
      <w:color w:val="auto"/>
      <w:spacing w:val="5"/>
      <w:szCs w:val="20"/>
      <w:lang w:val="en-US"/>
    </w:rPr>
  </w:style>
  <w:style w:type="paragraph" w:customStyle="1" w:styleId="801">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Calibri" w:hAnsi="Calibri" w:cs="Times New Roman"/>
      <w:color w:val="auto"/>
      <w:lang w:val="en-US"/>
    </w:rPr>
  </w:style>
  <w:style w:type="paragraph" w:customStyle="1" w:styleId="802">
    <w:name w:val="xl11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803">
    <w:name w:val="正文11"/>
    <w:basedOn w:val="1"/>
    <w:qFormat/>
    <w:uiPriority w:val="0"/>
    <w:pPr>
      <w:spacing w:line="240" w:lineRule="atLeast"/>
      <w:ind w:firstLine="600" w:firstLineChars="200"/>
      <w:jc w:val="both"/>
    </w:pPr>
    <w:rPr>
      <w:rFonts w:ascii="Calibri" w:hAnsi="Calibri" w:cs="Times New Roman"/>
      <w:color w:val="auto"/>
      <w:spacing w:val="10"/>
      <w:kern w:val="2"/>
      <w:sz w:val="28"/>
      <w:szCs w:val="20"/>
      <w:lang w:val="en-US"/>
    </w:rPr>
  </w:style>
  <w:style w:type="paragraph" w:customStyle="1" w:styleId="804">
    <w:name w:val="文件头"/>
    <w:basedOn w:val="1"/>
    <w:next w:val="1"/>
    <w:qFormat/>
    <w:uiPriority w:val="0"/>
    <w:pPr>
      <w:autoSpaceDE w:val="0"/>
      <w:autoSpaceDN w:val="0"/>
      <w:adjustRightInd w:val="0"/>
      <w:spacing w:before="300" w:after="300" w:line="360" w:lineRule="atLeast"/>
      <w:jc w:val="center"/>
    </w:pPr>
    <w:rPr>
      <w:rFonts w:ascii="黑体" w:hAnsi="Calibri" w:eastAsia="黑体" w:cs="Times New Roman"/>
      <w:color w:val="auto"/>
      <w:sz w:val="32"/>
      <w:szCs w:val="20"/>
      <w:lang w:val="en-US"/>
    </w:rPr>
  </w:style>
  <w:style w:type="paragraph" w:customStyle="1" w:styleId="805">
    <w:name w:val="xl7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06">
    <w:name w:val="表头文字"/>
    <w:basedOn w:val="1"/>
    <w:qFormat/>
    <w:uiPriority w:val="0"/>
    <w:pPr>
      <w:snapToGrid w:val="0"/>
      <w:spacing w:line="560" w:lineRule="exact"/>
      <w:jc w:val="center"/>
    </w:pPr>
    <w:rPr>
      <w:rFonts w:ascii="宋体" w:hAnsi="宋体" w:cs="Times New Roman"/>
      <w:b/>
      <w:color w:val="auto"/>
      <w:spacing w:val="-10"/>
      <w:szCs w:val="30"/>
      <w:lang w:val="en-US"/>
    </w:rPr>
  </w:style>
  <w:style w:type="paragraph" w:customStyle="1" w:styleId="807">
    <w:name w:val="xl74"/>
    <w:basedOn w:val="1"/>
    <w:qFormat/>
    <w:uiPriority w:val="0"/>
    <w:pPr>
      <w:widowControl/>
      <w:pBdr>
        <w:top w:val="single" w:color="auto" w:sz="4" w:space="0"/>
        <w:lef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0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809">
    <w:name w:val="正文文本 21"/>
    <w:basedOn w:val="1"/>
    <w:qFormat/>
    <w:uiPriority w:val="0"/>
    <w:pPr>
      <w:overflowPunct w:val="0"/>
      <w:autoSpaceDE w:val="0"/>
      <w:autoSpaceDN w:val="0"/>
      <w:adjustRightInd w:val="0"/>
      <w:spacing w:line="240" w:lineRule="exact"/>
      <w:ind w:left="431" w:hanging="431"/>
      <w:jc w:val="both"/>
    </w:pPr>
    <w:rPr>
      <w:rFonts w:ascii="宋体" w:hAnsi="Calibri" w:cs="Times New Roman"/>
      <w:color w:val="auto"/>
      <w:sz w:val="21"/>
      <w:szCs w:val="20"/>
      <w:lang w:val="en-US"/>
    </w:rPr>
  </w:style>
  <w:style w:type="paragraph" w:customStyle="1" w:styleId="81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81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12">
    <w:name w:val="Normalk"/>
    <w:basedOn w:val="1"/>
    <w:qFormat/>
    <w:uiPriority w:val="0"/>
    <w:pPr>
      <w:tabs>
        <w:tab w:val="left" w:pos="1985"/>
      </w:tabs>
      <w:autoSpaceDE w:val="0"/>
      <w:autoSpaceDN w:val="0"/>
      <w:adjustRightInd w:val="0"/>
      <w:spacing w:before="60" w:after="60" w:line="360" w:lineRule="atLeast"/>
      <w:ind w:left="1985" w:hanging="851"/>
      <w:jc w:val="both"/>
    </w:pPr>
    <w:rPr>
      <w:rFonts w:ascii="宋体" w:hAnsi="Calibri" w:cs="Times New Roman"/>
      <w:color w:val="auto"/>
      <w:szCs w:val="20"/>
      <w:lang w:val="en-US"/>
    </w:rPr>
  </w:style>
  <w:style w:type="paragraph" w:styleId="813">
    <w:name w:val="List Paragraph"/>
    <w:basedOn w:val="1"/>
    <w:qFormat/>
    <w:uiPriority w:val="0"/>
    <w:pPr>
      <w:ind w:firstLine="420" w:firstLineChars="200"/>
    </w:pPr>
  </w:style>
  <w:style w:type="paragraph" w:customStyle="1" w:styleId="814">
    <w:name w:val="表格6"/>
    <w:basedOn w:val="815"/>
    <w:qFormat/>
    <w:uiPriority w:val="0"/>
  </w:style>
  <w:style w:type="paragraph" w:customStyle="1" w:styleId="815">
    <w:name w:val="表格5"/>
    <w:basedOn w:val="816"/>
    <w:qFormat/>
    <w:uiPriority w:val="0"/>
  </w:style>
  <w:style w:type="paragraph" w:customStyle="1" w:styleId="816">
    <w:name w:val="表格2"/>
    <w:basedOn w:val="1"/>
    <w:qFormat/>
    <w:uiPriority w:val="0"/>
    <w:pPr>
      <w:adjustRightInd w:val="0"/>
      <w:spacing w:line="420" w:lineRule="atLeast"/>
      <w:ind w:left="284" w:firstLine="454"/>
      <w:jc w:val="both"/>
      <w:textAlignment w:val="baseline"/>
    </w:pPr>
    <w:rPr>
      <w:rFonts w:ascii="Times New Roman" w:hAnsi="Times New Roman" w:eastAsia="宋体" w:cs="Times New Roman"/>
      <w:color w:val="auto"/>
      <w:sz w:val="21"/>
      <w:szCs w:val="20"/>
      <w:lang w:val="en-US"/>
    </w:rPr>
  </w:style>
  <w:style w:type="paragraph" w:customStyle="1" w:styleId="817">
    <w:name w:val="设计方案"/>
    <w:basedOn w:val="1"/>
    <w:qFormat/>
    <w:uiPriority w:val="0"/>
    <w:pPr>
      <w:widowControl/>
      <w:spacing w:after="160" w:line="240" w:lineRule="exact"/>
    </w:pPr>
    <w:rPr>
      <w:rFonts w:ascii="Verdana" w:hAnsi="Verdana" w:cs="Times New Roman"/>
      <w:color w:val="auto"/>
      <w:sz w:val="21"/>
      <w:szCs w:val="20"/>
      <w:lang w:val="en-US" w:eastAsia="en-US"/>
    </w:rPr>
  </w:style>
  <w:style w:type="paragraph" w:customStyle="1" w:styleId="818">
    <w:name w:val="投标文件3"/>
    <w:basedOn w:val="1"/>
    <w:qFormat/>
    <w:uiPriority w:val="0"/>
    <w:pPr>
      <w:widowControl/>
      <w:spacing w:line="360" w:lineRule="auto"/>
      <w:jc w:val="both"/>
    </w:pPr>
    <w:rPr>
      <w:rFonts w:ascii="宋体" w:hAnsi="Courier New" w:eastAsia="黑体" w:cs="Times New Roman"/>
      <w:b/>
      <w:color w:val="auto"/>
      <w:kern w:val="2"/>
      <w:sz w:val="30"/>
      <w:szCs w:val="20"/>
      <w:lang w:val="en-US"/>
    </w:rPr>
  </w:style>
  <w:style w:type="paragraph" w:customStyle="1" w:styleId="819">
    <w:name w:val="表中"/>
    <w:basedOn w:val="1"/>
    <w:qFormat/>
    <w:uiPriority w:val="0"/>
    <w:pPr>
      <w:adjustRightInd w:val="0"/>
      <w:spacing w:line="360" w:lineRule="atLeast"/>
      <w:jc w:val="center"/>
      <w:textAlignment w:val="baseline"/>
    </w:pPr>
    <w:rPr>
      <w:rFonts w:ascii="Times New Roman" w:hAnsi="Times New Roman" w:eastAsia="宋体" w:cs="Times New Roman"/>
      <w:color w:val="auto"/>
      <w:sz w:val="21"/>
      <w:szCs w:val="20"/>
      <w:lang w:val="en-US"/>
    </w:rPr>
  </w:style>
  <w:style w:type="paragraph" w:customStyle="1" w:styleId="82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21">
    <w:name w:val="xl70"/>
    <w:basedOn w:val="1"/>
    <w:qFormat/>
    <w:uiPriority w:val="0"/>
    <w:pPr>
      <w:widowControl/>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22">
    <w:name w:val="样式 (西文) 宋体 四号 行距: 1.5 倍行距 首行缩进:  2 字符"/>
    <w:basedOn w:val="1"/>
    <w:qFormat/>
    <w:uiPriority w:val="0"/>
    <w:pPr>
      <w:spacing w:before="100" w:beforeAutospacing="1" w:line="360" w:lineRule="auto"/>
      <w:ind w:firstLine="200" w:firstLineChars="200"/>
      <w:jc w:val="both"/>
    </w:pPr>
    <w:rPr>
      <w:rFonts w:ascii="宋体" w:hAnsi="宋体" w:cs="宋体"/>
      <w:color w:val="auto"/>
      <w:kern w:val="2"/>
      <w:sz w:val="28"/>
      <w:szCs w:val="20"/>
      <w:lang w:val="en-US"/>
    </w:rPr>
  </w:style>
  <w:style w:type="paragraph" w:customStyle="1" w:styleId="823">
    <w:name w:val="题目"/>
    <w:basedOn w:val="1"/>
    <w:qFormat/>
    <w:uiPriority w:val="0"/>
    <w:pPr>
      <w:spacing w:beforeLines="200"/>
      <w:jc w:val="center"/>
    </w:pPr>
    <w:rPr>
      <w:rFonts w:ascii="黑体" w:hAnsi="Calibri" w:eastAsia="黑体" w:cs="Times New Roman"/>
      <w:color w:val="C00000"/>
      <w:kern w:val="2"/>
      <w:sz w:val="28"/>
      <w:szCs w:val="28"/>
      <w:lang w:val="en-US"/>
    </w:rPr>
  </w:style>
  <w:style w:type="paragraph" w:customStyle="1" w:styleId="824">
    <w:name w:val="1.1.1.1A"/>
    <w:basedOn w:val="1"/>
    <w:qFormat/>
    <w:uiPriority w:val="0"/>
    <w:pPr>
      <w:tabs>
        <w:tab w:val="left" w:pos="1134"/>
        <w:tab w:val="left" w:pos="1843"/>
      </w:tabs>
      <w:adjustRightInd w:val="0"/>
      <w:spacing w:before="60" w:after="60" w:line="360" w:lineRule="atLeast"/>
      <w:ind w:left="1560" w:hanging="426"/>
      <w:jc w:val="both"/>
    </w:pPr>
    <w:rPr>
      <w:rFonts w:ascii="Arial" w:hAnsi="Arial" w:cs="Times New Roman"/>
      <w:color w:val="auto"/>
      <w:szCs w:val="20"/>
      <w:lang w:val="en-US"/>
    </w:rPr>
  </w:style>
  <w:style w:type="paragraph" w:customStyle="1" w:styleId="825">
    <w:name w:val="fi-1560li1560ri-194sb60s"/>
    <w:qFormat/>
    <w:uiPriority w:val="0"/>
    <w:pPr>
      <w:widowControl w:val="0"/>
      <w:autoSpaceDE w:val="0"/>
      <w:autoSpaceDN w:val="0"/>
      <w:adjustRightInd w:val="0"/>
      <w:jc w:val="both"/>
    </w:pPr>
    <w:rPr>
      <w:rFonts w:ascii="楷体_GB2312" w:hAnsi="Calibri" w:eastAsia="楷体_GB2312" w:cs="Times New Roman"/>
      <w:lang w:val="en-US" w:eastAsia="zh-CN" w:bidi="ar-SA"/>
    </w:rPr>
  </w:style>
  <w:style w:type="paragraph" w:customStyle="1" w:styleId="826">
    <w:name w:val="表"/>
    <w:basedOn w:val="1"/>
    <w:qFormat/>
    <w:uiPriority w:val="0"/>
    <w:pPr>
      <w:adjustRightInd w:val="0"/>
      <w:spacing w:line="360" w:lineRule="atLeast"/>
      <w:ind w:hanging="18"/>
      <w:jc w:val="both"/>
      <w:textAlignment w:val="baseline"/>
    </w:pPr>
    <w:rPr>
      <w:rFonts w:ascii="宋体" w:hAnsi="宋体" w:eastAsia="宋体" w:cs="Times New Roman"/>
      <w:snapToGrid w:val="0"/>
      <w:color w:val="auto"/>
      <w:spacing w:val="-2"/>
      <w:sz w:val="21"/>
      <w:szCs w:val="21"/>
      <w:lang w:val="en-US" w:bidi="he-IL"/>
    </w:rPr>
  </w:style>
  <w:style w:type="paragraph" w:customStyle="1" w:styleId="827">
    <w:name w:val="样式 标题 2标题 2（报告）标题 2（报告）(3黑) + 三号 首行缩进:  2.1 字符 段前: 1 行"/>
    <w:basedOn w:val="4"/>
    <w:qFormat/>
    <w:uiPriority w:val="0"/>
    <w:pPr>
      <w:spacing w:before="312" w:after="0" w:line="360" w:lineRule="auto"/>
      <w:ind w:firstLine="675"/>
    </w:pPr>
    <w:rPr>
      <w:rFonts w:eastAsia="宋体" w:cs="宋体"/>
      <w:b/>
      <w:i w:val="0"/>
      <w:iCs w:val="0"/>
      <w:kern w:val="0"/>
      <w:sz w:val="28"/>
      <w:lang w:val="en-US" w:eastAsia="zh-CN"/>
    </w:rPr>
  </w:style>
  <w:style w:type="paragraph" w:customStyle="1" w:styleId="828">
    <w:name w:val="表格3"/>
    <w:basedOn w:val="1"/>
    <w:qFormat/>
    <w:uiPriority w:val="0"/>
    <w:pPr>
      <w:adjustRightInd w:val="0"/>
      <w:spacing w:line="420" w:lineRule="atLeast"/>
      <w:jc w:val="both"/>
      <w:textAlignment w:val="baseline"/>
    </w:pPr>
    <w:rPr>
      <w:rFonts w:ascii="Times New Roman" w:hAnsi="Times New Roman" w:eastAsia="楷体" w:cs="Times New Roman"/>
      <w:color w:val="auto"/>
      <w:sz w:val="21"/>
      <w:szCs w:val="20"/>
      <w:lang w:val="en-US"/>
    </w:rPr>
  </w:style>
  <w:style w:type="paragraph" w:customStyle="1" w:styleId="829">
    <w:name w:val="A.aa"/>
    <w:basedOn w:val="1"/>
    <w:qFormat/>
    <w:uiPriority w:val="0"/>
    <w:pPr>
      <w:tabs>
        <w:tab w:val="left" w:pos="0"/>
        <w:tab w:val="left" w:pos="1560"/>
        <w:tab w:val="left" w:pos="8505"/>
      </w:tabs>
      <w:autoSpaceDE w:val="0"/>
      <w:autoSpaceDN w:val="0"/>
      <w:adjustRightInd w:val="0"/>
      <w:spacing w:before="60" w:after="60" w:line="360" w:lineRule="atLeast"/>
      <w:ind w:left="1560" w:right="-194" w:hanging="1560"/>
      <w:jc w:val="both"/>
    </w:pPr>
    <w:rPr>
      <w:rFonts w:ascii="Arial" w:hAnsi="Arial" w:cs="Times New Roman"/>
      <w:color w:val="auto"/>
      <w:szCs w:val="20"/>
      <w:lang w:val="en-US"/>
    </w:rPr>
  </w:style>
  <w:style w:type="paragraph" w:customStyle="1" w:styleId="830">
    <w:name w:val="xl71"/>
    <w:basedOn w:val="1"/>
    <w:qFormat/>
    <w:uiPriority w:val="0"/>
    <w:pPr>
      <w:widowControl/>
      <w:pBdr>
        <w:left w:val="single" w:color="auto" w:sz="4" w:space="0"/>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31">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32">
    <w:name w:val="xl41"/>
    <w:basedOn w:val="1"/>
    <w:qFormat/>
    <w:uiPriority w:val="0"/>
    <w:pPr>
      <w:widowControl/>
      <w:pBdr>
        <w:bottom w:val="single" w:color="auto" w:sz="4" w:space="0"/>
        <w:right w:val="single" w:color="auto" w:sz="4" w:space="0"/>
      </w:pBdr>
      <w:spacing w:before="100" w:beforeAutospacing="1" w:after="100" w:afterAutospacing="1"/>
      <w:jc w:val="both"/>
      <w:textAlignment w:val="center"/>
    </w:pPr>
    <w:rPr>
      <w:rFonts w:ascii="宋体" w:hAnsi="宋体" w:eastAsia="宋体" w:cs="Times New Roman"/>
      <w:color w:val="auto"/>
      <w:lang w:val="en-US"/>
    </w:rPr>
  </w:style>
  <w:style w:type="paragraph" w:customStyle="1" w:styleId="833">
    <w:name w:val="_Style 832"/>
    <w:basedOn w:val="3"/>
    <w:next w:val="1"/>
    <w:qFormat/>
    <w:uiPriority w:val="99"/>
    <w:pPr>
      <w:widowControl/>
      <w:spacing w:before="480" w:after="0" w:line="276" w:lineRule="auto"/>
      <w:jc w:val="left"/>
      <w:outlineLvl w:val="9"/>
    </w:pPr>
    <w:rPr>
      <w:rFonts w:ascii="Cambria" w:hAnsi="Cambria" w:cs="Cambria"/>
      <w:color w:val="365F91"/>
      <w:kern w:val="0"/>
      <w:sz w:val="28"/>
      <w:szCs w:val="28"/>
      <w:lang w:val="en-US"/>
    </w:rPr>
  </w:style>
  <w:style w:type="paragraph" w:customStyle="1" w:styleId="834">
    <w:name w:val="表题4"/>
    <w:basedOn w:val="7"/>
    <w:next w:val="1"/>
    <w:qFormat/>
    <w:uiPriority w:val="0"/>
    <w:pPr>
      <w:keepNext w:val="0"/>
      <w:tabs>
        <w:tab w:val="left" w:pos="864"/>
      </w:tabs>
      <w:adjustRightInd/>
      <w:spacing w:beforeLines="50" w:line="240" w:lineRule="auto"/>
      <w:ind w:left="864" w:hanging="864" w:firstLineChars="175"/>
      <w:textAlignment w:val="auto"/>
    </w:pPr>
    <w:rPr>
      <w:rFonts w:ascii="宋体" w:hAnsi="宋体"/>
      <w:b/>
      <w:bCs/>
      <w:i w:val="0"/>
      <w:kern w:val="44"/>
      <w:sz w:val="32"/>
      <w:szCs w:val="28"/>
    </w:rPr>
  </w:style>
  <w:style w:type="paragraph" w:customStyle="1" w:styleId="83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36">
    <w:name w:val="样式 标题 3Section Header3Sub-Clause Paragraph标题 3 Char Char Char..."/>
    <w:basedOn w:val="6"/>
    <w:qFormat/>
    <w:uiPriority w:val="0"/>
    <w:pPr>
      <w:keepNext w:val="0"/>
      <w:keepLines w:val="0"/>
      <w:widowControl w:val="0"/>
      <w:numPr>
        <w:ilvl w:val="0"/>
        <w:numId w:val="0"/>
      </w:numPr>
      <w:tabs>
        <w:tab w:val="left" w:pos="-850"/>
        <w:tab w:val="clear" w:pos="3229"/>
      </w:tabs>
      <w:adjustRightInd w:val="0"/>
      <w:spacing w:before="0" w:after="0" w:line="440" w:lineRule="exact"/>
      <w:ind w:left="425" w:hanging="425"/>
    </w:pPr>
    <w:rPr>
      <w:rFonts w:ascii="宋体" w:hAnsi="宋体" w:cs="宋体"/>
      <w:bCs/>
      <w:sz w:val="24"/>
      <w:szCs w:val="24"/>
      <w:lang w:val="en-US" w:eastAsia="zh-CN"/>
    </w:rPr>
  </w:style>
  <w:style w:type="paragraph" w:customStyle="1" w:styleId="837">
    <w:name w:val="xl35"/>
    <w:basedOn w:val="1"/>
    <w:qFormat/>
    <w:uiPriority w:val="0"/>
    <w:pPr>
      <w:widowControl/>
      <w:spacing w:before="100" w:beforeAutospacing="1" w:after="100" w:afterAutospacing="1"/>
    </w:pPr>
    <w:rPr>
      <w:rFonts w:ascii="Arial Unicode MS" w:hAnsi="Arial Unicode MS" w:eastAsia="Arial Unicode MS" w:cs="Arial Unicode MS"/>
      <w:b/>
      <w:bCs/>
      <w:color w:val="auto"/>
      <w:sz w:val="28"/>
      <w:szCs w:val="28"/>
      <w:lang w:val="en-US"/>
    </w:rPr>
  </w:style>
  <w:style w:type="paragraph" w:customStyle="1" w:styleId="838">
    <w:name w:val="样式3 (1)"/>
    <w:basedOn w:val="685"/>
    <w:qFormat/>
    <w:uiPriority w:val="0"/>
    <w:pPr>
      <w:tabs>
        <w:tab w:val="left" w:pos="510"/>
      </w:tabs>
      <w:adjustRightInd w:val="0"/>
      <w:ind w:firstLine="0"/>
    </w:pPr>
  </w:style>
  <w:style w:type="paragraph" w:customStyle="1" w:styleId="839">
    <w:name w:val="CM5"/>
    <w:basedOn w:val="1"/>
    <w:next w:val="1"/>
    <w:qFormat/>
    <w:uiPriority w:val="0"/>
    <w:pPr>
      <w:autoSpaceDE w:val="0"/>
      <w:autoSpaceDN w:val="0"/>
      <w:adjustRightInd w:val="0"/>
    </w:pPr>
    <w:rPr>
      <w:rFonts w:ascii="宋体" w:hAnsi="Calibri" w:cs="Times New Roman"/>
      <w:color w:val="auto"/>
      <w:lang w:val="en-US"/>
    </w:rPr>
  </w:style>
  <w:style w:type="paragraph" w:customStyle="1" w:styleId="840">
    <w:name w:val="biao内"/>
    <w:basedOn w:val="841"/>
    <w:qFormat/>
    <w:uiPriority w:val="0"/>
    <w:pPr>
      <w:tabs>
        <w:tab w:val="left" w:pos="1134"/>
      </w:tabs>
      <w:spacing w:line="240" w:lineRule="atLeast"/>
      <w:ind w:left="57"/>
    </w:pPr>
    <w:rPr>
      <w:szCs w:val="20"/>
    </w:rPr>
  </w:style>
  <w:style w:type="paragraph" w:customStyle="1" w:styleId="841">
    <w:name w:val="biao"/>
    <w:basedOn w:val="1"/>
    <w:qFormat/>
    <w:uiPriority w:val="0"/>
    <w:pPr>
      <w:tabs>
        <w:tab w:val="left" w:pos="1134"/>
      </w:tabs>
      <w:autoSpaceDE w:val="0"/>
      <w:autoSpaceDN w:val="0"/>
      <w:adjustRightInd w:val="0"/>
      <w:spacing w:before="60" w:after="60" w:line="360" w:lineRule="atLeast"/>
      <w:jc w:val="both"/>
    </w:pPr>
    <w:rPr>
      <w:rFonts w:ascii="宋体" w:hAnsi="Calibri" w:cs="Times New Roman"/>
      <w:color w:val="auto"/>
      <w:lang w:val="en-US"/>
    </w:rPr>
  </w:style>
  <w:style w:type="paragraph" w:customStyle="1" w:styleId="842">
    <w:name w:val="1."/>
    <w:basedOn w:val="1"/>
    <w:qFormat/>
    <w:uiPriority w:val="0"/>
    <w:pPr>
      <w:tabs>
        <w:tab w:val="left" w:pos="0"/>
        <w:tab w:val="left" w:pos="426"/>
      </w:tabs>
      <w:autoSpaceDE w:val="0"/>
      <w:autoSpaceDN w:val="0"/>
      <w:adjustRightInd w:val="0"/>
      <w:spacing w:before="60" w:after="60" w:line="360" w:lineRule="atLeast"/>
      <w:ind w:left="426" w:hanging="426"/>
      <w:jc w:val="both"/>
    </w:pPr>
    <w:rPr>
      <w:rFonts w:ascii="Arial" w:hAnsi="Arial" w:cs="Times New Roman"/>
      <w:color w:val="auto"/>
      <w:szCs w:val="20"/>
      <w:lang w:val="en-US"/>
    </w:rPr>
  </w:style>
  <w:style w:type="paragraph" w:customStyle="1" w:styleId="843">
    <w:name w:val="修订1"/>
    <w:semiHidden/>
    <w:qFormat/>
    <w:uiPriority w:val="99"/>
    <w:rPr>
      <w:rFonts w:ascii="Calibri" w:hAnsi="Calibri" w:eastAsia="宋体" w:cs="Times New Roman"/>
      <w:kern w:val="2"/>
      <w:sz w:val="21"/>
      <w:szCs w:val="24"/>
      <w:lang w:val="en-US" w:eastAsia="zh-CN" w:bidi="ar-SA"/>
    </w:rPr>
  </w:style>
  <w:style w:type="paragraph" w:customStyle="1" w:styleId="844">
    <w:name w:val="样式 标题 1 + 段前: 0.5 行 段后: 0.5 行"/>
    <w:basedOn w:val="3"/>
    <w:qFormat/>
    <w:uiPriority w:val="0"/>
    <w:pPr>
      <w:keepNext w:val="0"/>
      <w:keepLines w:val="0"/>
      <w:adjustRightInd w:val="0"/>
      <w:snapToGrid w:val="0"/>
      <w:spacing w:before="100" w:beforeAutospacing="1" w:after="0" w:line="240" w:lineRule="auto"/>
      <w:ind w:firstLine="461" w:firstLineChars="192"/>
      <w:jc w:val="center"/>
    </w:pPr>
    <w:rPr>
      <w:rFonts w:ascii="宋体" w:hAnsi="宋体" w:eastAsia="黑体"/>
      <w:sz w:val="36"/>
      <w:szCs w:val="20"/>
      <w:lang w:val="en-US" w:eastAsia="zh-CN"/>
    </w:rPr>
  </w:style>
  <w:style w:type="paragraph" w:customStyle="1" w:styleId="845">
    <w:name w:val="标准"/>
    <w:basedOn w:val="1"/>
    <w:qFormat/>
    <w:uiPriority w:val="0"/>
    <w:pPr>
      <w:adjustRightInd w:val="0"/>
      <w:spacing w:line="360" w:lineRule="auto"/>
      <w:ind w:firstLine="855" w:firstLineChars="200"/>
    </w:pPr>
    <w:rPr>
      <w:rFonts w:ascii="Calibri" w:hAnsi="Calibri" w:cs="Times New Roman"/>
      <w:b/>
      <w:color w:val="auto"/>
      <w:szCs w:val="20"/>
      <w:lang w:val="en-US"/>
    </w:rPr>
  </w:style>
  <w:style w:type="paragraph" w:customStyle="1" w:styleId="846">
    <w:name w:val="表格注解"/>
    <w:basedOn w:val="1"/>
    <w:qFormat/>
    <w:uiPriority w:val="0"/>
    <w:pPr>
      <w:adjustRightInd w:val="0"/>
      <w:ind w:firstLine="200" w:firstLineChars="200"/>
    </w:pPr>
    <w:rPr>
      <w:rFonts w:ascii="Calibri" w:hAnsi="Calibri" w:cs="Times New Roman"/>
      <w:color w:val="auto"/>
      <w:sz w:val="21"/>
      <w:szCs w:val="20"/>
      <w:lang w:val="en-US"/>
    </w:rPr>
  </w:style>
  <w:style w:type="paragraph" w:customStyle="1" w:styleId="847">
    <w:name w:val="xl97"/>
    <w:basedOn w:val="1"/>
    <w:qFormat/>
    <w:uiPriority w:val="0"/>
    <w:pPr>
      <w:widowControl/>
      <w:spacing w:before="100" w:beforeAutospacing="1" w:after="100" w:afterAutospacing="1"/>
      <w:jc w:val="center"/>
    </w:pPr>
    <w:rPr>
      <w:rFonts w:ascii="Calibri" w:hAnsi="Calibri" w:cs="Times New Roman"/>
      <w:color w:val="auto"/>
      <w:lang w:val="en-US"/>
    </w:rPr>
  </w:style>
  <w:style w:type="paragraph" w:customStyle="1" w:styleId="848">
    <w:name w:val="首行缩进:  2 字符"/>
    <w:basedOn w:val="1"/>
    <w:qFormat/>
    <w:uiPriority w:val="0"/>
    <w:pPr>
      <w:spacing w:line="360" w:lineRule="auto"/>
      <w:ind w:firstLine="480" w:firstLineChars="200"/>
    </w:pPr>
    <w:rPr>
      <w:rFonts w:ascii="Arial" w:hAnsi="Arial" w:cs="宋体"/>
      <w:color w:val="auto"/>
      <w:kern w:val="2"/>
      <w:szCs w:val="20"/>
      <w:lang w:val="en-US"/>
    </w:rPr>
  </w:style>
  <w:style w:type="paragraph" w:customStyle="1" w:styleId="8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lang w:val="en-US"/>
    </w:rPr>
  </w:style>
  <w:style w:type="paragraph" w:customStyle="1" w:styleId="850">
    <w:name w:val="xl32"/>
    <w:basedOn w:val="1"/>
    <w:qFormat/>
    <w:uiPriority w:val="0"/>
    <w:pPr>
      <w:widowControl/>
      <w:spacing w:before="100" w:after="100"/>
      <w:jc w:val="center"/>
    </w:pPr>
    <w:rPr>
      <w:rFonts w:ascii="宋体" w:hAnsi="宋体" w:cs="Times New Roman"/>
      <w:color w:val="auto"/>
      <w:szCs w:val="20"/>
      <w:lang w:val="en-US"/>
    </w:rPr>
  </w:style>
  <w:style w:type="paragraph" w:customStyle="1" w:styleId="851">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52">
    <w:name w:val="Normal1"/>
    <w:basedOn w:val="1"/>
    <w:qFormat/>
    <w:uiPriority w:val="0"/>
    <w:pPr>
      <w:tabs>
        <w:tab w:val="left" w:pos="851"/>
        <w:tab w:val="left" w:pos="8505"/>
      </w:tabs>
      <w:autoSpaceDE w:val="0"/>
      <w:autoSpaceDN w:val="0"/>
      <w:adjustRightInd w:val="0"/>
      <w:spacing w:before="60" w:after="60" w:line="360" w:lineRule="atLeast"/>
      <w:ind w:left="851" w:hanging="851"/>
      <w:jc w:val="both"/>
    </w:pPr>
    <w:rPr>
      <w:rFonts w:ascii="宋体" w:hAnsi="Calibri" w:cs="Times New Roman"/>
      <w:color w:val="auto"/>
      <w:szCs w:val="20"/>
      <w:lang w:val="en-US"/>
    </w:rPr>
  </w:style>
  <w:style w:type="paragraph" w:customStyle="1" w:styleId="853">
    <w:name w:val="签字"/>
    <w:basedOn w:val="1"/>
    <w:qFormat/>
    <w:uiPriority w:val="0"/>
    <w:pPr>
      <w:adjustRightInd w:val="0"/>
      <w:snapToGrid w:val="0"/>
      <w:spacing w:line="440" w:lineRule="exact"/>
      <w:ind w:left="2000" w:leftChars="2000"/>
      <w:jc w:val="both"/>
    </w:pPr>
    <w:rPr>
      <w:rFonts w:ascii="Calibri" w:hAnsi="Calibri" w:cs="Times New Roman"/>
      <w:color w:val="auto"/>
      <w:kern w:val="2"/>
      <w:szCs w:val="20"/>
      <w:lang w:val="en-US"/>
    </w:rPr>
  </w:style>
  <w:style w:type="paragraph" w:customStyle="1" w:styleId="8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2"/>
      <w:szCs w:val="22"/>
      <w:lang w:val="en-US"/>
    </w:rPr>
  </w:style>
  <w:style w:type="paragraph" w:customStyle="1" w:styleId="855">
    <w:name w:val=" Char"/>
    <w:basedOn w:val="1"/>
    <w:qFormat/>
    <w:uiPriority w:val="0"/>
    <w:pPr>
      <w:jc w:val="both"/>
    </w:pPr>
    <w:rPr>
      <w:rFonts w:ascii="Times New Roman" w:hAnsi="Times New Roman" w:eastAsia="宋体" w:cs="Times New Roman"/>
      <w:color w:val="auto"/>
      <w:kern w:val="2"/>
      <w:sz w:val="21"/>
      <w:lang w:val="en-US"/>
    </w:rPr>
  </w:style>
  <w:style w:type="paragraph" w:customStyle="1" w:styleId="856">
    <w:name w:val="table"/>
    <w:basedOn w:val="1"/>
    <w:qFormat/>
    <w:uiPriority w:val="0"/>
    <w:pPr>
      <w:widowControl/>
      <w:overflowPunct w:val="0"/>
      <w:autoSpaceDE w:val="0"/>
      <w:autoSpaceDN w:val="0"/>
      <w:adjustRightInd w:val="0"/>
      <w:spacing w:before="60" w:after="60"/>
      <w:jc w:val="center"/>
    </w:pPr>
    <w:rPr>
      <w:rFonts w:ascii="仿宋体" w:hAnsi="Calibri" w:eastAsia="仿宋体" w:cs="Times New Roman"/>
      <w:color w:val="auto"/>
      <w:szCs w:val="20"/>
      <w:lang w:val="en-US"/>
    </w:rPr>
  </w:style>
  <w:style w:type="paragraph" w:customStyle="1" w:styleId="857">
    <w:name w:val="xl101"/>
    <w:basedOn w:val="1"/>
    <w:qFormat/>
    <w:uiPriority w:val="0"/>
    <w:pPr>
      <w:widowControl/>
      <w:spacing w:before="100" w:beforeAutospacing="1" w:after="100" w:afterAutospacing="1"/>
      <w:jc w:val="center"/>
    </w:pPr>
    <w:rPr>
      <w:rFonts w:ascii="楷体" w:hAnsi="楷体" w:eastAsia="楷体" w:cs="宋体"/>
      <w:b/>
      <w:bCs/>
      <w:color w:val="auto"/>
      <w:sz w:val="28"/>
      <w:szCs w:val="28"/>
      <w:lang w:val="en-US"/>
    </w:rPr>
  </w:style>
  <w:style w:type="paragraph" w:customStyle="1" w:styleId="858">
    <w:name w:val="HCI正文"/>
    <w:qFormat/>
    <w:uiPriority w:val="0"/>
    <w:pPr>
      <w:widowControl w:val="0"/>
      <w:snapToGrid w:val="0"/>
      <w:spacing w:beforeLines="20" w:line="312" w:lineRule="auto"/>
      <w:ind w:firstLine="200" w:firstLineChars="200"/>
    </w:pPr>
    <w:rPr>
      <w:rFonts w:ascii="Times New Roman" w:hAnsi="Times New Roman" w:eastAsia="宋体" w:cs="宋体"/>
      <w:kern w:val="2"/>
      <w:sz w:val="24"/>
      <w:lang w:val="en-US" w:eastAsia="zh-CN" w:bidi="ar-SA"/>
    </w:rPr>
  </w:style>
  <w:style w:type="paragraph" w:customStyle="1" w:styleId="859">
    <w:name w:val="1.1.1.1A-n"/>
    <w:basedOn w:val="779"/>
    <w:qFormat/>
    <w:uiPriority w:val="0"/>
    <w:pPr>
      <w:tabs>
        <w:tab w:val="left" w:pos="26875"/>
        <w:tab w:val="clear" w:pos="1134"/>
      </w:tabs>
      <w:autoSpaceDE w:val="0"/>
      <w:autoSpaceDN w:val="0"/>
      <w:ind w:left="1560"/>
    </w:pPr>
  </w:style>
  <w:style w:type="paragraph" w:customStyle="1" w:styleId="860">
    <w:name w:val="样式 正文左缩5 + 左侧:  5 字符 行距: 固定值 22 磅"/>
    <w:basedOn w:val="1"/>
    <w:qFormat/>
    <w:uiPriority w:val="0"/>
    <w:pPr>
      <w:spacing w:line="360" w:lineRule="auto"/>
      <w:ind w:left="500" w:leftChars="500"/>
      <w:jc w:val="both"/>
    </w:pPr>
    <w:rPr>
      <w:rFonts w:ascii="Calibri" w:hAnsi="Calibri" w:cs="Times New Roman"/>
      <w:color w:val="auto"/>
      <w:kern w:val="2"/>
      <w:szCs w:val="20"/>
      <w:lang w:val="en-US"/>
    </w:rPr>
  </w:style>
  <w:style w:type="paragraph" w:customStyle="1" w:styleId="861">
    <w:name w:val="xl4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62">
    <w:name w:val="样式 标题 2 + 段前: 0.5 行 段后: 0.5 行"/>
    <w:basedOn w:val="4"/>
    <w:qFormat/>
    <w:uiPriority w:val="0"/>
    <w:pPr>
      <w:keepLines w:val="0"/>
      <w:snapToGrid w:val="0"/>
      <w:spacing w:before="100" w:beforeAutospacing="1" w:after="0" w:afterLines="50" w:line="240" w:lineRule="auto"/>
    </w:pPr>
    <w:rPr>
      <w:rFonts w:ascii="黑体" w:hAnsi="Times New Roman" w:cs="宋体"/>
      <w:b/>
      <w:i w:val="0"/>
      <w:iCs w:val="0"/>
      <w:kern w:val="0"/>
      <w:sz w:val="32"/>
      <w:lang w:val="en-US" w:eastAsia="zh-CN"/>
    </w:rPr>
  </w:style>
  <w:style w:type="paragraph" w:customStyle="1" w:styleId="863">
    <w:name w:val="1.1.1.1A-1"/>
    <w:basedOn w:val="824"/>
    <w:qFormat/>
    <w:uiPriority w:val="0"/>
    <w:pPr>
      <w:tabs>
        <w:tab w:val="left" w:pos="1985"/>
        <w:tab w:val="left" w:pos="26875"/>
      </w:tabs>
      <w:autoSpaceDE w:val="0"/>
      <w:autoSpaceDN w:val="0"/>
      <w:ind w:left="1985" w:hanging="425"/>
    </w:pPr>
  </w:style>
  <w:style w:type="paragraph" w:customStyle="1" w:styleId="864">
    <w:name w:val="样式 标题 2 + 小三 黑色"/>
    <w:basedOn w:val="4"/>
    <w:qFormat/>
    <w:uiPriority w:val="0"/>
    <w:pPr>
      <w:spacing w:after="0" w:line="240" w:lineRule="auto"/>
      <w:jc w:val="both"/>
    </w:pPr>
    <w:rPr>
      <w:rFonts w:ascii="Times New Roman" w:hAnsi="Times New Roman"/>
      <w:b/>
      <w:i w:val="0"/>
      <w:iCs w:val="0"/>
      <w:color w:val="000000"/>
      <w:kern w:val="0"/>
      <w:sz w:val="30"/>
      <w:szCs w:val="32"/>
      <w:lang w:val="en-US" w:eastAsia="zh-CN"/>
    </w:rPr>
  </w:style>
  <w:style w:type="paragraph" w:customStyle="1" w:styleId="865">
    <w:name w:val="样式 样式 标题 4Sub-Clause Sub-paragraph标题 4 Char Char Char Char款标题1.1..."/>
    <w:basedOn w:val="714"/>
    <w:qFormat/>
    <w:uiPriority w:val="0"/>
    <w:pPr>
      <w:spacing w:line="360" w:lineRule="auto"/>
    </w:pPr>
    <w:rPr>
      <w:rFonts w:cs="宋体"/>
      <w:szCs w:val="20"/>
    </w:rPr>
  </w:style>
  <w:style w:type="paragraph" w:customStyle="1" w:styleId="866">
    <w:name w:val="Body text 1"/>
    <w:basedOn w:val="1"/>
    <w:qFormat/>
    <w:uiPriority w:val="0"/>
    <w:pPr>
      <w:tabs>
        <w:tab w:val="left" w:pos="1134"/>
      </w:tabs>
      <w:autoSpaceDE w:val="0"/>
      <w:autoSpaceDN w:val="0"/>
      <w:adjustRightInd w:val="0"/>
      <w:spacing w:before="170" w:line="300" w:lineRule="atLeast"/>
      <w:ind w:left="1134" w:hanging="1134"/>
      <w:jc w:val="both"/>
    </w:pPr>
    <w:rPr>
      <w:rFonts w:ascii="Calibri" w:hAnsi="Calibri" w:cs="Times New Roman"/>
      <w:szCs w:val="20"/>
      <w:lang w:val="en-US"/>
    </w:rPr>
  </w:style>
  <w:style w:type="paragraph" w:customStyle="1" w:styleId="867">
    <w:name w:val="Body Text 21"/>
    <w:basedOn w:val="1"/>
    <w:qFormat/>
    <w:uiPriority w:val="0"/>
    <w:pPr>
      <w:autoSpaceDE w:val="0"/>
      <w:autoSpaceDN w:val="0"/>
      <w:adjustRightInd w:val="0"/>
      <w:spacing w:line="380" w:lineRule="atLeast"/>
      <w:jc w:val="both"/>
      <w:textAlignment w:val="baseline"/>
    </w:pPr>
    <w:rPr>
      <w:rFonts w:ascii="Times New Roman" w:hAnsi="Times New Roman" w:eastAsia="宋体" w:cs="Times New Roman"/>
      <w:color w:val="auto"/>
      <w:spacing w:val="10"/>
      <w:szCs w:val="20"/>
      <w:lang w:val="en-US"/>
    </w:rPr>
  </w:style>
  <w:style w:type="paragraph" w:customStyle="1" w:styleId="868">
    <w:name w:val="xl69"/>
    <w:basedOn w:val="1"/>
    <w:qFormat/>
    <w:uiPriority w:val="0"/>
    <w:pPr>
      <w:widowControl/>
      <w:pBdr>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69">
    <w:name w:val="xl47"/>
    <w:basedOn w:val="1"/>
    <w:qFormat/>
    <w:uiPriority w:val="0"/>
    <w:pPr>
      <w:widowControl/>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70">
    <w:name w:val="font6"/>
    <w:basedOn w:val="1"/>
    <w:qFormat/>
    <w:uiPriority w:val="0"/>
    <w:pPr>
      <w:widowControl/>
      <w:spacing w:before="100" w:beforeAutospacing="1" w:after="100" w:afterAutospacing="1"/>
    </w:pPr>
    <w:rPr>
      <w:rFonts w:ascii="宋体" w:hAnsi="宋体" w:cs="Arial Unicode MS"/>
      <w:color w:val="auto"/>
      <w:sz w:val="18"/>
      <w:szCs w:val="18"/>
      <w:lang w:val="en-US"/>
    </w:rPr>
  </w:style>
  <w:style w:type="paragraph" w:customStyle="1" w:styleId="871">
    <w:name w:val="样式 标题 1题名标题一H1 + 三号 黑色"/>
    <w:basedOn w:val="3"/>
    <w:qFormat/>
    <w:uiPriority w:val="0"/>
    <w:pPr>
      <w:spacing w:before="0" w:after="0" w:line="240" w:lineRule="auto"/>
      <w:jc w:val="center"/>
    </w:pPr>
    <w:rPr>
      <w:rFonts w:eastAsia="黑体"/>
      <w:color w:val="000000"/>
      <w:kern w:val="48"/>
      <w:sz w:val="30"/>
      <w:lang w:val="en-US" w:eastAsia="zh-CN"/>
    </w:rPr>
  </w:style>
  <w:style w:type="paragraph" w:customStyle="1" w:styleId="8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auto"/>
      <w:lang w:val="en-US"/>
    </w:rPr>
  </w:style>
  <w:style w:type="paragraph" w:customStyle="1" w:styleId="873">
    <w:name w:val="xl10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874">
    <w:name w:val="样式 纯文本 + Times New Roman 小四 加粗"/>
    <w:basedOn w:val="45"/>
    <w:qFormat/>
    <w:uiPriority w:val="0"/>
    <w:rPr>
      <w:rFonts w:ascii="Times New Roman" w:hAnsi="Times New Roman"/>
      <w:b/>
      <w:bCs/>
      <w:sz w:val="24"/>
      <w:lang w:val="en-US" w:eastAsia="zh-CN"/>
    </w:rPr>
  </w:style>
  <w:style w:type="paragraph" w:customStyle="1" w:styleId="875">
    <w:name w:val="xl6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76">
    <w:name w:val="xl60"/>
    <w:basedOn w:val="1"/>
    <w:qFormat/>
    <w:uiPriority w:val="0"/>
    <w:pPr>
      <w:widowControl/>
      <w:pBdr>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77">
    <w:name w:val="Normalka"/>
    <w:basedOn w:val="1"/>
    <w:qFormat/>
    <w:uiPriority w:val="0"/>
    <w:pPr>
      <w:tabs>
        <w:tab w:val="left" w:pos="1985"/>
        <w:tab w:val="left" w:pos="2041"/>
      </w:tabs>
      <w:autoSpaceDE w:val="0"/>
      <w:autoSpaceDN w:val="0"/>
      <w:adjustRightInd w:val="0"/>
      <w:spacing w:before="60" w:after="60" w:line="360" w:lineRule="atLeast"/>
      <w:ind w:left="2268" w:hanging="284"/>
      <w:jc w:val="both"/>
    </w:pPr>
    <w:rPr>
      <w:rFonts w:ascii="宋体" w:hAnsi="Calibri" w:cs="Times New Roman"/>
      <w:color w:val="auto"/>
      <w:szCs w:val="20"/>
      <w:lang w:val="en-US"/>
    </w:rPr>
  </w:style>
  <w:style w:type="paragraph" w:customStyle="1" w:styleId="878">
    <w:name w:val="目录1"/>
    <w:basedOn w:val="1"/>
    <w:qFormat/>
    <w:uiPriority w:val="0"/>
    <w:pPr>
      <w:adjustRightInd w:val="0"/>
      <w:spacing w:line="420" w:lineRule="atLeast"/>
      <w:jc w:val="both"/>
    </w:pPr>
    <w:rPr>
      <w:rFonts w:ascii="Calibri" w:hAnsi="Calibri" w:eastAsia="黑体" w:cs="Times New Roman"/>
      <w:b/>
      <w:color w:val="auto"/>
      <w:sz w:val="21"/>
      <w:szCs w:val="20"/>
      <w:lang w:val="en-US"/>
    </w:rPr>
  </w:style>
  <w:style w:type="paragraph" w:customStyle="1" w:styleId="879">
    <w:name w:val="xl40"/>
    <w:basedOn w:val="1"/>
    <w:qFormat/>
    <w:uiPriority w:val="0"/>
    <w:pPr>
      <w:widowControl/>
      <w:pBdr>
        <w:left w:val="single" w:color="auto" w:sz="4" w:space="0"/>
        <w:bottom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80">
    <w:name w:val="专用"/>
    <w:basedOn w:val="1"/>
    <w:qFormat/>
    <w:uiPriority w:val="0"/>
    <w:pPr>
      <w:spacing w:after="312"/>
      <w:jc w:val="both"/>
    </w:pPr>
    <w:rPr>
      <w:rFonts w:ascii="黑体" w:hAnsi="Calibri" w:eastAsia="黑体" w:cs="Times New Roman"/>
      <w:b/>
      <w:color w:val="auto"/>
      <w:kern w:val="2"/>
      <w:sz w:val="32"/>
      <w:szCs w:val="20"/>
      <w:lang w:val="en-US"/>
    </w:rPr>
  </w:style>
  <w:style w:type="paragraph" w:customStyle="1" w:styleId="881">
    <w:name w:val="xl57"/>
    <w:basedOn w:val="1"/>
    <w:qFormat/>
    <w:uiPriority w:val="0"/>
    <w:pPr>
      <w:widowControl/>
      <w:pBdr>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82">
    <w:name w:val="xl66"/>
    <w:basedOn w:val="1"/>
    <w:qFormat/>
    <w:uiPriority w:val="0"/>
    <w:pPr>
      <w:widowControl/>
      <w:pBdr>
        <w:left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8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84">
    <w:name w:val="1.1"/>
    <w:basedOn w:val="1"/>
    <w:next w:val="1"/>
    <w:qFormat/>
    <w:uiPriority w:val="0"/>
    <w:pPr>
      <w:autoSpaceDE w:val="0"/>
      <w:autoSpaceDN w:val="0"/>
      <w:adjustRightInd w:val="0"/>
      <w:spacing w:before="240" w:after="240" w:line="360" w:lineRule="atLeast"/>
      <w:jc w:val="both"/>
    </w:pPr>
    <w:rPr>
      <w:rFonts w:ascii="Arial" w:hAnsi="Arial" w:cs="Times New Roman"/>
      <w:color w:val="auto"/>
      <w:sz w:val="28"/>
      <w:szCs w:val="20"/>
      <w:lang w:val="en-US"/>
    </w:rPr>
  </w:style>
  <w:style w:type="paragraph" w:customStyle="1" w:styleId="885">
    <w:name w:val="xl49"/>
    <w:basedOn w:val="1"/>
    <w:qFormat/>
    <w:uiPriority w:val="0"/>
    <w:pPr>
      <w:widowControl/>
      <w:spacing w:before="100" w:beforeAutospacing="1" w:after="100" w:afterAutospacing="1"/>
    </w:pPr>
    <w:rPr>
      <w:rFonts w:ascii="Calibri" w:hAnsi="Calibri" w:eastAsia="Arial Unicode MS" w:cs="Times New Roman"/>
      <w:b/>
      <w:bCs/>
      <w:color w:val="auto"/>
      <w:sz w:val="20"/>
      <w:szCs w:val="20"/>
      <w:lang w:val="en-US"/>
    </w:rPr>
  </w:style>
  <w:style w:type="paragraph" w:customStyle="1" w:styleId="886">
    <w:name w:val="默认段落字体 Para Char Char Char Char"/>
    <w:basedOn w:val="1"/>
    <w:qFormat/>
    <w:uiPriority w:val="0"/>
    <w:pPr>
      <w:jc w:val="both"/>
    </w:pPr>
    <w:rPr>
      <w:rFonts w:ascii="Calibri" w:hAnsi="Calibri" w:cs="Times New Roman"/>
      <w:color w:val="auto"/>
      <w:kern w:val="2"/>
      <w:sz w:val="21"/>
      <w:szCs w:val="21"/>
      <w:lang w:val="en-US"/>
    </w:rPr>
  </w:style>
  <w:style w:type="paragraph" w:customStyle="1" w:styleId="887">
    <w:name w:val="Char3"/>
    <w:basedOn w:val="1"/>
    <w:qFormat/>
    <w:uiPriority w:val="0"/>
    <w:pPr>
      <w:tabs>
        <w:tab w:val="left" w:pos="630"/>
      </w:tabs>
      <w:ind w:left="630" w:hanging="630"/>
      <w:jc w:val="both"/>
    </w:pPr>
    <w:rPr>
      <w:rFonts w:cs="Times New Roman"/>
      <w:color w:val="auto"/>
      <w:kern w:val="2"/>
      <w:lang w:val="en-US"/>
    </w:rPr>
  </w:style>
  <w:style w:type="paragraph" w:customStyle="1" w:styleId="888">
    <w:name w:val="±êÌâ4"/>
    <w:basedOn w:val="1"/>
    <w:qFormat/>
    <w:uiPriority w:val="0"/>
    <w:pPr>
      <w:overflowPunct w:val="0"/>
      <w:autoSpaceDE w:val="0"/>
      <w:autoSpaceDN w:val="0"/>
      <w:adjustRightInd w:val="0"/>
      <w:spacing w:after="120"/>
      <w:ind w:left="1021" w:hanging="1021"/>
      <w:jc w:val="both"/>
    </w:pPr>
    <w:rPr>
      <w:rFonts w:ascii="宋体" w:hAnsi="Calibri" w:cs="Times New Roman"/>
      <w:color w:val="auto"/>
      <w:sz w:val="28"/>
      <w:szCs w:val="20"/>
      <w:lang w:val="en-US"/>
    </w:rPr>
  </w:style>
  <w:style w:type="paragraph" w:customStyle="1" w:styleId="889">
    <w:name w:val="title1"/>
    <w:basedOn w:val="1"/>
    <w:qFormat/>
    <w:uiPriority w:val="0"/>
    <w:pPr>
      <w:tabs>
        <w:tab w:val="left" w:pos="420"/>
      </w:tabs>
      <w:spacing w:after="240"/>
      <w:ind w:left="420" w:hanging="420"/>
      <w:jc w:val="both"/>
    </w:pPr>
    <w:rPr>
      <w:rFonts w:ascii="Calibri" w:hAnsi="Calibri" w:cs="Times New Roman"/>
      <w:color w:val="auto"/>
      <w:kern w:val="2"/>
      <w:szCs w:val="20"/>
      <w:lang w:val="en-US"/>
    </w:rPr>
  </w:style>
  <w:style w:type="paragraph" w:customStyle="1" w:styleId="890">
    <w:name w:val="正文1"/>
    <w:qFormat/>
    <w:uiPriority w:val="0"/>
    <w:pPr>
      <w:widowControl w:val="0"/>
      <w:adjustRightInd w:val="0"/>
      <w:spacing w:line="313" w:lineRule="atLeast"/>
      <w:ind w:right="-2"/>
    </w:pPr>
    <w:rPr>
      <w:rFonts w:ascii="宋体" w:hAnsi="Calibri" w:eastAsia="宋体" w:cs="Times New Roman"/>
      <w:sz w:val="24"/>
      <w:lang w:val="en-US" w:eastAsia="zh-CN" w:bidi="ar-SA"/>
    </w:rPr>
  </w:style>
  <w:style w:type="paragraph" w:customStyle="1" w:styleId="891">
    <w:name w:val="xl80"/>
    <w:basedOn w:val="1"/>
    <w:qFormat/>
    <w:uiPriority w:val="0"/>
    <w:pPr>
      <w:widowControl/>
      <w:pBdr>
        <w:top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92">
    <w:name w:val="正文文本缩进 31"/>
    <w:basedOn w:val="1"/>
    <w:qFormat/>
    <w:uiPriority w:val="0"/>
    <w:pPr>
      <w:overflowPunct w:val="0"/>
      <w:autoSpaceDE w:val="0"/>
      <w:autoSpaceDN w:val="0"/>
      <w:adjustRightInd w:val="0"/>
      <w:spacing w:line="240" w:lineRule="exact"/>
      <w:ind w:left="227"/>
      <w:jc w:val="both"/>
    </w:pPr>
    <w:rPr>
      <w:rFonts w:ascii="宋体" w:hAnsi="Calibri" w:cs="Times New Roman"/>
      <w:color w:val="auto"/>
      <w:sz w:val="21"/>
      <w:szCs w:val="20"/>
      <w:lang w:val="en-US"/>
    </w:rPr>
  </w:style>
  <w:style w:type="paragraph" w:customStyle="1" w:styleId="893">
    <w:name w:val="Char Char Char Char Char1"/>
    <w:basedOn w:val="1"/>
    <w:qFormat/>
    <w:uiPriority w:val="0"/>
    <w:pPr>
      <w:widowControl/>
      <w:spacing w:after="160" w:line="240" w:lineRule="exact"/>
      <w:jc w:val="center"/>
    </w:pPr>
    <w:rPr>
      <w:rFonts w:ascii="黑体" w:hAnsi="Verdana" w:eastAsia="黑体" w:cs="Times New Roman"/>
      <w:color w:val="auto"/>
      <w:sz w:val="32"/>
      <w:szCs w:val="32"/>
      <w:lang w:val="en-US" w:eastAsia="en-US"/>
    </w:rPr>
  </w:style>
  <w:style w:type="paragraph" w:customStyle="1" w:styleId="894">
    <w:name w:val="正文2"/>
    <w:qFormat/>
    <w:uiPriority w:val="0"/>
    <w:pPr>
      <w:widowControl w:val="0"/>
      <w:adjustRightInd w:val="0"/>
      <w:spacing w:line="313" w:lineRule="atLeast"/>
      <w:ind w:right="-2"/>
    </w:pPr>
    <w:rPr>
      <w:rFonts w:ascii="宋体" w:hAnsi="Times New Roman" w:eastAsia="宋体" w:cs="Times New Roman"/>
      <w:sz w:val="24"/>
      <w:lang w:val="en-US" w:eastAsia="zh-CN" w:bidi="ar-SA"/>
    </w:rPr>
  </w:style>
  <w:style w:type="paragraph" w:customStyle="1" w:styleId="895">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96">
    <w:name w:val="Char Char Char1 Char Char Char Char Char Char Char Char Char Char Char Char Char Char Char Char Char Char Char1"/>
    <w:basedOn w:val="1"/>
    <w:qFormat/>
    <w:uiPriority w:val="0"/>
    <w:pPr>
      <w:jc w:val="both"/>
    </w:pPr>
    <w:rPr>
      <w:rFonts w:cs="Times New Roman"/>
      <w:color w:val="auto"/>
      <w:kern w:val="2"/>
      <w:sz w:val="21"/>
      <w:lang w:val="en-US"/>
    </w:rPr>
  </w:style>
  <w:style w:type="paragraph" w:customStyle="1" w:styleId="897">
    <w:name w:val="symbol"/>
    <w:basedOn w:val="1"/>
    <w:next w:val="1"/>
    <w:qFormat/>
    <w:uiPriority w:val="0"/>
    <w:pPr>
      <w:tabs>
        <w:tab w:val="left" w:pos="1361"/>
      </w:tabs>
      <w:snapToGrid w:val="0"/>
      <w:spacing w:before="120"/>
      <w:ind w:left="1361" w:hanging="510"/>
      <w:jc w:val="both"/>
    </w:pPr>
    <w:rPr>
      <w:rFonts w:ascii="Calibri" w:hAnsi="Calibri" w:cs="Times New Roman"/>
      <w:color w:val="auto"/>
      <w:kern w:val="2"/>
      <w:sz w:val="22"/>
      <w:szCs w:val="20"/>
      <w:lang w:val="en-US"/>
    </w:rPr>
  </w:style>
  <w:style w:type="paragraph" w:customStyle="1" w:styleId="898">
    <w:name w:val="资审正文"/>
    <w:basedOn w:val="1"/>
    <w:qFormat/>
    <w:uiPriority w:val="0"/>
    <w:pPr>
      <w:spacing w:beforeLines="10" w:line="460" w:lineRule="exact"/>
      <w:ind w:firstLine="520" w:firstLineChars="200"/>
      <w:jc w:val="both"/>
    </w:pPr>
    <w:rPr>
      <w:rFonts w:ascii="华文细黑" w:hAnsi="华文细黑" w:cs="Times New Roman"/>
      <w:color w:val="auto"/>
      <w:kern w:val="2"/>
      <w:sz w:val="26"/>
      <w:szCs w:val="26"/>
      <w:lang w:val="en-US"/>
    </w:rPr>
  </w:style>
  <w:style w:type="paragraph" w:customStyle="1" w:styleId="89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900">
    <w:name w:val=" Char Char Char Char Char Char"/>
    <w:basedOn w:val="1"/>
    <w:qFormat/>
    <w:uiPriority w:val="0"/>
    <w:pPr>
      <w:jc w:val="both"/>
    </w:pPr>
    <w:rPr>
      <w:rFonts w:ascii="Times New Roman" w:hAnsi="Times New Roman" w:eastAsia="宋体" w:cs="Times New Roman"/>
      <w:color w:val="auto"/>
      <w:kern w:val="2"/>
      <w:sz w:val="21"/>
      <w:lang w:val="en-US"/>
    </w:rPr>
  </w:style>
  <w:style w:type="paragraph" w:customStyle="1" w:styleId="901">
    <w:name w:val="xl50"/>
    <w:basedOn w:val="1"/>
    <w:qFormat/>
    <w:uiPriority w:val="0"/>
    <w:pPr>
      <w:widowControl/>
      <w:spacing w:before="100" w:beforeAutospacing="1" w:after="100" w:afterAutospacing="1"/>
    </w:pPr>
    <w:rPr>
      <w:rFonts w:ascii="Calibri" w:hAnsi="Calibri" w:eastAsia="Arial Unicode MS" w:cs="Times New Roman"/>
      <w:color w:val="auto"/>
      <w:sz w:val="16"/>
      <w:szCs w:val="16"/>
      <w:lang w:val="en-US"/>
    </w:rPr>
  </w:style>
  <w:style w:type="paragraph" w:customStyle="1" w:styleId="902">
    <w:name w:val="xl52"/>
    <w:basedOn w:val="1"/>
    <w:qFormat/>
    <w:uiPriority w:val="0"/>
    <w:pPr>
      <w:widowControl/>
      <w:pBdr>
        <w:top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903">
    <w:name w:val="Char Char Char1"/>
    <w:basedOn w:val="1"/>
    <w:qFormat/>
    <w:uiPriority w:val="0"/>
    <w:pPr>
      <w:jc w:val="both"/>
    </w:pPr>
    <w:rPr>
      <w:rFonts w:ascii="Tahoma" w:hAnsi="Tahoma" w:cs="Times New Roman"/>
      <w:color w:val="auto"/>
      <w:kern w:val="2"/>
      <w:szCs w:val="20"/>
      <w:lang w:val="en-US"/>
    </w:rPr>
  </w:style>
  <w:style w:type="paragraph" w:customStyle="1" w:styleId="904">
    <w:name w:val="BT2"/>
    <w:basedOn w:val="1"/>
    <w:qFormat/>
    <w:uiPriority w:val="0"/>
    <w:pPr>
      <w:tabs>
        <w:tab w:val="left" w:pos="1134"/>
      </w:tabs>
      <w:autoSpaceDE w:val="0"/>
      <w:autoSpaceDN w:val="0"/>
      <w:adjustRightInd w:val="0"/>
      <w:spacing w:before="240" w:after="180" w:line="360" w:lineRule="atLeast"/>
      <w:jc w:val="both"/>
    </w:pPr>
    <w:rPr>
      <w:rFonts w:ascii="宋体" w:hAnsi="Calibri" w:cs="Times New Roman"/>
      <w:b/>
      <w:color w:val="auto"/>
      <w:spacing w:val="5"/>
      <w:szCs w:val="20"/>
      <w:lang w:val="en-US"/>
    </w:rPr>
  </w:style>
  <w:style w:type="paragraph" w:customStyle="1" w:styleId="905">
    <w:name w:val="样式 标题4 + 左侧:  6 字符"/>
    <w:basedOn w:val="1"/>
    <w:next w:val="1"/>
    <w:qFormat/>
    <w:uiPriority w:val="0"/>
    <w:pPr>
      <w:shd w:val="clear" w:color="auto" w:fill="FFFFFF"/>
      <w:snapToGrid w:val="0"/>
      <w:spacing w:line="480" w:lineRule="auto"/>
      <w:jc w:val="both"/>
    </w:pPr>
    <w:rPr>
      <w:rFonts w:ascii="宋体" w:hAnsi="宋体" w:cs="Times New Roman"/>
      <w:kern w:val="2"/>
      <w:szCs w:val="20"/>
      <w:lang w:val="en-US"/>
    </w:rPr>
  </w:style>
  <w:style w:type="paragraph" w:customStyle="1" w:styleId="906">
    <w:name w:val="Char Char Char1 Char"/>
    <w:basedOn w:val="1"/>
    <w:qFormat/>
    <w:uiPriority w:val="0"/>
    <w:pPr>
      <w:jc w:val="both"/>
    </w:pPr>
    <w:rPr>
      <w:rFonts w:ascii="Tahoma" w:hAnsi="Tahoma" w:cs="Times New Roman"/>
      <w:color w:val="auto"/>
      <w:kern w:val="2"/>
      <w:szCs w:val="20"/>
      <w:lang w:val="en-US"/>
    </w:rPr>
  </w:style>
  <w:style w:type="paragraph" w:customStyle="1" w:styleId="90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2"/>
      <w:szCs w:val="22"/>
      <w:lang w:val="en-US"/>
    </w:rPr>
  </w:style>
  <w:style w:type="paragraph" w:customStyle="1" w:styleId="908">
    <w:name w:val="xl98"/>
    <w:basedOn w:val="1"/>
    <w:qFormat/>
    <w:uiPriority w:val="0"/>
    <w:pPr>
      <w:widowControl/>
      <w:spacing w:before="100" w:beforeAutospacing="1" w:after="100" w:afterAutospacing="1"/>
      <w:jc w:val="center"/>
    </w:pPr>
    <w:rPr>
      <w:rFonts w:ascii="宋体" w:hAnsi="宋体" w:cs="宋体"/>
      <w:color w:val="auto"/>
      <w:lang w:val="en-US"/>
    </w:rPr>
  </w:style>
  <w:style w:type="paragraph" w:customStyle="1" w:styleId="909">
    <w:name w:val="标题4"/>
    <w:basedOn w:val="1"/>
    <w:qFormat/>
    <w:uiPriority w:val="0"/>
    <w:pPr>
      <w:adjustRightInd w:val="0"/>
      <w:spacing w:after="120"/>
      <w:ind w:left="1021" w:hanging="1021"/>
    </w:pPr>
    <w:rPr>
      <w:rFonts w:ascii="Calibri" w:hAnsi="Calibri" w:cs="Times New Roman"/>
      <w:color w:val="auto"/>
      <w:szCs w:val="20"/>
      <w:lang w:val="en-US"/>
    </w:rPr>
  </w:style>
  <w:style w:type="paragraph" w:customStyle="1" w:styleId="910">
    <w:name w:val="Normalfa"/>
    <w:basedOn w:val="1"/>
    <w:qFormat/>
    <w:uiPriority w:val="0"/>
    <w:pPr>
      <w:tabs>
        <w:tab w:val="left" w:pos="0"/>
        <w:tab w:val="left" w:pos="1843"/>
        <w:tab w:val="left" w:pos="8505"/>
      </w:tabs>
      <w:autoSpaceDE w:val="0"/>
      <w:autoSpaceDN w:val="0"/>
      <w:adjustRightInd w:val="0"/>
      <w:spacing w:before="60" w:after="60" w:line="360" w:lineRule="atLeast"/>
      <w:ind w:left="1814" w:hanging="1134"/>
      <w:jc w:val="both"/>
    </w:pPr>
    <w:rPr>
      <w:rFonts w:ascii="Arial" w:hAnsi="Arial" w:cs="Times New Roman"/>
      <w:color w:val="auto"/>
      <w:szCs w:val="20"/>
      <w:lang w:val="en-US"/>
    </w:rPr>
  </w:style>
  <w:style w:type="paragraph" w:customStyle="1" w:styleId="911">
    <w:name w:val="1.1.1"/>
    <w:basedOn w:val="1"/>
    <w:qFormat/>
    <w:uiPriority w:val="0"/>
    <w:pPr>
      <w:tabs>
        <w:tab w:val="left" w:pos="0"/>
        <w:tab w:val="left" w:pos="1134"/>
        <w:tab w:val="left" w:pos="8505"/>
      </w:tabs>
      <w:autoSpaceDE w:val="0"/>
      <w:autoSpaceDN w:val="0"/>
      <w:adjustRightInd w:val="0"/>
      <w:spacing w:before="240" w:after="60" w:line="360" w:lineRule="atLeast"/>
      <w:jc w:val="both"/>
    </w:pPr>
    <w:rPr>
      <w:rFonts w:ascii="Arial" w:hAnsi="Arial" w:cs="Times New Roman"/>
      <w:b/>
      <w:color w:val="auto"/>
      <w:szCs w:val="20"/>
      <w:lang w:val="en-US"/>
    </w:rPr>
  </w:style>
  <w:style w:type="paragraph" w:customStyle="1" w:styleId="912">
    <w:name w:val="xl42"/>
    <w:basedOn w:val="1"/>
    <w:qFormat/>
    <w:uiPriority w:val="0"/>
    <w:pPr>
      <w:widowControl/>
      <w:pBdr>
        <w:top w:val="single" w:color="auto" w:sz="4" w:space="0"/>
        <w:lef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13">
    <w:name w:val="2.1"/>
    <w:basedOn w:val="779"/>
    <w:qFormat/>
    <w:uiPriority w:val="0"/>
    <w:pPr>
      <w:autoSpaceDE w:val="0"/>
      <w:autoSpaceDN w:val="0"/>
    </w:pPr>
    <w:rPr>
      <w:rFonts w:cs="Arial"/>
      <w:sz w:val="20"/>
      <w:szCs w:val="24"/>
    </w:rPr>
  </w:style>
  <w:style w:type="paragraph" w:customStyle="1" w:styleId="914">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auto"/>
      <w:lang w:val="en-US"/>
    </w:rPr>
  </w:style>
  <w:style w:type="paragraph" w:customStyle="1" w:styleId="915">
    <w:name w:val="xl24"/>
    <w:basedOn w:val="1"/>
    <w:qFormat/>
    <w:uiPriority w:val="0"/>
    <w:pPr>
      <w:widowControl/>
      <w:spacing w:before="100" w:beforeAutospacing="1" w:after="100" w:afterAutospacing="1"/>
      <w:jc w:val="center"/>
    </w:pPr>
    <w:rPr>
      <w:rFonts w:ascii="宋体" w:hAnsi="宋体" w:cs="Times New Roman"/>
      <w:color w:val="auto"/>
      <w:lang w:val="en-US"/>
    </w:rPr>
  </w:style>
  <w:style w:type="paragraph" w:customStyle="1" w:styleId="916">
    <w:name w:val="1.1.1.1A-1-a"/>
    <w:basedOn w:val="863"/>
    <w:qFormat/>
    <w:uiPriority w:val="0"/>
    <w:pPr>
      <w:tabs>
        <w:tab w:val="clear" w:pos="1985"/>
        <w:tab w:val="clear" w:pos="26875"/>
      </w:tabs>
      <w:ind w:left="2410" w:hanging="567"/>
    </w:pPr>
  </w:style>
  <w:style w:type="paragraph" w:customStyle="1" w:styleId="917">
    <w:name w:val="项目办1"/>
    <w:basedOn w:val="59"/>
    <w:next w:val="59"/>
    <w:qFormat/>
    <w:uiPriority w:val="0"/>
    <w:pPr>
      <w:tabs>
        <w:tab w:val="right" w:leader="dot" w:pos="8302"/>
        <w:tab w:val="clear" w:pos="8805"/>
      </w:tabs>
      <w:spacing w:before="120" w:after="120" w:line="360" w:lineRule="auto"/>
      <w:ind w:right="-210" w:rightChars="-100" w:firstLine="482"/>
      <w:jc w:val="left"/>
    </w:pPr>
    <w:rPr>
      <w:rFonts w:ascii="Calibri" w:hAnsi="Calibri" w:eastAsia="仿宋_GB2312"/>
      <w:bCs/>
      <w:caps/>
      <w:color w:val="auto"/>
      <w:sz w:val="24"/>
      <w:szCs w:val="28"/>
      <w:lang w:eastAsia="zh-CN"/>
    </w:rPr>
  </w:style>
  <w:style w:type="paragraph" w:customStyle="1" w:styleId="918">
    <w:name w:val="6"/>
    <w:basedOn w:val="1"/>
    <w:next w:val="5"/>
    <w:qFormat/>
    <w:uiPriority w:val="0"/>
    <w:pPr>
      <w:autoSpaceDE w:val="0"/>
      <w:autoSpaceDN w:val="0"/>
      <w:adjustRightInd w:val="0"/>
      <w:spacing w:before="60" w:after="60" w:line="360" w:lineRule="atLeast"/>
      <w:ind w:left="720"/>
      <w:jc w:val="both"/>
    </w:pPr>
    <w:rPr>
      <w:rFonts w:ascii="宋体" w:hAnsi="Calibri" w:cs="Times New Roman"/>
      <w:color w:val="auto"/>
      <w:szCs w:val="20"/>
      <w:lang w:val="en-US"/>
    </w:rPr>
  </w:style>
  <w:style w:type="paragraph" w:customStyle="1" w:styleId="919">
    <w:name w:val="Char Char23"/>
    <w:basedOn w:val="26"/>
    <w:qFormat/>
    <w:uiPriority w:val="0"/>
    <w:pPr>
      <w:shd w:val="clear" w:color="auto" w:fill="FFFFFF"/>
      <w:jc w:val="both"/>
    </w:pPr>
    <w:rPr>
      <w:rFonts w:hAnsi="宋体"/>
      <w:color w:val="auto"/>
      <w:kern w:val="2"/>
      <w:sz w:val="21"/>
      <w:szCs w:val="24"/>
      <w:lang w:val="en-US" w:eastAsia="zh-CN"/>
    </w:rPr>
  </w:style>
  <w:style w:type="paragraph" w:customStyle="1" w:styleId="920">
    <w:name w:val="xl67"/>
    <w:basedOn w:val="1"/>
    <w:qFormat/>
    <w:uiPriority w:val="0"/>
    <w:pPr>
      <w:widowControl/>
      <w:pBdr>
        <w:top w:val="single" w:color="auto" w:sz="4" w:space="0"/>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21">
    <w:name w:val="TOC 标题1"/>
    <w:basedOn w:val="3"/>
    <w:next w:val="1"/>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922">
    <w:name w:val="8"/>
    <w:basedOn w:val="1"/>
    <w:next w:val="34"/>
    <w:qFormat/>
    <w:uiPriority w:val="0"/>
    <w:pPr>
      <w:jc w:val="both"/>
    </w:pPr>
    <w:rPr>
      <w:rFonts w:ascii="Calibri" w:hAnsi="Calibri" w:cs="Times New Roman"/>
      <w:color w:val="auto"/>
      <w:kern w:val="2"/>
      <w:szCs w:val="20"/>
      <w:lang w:val="en-US"/>
    </w:rPr>
  </w:style>
  <w:style w:type="paragraph" w:customStyle="1" w:styleId="923">
    <w:name w:val="表9-"/>
    <w:basedOn w:val="15"/>
    <w:qFormat/>
    <w:uiPriority w:val="0"/>
    <w:pPr>
      <w:tabs>
        <w:tab w:val="left" w:pos="360"/>
        <w:tab w:val="clear" w:pos="1140"/>
      </w:tabs>
      <w:ind w:left="360" w:hanging="360"/>
    </w:pPr>
  </w:style>
  <w:style w:type="paragraph" w:customStyle="1" w:styleId="924">
    <w:name w:val="xl11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25">
    <w:name w:val="xl20"/>
    <w:basedOn w:val="1"/>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pPr>
    <w:rPr>
      <w:rFonts w:ascii="Arial Unicode MS" w:hAnsi="Arial Unicode MS" w:eastAsia="Arial Unicode MS" w:cs="Arial Unicode MS"/>
      <w:color w:val="auto"/>
      <w:sz w:val="16"/>
      <w:szCs w:val="16"/>
      <w:lang w:val="en-US"/>
    </w:rPr>
  </w:style>
  <w:style w:type="paragraph" w:customStyle="1" w:styleId="926">
    <w:name w:val="样式 标题 2标题 2（报告）标题 2（报告）(3黑) + 黑体"/>
    <w:basedOn w:val="4"/>
    <w:qFormat/>
    <w:uiPriority w:val="0"/>
    <w:pPr>
      <w:spacing w:before="0" w:after="0" w:line="360" w:lineRule="auto"/>
    </w:pPr>
    <w:rPr>
      <w:rFonts w:ascii="黑体" w:hAnsi="黑体" w:eastAsia="宋体"/>
      <w:b/>
      <w:i w:val="0"/>
      <w:iCs w:val="0"/>
      <w:kern w:val="0"/>
      <w:sz w:val="28"/>
      <w:szCs w:val="28"/>
      <w:lang w:val="en-US" w:eastAsia="zh-CN"/>
    </w:rPr>
  </w:style>
  <w:style w:type="paragraph" w:customStyle="1" w:styleId="927">
    <w:name w:val="正文文本 22"/>
    <w:basedOn w:val="1"/>
    <w:qFormat/>
    <w:uiPriority w:val="0"/>
    <w:pPr>
      <w:overflowPunct w:val="0"/>
      <w:autoSpaceDE w:val="0"/>
      <w:autoSpaceDN w:val="0"/>
      <w:adjustRightInd w:val="0"/>
      <w:spacing w:line="240" w:lineRule="exact"/>
      <w:ind w:left="431" w:hanging="431"/>
      <w:jc w:val="both"/>
    </w:pPr>
    <w:rPr>
      <w:rFonts w:ascii="宋体" w:cs="Times New Roman"/>
      <w:color w:val="auto"/>
      <w:sz w:val="21"/>
      <w:szCs w:val="20"/>
      <w:lang w:val="en-US"/>
    </w:rPr>
  </w:style>
  <w:style w:type="paragraph" w:customStyle="1" w:styleId="928">
    <w:name w:val="(1)"/>
    <w:basedOn w:val="1"/>
    <w:next w:val="1"/>
    <w:qFormat/>
    <w:uiPriority w:val="0"/>
    <w:pPr>
      <w:tabs>
        <w:tab w:val="left" w:pos="840"/>
      </w:tabs>
      <w:ind w:left="840" w:hanging="360"/>
      <w:jc w:val="both"/>
    </w:pPr>
    <w:rPr>
      <w:rFonts w:ascii="Calibri" w:hAnsi="Calibri" w:cs="Times New Roman"/>
      <w:color w:val="auto"/>
      <w:kern w:val="2"/>
      <w:szCs w:val="20"/>
      <w:lang w:val="en-US"/>
    </w:rPr>
  </w:style>
  <w:style w:type="paragraph" w:customStyle="1" w:styleId="929">
    <w:name w:val="样式 标题 3Section Header3Sub-Clause Paragraph标题 3 Char Char Char...1"/>
    <w:basedOn w:val="6"/>
    <w:next w:val="4"/>
    <w:qFormat/>
    <w:uiPriority w:val="0"/>
    <w:pPr>
      <w:keepNext w:val="0"/>
      <w:keepLines w:val="0"/>
      <w:widowControl w:val="0"/>
      <w:numPr>
        <w:ilvl w:val="0"/>
        <w:numId w:val="0"/>
      </w:numPr>
      <w:tabs>
        <w:tab w:val="clear" w:pos="3229"/>
      </w:tabs>
      <w:adjustRightInd w:val="0"/>
      <w:spacing w:before="0" w:after="0" w:line="440" w:lineRule="exact"/>
    </w:pPr>
    <w:rPr>
      <w:rFonts w:ascii="宋体" w:hAnsi="宋体" w:cs="宋体"/>
      <w:bCs/>
      <w:sz w:val="24"/>
      <w:szCs w:val="24"/>
      <w:lang w:val="en-US" w:eastAsia="zh-CN"/>
    </w:rPr>
  </w:style>
  <w:style w:type="paragraph" w:customStyle="1" w:styleId="930">
    <w:name w:val=" Char Char Char Char Char Char Char Char Char Char Char Char Char Char Char Char Char Char1 Char Char Char Char"/>
    <w:basedOn w:val="1"/>
    <w:qFormat/>
    <w:uiPriority w:val="0"/>
    <w:pPr>
      <w:jc w:val="both"/>
    </w:pPr>
    <w:rPr>
      <w:rFonts w:ascii="Times New Roman" w:hAnsi="Times New Roman" w:eastAsia="宋体" w:cs="Times New Roman"/>
      <w:color w:val="auto"/>
      <w:kern w:val="2"/>
      <w:sz w:val="21"/>
      <w:lang w:val="en-US"/>
    </w:rPr>
  </w:style>
  <w:style w:type="paragraph" w:customStyle="1" w:styleId="931">
    <w:name w:val="xl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32">
    <w:name w:val="xl27"/>
    <w:basedOn w:val="1"/>
    <w:qFormat/>
    <w:uiPriority w:val="0"/>
    <w:pPr>
      <w:widowControl/>
      <w:spacing w:before="100" w:beforeAutospacing="1" w:after="100" w:afterAutospacing="1"/>
      <w:jc w:val="center"/>
    </w:pPr>
    <w:rPr>
      <w:rFonts w:ascii="Arial Unicode MS" w:hAnsi="Arial Unicode MS" w:eastAsia="Arial Unicode MS" w:cs="Times New Roman"/>
      <w:color w:val="auto"/>
      <w:lang w:val="en-US"/>
    </w:rPr>
  </w:style>
  <w:style w:type="paragraph" w:customStyle="1" w:styleId="933">
    <w:name w:val="xl73"/>
    <w:basedOn w:val="1"/>
    <w:qFormat/>
    <w:uiPriority w:val="0"/>
    <w:pPr>
      <w:widowControl/>
      <w:pBdr>
        <w:top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34">
    <w:name w:val="xl56"/>
    <w:basedOn w:val="1"/>
    <w:qFormat/>
    <w:uiPriority w:val="0"/>
    <w:pPr>
      <w:widowControl/>
      <w:pBdr>
        <w:top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935">
    <w:name w:val="样式 标题 3 + 段前: 0.5 行"/>
    <w:basedOn w:val="6"/>
    <w:qFormat/>
    <w:uiPriority w:val="0"/>
    <w:pPr>
      <w:keepNext w:val="0"/>
      <w:keepLines w:val="0"/>
      <w:widowControl w:val="0"/>
      <w:numPr>
        <w:ilvl w:val="0"/>
        <w:numId w:val="0"/>
      </w:numPr>
      <w:tabs>
        <w:tab w:val="left" w:pos="1200"/>
        <w:tab w:val="clear" w:pos="3229"/>
      </w:tabs>
      <w:spacing w:before="0" w:beforeLines="50" w:after="0" w:line="480" w:lineRule="exact"/>
      <w:jc w:val="both"/>
    </w:pPr>
    <w:rPr>
      <w:rFonts w:ascii="宋体" w:hAnsi="宋体"/>
      <w:bCs/>
      <w:kern w:val="2"/>
      <w:sz w:val="24"/>
      <w:szCs w:val="24"/>
      <w:lang w:val="en-US" w:eastAsia="zh-CN"/>
    </w:rPr>
  </w:style>
  <w:style w:type="paragraph" w:customStyle="1" w:styleId="936">
    <w:name w:val="标题3"/>
    <w:basedOn w:val="1"/>
    <w:qFormat/>
    <w:uiPriority w:val="0"/>
    <w:pPr>
      <w:spacing w:line="460" w:lineRule="exact"/>
      <w:ind w:firstLine="490" w:firstLineChars="204"/>
    </w:pPr>
    <w:rPr>
      <w:rFonts w:ascii="Calibri" w:hAnsi="Calibri" w:eastAsia="黑体" w:cs="Times New Roman"/>
      <w:b/>
      <w:color w:val="auto"/>
      <w:kern w:val="2"/>
      <w:lang w:val="en-US"/>
    </w:rPr>
  </w:style>
  <w:style w:type="paragraph" w:customStyle="1" w:styleId="937">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938">
    <w:name w:val="BT"/>
    <w:basedOn w:val="1"/>
    <w:qFormat/>
    <w:uiPriority w:val="0"/>
    <w:pPr>
      <w:autoSpaceDE w:val="0"/>
      <w:autoSpaceDN w:val="0"/>
      <w:adjustRightInd w:val="0"/>
      <w:spacing w:before="360" w:after="360"/>
      <w:jc w:val="center"/>
    </w:pPr>
    <w:rPr>
      <w:rFonts w:ascii="宋体" w:hAnsi="Calibri" w:cs="Times New Roman"/>
      <w:b/>
      <w:color w:val="auto"/>
      <w:sz w:val="36"/>
      <w:szCs w:val="20"/>
      <w:lang w:val="en-US"/>
    </w:rPr>
  </w:style>
  <w:style w:type="paragraph" w:customStyle="1" w:styleId="939">
    <w:name w:val="样式 横表 + Times New Roman 两端对齐"/>
    <w:basedOn w:val="696"/>
    <w:qFormat/>
    <w:uiPriority w:val="0"/>
    <w:pPr>
      <w:jc w:val="both"/>
    </w:pPr>
  </w:style>
  <w:style w:type="paragraph" w:customStyle="1" w:styleId="940">
    <w:name w:val="xl37"/>
    <w:basedOn w:val="1"/>
    <w:qFormat/>
    <w:uiPriority w:val="0"/>
    <w:pPr>
      <w:widowControl/>
      <w:pBdr>
        <w:top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41">
    <w:name w:val="正文文本1"/>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42">
    <w:name w:val="xl7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43">
    <w:name w:val="文本块2"/>
    <w:basedOn w:val="1"/>
    <w:qFormat/>
    <w:uiPriority w:val="0"/>
    <w:pPr>
      <w:tabs>
        <w:tab w:val="left" w:pos="1080"/>
      </w:tabs>
      <w:overflowPunct w:val="0"/>
      <w:autoSpaceDE w:val="0"/>
      <w:autoSpaceDN w:val="0"/>
      <w:adjustRightInd w:val="0"/>
      <w:spacing w:line="240" w:lineRule="exact"/>
      <w:ind w:left="270" w:right="25" w:hanging="270"/>
      <w:jc w:val="both"/>
    </w:pPr>
    <w:rPr>
      <w:rFonts w:ascii="宋体" w:cs="Times New Roman"/>
      <w:color w:val="auto"/>
      <w:sz w:val="21"/>
      <w:szCs w:val="20"/>
      <w:lang w:val="en-US"/>
    </w:rPr>
  </w:style>
  <w:style w:type="paragraph" w:customStyle="1" w:styleId="944">
    <w:name w:val="xl81"/>
    <w:basedOn w:val="1"/>
    <w:qFormat/>
    <w:uiPriority w:val="0"/>
    <w:pPr>
      <w:widowControl/>
      <w:pBdr>
        <w:top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945">
    <w:name w:val="Char Char Char"/>
    <w:basedOn w:val="1"/>
    <w:qFormat/>
    <w:uiPriority w:val="0"/>
    <w:pPr>
      <w:jc w:val="both"/>
    </w:pPr>
    <w:rPr>
      <w:rFonts w:ascii="Tahoma" w:hAnsi="Tahoma" w:cs="Times New Roman"/>
      <w:color w:val="auto"/>
      <w:kern w:val="2"/>
      <w:szCs w:val="20"/>
      <w:lang w:val="en-US"/>
    </w:rPr>
  </w:style>
  <w:style w:type="paragraph" w:customStyle="1" w:styleId="946">
    <w:name w:val="样式 标题 3B HeadH3ReHead 3 WSAh3标题 3 Char标题 3 Char Char Char..."/>
    <w:basedOn w:val="6"/>
    <w:qFormat/>
    <w:uiPriority w:val="0"/>
    <w:pPr>
      <w:keepNext w:val="0"/>
      <w:keepLines w:val="0"/>
      <w:widowControl w:val="0"/>
      <w:numPr>
        <w:ilvl w:val="0"/>
        <w:numId w:val="0"/>
      </w:numPr>
      <w:tabs>
        <w:tab w:val="clear" w:pos="3229"/>
      </w:tabs>
      <w:spacing w:before="0" w:after="0" w:line="240" w:lineRule="auto"/>
      <w:jc w:val="both"/>
    </w:pPr>
    <w:rPr>
      <w:rFonts w:ascii="宋体" w:hAnsi="宋体" w:eastAsia="黑体"/>
      <w:bCs/>
      <w:color w:val="000000"/>
      <w:kern w:val="2"/>
      <w:szCs w:val="32"/>
      <w:lang w:val="en-US" w:eastAsia="zh-CN"/>
    </w:rPr>
  </w:style>
  <w:style w:type="paragraph" w:customStyle="1" w:styleId="947">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948">
    <w:name w:val="样式 标题 1章节标题 + 左侧:  0.21 厘米 首行缩进:  0 厘米"/>
    <w:basedOn w:val="3"/>
    <w:qFormat/>
    <w:uiPriority w:val="0"/>
    <w:pPr>
      <w:keepNext w:val="0"/>
      <w:keepLines w:val="0"/>
      <w:adjustRightInd w:val="0"/>
      <w:snapToGrid w:val="0"/>
      <w:spacing w:before="0" w:after="0" w:line="400" w:lineRule="exact"/>
      <w:jc w:val="left"/>
    </w:pPr>
    <w:rPr>
      <w:rFonts w:eastAsia="黑体" w:cs="宋体"/>
      <w:bCs w:val="0"/>
      <w:kern w:val="0"/>
      <w:sz w:val="24"/>
      <w:szCs w:val="24"/>
      <w:lang w:val="en-US" w:eastAsia="zh-CN"/>
    </w:rPr>
  </w:style>
  <w:style w:type="paragraph" w:customStyle="1" w:styleId="949">
    <w:name w:val="1.1.1.1N"/>
    <w:basedOn w:val="779"/>
    <w:qFormat/>
    <w:uiPriority w:val="0"/>
    <w:pPr>
      <w:tabs>
        <w:tab w:val="clear" w:pos="1134"/>
      </w:tabs>
      <w:autoSpaceDE w:val="0"/>
      <w:autoSpaceDN w:val="0"/>
      <w:ind w:hanging="425"/>
    </w:pPr>
    <w:rPr>
      <w:rFonts w:cs="Arial"/>
      <w:sz w:val="20"/>
      <w:szCs w:val="24"/>
    </w:rPr>
  </w:style>
  <w:style w:type="paragraph" w:customStyle="1" w:styleId="950">
    <w:name w:val="表格文字居中3"/>
    <w:basedOn w:val="1"/>
    <w:qFormat/>
    <w:uiPriority w:val="0"/>
    <w:pPr>
      <w:adjustRightInd w:val="0"/>
      <w:snapToGrid w:val="0"/>
      <w:spacing w:line="240" w:lineRule="atLeast"/>
      <w:jc w:val="center"/>
    </w:pPr>
    <w:rPr>
      <w:rFonts w:ascii="Calibri" w:hAnsi="Calibri" w:cs="Times New Roman"/>
      <w:color w:val="auto"/>
      <w:kern w:val="2"/>
      <w:lang w:val="en-US"/>
    </w:rPr>
  </w:style>
  <w:style w:type="paragraph" w:customStyle="1" w:styleId="951">
    <w:name w:val="表格文字"/>
    <w:basedOn w:val="1"/>
    <w:qFormat/>
    <w:uiPriority w:val="0"/>
    <w:pPr>
      <w:adjustRightInd w:val="0"/>
      <w:spacing w:line="420" w:lineRule="atLeast"/>
      <w:textAlignment w:val="baseline"/>
    </w:pPr>
    <w:rPr>
      <w:rFonts w:ascii="Times New Roman" w:hAnsi="Times New Roman" w:eastAsia="宋体" w:cs="Times New Roman"/>
      <w:color w:val="auto"/>
      <w:sz w:val="21"/>
      <w:szCs w:val="20"/>
      <w:lang w:val="en-US"/>
    </w:rPr>
  </w:style>
  <w:style w:type="paragraph" w:customStyle="1" w:styleId="952">
    <w:name w:val="4"/>
    <w:basedOn w:val="7"/>
    <w:qFormat/>
    <w:uiPriority w:val="0"/>
    <w:pPr>
      <w:keepNext w:val="0"/>
      <w:keepLines/>
      <w:tabs>
        <w:tab w:val="left" w:pos="1134"/>
      </w:tabs>
      <w:adjustRightInd/>
      <w:spacing w:line="300" w:lineRule="auto"/>
      <w:ind w:firstLine="0"/>
      <w:textAlignment w:val="auto"/>
    </w:pPr>
    <w:rPr>
      <w:rFonts w:ascii="Arial" w:hAnsi="Arial" w:eastAsia="黑体"/>
      <w:b/>
      <w:i w:val="0"/>
      <w:kern w:val="44"/>
      <w:sz w:val="32"/>
    </w:rPr>
  </w:style>
  <w:style w:type="paragraph" w:customStyle="1" w:styleId="953">
    <w:name w:val="BT1"/>
    <w:basedOn w:val="1"/>
    <w:qFormat/>
    <w:uiPriority w:val="0"/>
    <w:pPr>
      <w:tabs>
        <w:tab w:val="left" w:pos="1134"/>
      </w:tabs>
      <w:autoSpaceDE w:val="0"/>
      <w:autoSpaceDN w:val="0"/>
      <w:adjustRightInd w:val="0"/>
      <w:spacing w:before="240" w:after="240" w:line="360" w:lineRule="atLeast"/>
      <w:ind w:left="1134" w:hanging="1134"/>
    </w:pPr>
    <w:rPr>
      <w:rFonts w:ascii="黑体" w:hAnsi="Calibri" w:eastAsia="黑体" w:cs="Times New Roman"/>
      <w:color w:val="auto"/>
      <w:sz w:val="28"/>
      <w:szCs w:val="20"/>
      <w:lang w:val="en-US"/>
    </w:rPr>
  </w:style>
  <w:style w:type="paragraph" w:customStyle="1" w:styleId="954">
    <w:name w:val="xl11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55">
    <w:name w:val="样式 样式 标题 2标题 2（报告）标题 2（报告）(3黑) + 三号 首行缩进:  2.1 字符 段前: 1 行 + 首行缩进..."/>
    <w:basedOn w:val="827"/>
    <w:qFormat/>
    <w:uiPriority w:val="0"/>
    <w:pPr>
      <w:ind w:firstLine="590"/>
      <w:jc w:val="left"/>
    </w:pPr>
  </w:style>
  <w:style w:type="paragraph" w:customStyle="1" w:styleId="956">
    <w:name w:val="xl11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57">
    <w:name w:val="5"/>
    <w:basedOn w:val="1"/>
    <w:next w:val="70"/>
    <w:qFormat/>
    <w:uiPriority w:val="0"/>
    <w:pPr>
      <w:spacing w:line="480" w:lineRule="exact"/>
      <w:ind w:left="539" w:leftChars="242" w:hanging="31" w:hangingChars="13"/>
      <w:jc w:val="both"/>
    </w:pPr>
    <w:rPr>
      <w:rFonts w:ascii="宋体" w:hAnsi="宋体" w:cs="Times New Roman"/>
      <w:b/>
      <w:color w:val="auto"/>
      <w:kern w:val="2"/>
      <w:szCs w:val="20"/>
      <w:lang w:val="en-US"/>
    </w:rPr>
  </w:style>
  <w:style w:type="paragraph" w:customStyle="1" w:styleId="958">
    <w:name w:val="Char Char Char1 Char Char Char Char Char Char Char Char Char Char Char Char Char Char Char Char Char Char Char"/>
    <w:basedOn w:val="1"/>
    <w:qFormat/>
    <w:uiPriority w:val="0"/>
    <w:pPr>
      <w:jc w:val="both"/>
    </w:pPr>
    <w:rPr>
      <w:rFonts w:ascii="Calibri" w:hAnsi="Calibri" w:cs="Times New Roman"/>
      <w:color w:val="auto"/>
      <w:kern w:val="2"/>
      <w:sz w:val="21"/>
      <w:lang w:val="en-US"/>
    </w:rPr>
  </w:style>
  <w:style w:type="paragraph" w:customStyle="1" w:styleId="959">
    <w:name w:val="表格文字1"/>
    <w:basedOn w:val="1"/>
    <w:qFormat/>
    <w:uiPriority w:val="0"/>
    <w:pPr>
      <w:adjustRightInd w:val="0"/>
      <w:snapToGrid w:val="0"/>
      <w:spacing w:line="240" w:lineRule="atLeast"/>
      <w:jc w:val="center"/>
    </w:pPr>
    <w:rPr>
      <w:rFonts w:ascii="Calibri" w:hAnsi="Calibri" w:cs="Times New Roman"/>
      <w:color w:val="auto"/>
      <w:kern w:val="2"/>
      <w:sz w:val="21"/>
      <w:lang w:val="en-US"/>
    </w:rPr>
  </w:style>
  <w:style w:type="paragraph" w:customStyle="1" w:styleId="960">
    <w:name w:val="MM"/>
    <w:basedOn w:val="1"/>
    <w:qFormat/>
    <w:uiPriority w:val="0"/>
    <w:pPr>
      <w:autoSpaceDE w:val="0"/>
      <w:autoSpaceDN w:val="0"/>
      <w:adjustRightInd w:val="0"/>
      <w:spacing w:before="60" w:after="60" w:line="360" w:lineRule="atLeast"/>
      <w:ind w:left="1560" w:hanging="426"/>
      <w:jc w:val="both"/>
    </w:pPr>
    <w:rPr>
      <w:rFonts w:ascii="宋体" w:hAnsi="Calibri" w:cs="Times New Roman"/>
      <w:color w:val="auto"/>
      <w:spacing w:val="5"/>
      <w:szCs w:val="20"/>
      <w:lang w:val="en-US"/>
    </w:rPr>
  </w:style>
  <w:style w:type="paragraph" w:customStyle="1" w:styleId="961">
    <w:name w:val="样式 标题 1 + 三号 黑色"/>
    <w:basedOn w:val="3"/>
    <w:qFormat/>
    <w:uiPriority w:val="0"/>
    <w:pPr>
      <w:spacing w:before="100" w:line="240" w:lineRule="auto"/>
      <w:jc w:val="center"/>
    </w:pPr>
    <w:rPr>
      <w:rFonts w:eastAsia="黑体"/>
      <w:color w:val="000000"/>
      <w:sz w:val="32"/>
      <w:lang w:val="en-US" w:eastAsia="zh-CN"/>
    </w:rPr>
  </w:style>
  <w:style w:type="paragraph" w:customStyle="1" w:styleId="962">
    <w:name w:val=" Char Char Char Char"/>
    <w:basedOn w:val="1"/>
    <w:qFormat/>
    <w:uiPriority w:val="0"/>
    <w:pPr>
      <w:spacing w:line="360" w:lineRule="auto"/>
    </w:pPr>
    <w:rPr>
      <w:rFonts w:ascii="宋体" w:hAnsi="Comic Sans MS" w:eastAsia="宋体" w:cs="Times New Roman"/>
      <w:kern w:val="2"/>
      <w:sz w:val="21"/>
      <w:szCs w:val="21"/>
    </w:rPr>
  </w:style>
  <w:style w:type="paragraph" w:customStyle="1" w:styleId="963">
    <w:name w:val="纯文本1"/>
    <w:basedOn w:val="1"/>
    <w:qFormat/>
    <w:uiPriority w:val="0"/>
    <w:pPr>
      <w:overflowPunct w:val="0"/>
      <w:autoSpaceDE w:val="0"/>
      <w:autoSpaceDN w:val="0"/>
      <w:adjustRightInd w:val="0"/>
      <w:jc w:val="both"/>
    </w:pPr>
    <w:rPr>
      <w:rFonts w:ascii="宋体" w:hAnsi="Calibri" w:cs="Times New Roman"/>
      <w:color w:val="auto"/>
      <w:kern w:val="2"/>
      <w:sz w:val="21"/>
      <w:szCs w:val="20"/>
      <w:lang w:val="en-US"/>
    </w:rPr>
  </w:style>
  <w:style w:type="paragraph" w:customStyle="1" w:styleId="964">
    <w:name w:val="font11"/>
    <w:basedOn w:val="1"/>
    <w:qFormat/>
    <w:uiPriority w:val="0"/>
    <w:pPr>
      <w:widowControl/>
      <w:spacing w:before="100" w:beforeAutospacing="1" w:after="100" w:afterAutospacing="1"/>
    </w:pPr>
    <w:rPr>
      <w:rFonts w:ascii="宋体" w:hAnsi="宋体" w:cs="宋体"/>
      <w:color w:val="auto"/>
      <w:lang w:val="en-US"/>
    </w:rPr>
  </w:style>
  <w:style w:type="paragraph" w:customStyle="1" w:styleId="965">
    <w:name w:val="list22"/>
    <w:basedOn w:val="767"/>
    <w:qFormat/>
    <w:uiPriority w:val="0"/>
    <w:rPr>
      <w:rFonts w:ascii="宋体" w:hAnsi="Times New Roman"/>
    </w:rPr>
  </w:style>
  <w:style w:type="paragraph" w:customStyle="1" w:styleId="9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967">
    <w:name w:val="p0"/>
    <w:basedOn w:val="1"/>
    <w:qFormat/>
    <w:uiPriority w:val="0"/>
    <w:pPr>
      <w:widowControl/>
      <w:jc w:val="both"/>
    </w:pPr>
    <w:rPr>
      <w:rFonts w:ascii="Calibri" w:hAnsi="Calibri" w:cs="Times New Roman"/>
      <w:color w:val="auto"/>
      <w:sz w:val="21"/>
      <w:szCs w:val="21"/>
      <w:lang w:val="en-US"/>
    </w:rPr>
  </w:style>
  <w:style w:type="paragraph" w:customStyle="1" w:styleId="968">
    <w:name w:val="正文文本缩进 21"/>
    <w:basedOn w:val="1"/>
    <w:qFormat/>
    <w:uiPriority w:val="0"/>
    <w:pPr>
      <w:overflowPunct w:val="0"/>
      <w:autoSpaceDE w:val="0"/>
      <w:autoSpaceDN w:val="0"/>
      <w:adjustRightInd w:val="0"/>
      <w:spacing w:line="240" w:lineRule="exact"/>
      <w:ind w:left="204"/>
      <w:jc w:val="both"/>
    </w:pPr>
    <w:rPr>
      <w:rFonts w:ascii="宋体" w:hAnsi="Calibri" w:cs="Times New Roman"/>
      <w:color w:val="auto"/>
      <w:sz w:val="21"/>
      <w:szCs w:val="20"/>
      <w:lang w:val="en-US"/>
    </w:rPr>
  </w:style>
  <w:style w:type="paragraph" w:customStyle="1" w:styleId="969">
    <w:name w:val="表题注"/>
    <w:basedOn w:val="1"/>
    <w:qFormat/>
    <w:uiPriority w:val="0"/>
    <w:pPr>
      <w:widowControl/>
      <w:tabs>
        <w:tab w:val="center" w:pos="3990"/>
        <w:tab w:val="right" w:pos="7980"/>
        <w:tab w:val="right" w:pos="8880"/>
      </w:tabs>
      <w:spacing w:beforeLines="50"/>
    </w:pPr>
    <w:rPr>
      <w:rFonts w:ascii="Calibri" w:hAnsi="Calibri" w:cs="宋体"/>
      <w:color w:val="auto"/>
      <w:kern w:val="2"/>
      <w:szCs w:val="22"/>
      <w:lang w:val="en-US"/>
    </w:rPr>
  </w:style>
  <w:style w:type="paragraph" w:customStyle="1" w:styleId="970">
    <w:name w:val="列出段落1"/>
    <w:basedOn w:val="1"/>
    <w:qFormat/>
    <w:uiPriority w:val="0"/>
    <w:pPr>
      <w:ind w:firstLine="420" w:firstLineChars="200"/>
      <w:jc w:val="both"/>
    </w:pPr>
    <w:rPr>
      <w:rFonts w:ascii="Calibri" w:hAnsi="Calibri" w:cs="Times New Roman"/>
      <w:color w:val="auto"/>
      <w:kern w:val="2"/>
      <w:sz w:val="21"/>
      <w:lang w:val="en-US"/>
    </w:rPr>
  </w:style>
  <w:style w:type="paragraph" w:customStyle="1" w:styleId="97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color w:val="auto"/>
      <w:lang w:val="en-US"/>
    </w:rPr>
  </w:style>
  <w:style w:type="paragraph" w:customStyle="1" w:styleId="972">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color w:val="auto"/>
      <w:spacing w:val="20"/>
      <w:kern w:val="28"/>
      <w:sz w:val="21"/>
      <w:szCs w:val="20"/>
      <w:lang w:val="en-US"/>
    </w:rPr>
  </w:style>
  <w:style w:type="paragraph" w:customStyle="1" w:styleId="9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974">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75">
    <w:name w:val="目录2"/>
    <w:basedOn w:val="1"/>
    <w:qFormat/>
    <w:uiPriority w:val="0"/>
    <w:pPr>
      <w:adjustRightInd w:val="0"/>
      <w:spacing w:line="420" w:lineRule="atLeast"/>
      <w:ind w:left="227"/>
      <w:jc w:val="both"/>
    </w:pPr>
    <w:rPr>
      <w:rFonts w:ascii="Calibri" w:hAnsi="Calibri" w:cs="Times New Roman"/>
      <w:color w:val="auto"/>
      <w:sz w:val="21"/>
      <w:szCs w:val="20"/>
      <w:lang w:val="en-US"/>
    </w:rPr>
  </w:style>
  <w:style w:type="paragraph" w:customStyle="1" w:styleId="976">
    <w:name w:val="普通 (Web)"/>
    <w:basedOn w:val="1"/>
    <w:qFormat/>
    <w:uiPriority w:val="0"/>
    <w:pPr>
      <w:widowControl/>
      <w:spacing w:before="100" w:beforeAutospacing="1" w:after="100" w:afterAutospacing="1"/>
    </w:pPr>
    <w:rPr>
      <w:rFonts w:ascii="宋体" w:hAnsi="宋体" w:cs="Times New Roman"/>
      <w:color w:val="auto"/>
      <w:lang w:val="en-US"/>
    </w:rPr>
  </w:style>
  <w:style w:type="paragraph" w:customStyle="1" w:styleId="977">
    <w:name w:val="抬头"/>
    <w:basedOn w:val="1"/>
    <w:qFormat/>
    <w:uiPriority w:val="0"/>
    <w:pPr>
      <w:spacing w:beforeLines="100" w:line="440" w:lineRule="exact"/>
      <w:jc w:val="both"/>
    </w:pPr>
    <w:rPr>
      <w:rFonts w:ascii="Calibri" w:hAnsi="Calibri" w:cs="Times New Roman"/>
      <w:color w:val="auto"/>
      <w:kern w:val="2"/>
      <w:szCs w:val="20"/>
      <w:lang w:val="en-US"/>
    </w:rPr>
  </w:style>
  <w:style w:type="paragraph" w:customStyle="1" w:styleId="978">
    <w:name w:val="xl51"/>
    <w:basedOn w:val="1"/>
    <w:qFormat/>
    <w:uiPriority w:val="0"/>
    <w:pPr>
      <w:widowControl/>
      <w:pBdr>
        <w:bottom w:val="single" w:color="auto" w:sz="4" w:space="0"/>
      </w:pBdr>
      <w:spacing w:before="100" w:beforeAutospacing="1" w:after="100" w:afterAutospacing="1"/>
    </w:pPr>
    <w:rPr>
      <w:rFonts w:ascii="Calibri" w:hAnsi="Calibri" w:eastAsia="Arial Unicode MS" w:cs="Times New Roman"/>
      <w:b/>
      <w:bCs/>
      <w:color w:val="auto"/>
      <w:sz w:val="20"/>
      <w:szCs w:val="20"/>
      <w:lang w:val="en-US"/>
    </w:rPr>
  </w:style>
  <w:style w:type="paragraph" w:customStyle="1" w:styleId="979">
    <w:name w:val="LY正文"/>
    <w:basedOn w:val="1"/>
    <w:qFormat/>
    <w:uiPriority w:val="0"/>
    <w:pPr>
      <w:snapToGrid w:val="0"/>
      <w:spacing w:line="300" w:lineRule="auto"/>
      <w:ind w:firstLine="567"/>
      <w:jc w:val="both"/>
    </w:pPr>
    <w:rPr>
      <w:rFonts w:ascii="宋体" w:hAnsi="CG Times" w:cs="Times New Roman"/>
      <w:color w:val="auto"/>
      <w:kern w:val="2"/>
      <w:sz w:val="28"/>
      <w:szCs w:val="20"/>
      <w:lang w:val="en-US"/>
    </w:rPr>
  </w:style>
  <w:style w:type="paragraph" w:customStyle="1" w:styleId="980">
    <w:name w:val="bf"/>
    <w:basedOn w:val="1"/>
    <w:qFormat/>
    <w:uiPriority w:val="0"/>
    <w:pPr>
      <w:tabs>
        <w:tab w:val="left" w:leader="underscore" w:pos="0"/>
      </w:tabs>
      <w:autoSpaceDE w:val="0"/>
      <w:autoSpaceDN w:val="0"/>
      <w:adjustRightInd w:val="0"/>
      <w:spacing w:before="480" w:after="240" w:line="360" w:lineRule="atLeast"/>
      <w:jc w:val="center"/>
    </w:pPr>
    <w:rPr>
      <w:rFonts w:ascii="黑体" w:hAnsi="Calibri" w:eastAsia="黑体" w:cs="Times New Roman"/>
      <w:color w:val="auto"/>
      <w:sz w:val="36"/>
      <w:szCs w:val="20"/>
      <w:lang w:val="en-US"/>
    </w:rPr>
  </w:style>
  <w:style w:type="paragraph" w:customStyle="1" w:styleId="981">
    <w:name w:val="n"/>
    <w:basedOn w:val="1"/>
    <w:qFormat/>
    <w:uiPriority w:val="0"/>
    <w:pPr>
      <w:adjustRightInd w:val="0"/>
      <w:spacing w:line="400" w:lineRule="atLeast"/>
      <w:jc w:val="both"/>
    </w:pPr>
    <w:rPr>
      <w:rFonts w:ascii="Arial" w:hAnsi="Arial" w:cs="Times New Roman"/>
      <w:color w:val="auto"/>
      <w:szCs w:val="20"/>
      <w:lang w:val="en-US"/>
    </w:rPr>
  </w:style>
  <w:style w:type="paragraph" w:customStyle="1" w:styleId="982">
    <w:name w:val="_Style 30"/>
    <w:basedOn w:val="1"/>
    <w:qFormat/>
    <w:uiPriority w:val="0"/>
    <w:pPr>
      <w:spacing w:after="160" w:line="240" w:lineRule="exact"/>
      <w:jc w:val="both"/>
    </w:pPr>
    <w:rPr>
      <w:rFonts w:ascii="Calibri" w:hAnsi="Calibri" w:cs="Times New Roman"/>
      <w:color w:val="auto"/>
      <w:kern w:val="2"/>
      <w:sz w:val="21"/>
      <w:szCs w:val="20"/>
      <w:lang w:val="en-US"/>
    </w:rPr>
  </w:style>
  <w:style w:type="paragraph" w:customStyle="1" w:styleId="983">
    <w:name w:val="1"/>
    <w:basedOn w:val="1"/>
    <w:next w:val="1"/>
    <w:qFormat/>
    <w:uiPriority w:val="0"/>
    <w:pPr>
      <w:jc w:val="both"/>
    </w:pPr>
    <w:rPr>
      <w:rFonts w:ascii="Times New Roman" w:hAnsi="Times New Roman" w:eastAsia="宋体" w:cs="Times New Roman"/>
      <w:color w:val="auto"/>
      <w:kern w:val="2"/>
      <w:sz w:val="21"/>
      <w:lang w:val="en-US"/>
    </w:rPr>
  </w:style>
  <w:style w:type="paragraph" w:customStyle="1" w:styleId="984">
    <w:name w:val="_Style 4"/>
    <w:basedOn w:val="1"/>
    <w:qFormat/>
    <w:uiPriority w:val="0"/>
    <w:pPr>
      <w:spacing w:line="480" w:lineRule="exact"/>
      <w:jc w:val="both"/>
    </w:pPr>
    <w:rPr>
      <w:rFonts w:ascii="Calibri" w:hAnsi="Calibri" w:cs="Times New Roman"/>
      <w:color w:val="auto"/>
      <w:kern w:val="2"/>
      <w:lang w:val="en-US"/>
    </w:rPr>
  </w:style>
  <w:style w:type="paragraph" w:customStyle="1" w:styleId="985">
    <w:name w:val="xl25"/>
    <w:basedOn w:val="1"/>
    <w:qFormat/>
    <w:uiPriority w:val="0"/>
    <w:pPr>
      <w:widowControl/>
      <w:pBdr>
        <w:top w:val="single" w:color="auto" w:sz="4" w:space="0"/>
        <w:left w:val="single" w:color="auto" w:sz="4" w:space="0"/>
        <w:bottom w:val="single" w:color="auto" w:sz="4" w:space="0"/>
        <w:right w:val="single" w:color="auto" w:sz="4" w:space="0"/>
      </w:pBdr>
      <w:tabs>
        <w:tab w:val="left" w:pos="420"/>
      </w:tabs>
      <w:spacing w:before="100" w:beforeAutospacing="1" w:after="100" w:afterAutospacing="1"/>
      <w:jc w:val="center"/>
    </w:pPr>
    <w:rPr>
      <w:rFonts w:ascii="Calibri" w:hAnsi="Calibri" w:eastAsia="Arial Unicode MS" w:cs="Arial Unicode MS"/>
      <w:color w:val="auto"/>
      <w:lang w:val="en-US"/>
    </w:rPr>
  </w:style>
  <w:style w:type="paragraph" w:customStyle="1" w:styleId="986">
    <w:name w:val="_Style 3"/>
    <w:basedOn w:val="1"/>
    <w:qFormat/>
    <w:uiPriority w:val="0"/>
    <w:pPr>
      <w:ind w:firstLine="420" w:firstLineChars="200"/>
      <w:jc w:val="both"/>
    </w:pPr>
    <w:rPr>
      <w:rFonts w:ascii="Calibri" w:hAnsi="Calibri" w:cs="Times New Roman"/>
      <w:color w:val="auto"/>
      <w:kern w:val="2"/>
      <w:sz w:val="20"/>
      <w:lang w:val="en-US"/>
    </w:rPr>
  </w:style>
  <w:style w:type="paragraph" w:customStyle="1" w:styleId="987">
    <w:name w:val="样式 标题1 + 四号 首行缩进:  1.92 字符"/>
    <w:basedOn w:val="287"/>
    <w:qFormat/>
    <w:uiPriority w:val="0"/>
    <w:pPr>
      <w:ind w:firstLine="538"/>
    </w:pPr>
    <w:rPr>
      <w:rFonts w:cs="宋体"/>
      <w:sz w:val="28"/>
      <w:szCs w:val="28"/>
    </w:rPr>
  </w:style>
  <w:style w:type="paragraph" w:customStyle="1" w:styleId="988">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89">
    <w:name w:val="通用"/>
    <w:basedOn w:val="1"/>
    <w:qFormat/>
    <w:uiPriority w:val="0"/>
    <w:pPr>
      <w:tabs>
        <w:tab w:val="left" w:pos="735"/>
        <w:tab w:val="left" w:pos="840"/>
        <w:tab w:val="left" w:pos="1050"/>
      </w:tabs>
      <w:spacing w:after="312"/>
      <w:ind w:left="840" w:hanging="840"/>
      <w:jc w:val="both"/>
    </w:pPr>
    <w:rPr>
      <w:rFonts w:ascii="Calibri" w:hAnsi="Calibri" w:cs="Times New Roman"/>
      <w:color w:val="auto"/>
      <w:kern w:val="2"/>
      <w:sz w:val="21"/>
      <w:szCs w:val="20"/>
      <w:lang w:val="en-US"/>
    </w:rPr>
  </w:style>
  <w:style w:type="paragraph" w:customStyle="1" w:styleId="990">
    <w:name w:val="注释标题1"/>
    <w:basedOn w:val="1"/>
    <w:next w:val="1"/>
    <w:qFormat/>
    <w:uiPriority w:val="0"/>
    <w:pPr>
      <w:overflowPunct w:val="0"/>
      <w:autoSpaceDE w:val="0"/>
      <w:autoSpaceDN w:val="0"/>
      <w:adjustRightInd w:val="0"/>
      <w:spacing w:line="240" w:lineRule="exact"/>
      <w:jc w:val="center"/>
    </w:pPr>
    <w:rPr>
      <w:rFonts w:ascii="宋体" w:hAnsi="Calibri" w:cs="Times New Roman"/>
      <w:b/>
      <w:color w:val="auto"/>
      <w:sz w:val="22"/>
      <w:szCs w:val="20"/>
      <w:u w:val="single"/>
      <w:lang w:val="en-US"/>
    </w:rPr>
  </w:style>
  <w:style w:type="paragraph" w:customStyle="1" w:styleId="991">
    <w:name w:val="xl11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92">
    <w:name w:val="文本块1"/>
    <w:basedOn w:val="1"/>
    <w:qFormat/>
    <w:uiPriority w:val="0"/>
    <w:pPr>
      <w:tabs>
        <w:tab w:val="left" w:pos="1080"/>
      </w:tabs>
      <w:overflowPunct w:val="0"/>
      <w:autoSpaceDE w:val="0"/>
      <w:autoSpaceDN w:val="0"/>
      <w:adjustRightInd w:val="0"/>
      <w:spacing w:line="240" w:lineRule="exact"/>
      <w:ind w:left="270" w:right="25" w:hanging="270"/>
      <w:jc w:val="both"/>
    </w:pPr>
    <w:rPr>
      <w:rFonts w:ascii="宋体" w:hAnsi="Calibri" w:cs="Times New Roman"/>
      <w:color w:val="auto"/>
      <w:sz w:val="21"/>
      <w:szCs w:val="20"/>
      <w:lang w:val="en-US"/>
    </w:rPr>
  </w:style>
  <w:style w:type="paragraph" w:customStyle="1" w:styleId="993">
    <w:name w:val="小四表格"/>
    <w:basedOn w:val="1"/>
    <w:qFormat/>
    <w:uiPriority w:val="0"/>
    <w:pPr>
      <w:adjustRightInd w:val="0"/>
      <w:snapToGrid w:val="0"/>
      <w:spacing w:line="440" w:lineRule="exact"/>
      <w:jc w:val="both"/>
    </w:pPr>
    <w:rPr>
      <w:rFonts w:ascii="Calibri" w:hAnsi="Calibri" w:cs="Times New Roman"/>
      <w:color w:val="auto"/>
      <w:szCs w:val="20"/>
      <w:lang w:val="en-US"/>
    </w:rPr>
  </w:style>
  <w:style w:type="paragraph" w:customStyle="1" w:styleId="994">
    <w:name w:val="标题 3m-"/>
    <w:basedOn w:val="759"/>
    <w:qFormat/>
    <w:uiPriority w:val="0"/>
    <w:pPr>
      <w:ind w:firstLine="0"/>
    </w:pPr>
  </w:style>
  <w:style w:type="paragraph" w:customStyle="1" w:styleId="995">
    <w:name w:val="font8"/>
    <w:basedOn w:val="1"/>
    <w:qFormat/>
    <w:uiPriority w:val="0"/>
    <w:pPr>
      <w:widowControl/>
      <w:spacing w:before="100" w:beforeAutospacing="1" w:after="100" w:afterAutospacing="1"/>
    </w:pPr>
    <w:rPr>
      <w:rFonts w:ascii="Calibri" w:hAnsi="Calibri" w:eastAsia="Arial Unicode MS" w:cs="Arial Unicode MS"/>
      <w:color w:val="auto"/>
      <w:sz w:val="18"/>
      <w:szCs w:val="18"/>
      <w:lang w:val="en-US"/>
    </w:rPr>
  </w:style>
  <w:style w:type="paragraph" w:customStyle="1" w:styleId="996">
    <w:name w:val=" Char1"/>
    <w:basedOn w:val="1"/>
    <w:qFormat/>
    <w:uiPriority w:val="0"/>
    <w:pPr>
      <w:jc w:val="both"/>
    </w:pPr>
    <w:rPr>
      <w:rFonts w:ascii="Times New Roman" w:hAnsi="Times New Roman" w:eastAsia="宋体" w:cs="Times New Roman"/>
      <w:color w:val="auto"/>
      <w:kern w:val="2"/>
      <w:sz w:val="21"/>
      <w:lang w:val="en-US"/>
    </w:rPr>
  </w:style>
  <w:style w:type="paragraph" w:customStyle="1" w:styleId="997">
    <w:name w:val="样式 四号 红色 行距: 1.5 倍行距 首行缩进:  2 字符"/>
    <w:basedOn w:val="1"/>
    <w:qFormat/>
    <w:uiPriority w:val="0"/>
    <w:pPr>
      <w:spacing w:before="100" w:after="100" w:line="360" w:lineRule="auto"/>
      <w:ind w:firstLine="200" w:firstLineChars="200"/>
      <w:jc w:val="both"/>
    </w:pPr>
    <w:rPr>
      <w:rFonts w:ascii="Calibri" w:hAnsi="Calibri" w:cs="宋体"/>
      <w:color w:val="auto"/>
      <w:kern w:val="2"/>
      <w:szCs w:val="20"/>
      <w:lang w:val="en-US"/>
    </w:rPr>
  </w:style>
  <w:style w:type="paragraph" w:customStyle="1" w:styleId="998">
    <w:name w:val="样式 四号 行距: 固定值 23 磅 首行缩进:  2 字符"/>
    <w:basedOn w:val="1"/>
    <w:qFormat/>
    <w:uiPriority w:val="0"/>
    <w:pPr>
      <w:spacing w:line="460" w:lineRule="exact"/>
      <w:ind w:firstLine="200" w:firstLineChars="200"/>
      <w:jc w:val="both"/>
    </w:pPr>
    <w:rPr>
      <w:rFonts w:ascii="Calibri" w:hAnsi="Calibri" w:cs="宋体"/>
      <w:color w:val="auto"/>
      <w:kern w:val="2"/>
      <w:sz w:val="28"/>
      <w:szCs w:val="20"/>
      <w:lang w:val="en-US"/>
    </w:rPr>
  </w:style>
  <w:style w:type="paragraph" w:customStyle="1" w:styleId="999">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Calibri" w:hAnsi="Calibri" w:cs="Times New Roman"/>
      <w:color w:val="auto"/>
      <w:lang w:val="en-US"/>
    </w:rPr>
  </w:style>
  <w:style w:type="paragraph" w:customStyle="1" w:styleId="1000">
    <w:name w:val="LY标题3"/>
    <w:basedOn w:val="1"/>
    <w:next w:val="1"/>
    <w:qFormat/>
    <w:uiPriority w:val="0"/>
    <w:pPr>
      <w:jc w:val="both"/>
      <w:outlineLvl w:val="2"/>
    </w:pPr>
    <w:rPr>
      <w:rFonts w:ascii="黑体" w:hAnsi="CG Times" w:eastAsia="黑体" w:cs="Times New Roman"/>
      <w:b/>
      <w:color w:val="auto"/>
      <w:kern w:val="2"/>
      <w:sz w:val="28"/>
      <w:szCs w:val="20"/>
      <w:lang w:val="en-US"/>
    </w:rPr>
  </w:style>
  <w:style w:type="paragraph" w:customStyle="1" w:styleId="1001">
    <w:name w:val="xl95"/>
    <w:basedOn w:val="1"/>
    <w:qFormat/>
    <w:uiPriority w:val="0"/>
    <w:pPr>
      <w:widowControl/>
      <w:spacing w:before="100" w:beforeAutospacing="1" w:after="100" w:afterAutospacing="1"/>
    </w:pPr>
    <w:rPr>
      <w:rFonts w:ascii="宋体" w:hAnsi="宋体" w:cs="宋体"/>
      <w:color w:val="auto"/>
      <w:sz w:val="22"/>
      <w:szCs w:val="22"/>
      <w:lang w:val="en-US"/>
    </w:rPr>
  </w:style>
  <w:style w:type="paragraph" w:customStyle="1" w:styleId="1002">
    <w:name w:val="xl61"/>
    <w:basedOn w:val="1"/>
    <w:qFormat/>
    <w:uiPriority w:val="0"/>
    <w:pPr>
      <w:widowControl/>
      <w:pBdr>
        <w:left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1003">
    <w:name w:val="xl109"/>
    <w:basedOn w:val="1"/>
    <w:qFormat/>
    <w:uiPriority w:val="0"/>
    <w:pPr>
      <w:widowControl/>
      <w:pBdr>
        <w:top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1004">
    <w:name w:val="xl79"/>
    <w:basedOn w:val="1"/>
    <w:qFormat/>
    <w:uiPriority w:val="0"/>
    <w:pPr>
      <w:widowControl/>
      <w:spacing w:before="100" w:beforeAutospacing="1" w:after="100" w:afterAutospacing="1"/>
    </w:pPr>
    <w:rPr>
      <w:rFonts w:ascii="Calibri" w:hAnsi="Calibri" w:eastAsia="Arial Unicode MS" w:cs="Times New Roman"/>
      <w:color w:val="auto"/>
      <w:lang w:val="en-US"/>
    </w:rPr>
  </w:style>
  <w:style w:type="paragraph" w:customStyle="1" w:styleId="100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1006">
    <w:name w:val="xl43"/>
    <w:basedOn w:val="1"/>
    <w:qFormat/>
    <w:uiPriority w:val="0"/>
    <w:pPr>
      <w:widowControl/>
      <w:pBdr>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1007">
    <w:name w:val="样式 标题 2标题 2（报告）标题 2（报告）(3黑) + 小四 段前: 12 磅 段后: 0 磅 行距: 1.5 倍..."/>
    <w:basedOn w:val="4"/>
    <w:qFormat/>
    <w:uiPriority w:val="0"/>
    <w:pPr>
      <w:spacing w:before="240" w:after="0" w:line="360" w:lineRule="auto"/>
      <w:ind w:firstLine="480" w:firstLineChars="200"/>
    </w:pPr>
    <w:rPr>
      <w:rFonts w:eastAsia="宋体" w:cs="宋体"/>
      <w:b/>
      <w:i w:val="0"/>
      <w:iCs w:val="0"/>
      <w:kern w:val="0"/>
      <w:lang w:val="en-US" w:eastAsia="zh-CN"/>
    </w:rPr>
  </w:style>
  <w:style w:type="paragraph" w:customStyle="1" w:styleId="1008">
    <w:name w:val="样式 标题 1 + 段前: 0.5 行 段后: 0.5 行 行距: 1.5 倍行距"/>
    <w:basedOn w:val="3"/>
    <w:qFormat/>
    <w:uiPriority w:val="0"/>
    <w:pPr>
      <w:snapToGrid w:val="0"/>
      <w:spacing w:before="100" w:beforeAutospacing="1" w:after="0" w:line="360" w:lineRule="auto"/>
      <w:jc w:val="center"/>
    </w:pPr>
    <w:rPr>
      <w:rFonts w:eastAsia="黑体" w:cs="宋体"/>
      <w:sz w:val="36"/>
      <w:szCs w:val="20"/>
      <w:lang w:val="en-US" w:eastAsia="zh-CN"/>
    </w:rPr>
  </w:style>
  <w:style w:type="paragraph" w:customStyle="1" w:styleId="1009">
    <w:name w:val="LL2"/>
    <w:basedOn w:val="707"/>
    <w:qFormat/>
    <w:uiPriority w:val="0"/>
    <w:pPr>
      <w:ind w:left="1985" w:hanging="425"/>
    </w:pPr>
  </w:style>
  <w:style w:type="paragraph" w:customStyle="1" w:styleId="1010">
    <w:name w:val="Char Char1 Char Char Char Char Char Char"/>
    <w:basedOn w:val="1"/>
    <w:qFormat/>
    <w:uiPriority w:val="0"/>
    <w:pPr>
      <w:widowControl/>
      <w:spacing w:after="160" w:line="240" w:lineRule="exact"/>
    </w:pPr>
    <w:rPr>
      <w:rFonts w:ascii="Verdana" w:hAnsi="Verdana" w:eastAsia="仿宋_GB2312" w:cs="Times New Roman"/>
      <w:color w:val="auto"/>
      <w:szCs w:val="20"/>
      <w:lang w:val="en-US" w:eastAsia="en-US"/>
    </w:rPr>
  </w:style>
  <w:style w:type="paragraph" w:customStyle="1" w:styleId="1011">
    <w:name w:val="xl102"/>
    <w:basedOn w:val="1"/>
    <w:qFormat/>
    <w:uiPriority w:val="0"/>
    <w:pPr>
      <w:widowControl/>
      <w:spacing w:before="100" w:beforeAutospacing="1" w:after="100" w:afterAutospacing="1"/>
    </w:pPr>
    <w:rPr>
      <w:rFonts w:ascii="Calibri" w:hAnsi="Calibri" w:cs="Times New Roman"/>
      <w:color w:val="auto"/>
      <w:sz w:val="28"/>
      <w:szCs w:val="28"/>
      <w:lang w:val="en-US"/>
    </w:rPr>
  </w:style>
  <w:style w:type="paragraph" w:customStyle="1" w:styleId="1012">
    <w:name w:val="1.1.1.1A-1-n"/>
    <w:basedOn w:val="863"/>
    <w:qFormat/>
    <w:uiPriority w:val="0"/>
    <w:pPr>
      <w:tabs>
        <w:tab w:val="clear" w:pos="1985"/>
        <w:tab w:val="clear" w:pos="26875"/>
      </w:tabs>
      <w:ind w:left="1418" w:hanging="284"/>
    </w:pPr>
    <w:rPr>
      <w:rFonts w:cs="Arial"/>
      <w:sz w:val="20"/>
      <w:szCs w:val="24"/>
    </w:rPr>
  </w:style>
  <w:style w:type="paragraph" w:customStyle="1" w:styleId="1013">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1014">
    <w:name w:val=" Char Char Char"/>
    <w:basedOn w:val="1"/>
    <w:qFormat/>
    <w:uiPriority w:val="0"/>
    <w:pPr>
      <w:jc w:val="both"/>
    </w:pPr>
    <w:rPr>
      <w:rFonts w:ascii="Times New Roman" w:hAnsi="Times New Roman" w:eastAsia="宋体" w:cs="Times New Roman"/>
      <w:color w:val="auto"/>
      <w:kern w:val="2"/>
      <w:sz w:val="21"/>
      <w:szCs w:val="20"/>
      <w:lang w:val="en-US"/>
    </w:rPr>
  </w:style>
  <w:style w:type="paragraph" w:customStyle="1" w:styleId="1015">
    <w:name w:val="mml"/>
    <w:basedOn w:val="1"/>
    <w:qFormat/>
    <w:uiPriority w:val="0"/>
    <w:pPr>
      <w:tabs>
        <w:tab w:val="left" w:pos="1134"/>
      </w:tabs>
      <w:autoSpaceDE w:val="0"/>
      <w:autoSpaceDN w:val="0"/>
      <w:adjustRightInd w:val="0"/>
      <w:spacing w:before="240" w:after="240" w:line="227" w:lineRule="atLeast"/>
      <w:ind w:left="1134" w:hanging="1134"/>
      <w:jc w:val="center"/>
    </w:pPr>
    <w:rPr>
      <w:rFonts w:ascii="黑体" w:hAnsi="Calibri" w:eastAsia="黑体" w:cs="Times New Roman"/>
      <w:color w:val="auto"/>
      <w:spacing w:val="5"/>
      <w:sz w:val="36"/>
      <w:szCs w:val="20"/>
      <w:lang w:val="en-US"/>
    </w:rPr>
  </w:style>
  <w:style w:type="paragraph" w:customStyle="1" w:styleId="1016">
    <w:name w:val="主送单位"/>
    <w:basedOn w:val="1"/>
    <w:qFormat/>
    <w:uiPriority w:val="0"/>
    <w:pPr>
      <w:widowControl/>
      <w:spacing w:line="560" w:lineRule="atLeast"/>
    </w:pPr>
    <w:rPr>
      <w:rFonts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207</Pages>
  <Words>17938</Words>
  <Characters>102250</Characters>
  <Lines>852</Lines>
  <Paragraphs>239</Paragraphs>
  <TotalTime>14</TotalTime>
  <ScaleCrop>false</ScaleCrop>
  <LinksUpToDate>false</LinksUpToDate>
  <CharactersWithSpaces>119949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2022-08-10T00:44:00Z</dcterms:created>
  <dc:creator>苏日洪</dc:creator>
  <cp:lastModifiedBy>uos</cp:lastModifiedBy>
  <cp:lastPrinted>2023-05-22T22:12:00Z</cp:lastPrinted>
  <dcterms:modified xsi:type="dcterms:W3CDTF">2023-08-30T11:49:15Z</dcterms:modified>
  <dc:title>广东省公路工程施工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B5E59924C1EC432E9EB5A84903F4C28E_13</vt:lpwstr>
  </property>
</Properties>
</file>