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3AFD76">
      <w:pPr>
        <w:rPr>
          <w:rFonts w:hint="eastAsia" w:ascii="仿宋_GB2312" w:hAnsi="仿宋_GB2312" w:eastAsia="仿宋_GB2312" w:cs="仿宋_GB2312"/>
          <w:color w:val="000000" w:themeColor="text1"/>
          <w:sz w:val="36"/>
          <w:szCs w:val="36"/>
          <w:lang w:eastAsia="zh-CN"/>
          <w14:textFill>
            <w14:solidFill>
              <w14:schemeClr w14:val="tx1"/>
            </w14:solidFill>
          </w14:textFill>
        </w:rPr>
      </w:pPr>
      <w:r>
        <w:rPr>
          <w:rFonts w:hint="eastAsia" w:ascii="仿宋_GB2312" w:hAnsi="仿宋_GB2312" w:eastAsia="仿宋_GB2312" w:cs="仿宋_GB2312"/>
          <w:color w:val="000000" w:themeColor="text1"/>
          <w:sz w:val="36"/>
          <w:szCs w:val="36"/>
          <w:lang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0</wp:posOffset>
            </wp:positionH>
            <wp:positionV relativeFrom="paragraph">
              <wp:posOffset>10160</wp:posOffset>
            </wp:positionV>
            <wp:extent cx="5757545" cy="8428355"/>
            <wp:effectExtent l="0" t="0" r="14605" b="10795"/>
            <wp:wrapNone/>
            <wp:docPr id="35" name="图片 35" descr="扫描全能王 2026-2-24 11.20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扫描全能王 2026-2-24 11.20_页面_01"/>
                    <pic:cNvPicPr>
                      <a:picLocks noChangeAspect="1"/>
                    </pic:cNvPicPr>
                  </pic:nvPicPr>
                  <pic:blipFill>
                    <a:blip r:embed="rId9"/>
                    <a:stretch>
                      <a:fillRect/>
                    </a:stretch>
                  </pic:blipFill>
                  <pic:spPr>
                    <a:xfrm>
                      <a:off x="0" y="0"/>
                      <a:ext cx="5757545" cy="8428355"/>
                    </a:xfrm>
                    <a:prstGeom prst="rect">
                      <a:avLst/>
                    </a:prstGeom>
                  </pic:spPr>
                </pic:pic>
              </a:graphicData>
            </a:graphic>
          </wp:anchor>
        </w:drawing>
      </w:r>
      <w:r>
        <w:rPr>
          <w:rFonts w:hint="eastAsia" w:ascii="仿宋_GB2312" w:hAnsi="仿宋_GB2312" w:eastAsia="仿宋_GB2312" w:cs="仿宋_GB2312"/>
          <w:b/>
          <w:bCs/>
          <w:color w:val="000000" w:themeColor="text1"/>
          <w:sz w:val="36"/>
          <w:szCs w:val="36"/>
          <w14:textFill>
            <w14:solidFill>
              <w14:schemeClr w14:val="tx1"/>
            </w14:solidFill>
          </w14:textFill>
        </w:rPr>
        <w:t>项目编号：</w:t>
      </w:r>
    </w:p>
    <w:p w14:paraId="351A5755">
      <w:pPr>
        <w:rPr>
          <w:rFonts w:ascii="仿宋_GB2312" w:hAnsi="仿宋_GB2312" w:eastAsia="仿宋_GB2312" w:cs="仿宋_GB2312"/>
          <w:color w:val="000000" w:themeColor="text1"/>
          <w:sz w:val="36"/>
          <w:szCs w:val="36"/>
          <w14:textFill>
            <w14:solidFill>
              <w14:schemeClr w14:val="tx1"/>
            </w14:solidFill>
          </w14:textFill>
        </w:rPr>
      </w:pPr>
    </w:p>
    <w:p w14:paraId="4E952BF3">
      <w:pPr>
        <w:rPr>
          <w:rFonts w:ascii="仿宋_GB2312" w:hAnsi="仿宋_GB2312" w:eastAsia="仿宋_GB2312" w:cs="仿宋_GB2312"/>
          <w:color w:val="000000" w:themeColor="text1"/>
          <w:sz w:val="36"/>
          <w:szCs w:val="36"/>
          <w14:textFill>
            <w14:solidFill>
              <w14:schemeClr w14:val="tx1"/>
            </w14:solidFill>
          </w14:textFill>
        </w:rPr>
      </w:pPr>
    </w:p>
    <w:p w14:paraId="4BC3DB79">
      <w:pPr>
        <w:rPr>
          <w:rFonts w:ascii="仿宋_GB2312" w:hAnsi="仿宋_GB2312" w:eastAsia="仿宋_GB2312" w:cs="仿宋_GB2312"/>
          <w:color w:val="000000" w:themeColor="text1"/>
          <w:sz w:val="36"/>
          <w:szCs w:val="36"/>
          <w14:textFill>
            <w14:solidFill>
              <w14:schemeClr w14:val="tx1"/>
            </w14:solidFill>
          </w14:textFill>
        </w:rPr>
      </w:pPr>
    </w:p>
    <w:p w14:paraId="33C794C3">
      <w:pPr>
        <w:rPr>
          <w:rFonts w:ascii="仿宋_GB2312" w:hAnsi="仿宋_GB2312" w:eastAsia="仿宋_GB2312" w:cs="仿宋_GB2312"/>
          <w:color w:val="000000" w:themeColor="text1"/>
          <w:sz w:val="36"/>
          <w:szCs w:val="36"/>
          <w14:textFill>
            <w14:solidFill>
              <w14:schemeClr w14:val="tx1"/>
            </w14:solidFill>
          </w14:textFill>
        </w:rPr>
      </w:pPr>
    </w:p>
    <w:p w14:paraId="0AA2D496">
      <w:pPr>
        <w:adjustRightInd w:val="0"/>
        <w:snapToGrid w:val="0"/>
        <w:jc w:val="center"/>
        <w:outlineLvl w:val="0"/>
        <w:rPr>
          <w:rFonts w:ascii="方正小标宋_GBK" w:eastAsia="方正小标宋_GBK"/>
          <w:bCs/>
          <w:color w:val="000000" w:themeColor="text1"/>
          <w:sz w:val="72"/>
          <w:szCs w:val="72"/>
          <w14:textFill>
            <w14:solidFill>
              <w14:schemeClr w14:val="tx1"/>
            </w14:solidFill>
          </w14:textFill>
        </w:rPr>
      </w:pPr>
      <w:bookmarkStart w:id="0" w:name="_Toc11331"/>
      <w:bookmarkStart w:id="1" w:name="_Toc29088"/>
      <w:bookmarkStart w:id="2" w:name="_Toc25448"/>
      <w:bookmarkStart w:id="3" w:name="_Toc9049"/>
      <w:bookmarkStart w:id="4" w:name="_Toc3055"/>
      <w:bookmarkStart w:id="5" w:name="_Toc12176"/>
      <w:bookmarkStart w:id="6" w:name="_Toc26415"/>
      <w:bookmarkStart w:id="7" w:name="_Toc13267"/>
      <w:bookmarkStart w:id="8" w:name="_Toc1022"/>
      <w:bookmarkStart w:id="9" w:name="_Toc22187"/>
      <w:bookmarkStart w:id="10" w:name="_Toc20377"/>
      <w:bookmarkStart w:id="11" w:name="_Toc5850"/>
      <w:bookmarkStart w:id="12" w:name="_Toc18011"/>
      <w:r>
        <w:rPr>
          <w:rFonts w:hint="eastAsia" w:ascii="方正小标宋_GBK" w:eastAsia="方正小标宋_GBK"/>
          <w:bCs/>
          <w:color w:val="000000" w:themeColor="text1"/>
          <w:sz w:val="72"/>
          <w:szCs w:val="72"/>
          <w14:textFill>
            <w14:solidFill>
              <w14:schemeClr w14:val="tx1"/>
            </w14:solidFill>
          </w14:textFill>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p>
    <w:p w14:paraId="23C22682">
      <w:pPr>
        <w:adjustRightInd w:val="0"/>
        <w:snapToGrid w:val="0"/>
        <w:spacing w:before="192" w:beforeLines="80"/>
        <w:jc w:val="center"/>
        <w:rPr>
          <w:rFonts w:ascii="楷体_GB2312" w:eastAsia="楷体_GB2312"/>
          <w:bCs/>
          <w:color w:val="000000" w:themeColor="text1"/>
          <w:sz w:val="48"/>
          <w:szCs w:val="48"/>
          <w14:textFill>
            <w14:solidFill>
              <w14:schemeClr w14:val="tx1"/>
            </w14:solidFill>
          </w14:textFill>
        </w:rPr>
      </w:pPr>
      <w:r>
        <w:rPr>
          <w:rFonts w:hint="eastAsia" w:ascii="楷体_GB2312" w:eastAsia="楷体_GB2312"/>
          <w:bCs/>
          <w:color w:val="000000" w:themeColor="text1"/>
          <w:sz w:val="48"/>
          <w:szCs w:val="48"/>
          <w14:textFill>
            <w14:solidFill>
              <w14:schemeClr w14:val="tx1"/>
            </w14:solidFill>
          </w14:textFill>
        </w:rPr>
        <w:t>（污染影响类）</w:t>
      </w:r>
    </w:p>
    <w:p w14:paraId="6A4BFC8D">
      <w:pPr>
        <w:adjustRightInd w:val="0"/>
        <w:snapToGrid w:val="0"/>
        <w:spacing w:line="288" w:lineRule="auto"/>
        <w:jc w:val="center"/>
        <w:rPr>
          <w:rFonts w:ascii="华文仿宋" w:hAnsi="华文仿宋" w:eastAsia="华文仿宋" w:cs="华文仿宋"/>
          <w:color w:val="000000" w:themeColor="text1"/>
          <w:kern w:val="44"/>
          <w:sz w:val="44"/>
          <w:szCs w:val="44"/>
          <w14:textFill>
            <w14:solidFill>
              <w14:schemeClr w14:val="tx1"/>
            </w14:solidFill>
          </w14:textFill>
        </w:rPr>
      </w:pPr>
    </w:p>
    <w:p w14:paraId="00249753">
      <w:pPr>
        <w:adjustRightInd w:val="0"/>
        <w:snapToGrid w:val="0"/>
        <w:spacing w:line="288" w:lineRule="auto"/>
        <w:jc w:val="center"/>
        <w:rPr>
          <w:rFonts w:ascii="华文仿宋" w:hAnsi="华文仿宋" w:eastAsia="华文仿宋" w:cs="华文仿宋"/>
          <w:color w:val="000000" w:themeColor="text1"/>
          <w:kern w:val="44"/>
          <w:sz w:val="44"/>
          <w:szCs w:val="44"/>
          <w14:textFill>
            <w14:solidFill>
              <w14:schemeClr w14:val="tx1"/>
            </w14:solidFill>
          </w14:textFill>
        </w:rPr>
      </w:pPr>
    </w:p>
    <w:p w14:paraId="16CE066C">
      <w:pPr>
        <w:rPr>
          <w:rFonts w:eastAsia="仿宋"/>
          <w:color w:val="000000" w:themeColor="text1"/>
          <w:sz w:val="52"/>
          <w:szCs w:val="52"/>
          <w14:textFill>
            <w14:solidFill>
              <w14:schemeClr w14:val="tx1"/>
            </w14:solidFill>
          </w14:textFill>
        </w:rPr>
      </w:pPr>
    </w:p>
    <w:p w14:paraId="78D92AB5">
      <w:pPr>
        <w:jc w:val="center"/>
        <w:rPr>
          <w:rFonts w:eastAsia="仿宋"/>
          <w:color w:val="000000" w:themeColor="text1"/>
          <w:sz w:val="52"/>
          <w:szCs w:val="52"/>
          <w14:textFill>
            <w14:solidFill>
              <w14:schemeClr w14:val="tx1"/>
            </w14:solidFill>
          </w14:textFill>
        </w:rPr>
      </w:pPr>
    </w:p>
    <w:p w14:paraId="3E486948">
      <w:pPr>
        <w:ind w:firstLine="1040"/>
        <w:rPr>
          <w:rFonts w:eastAsia="仿宋"/>
          <w:color w:val="000000" w:themeColor="text1"/>
          <w:sz w:val="44"/>
          <w:szCs w:val="44"/>
          <w14:textFill>
            <w14:solidFill>
              <w14:schemeClr w14:val="tx1"/>
            </w14:solidFill>
          </w14:textFill>
        </w:rPr>
      </w:pPr>
    </w:p>
    <w:p w14:paraId="7AFBC10D">
      <w:pPr>
        <w:adjustRightInd w:val="0"/>
        <w:snapToGrid w:val="0"/>
        <w:spacing w:line="288" w:lineRule="auto"/>
        <w:ind w:firstLine="1040"/>
        <w:jc w:val="left"/>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项目名称：</w:t>
      </w:r>
      <w:r>
        <w:rPr>
          <w:rFonts w:hint="eastAsia" w:ascii="仿宋_GB2312" w:eastAsia="仿宋_GB2312"/>
          <w:color w:val="000000" w:themeColor="text1"/>
          <w:sz w:val="36"/>
          <w:szCs w:val="36"/>
          <w:u w:val="single"/>
          <w14:textFill>
            <w14:solidFill>
              <w14:schemeClr w14:val="tx1"/>
            </w14:solidFill>
          </w14:textFill>
        </w:rPr>
        <w:t xml:space="preserve">   合湛铁路1标机制骨料加工场   </w:t>
      </w:r>
    </w:p>
    <w:p w14:paraId="1102C7AE">
      <w:pPr>
        <w:adjustRightInd w:val="0"/>
        <w:snapToGrid w:val="0"/>
        <w:spacing w:line="288" w:lineRule="auto"/>
        <w:ind w:firstLine="1040"/>
        <w:jc w:val="left"/>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建设单位（盖章）：</w:t>
      </w:r>
      <w:r>
        <w:rPr>
          <w:rFonts w:hint="eastAsia" w:ascii="仿宋_GB2312" w:eastAsia="仿宋_GB2312"/>
          <w:color w:val="000000" w:themeColor="text1"/>
          <w:sz w:val="36"/>
          <w:szCs w:val="36"/>
          <w:u w:val="single"/>
          <w14:textFill>
            <w14:solidFill>
              <w14:schemeClr w14:val="tx1"/>
            </w14:solidFill>
          </w14:textFill>
        </w:rPr>
        <w:t>中铁大桥局集团有限公司</w:t>
      </w:r>
    </w:p>
    <w:p w14:paraId="32B32B17">
      <w:pPr>
        <w:adjustRightInd w:val="0"/>
        <w:snapToGrid w:val="0"/>
        <w:spacing w:line="288" w:lineRule="auto"/>
        <w:ind w:firstLine="4320" w:firstLineChars="1200"/>
        <w:jc w:val="left"/>
        <w:rPr>
          <w:rFonts w:ascii="仿宋_GB2312" w:eastAsia="仿宋_GB2312"/>
          <w:color w:val="000000" w:themeColor="text1"/>
          <w:sz w:val="36"/>
          <w:szCs w:val="36"/>
          <w:u w:val="single"/>
          <w14:textFill>
            <w14:solidFill>
              <w14:schemeClr w14:val="tx1"/>
            </w14:solidFill>
          </w14:textFill>
        </w:rPr>
      </w:pPr>
      <w:r>
        <w:rPr>
          <w:rFonts w:hint="eastAsia" w:ascii="仿宋_GB2312" w:eastAsia="仿宋_GB2312"/>
          <w:color w:val="000000" w:themeColor="text1"/>
          <w:sz w:val="36"/>
          <w:szCs w:val="36"/>
          <w:u w:val="single"/>
          <w14:textFill>
            <w14:solidFill>
              <w14:schemeClr w14:val="tx1"/>
            </w14:solidFill>
          </w14:textFill>
        </w:rPr>
        <w:t xml:space="preserve">    第二工程分公司    </w:t>
      </w:r>
    </w:p>
    <w:p w14:paraId="1E88D2C5">
      <w:pPr>
        <w:adjustRightInd w:val="0"/>
        <w:snapToGrid w:val="0"/>
        <w:spacing w:before="120" w:beforeLines="50" w:line="288" w:lineRule="auto"/>
        <w:ind w:firstLine="1038"/>
        <w:rPr>
          <w:rFonts w:ascii="仿宋_GB2312" w:eastAsia="仿宋_GB2312"/>
          <w:color w:val="000000" w:themeColor="text1"/>
          <w:sz w:val="36"/>
          <w:szCs w:val="36"/>
          <w14:textFill>
            <w14:solidFill>
              <w14:schemeClr w14:val="tx1"/>
            </w14:solidFill>
          </w14:textFill>
        </w:rPr>
      </w:pPr>
      <w:r>
        <w:rPr>
          <w:rFonts w:hint="eastAsia" w:ascii="仿宋_GB2312" w:eastAsia="仿宋_GB2312"/>
          <w:color w:val="000000" w:themeColor="text1"/>
          <w:sz w:val="36"/>
          <w:szCs w:val="36"/>
          <w14:textFill>
            <w14:solidFill>
              <w14:schemeClr w14:val="tx1"/>
            </w14:solidFill>
          </w14:textFill>
        </w:rPr>
        <w:t>编制日期：</w:t>
      </w:r>
      <w:r>
        <w:rPr>
          <w:rFonts w:hint="eastAsia" w:ascii="仿宋_GB2312" w:eastAsia="仿宋_GB2312"/>
          <w:color w:val="000000" w:themeColor="text1"/>
          <w:sz w:val="36"/>
          <w:szCs w:val="36"/>
          <w:u w:val="single"/>
          <w14:textFill>
            <w14:solidFill>
              <w14:schemeClr w14:val="tx1"/>
            </w14:solidFill>
          </w14:textFill>
        </w:rPr>
        <w:t xml:space="preserve"> </w:t>
      </w:r>
      <w:r>
        <w:rPr>
          <w:rFonts w:ascii="仿宋_GB2312" w:eastAsia="仿宋_GB2312"/>
          <w:color w:val="000000" w:themeColor="text1"/>
          <w:sz w:val="36"/>
          <w:szCs w:val="36"/>
          <w:u w:val="single"/>
          <w14:textFill>
            <w14:solidFill>
              <w14:schemeClr w14:val="tx1"/>
            </w14:solidFill>
          </w14:textFill>
        </w:rPr>
        <w:t xml:space="preserve">        </w:t>
      </w:r>
      <w:r>
        <w:rPr>
          <w:rFonts w:hint="eastAsia" w:eastAsia="仿宋_GB2312"/>
          <w:color w:val="000000" w:themeColor="text1"/>
          <w:sz w:val="36"/>
          <w:szCs w:val="36"/>
          <w:u w:val="single"/>
          <w14:textFill>
            <w14:solidFill>
              <w14:schemeClr w14:val="tx1"/>
            </w14:solidFill>
          </w14:textFill>
        </w:rPr>
        <w:t>2026年1月</w:t>
      </w:r>
      <w:r>
        <w:rPr>
          <w:rFonts w:eastAsia="仿宋_GB2312"/>
          <w:color w:val="000000" w:themeColor="text1"/>
          <w:sz w:val="36"/>
          <w:szCs w:val="36"/>
          <w:u w:val="single"/>
          <w14:textFill>
            <w14:solidFill>
              <w14:schemeClr w14:val="tx1"/>
            </w14:solidFill>
          </w14:textFill>
        </w:rPr>
        <w:t xml:space="preserve"> </w:t>
      </w:r>
      <w:r>
        <w:rPr>
          <w:rFonts w:hint="eastAsia" w:ascii="仿宋_GB2312" w:eastAsia="仿宋_GB2312"/>
          <w:color w:val="000000" w:themeColor="text1"/>
          <w:sz w:val="36"/>
          <w:szCs w:val="36"/>
          <w:u w:val="single"/>
          <w14:textFill>
            <w14:solidFill>
              <w14:schemeClr w14:val="tx1"/>
            </w14:solidFill>
          </w14:textFill>
        </w:rPr>
        <w:t xml:space="preserve">          </w:t>
      </w:r>
    </w:p>
    <w:p w14:paraId="020A9900">
      <w:pPr>
        <w:adjustRightInd w:val="0"/>
        <w:snapToGrid w:val="0"/>
        <w:spacing w:line="288" w:lineRule="auto"/>
        <w:ind w:firstLine="1040"/>
        <w:rPr>
          <w:rFonts w:ascii="仿宋_GB2312" w:eastAsia="仿宋_GB2312"/>
          <w:color w:val="000000" w:themeColor="text1"/>
          <w:sz w:val="36"/>
          <w:szCs w:val="36"/>
          <w:u w:val="single"/>
          <w14:textFill>
            <w14:solidFill>
              <w14:schemeClr w14:val="tx1"/>
            </w14:solidFill>
          </w14:textFill>
        </w:rPr>
      </w:pPr>
      <w:bookmarkStart w:id="13" w:name="_Hlk57884087"/>
    </w:p>
    <w:p w14:paraId="6B9C48C6">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5A0C17A">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p w14:paraId="632B454D">
      <w:pPr>
        <w:adjustRightInd w:val="0"/>
        <w:snapToGrid w:val="0"/>
        <w:spacing w:line="288" w:lineRule="auto"/>
        <w:ind w:firstLine="1040"/>
        <w:rPr>
          <w:rFonts w:ascii="仿宋_GB2312" w:eastAsia="仿宋_GB2312"/>
          <w:color w:val="000000" w:themeColor="text1"/>
          <w:sz w:val="36"/>
          <w:szCs w:val="36"/>
          <w14:textFill>
            <w14:solidFill>
              <w14:schemeClr w14:val="tx1"/>
            </w14:solidFill>
          </w14:textFill>
        </w:rPr>
      </w:pPr>
    </w:p>
    <w:bookmarkEnd w:id="13"/>
    <w:p w14:paraId="0E0E8EF7">
      <w:pPr>
        <w:jc w:val="center"/>
        <w:rPr>
          <w:rFonts w:eastAsia="仿宋_GB2312"/>
          <w:color w:val="000000" w:themeColor="text1"/>
          <w:sz w:val="36"/>
          <w:szCs w:val="36"/>
          <w14:textFill>
            <w14:solidFill>
              <w14:schemeClr w14:val="tx1"/>
            </w14:solidFill>
          </w14:textFill>
        </w:rPr>
      </w:pPr>
      <w:r>
        <w:rPr>
          <w:rFonts w:hint="eastAsia" w:ascii="楷体_GB2312" w:eastAsia="楷体_GB2312"/>
          <w:color w:val="000000" w:themeColor="text1"/>
          <w:sz w:val="36"/>
          <w:szCs w:val="36"/>
          <w14:textFill>
            <w14:solidFill>
              <w14:schemeClr w14:val="tx1"/>
            </w14:solidFill>
          </w14:textFill>
        </w:rPr>
        <w:t>中华人民共和国生态环境部制</w:t>
      </w:r>
    </w:p>
    <w:p w14:paraId="5F8F5419">
      <w:pPr>
        <w:rPr>
          <w:rFonts w:eastAsia="仿宋_GB2312"/>
          <w:color w:val="000000" w:themeColor="text1"/>
          <w:sz w:val="36"/>
          <w:szCs w:val="36"/>
          <w14:textFill>
            <w14:solidFill>
              <w14:schemeClr w14:val="tx1"/>
            </w14:solidFill>
          </w14:textFill>
        </w:rPr>
        <w:sectPr>
          <w:headerReference r:id="rId3" w:type="default"/>
          <w:footerReference r:id="rId4" w:type="default"/>
          <w:pgSz w:w="11905" w:h="16838"/>
          <w:pgMar w:top="1587" w:right="1417" w:bottom="1587" w:left="1417" w:header="850" w:footer="1077" w:gutter="0"/>
          <w:pgNumType w:start="1"/>
          <w:cols w:space="720" w:num="1"/>
          <w:docGrid w:linePitch="312" w:charSpace="0"/>
        </w:sectPr>
      </w:pPr>
    </w:p>
    <w:p w14:paraId="41663205">
      <w:pPr>
        <w:rPr>
          <w:rFonts w:hint="eastAsia" w:eastAsia="仿宋_GB2312"/>
          <w:color w:val="000000" w:themeColor="text1"/>
          <w:sz w:val="36"/>
          <w:szCs w:val="36"/>
          <w:lang w:eastAsia="zh-CN"/>
          <w14:textFill>
            <w14:solidFill>
              <w14:schemeClr w14:val="tx1"/>
            </w14:solidFill>
          </w14:textFill>
        </w:rPr>
      </w:pP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8180" cy="8181340"/>
            <wp:effectExtent l="0" t="0" r="13970" b="10160"/>
            <wp:docPr id="85" name="图片 85" descr="扫描全能王 2026-2-24 11.20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扫描全能王 2026-2-24 11.20_页面_02"/>
                    <pic:cNvPicPr>
                      <a:picLocks noChangeAspect="1"/>
                    </pic:cNvPicPr>
                  </pic:nvPicPr>
                  <pic:blipFill>
                    <a:blip r:embed="rId10"/>
                    <a:stretch>
                      <a:fillRect/>
                    </a:stretch>
                  </pic:blipFill>
                  <pic:spPr>
                    <a:xfrm>
                      <a:off x="0" y="0"/>
                      <a:ext cx="5758180" cy="8181340"/>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8145780" cy="5760085"/>
            <wp:effectExtent l="0" t="0" r="12065" b="7620"/>
            <wp:docPr id="84" name="图片 84" descr="扫描全能王 2026-2-24 11.20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扫描全能王 2026-2-24 11.20_页面_03"/>
                    <pic:cNvPicPr>
                      <a:picLocks noChangeAspect="1"/>
                    </pic:cNvPicPr>
                  </pic:nvPicPr>
                  <pic:blipFill>
                    <a:blip r:embed="rId11"/>
                    <a:stretch>
                      <a:fillRect/>
                    </a:stretch>
                  </pic:blipFill>
                  <pic:spPr>
                    <a:xfrm rot="5400000">
                      <a:off x="0" y="0"/>
                      <a:ext cx="8145780" cy="5760085"/>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9450" cy="8152130"/>
            <wp:effectExtent l="0" t="0" r="12700" b="1270"/>
            <wp:docPr id="82" name="图片 82" descr="扫描全能王 2026-2-24 11.20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扫描全能王 2026-2-24 11.20_页面_04"/>
                    <pic:cNvPicPr>
                      <a:picLocks noChangeAspect="1"/>
                    </pic:cNvPicPr>
                  </pic:nvPicPr>
                  <pic:blipFill>
                    <a:blip r:embed="rId12"/>
                    <a:stretch>
                      <a:fillRect/>
                    </a:stretch>
                  </pic:blipFill>
                  <pic:spPr>
                    <a:xfrm>
                      <a:off x="0" y="0"/>
                      <a:ext cx="5759450" cy="8152130"/>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8180" cy="8150860"/>
            <wp:effectExtent l="0" t="0" r="13970" b="2540"/>
            <wp:docPr id="81" name="图片 81" descr="扫描全能王 2026-2-24 11.20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扫描全能王 2026-2-24 11.20_页面_05"/>
                    <pic:cNvPicPr>
                      <a:picLocks noChangeAspect="1"/>
                    </pic:cNvPicPr>
                  </pic:nvPicPr>
                  <pic:blipFill>
                    <a:blip r:embed="rId13"/>
                    <a:stretch>
                      <a:fillRect/>
                    </a:stretch>
                  </pic:blipFill>
                  <pic:spPr>
                    <a:xfrm>
                      <a:off x="0" y="0"/>
                      <a:ext cx="5758180" cy="8150860"/>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60085" cy="8150225"/>
            <wp:effectExtent l="0" t="0" r="12065" b="3175"/>
            <wp:docPr id="80" name="图片 80" descr="扫描全能王 2026-2-24 11.20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扫描全能王 2026-2-24 11.20_页面_06"/>
                    <pic:cNvPicPr>
                      <a:picLocks noChangeAspect="1"/>
                    </pic:cNvPicPr>
                  </pic:nvPicPr>
                  <pic:blipFill>
                    <a:blip r:embed="rId14"/>
                    <a:stretch>
                      <a:fillRect/>
                    </a:stretch>
                  </pic:blipFill>
                  <pic:spPr>
                    <a:xfrm>
                      <a:off x="0" y="0"/>
                      <a:ext cx="5760085" cy="8150225"/>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3100" cy="8138160"/>
            <wp:effectExtent l="0" t="0" r="0" b="15240"/>
            <wp:docPr id="79" name="图片 79" descr="扫描全能王 2026-2-24 11.20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扫描全能王 2026-2-24 11.20_页面_07"/>
                    <pic:cNvPicPr>
                      <a:picLocks noChangeAspect="1"/>
                    </pic:cNvPicPr>
                  </pic:nvPicPr>
                  <pic:blipFill>
                    <a:blip r:embed="rId15"/>
                    <a:stretch>
                      <a:fillRect/>
                    </a:stretch>
                  </pic:blipFill>
                  <pic:spPr>
                    <a:xfrm>
                      <a:off x="0" y="0"/>
                      <a:ext cx="5753100" cy="8138160"/>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4370" cy="8141335"/>
            <wp:effectExtent l="0" t="0" r="17780" b="12065"/>
            <wp:docPr id="78" name="图片 78" descr="扫描全能王 2026-2-24 11.20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扫描全能王 2026-2-24 11.20_页面_08"/>
                    <pic:cNvPicPr>
                      <a:picLocks noChangeAspect="1"/>
                    </pic:cNvPicPr>
                  </pic:nvPicPr>
                  <pic:blipFill>
                    <a:blip r:embed="rId16"/>
                    <a:stretch>
                      <a:fillRect/>
                    </a:stretch>
                  </pic:blipFill>
                  <pic:spPr>
                    <a:xfrm>
                      <a:off x="0" y="0"/>
                      <a:ext cx="5754370" cy="8141335"/>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4370" cy="8138795"/>
            <wp:effectExtent l="0" t="0" r="17780" b="14605"/>
            <wp:docPr id="51" name="图片 51" descr="扫描全能王 2026-2-24 11.20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扫描全能王 2026-2-24 11.20_页面_09"/>
                    <pic:cNvPicPr>
                      <a:picLocks noChangeAspect="1"/>
                    </pic:cNvPicPr>
                  </pic:nvPicPr>
                  <pic:blipFill>
                    <a:blip r:embed="rId17"/>
                    <a:stretch>
                      <a:fillRect/>
                    </a:stretch>
                  </pic:blipFill>
                  <pic:spPr>
                    <a:xfrm>
                      <a:off x="0" y="0"/>
                      <a:ext cx="5754370" cy="8138795"/>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3100" cy="8140065"/>
            <wp:effectExtent l="0" t="0" r="0" b="13335"/>
            <wp:docPr id="48" name="图片 48" descr="扫描全能王 2026-2-24 11.20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扫描全能王 2026-2-24 11.20_页面_10"/>
                    <pic:cNvPicPr>
                      <a:picLocks noChangeAspect="1"/>
                    </pic:cNvPicPr>
                  </pic:nvPicPr>
                  <pic:blipFill>
                    <a:blip r:embed="rId18"/>
                    <a:stretch>
                      <a:fillRect/>
                    </a:stretch>
                  </pic:blipFill>
                  <pic:spPr>
                    <a:xfrm>
                      <a:off x="0" y="0"/>
                      <a:ext cx="5753100" cy="8140065"/>
                    </a:xfrm>
                    <a:prstGeom prst="rect">
                      <a:avLst/>
                    </a:prstGeom>
                  </pic:spPr>
                </pic:pic>
              </a:graphicData>
            </a:graphic>
          </wp:inline>
        </w:drawing>
      </w:r>
      <w:r>
        <w:rPr>
          <w:sz w:val="36"/>
        </w:rPr>
        <mc:AlternateContent>
          <mc:Choice Requires="wps">
            <w:drawing>
              <wp:anchor distT="0" distB="0" distL="114300" distR="114300" simplePos="0" relativeHeight="251663360" behindDoc="0" locked="0" layoutInCell="1" allowOverlap="1">
                <wp:simplePos x="0" y="0"/>
                <wp:positionH relativeFrom="column">
                  <wp:posOffset>4070985</wp:posOffset>
                </wp:positionH>
                <wp:positionV relativeFrom="paragraph">
                  <wp:posOffset>1710055</wp:posOffset>
                </wp:positionV>
                <wp:extent cx="1104900" cy="152400"/>
                <wp:effectExtent l="12700" t="12700" r="25400" b="25400"/>
                <wp:wrapNone/>
                <wp:docPr id="86" name="矩形 86"/>
                <wp:cNvGraphicFramePr/>
                <a:graphic xmlns:a="http://schemas.openxmlformats.org/drawingml/2006/main">
                  <a:graphicData uri="http://schemas.microsoft.com/office/word/2010/wordprocessingShape">
                    <wps:wsp>
                      <wps:cNvSpPr/>
                      <wps:spPr>
                        <a:xfrm>
                          <a:off x="4970780" y="2717800"/>
                          <a:ext cx="1104900" cy="1524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0.55pt;margin-top:134.65pt;height:12pt;width:87pt;z-index:251663360;v-text-anchor:middle;mso-width-relative:page;mso-height-relative:page;" fillcolor="#FFFFFF [3212]" filled="t" stroked="t" coordsize="21600,21600" o:gfxdata="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nLv9A9sAAAALAQAADwAAAAAAAAABACAAAAAiAAAAZHJzL2Rvd25yZXYu&#10;eG1sUEsBAhQAFAAAAAgAh07iQOthBxhqAgAA6wQAAA4AAAAAAAAAAQAgAAAAKgEAAGRycy9lMm9E&#10;b2MueG1sUEsFBgAAAAAGAAYAWQEAAAYGAAAAAA==&#10;">
                <v:fill on="t" focussize="0,0"/>
                <v:stroke weight="2pt" color="#FFFFFF [3212]" joinstyle="round"/>
                <v:imagedata o:title=""/>
                <o:lock v:ext="edit" aspectratio="f"/>
              </v:rect>
            </w:pict>
          </mc:Fallback>
        </mc:AlternateContent>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8180" cy="8179435"/>
            <wp:effectExtent l="0" t="0" r="13970" b="12065"/>
            <wp:docPr id="44" name="图片 44" descr="扫描全能王 2026-2-24 11.20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扫描全能王 2026-2-24 11.20_页面_11"/>
                    <pic:cNvPicPr>
                      <a:picLocks noChangeAspect="1"/>
                    </pic:cNvPicPr>
                  </pic:nvPicPr>
                  <pic:blipFill>
                    <a:blip r:embed="rId19"/>
                    <a:stretch>
                      <a:fillRect/>
                    </a:stretch>
                  </pic:blipFill>
                  <pic:spPr>
                    <a:xfrm>
                      <a:off x="0" y="0"/>
                      <a:ext cx="5758180" cy="8179435"/>
                    </a:xfrm>
                    <a:prstGeom prst="rect">
                      <a:avLst/>
                    </a:prstGeom>
                  </pic:spPr>
                </pic:pic>
              </a:graphicData>
            </a:graphic>
          </wp:inline>
        </w:drawing>
      </w:r>
      <w:r>
        <w:rPr>
          <w:rFonts w:hint="eastAsia" w:eastAsia="仿宋_GB2312"/>
          <w:color w:val="000000" w:themeColor="text1"/>
          <w:sz w:val="36"/>
          <w:szCs w:val="36"/>
          <w:lang w:eastAsia="zh-CN"/>
          <w14:textFill>
            <w14:solidFill>
              <w14:schemeClr w14:val="tx1"/>
            </w14:solidFill>
          </w14:textFill>
        </w:rPr>
        <w:drawing>
          <wp:inline distT="0" distB="0" distL="114300" distR="114300">
            <wp:extent cx="5753100" cy="8141335"/>
            <wp:effectExtent l="0" t="0" r="0" b="12065"/>
            <wp:docPr id="39" name="图片 39" descr="扫描全能王 2026-2-24 11.20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扫描全能王 2026-2-24 11.20_页面_12"/>
                    <pic:cNvPicPr>
                      <a:picLocks noChangeAspect="1"/>
                    </pic:cNvPicPr>
                  </pic:nvPicPr>
                  <pic:blipFill>
                    <a:blip r:embed="rId20"/>
                    <a:stretch>
                      <a:fillRect/>
                    </a:stretch>
                  </pic:blipFill>
                  <pic:spPr>
                    <a:xfrm>
                      <a:off x="0" y="0"/>
                      <a:ext cx="5753100" cy="8141335"/>
                    </a:xfrm>
                    <a:prstGeom prst="rect">
                      <a:avLst/>
                    </a:prstGeom>
                  </pic:spPr>
                </pic:pic>
              </a:graphicData>
            </a:graphic>
          </wp:inline>
        </w:drawing>
      </w:r>
    </w:p>
    <w:p w14:paraId="5EF7B021">
      <w:pPr>
        <w:rPr>
          <w:rFonts w:hint="eastAsia" w:eastAsia="仿宋_GB2312"/>
          <w:color w:val="000000" w:themeColor="text1"/>
          <w:sz w:val="36"/>
          <w:szCs w:val="36"/>
          <w:lang w:eastAsia="zh-CN"/>
          <w14:textFill>
            <w14:solidFill>
              <w14:schemeClr w14:val="tx1"/>
            </w14:solidFill>
          </w14:textFill>
        </w:rPr>
        <w:sectPr>
          <w:pgSz w:w="11905" w:h="16838"/>
          <w:pgMar w:top="1587" w:right="1417" w:bottom="1587" w:left="1417" w:header="850" w:footer="1077" w:gutter="0"/>
          <w:pgNumType w:start="1"/>
          <w:cols w:space="720" w:num="1"/>
          <w:docGrid w:linePitch="312" w:charSpace="0"/>
        </w:sectPr>
      </w:pPr>
      <w:r>
        <w:rPr>
          <w:sz w:val="36"/>
        </w:rPr>
        <mc:AlternateContent>
          <mc:Choice Requires="wps">
            <w:drawing>
              <wp:anchor distT="0" distB="0" distL="114300" distR="114300" simplePos="0" relativeHeight="251661312" behindDoc="0" locked="0" layoutInCell="1" allowOverlap="1">
                <wp:simplePos x="0" y="0"/>
                <wp:positionH relativeFrom="column">
                  <wp:posOffset>3825240</wp:posOffset>
                </wp:positionH>
                <wp:positionV relativeFrom="paragraph">
                  <wp:posOffset>1797685</wp:posOffset>
                </wp:positionV>
                <wp:extent cx="1469390" cy="217805"/>
                <wp:effectExtent l="12700" t="12700" r="22860" b="17145"/>
                <wp:wrapNone/>
                <wp:docPr id="1" name="矩形 1"/>
                <wp:cNvGraphicFramePr/>
                <a:graphic xmlns:a="http://schemas.openxmlformats.org/drawingml/2006/main">
                  <a:graphicData uri="http://schemas.microsoft.com/office/word/2010/wordprocessingShape">
                    <wps:wsp>
                      <wps:cNvSpPr/>
                      <wps:spPr>
                        <a:xfrm>
                          <a:off x="4725035" y="2805430"/>
                          <a:ext cx="1469390" cy="217805"/>
                        </a:xfrm>
                        <a:prstGeom prst="rect">
                          <a:avLst/>
                        </a:prstGeom>
                        <a:solidFill>
                          <a:schemeClr val="bg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1.2pt;margin-top:141.55pt;height:17.15pt;width:115.7pt;z-index:251661312;v-text-anchor:middle;mso-width-relative:page;mso-height-relative:page;" fillcolor="#FFFFFF [3212]" filled="t" stroked="t" coordsize="21600,21600" o:gfxdata="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6Tnf/ZAAAACwEAAA8AAAAAAAAAAQAgAAAAIgAAAGRycy9kb3ducmV2&#10;LnhtbFBLAQIUABQAAAAIAIdO4kDcoqDybQIAAOkEAAAOAAAAAAAAAAEAIAAAACgBAABkcnMvZTJv&#10;RG9jLnhtbFBLBQYAAAAABgAGAFkBAAAHBgAAAAA=&#10;">
                <v:fill on="t" focussize="0,0"/>
                <v:stroke weight="2pt" color="#000000 [3213]" joinstyle="round"/>
                <v:imagedata o:title=""/>
                <o:lock v:ext="edit" aspectratio="f"/>
              </v:rect>
            </w:pict>
          </mc:Fallback>
        </mc:AlternateContent>
      </w:r>
    </w:p>
    <w:sdt>
      <w:sdtPr>
        <w:rPr>
          <w:rFonts w:ascii="宋体" w:hAnsi="宋体"/>
          <w:b/>
          <w:bCs/>
          <w:color w:val="000000" w:themeColor="text1"/>
          <w:sz w:val="36"/>
          <w:szCs w:val="44"/>
          <w14:textFill>
            <w14:solidFill>
              <w14:schemeClr w14:val="tx1"/>
            </w14:solidFill>
          </w14:textFill>
        </w:rPr>
        <w:id w:val="147451470"/>
        <w15:color w:val="DBDBDB"/>
        <w:docPartObj>
          <w:docPartGallery w:val="Table of Contents"/>
          <w:docPartUnique/>
        </w:docPartObj>
      </w:sdtPr>
      <w:sdtEndPr>
        <w:rPr>
          <w:rFonts w:ascii="Times New Roman" w:hAnsi="Times New Roman" w:eastAsia="仿宋_GB2312"/>
          <w:b/>
          <w:bCs/>
          <w:color w:val="000000" w:themeColor="text1"/>
          <w:sz w:val="21"/>
          <w:szCs w:val="36"/>
          <w14:textFill>
            <w14:solidFill>
              <w14:schemeClr w14:val="tx1"/>
            </w14:solidFill>
          </w14:textFill>
        </w:rPr>
      </w:sdtEndPr>
      <w:sdtContent>
        <w:p w14:paraId="189A3008">
          <w:pPr>
            <w:jc w:val="center"/>
            <w:rPr>
              <w:b/>
              <w:bCs/>
              <w:color w:val="000000" w:themeColor="text1"/>
              <w:sz w:val="36"/>
              <w:szCs w:val="44"/>
              <w14:textFill>
                <w14:solidFill>
                  <w14:schemeClr w14:val="tx1"/>
                </w14:solidFill>
              </w14:textFill>
            </w:rPr>
          </w:pPr>
          <w:r>
            <w:rPr>
              <w:rFonts w:ascii="宋体" w:hAnsi="宋体"/>
              <w:b/>
              <w:bCs/>
              <w:color w:val="000000" w:themeColor="text1"/>
              <w:sz w:val="36"/>
              <w:szCs w:val="44"/>
              <w14:textFill>
                <w14:solidFill>
                  <w14:schemeClr w14:val="tx1"/>
                </w14:solidFill>
              </w14:textFill>
            </w:rPr>
            <w:t>目</w:t>
          </w:r>
          <w:r>
            <w:rPr>
              <w:rFonts w:hint="eastAsia" w:ascii="宋体" w:hAnsi="宋体"/>
              <w:b/>
              <w:bCs/>
              <w:color w:val="000000" w:themeColor="text1"/>
              <w:sz w:val="36"/>
              <w:szCs w:val="44"/>
              <w14:textFill>
                <w14:solidFill>
                  <w14:schemeClr w14:val="tx1"/>
                </w14:solidFill>
              </w14:textFill>
            </w:rPr>
            <w:t xml:space="preserve"> </w:t>
          </w:r>
          <w:r>
            <w:rPr>
              <w:rFonts w:ascii="宋体" w:hAnsi="宋体"/>
              <w:b/>
              <w:bCs/>
              <w:color w:val="000000" w:themeColor="text1"/>
              <w:sz w:val="36"/>
              <w:szCs w:val="44"/>
              <w14:textFill>
                <w14:solidFill>
                  <w14:schemeClr w14:val="tx1"/>
                </w14:solidFill>
              </w14:textFill>
            </w:rPr>
            <w:t>录</w:t>
          </w:r>
        </w:p>
        <w:p w14:paraId="16E7A239">
          <w:pPr>
            <w:pStyle w:val="12"/>
            <w:tabs>
              <w:tab w:val="right" w:leader="dot" w:pos="9071"/>
            </w:tabs>
            <w:rPr>
              <w:b w:val="0"/>
              <w:bCs/>
              <w:color w:val="000000" w:themeColor="text1"/>
              <w14:textFill>
                <w14:solidFill>
                  <w14:schemeClr w14:val="tx1"/>
                </w14:solidFill>
              </w14:textFill>
            </w:rPr>
          </w:pPr>
          <w:r>
            <w:rPr>
              <w:rFonts w:eastAsia="仿宋_GB2312"/>
              <w:b w:val="0"/>
              <w:bCs w:val="0"/>
              <w:color w:val="000000" w:themeColor="text1"/>
              <w:sz w:val="21"/>
              <w:szCs w:val="21"/>
              <w14:textFill>
                <w14:solidFill>
                  <w14:schemeClr w14:val="tx1"/>
                </w14:solidFill>
              </w14:textFill>
            </w:rPr>
            <w:fldChar w:fldCharType="begin"/>
          </w:r>
          <w:r>
            <w:rPr>
              <w:rFonts w:eastAsia="仿宋_GB2312"/>
              <w:b w:val="0"/>
              <w:bCs w:val="0"/>
              <w:color w:val="000000" w:themeColor="text1"/>
              <w:sz w:val="21"/>
              <w:szCs w:val="21"/>
              <w14:textFill>
                <w14:solidFill>
                  <w14:schemeClr w14:val="tx1"/>
                </w14:solidFill>
              </w14:textFill>
            </w:rPr>
            <w:instrText xml:space="preserve">TOC \o "1-1" \h \u </w:instrText>
          </w:r>
          <w:r>
            <w:rPr>
              <w:rFonts w:eastAsia="仿宋_GB2312"/>
              <w:b w:val="0"/>
              <w:bCs w:val="0"/>
              <w:color w:val="000000" w:themeColor="text1"/>
              <w:sz w:val="21"/>
              <w:szCs w:val="21"/>
              <w14:textFill>
                <w14:solidFill>
                  <w14:schemeClr w14:val="tx1"/>
                </w14:solidFill>
              </w14:textFill>
            </w:rPr>
            <w:fldChar w:fldCharType="separate"/>
          </w: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_Toc15442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一、建设项目基本情况</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_Toc15442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1</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44D7AB1E">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_Toc32664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二、建设项目工程分析</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_Toc32664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14</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47BB2A20">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_Toc24948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三、区域环境质量现状、环境保护目标及评价标准</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_Toc24948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22</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2376D8B">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_Toc10124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四、主要环境影响和保护措施</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_Toc10124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28</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2F0AE309">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_Toc1584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五、环境保护措施监督检查清单</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_Toc1584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58</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15B9FA45">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_Toc15282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0"/>
              <w14:textFill>
                <w14:solidFill>
                  <w14:schemeClr w14:val="tx1"/>
                </w14:solidFill>
              </w14:textFill>
            </w:rPr>
            <w:t>六、结论</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_Toc15282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60</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1F5D6048">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_Toc14929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eastAsia="黑体"/>
              <w:b w:val="0"/>
              <w:bCs/>
              <w:snapToGrid w:val="0"/>
              <w:color w:val="000000" w:themeColor="text1"/>
              <w:szCs w:val="32"/>
              <w14:textFill>
                <w14:solidFill>
                  <w14:schemeClr w14:val="tx1"/>
                </w14:solidFill>
              </w14:textFill>
            </w:rPr>
            <w:t>附表</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_Toc14929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61</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7E62397D">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_Toc26291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附图1 本项目地理位置</w:t>
          </w:r>
          <w:r>
            <w:rPr>
              <w:rFonts w:hint="eastAsia" w:ascii="Times New Roman" w:hAnsi="Times New Roman"/>
              <w:b w:val="0"/>
              <w:bCs/>
              <w:color w:val="000000" w:themeColor="text1"/>
              <w:szCs w:val="21"/>
              <w14:textFill>
                <w14:solidFill>
                  <w14:schemeClr w14:val="tx1"/>
                </w14:solidFill>
              </w14:textFill>
            </w:rPr>
            <w:t>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_Toc26291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63</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69458905">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_Toc6078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 xml:space="preserve">附图2 </w:t>
          </w:r>
          <w:r>
            <w:rPr>
              <w:rFonts w:hint="eastAsia" w:ascii="Times New Roman" w:hAnsi="Times New Roman"/>
              <w:b w:val="0"/>
              <w:bCs/>
              <w:color w:val="000000" w:themeColor="text1"/>
              <w:szCs w:val="21"/>
              <w14:textFill>
                <w14:solidFill>
                  <w14:schemeClr w14:val="tx1"/>
                </w14:solidFill>
              </w14:textFill>
            </w:rPr>
            <w:t>项目地块临时用地使用林地现状图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_Toc6078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64</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71FDBB59">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_Toc5430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附图3 本项目四至图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_Toc5430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65</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6165A689">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_Toc4472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附图4 本项目</w:t>
          </w:r>
          <w:r>
            <w:rPr>
              <w:rFonts w:hint="eastAsia" w:ascii="Times New Roman" w:hAnsi="Times New Roman"/>
              <w:b w:val="0"/>
              <w:bCs/>
              <w:color w:val="000000" w:themeColor="text1"/>
              <w:szCs w:val="21"/>
              <w14:textFill>
                <w14:solidFill>
                  <w14:schemeClr w14:val="tx1"/>
                </w14:solidFill>
              </w14:textFill>
            </w:rPr>
            <w:t>现状图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_Toc4472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66</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7DAB5E0B">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_Toc2912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 xml:space="preserve">附图5 </w:t>
          </w:r>
          <w:r>
            <w:rPr>
              <w:rFonts w:hint="eastAsia" w:ascii="Times New Roman" w:hAnsi="Times New Roman"/>
              <w:b w:val="0"/>
              <w:bCs/>
              <w:color w:val="000000" w:themeColor="text1"/>
              <w:szCs w:val="21"/>
              <w14:textFill>
                <w14:solidFill>
                  <w14:schemeClr w14:val="tx1"/>
                </w14:solidFill>
              </w14:textFill>
            </w:rPr>
            <w:t>总平面布置图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_Toc2912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67</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720EB300">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_Toc11151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附图6 环境保护目标分布图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_Toc11151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68</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70CC191B">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_Toc21373 </w:instrText>
          </w:r>
          <w:r>
            <w:rPr>
              <w:rFonts w:eastAsia="仿宋_GB2312"/>
              <w:b w:val="0"/>
              <w:bCs/>
              <w:color w:val="000000" w:themeColor="text1"/>
              <w:szCs w:val="21"/>
              <w14:textFill>
                <w14:solidFill>
                  <w14:schemeClr w14:val="tx1"/>
                </w14:solidFill>
              </w14:textFill>
            </w:rPr>
            <w:fldChar w:fldCharType="separate"/>
          </w:r>
          <w:r>
            <w:rPr>
              <w:rFonts w:ascii="Times New Roman" w:hAnsi="Times New Roman"/>
              <w:b w:val="0"/>
              <w:bCs/>
              <w:color w:val="000000" w:themeColor="text1"/>
              <w:szCs w:val="21"/>
              <w14:textFill>
                <w14:solidFill>
                  <w14:schemeClr w14:val="tx1"/>
                </w14:solidFill>
              </w14:textFill>
            </w:rPr>
            <w:t>附图</w:t>
          </w:r>
          <w:r>
            <w:rPr>
              <w:rFonts w:hint="eastAsia" w:ascii="Times New Roman" w:hAnsi="Times New Roman"/>
              <w:b w:val="0"/>
              <w:bCs/>
              <w:color w:val="000000" w:themeColor="text1"/>
              <w:szCs w:val="21"/>
              <w14:textFill>
                <w14:solidFill>
                  <w14:schemeClr w14:val="tx1"/>
                </w14:solidFill>
              </w14:textFill>
            </w:rPr>
            <w:t>7 广东省环境管控单元图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_Toc21373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69</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2CB292AA">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_Toc27569 </w:instrText>
          </w:r>
          <w:r>
            <w:rPr>
              <w:rFonts w:eastAsia="仿宋_GB2312"/>
              <w:b w:val="0"/>
              <w:bCs/>
              <w:color w:val="000000" w:themeColor="text1"/>
              <w:szCs w:val="21"/>
              <w14:textFill>
                <w14:solidFill>
                  <w14:schemeClr w14:val="tx1"/>
                </w14:solidFill>
              </w14:textFill>
            </w:rPr>
            <w:fldChar w:fldCharType="separate"/>
          </w:r>
          <w:r>
            <w:rPr>
              <w:rFonts w:hint="eastAsia"/>
              <w:b w:val="0"/>
              <w:bCs/>
              <w:color w:val="000000" w:themeColor="text1"/>
              <w14:textFill>
                <w14:solidFill>
                  <w14:schemeClr w14:val="tx1"/>
                </w14:solidFill>
              </w14:textFill>
            </w:rPr>
            <w:t>附图8 湛江市环境管控单元图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_Toc27569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70</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C7BE5A3">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_Toc14029 </w:instrText>
          </w:r>
          <w:r>
            <w:rPr>
              <w:rFonts w:eastAsia="仿宋_GB2312"/>
              <w:b w:val="0"/>
              <w:bCs/>
              <w:color w:val="000000" w:themeColor="text1"/>
              <w:szCs w:val="21"/>
              <w14:textFill>
                <w14:solidFill>
                  <w14:schemeClr w14:val="tx1"/>
                </w14:solidFill>
              </w14:textFill>
            </w:rPr>
            <w:fldChar w:fldCharType="separate"/>
          </w:r>
          <w:r>
            <w:rPr>
              <w:b w:val="0"/>
              <w:bCs/>
              <w:color w:val="000000" w:themeColor="text1"/>
              <w14:textFill>
                <w14:solidFill>
                  <w14:schemeClr w14:val="tx1"/>
                </w14:solidFill>
              </w14:textFill>
            </w:rPr>
            <w:t>附图</w:t>
          </w:r>
          <w:r>
            <w:rPr>
              <w:rFonts w:hint="eastAsia"/>
              <w:b w:val="0"/>
              <w:bCs/>
              <w:color w:val="000000" w:themeColor="text1"/>
              <w14:textFill>
                <w14:solidFill>
                  <w14:schemeClr w14:val="tx1"/>
                </w14:solidFill>
              </w14:textFill>
            </w:rPr>
            <w:t>9</w:t>
          </w:r>
          <w:r>
            <w:rPr>
              <w:b w:val="0"/>
              <w:bCs/>
              <w:color w:val="000000" w:themeColor="text1"/>
              <w14:textFill>
                <w14:solidFill>
                  <w14:schemeClr w14:val="tx1"/>
                </w14:solidFill>
              </w14:textFill>
            </w:rPr>
            <w:t xml:space="preserve"> </w:t>
          </w:r>
          <w:r>
            <w:rPr>
              <w:rFonts w:hint="eastAsia"/>
              <w:b w:val="0"/>
              <w:bCs/>
              <w:color w:val="000000" w:themeColor="text1"/>
              <w14:textFill>
                <w14:solidFill>
                  <w14:schemeClr w14:val="tx1"/>
                </w14:solidFill>
              </w14:textFill>
            </w:rPr>
            <w:t>廉江市</w:t>
          </w:r>
          <w:r>
            <w:rPr>
              <w:b w:val="0"/>
              <w:bCs/>
              <w:color w:val="000000" w:themeColor="text1"/>
              <w14:textFill>
                <w14:solidFill>
                  <w14:schemeClr w14:val="tx1"/>
                </w14:solidFill>
              </w14:textFill>
            </w:rPr>
            <w:t>环境管控单元图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_Toc14029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71</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21A0B070">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_Toc3904 </w:instrText>
          </w:r>
          <w:r>
            <w:rPr>
              <w:rFonts w:eastAsia="仿宋_GB2312"/>
              <w:b w:val="0"/>
              <w:bCs/>
              <w:color w:val="000000" w:themeColor="text1"/>
              <w:szCs w:val="21"/>
              <w14:textFill>
                <w14:solidFill>
                  <w14:schemeClr w14:val="tx1"/>
                </w14:solidFill>
              </w14:textFill>
            </w:rPr>
            <w:fldChar w:fldCharType="separate"/>
          </w:r>
          <w:r>
            <w:rPr>
              <w:b w:val="0"/>
              <w:bCs/>
              <w:color w:val="000000" w:themeColor="text1"/>
              <w14:textFill>
                <w14:solidFill>
                  <w14:schemeClr w14:val="tx1"/>
                </w14:solidFill>
              </w14:textFill>
            </w:rPr>
            <w:t>附图</w:t>
          </w:r>
          <w:r>
            <w:rPr>
              <w:rFonts w:hint="eastAsia"/>
              <w:b w:val="0"/>
              <w:bCs/>
              <w:color w:val="000000" w:themeColor="text1"/>
              <w14:textFill>
                <w14:solidFill>
                  <w14:schemeClr w14:val="tx1"/>
                </w14:solidFill>
              </w14:textFill>
            </w:rPr>
            <w:t>10-1</w:t>
          </w:r>
          <w:r>
            <w:rPr>
              <w:b w:val="0"/>
              <w:bCs/>
              <w:color w:val="000000" w:themeColor="text1"/>
              <w14:textFill>
                <w14:solidFill>
                  <w14:schemeClr w14:val="tx1"/>
                </w14:solidFill>
              </w14:textFill>
            </w:rPr>
            <w:t xml:space="preserve"> 广东省三线一单应用平台</w:t>
          </w:r>
          <w:r>
            <w:rPr>
              <w:rFonts w:hint="eastAsia"/>
              <w:b w:val="0"/>
              <w:bCs/>
              <w:color w:val="000000" w:themeColor="text1"/>
              <w14:textFill>
                <w14:solidFill>
                  <w14:schemeClr w14:val="tx1"/>
                </w14:solidFill>
              </w14:textFill>
            </w:rPr>
            <w:t>——陆域环境管控单元</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_Toc3904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72</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17EF6DDE">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_Toc14787 </w:instrText>
          </w:r>
          <w:r>
            <w:rPr>
              <w:rFonts w:eastAsia="仿宋_GB2312"/>
              <w:b w:val="0"/>
              <w:bCs/>
              <w:color w:val="000000" w:themeColor="text1"/>
              <w:szCs w:val="21"/>
              <w14:textFill>
                <w14:solidFill>
                  <w14:schemeClr w14:val="tx1"/>
                </w14:solidFill>
              </w14:textFill>
            </w:rPr>
            <w:fldChar w:fldCharType="separate"/>
          </w:r>
          <w:r>
            <w:rPr>
              <w:b w:val="0"/>
              <w:bCs/>
              <w:color w:val="000000" w:themeColor="text1"/>
              <w14:textFill>
                <w14:solidFill>
                  <w14:schemeClr w14:val="tx1"/>
                </w14:solidFill>
              </w14:textFill>
            </w:rPr>
            <w:t>附图1</w:t>
          </w:r>
          <w:r>
            <w:rPr>
              <w:rFonts w:hint="eastAsia"/>
              <w:b w:val="0"/>
              <w:bCs/>
              <w:color w:val="000000" w:themeColor="text1"/>
              <w14:textFill>
                <w14:solidFill>
                  <w14:schemeClr w14:val="tx1"/>
                </w14:solidFill>
              </w14:textFill>
            </w:rPr>
            <w:t>0-2</w:t>
          </w:r>
          <w:r>
            <w:rPr>
              <w:b w:val="0"/>
              <w:bCs/>
              <w:color w:val="000000" w:themeColor="text1"/>
              <w14:textFill>
                <w14:solidFill>
                  <w14:schemeClr w14:val="tx1"/>
                </w14:solidFill>
              </w14:textFill>
            </w:rPr>
            <w:t xml:space="preserve"> 广东省三线一单应用平台</w:t>
          </w:r>
          <w:r>
            <w:rPr>
              <w:rFonts w:hint="eastAsia"/>
              <w:b w:val="0"/>
              <w:bCs/>
              <w:color w:val="000000" w:themeColor="text1"/>
              <w14:textFill>
                <w14:solidFill>
                  <w14:schemeClr w14:val="tx1"/>
                </w14:solidFill>
              </w14:textFill>
            </w:rPr>
            <w:t>——生态空间一般管控区</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_Toc14787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73</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6BBA77BF">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_Toc15125 </w:instrText>
          </w:r>
          <w:r>
            <w:rPr>
              <w:rFonts w:eastAsia="仿宋_GB2312"/>
              <w:b w:val="0"/>
              <w:bCs/>
              <w:color w:val="000000" w:themeColor="text1"/>
              <w:szCs w:val="21"/>
              <w14:textFill>
                <w14:solidFill>
                  <w14:schemeClr w14:val="tx1"/>
                </w14:solidFill>
              </w14:textFill>
            </w:rPr>
            <w:fldChar w:fldCharType="separate"/>
          </w:r>
          <w:r>
            <w:rPr>
              <w:b w:val="0"/>
              <w:bCs/>
              <w:color w:val="000000" w:themeColor="text1"/>
              <w14:textFill>
                <w14:solidFill>
                  <w14:schemeClr w14:val="tx1"/>
                </w14:solidFill>
              </w14:textFill>
            </w:rPr>
            <w:t>附图</w:t>
          </w:r>
          <w:r>
            <w:rPr>
              <w:rFonts w:hint="eastAsia"/>
              <w:b w:val="0"/>
              <w:bCs/>
              <w:color w:val="000000" w:themeColor="text1"/>
              <w14:textFill>
                <w14:solidFill>
                  <w14:schemeClr w14:val="tx1"/>
                </w14:solidFill>
              </w14:textFill>
            </w:rPr>
            <w:t>10-3</w:t>
          </w:r>
          <w:r>
            <w:rPr>
              <w:b w:val="0"/>
              <w:bCs/>
              <w:color w:val="000000" w:themeColor="text1"/>
              <w14:textFill>
                <w14:solidFill>
                  <w14:schemeClr w14:val="tx1"/>
                </w14:solidFill>
              </w14:textFill>
            </w:rPr>
            <w:t xml:space="preserve"> 广东省三线一单应用平台</w:t>
          </w:r>
          <w:r>
            <w:rPr>
              <w:rFonts w:hint="eastAsia"/>
              <w:b w:val="0"/>
              <w:bCs/>
              <w:color w:val="000000" w:themeColor="text1"/>
              <w14:textFill>
                <w14:solidFill>
                  <w14:schemeClr w14:val="tx1"/>
                </w14:solidFill>
              </w14:textFill>
            </w:rPr>
            <w:t>——水环境一般管控区</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_Toc15125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74</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4396927A">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_Toc7997 </w:instrText>
          </w:r>
          <w:r>
            <w:rPr>
              <w:rFonts w:eastAsia="仿宋_GB2312"/>
              <w:b w:val="0"/>
              <w:bCs/>
              <w:color w:val="000000" w:themeColor="text1"/>
              <w:szCs w:val="21"/>
              <w14:textFill>
                <w14:solidFill>
                  <w14:schemeClr w14:val="tx1"/>
                </w14:solidFill>
              </w14:textFill>
            </w:rPr>
            <w:fldChar w:fldCharType="separate"/>
          </w:r>
          <w:r>
            <w:rPr>
              <w:b w:val="0"/>
              <w:bCs/>
              <w:color w:val="000000" w:themeColor="text1"/>
              <w14:textFill>
                <w14:solidFill>
                  <w14:schemeClr w14:val="tx1"/>
                </w14:solidFill>
              </w14:textFill>
            </w:rPr>
            <w:t>附图1</w:t>
          </w:r>
          <w:r>
            <w:rPr>
              <w:rFonts w:hint="eastAsia"/>
              <w:b w:val="0"/>
              <w:bCs/>
              <w:color w:val="000000" w:themeColor="text1"/>
              <w14:textFill>
                <w14:solidFill>
                  <w14:schemeClr w14:val="tx1"/>
                </w14:solidFill>
              </w14:textFill>
            </w:rPr>
            <w:t>0-4</w:t>
          </w:r>
          <w:r>
            <w:rPr>
              <w:b w:val="0"/>
              <w:bCs/>
              <w:color w:val="000000" w:themeColor="text1"/>
              <w14:textFill>
                <w14:solidFill>
                  <w14:schemeClr w14:val="tx1"/>
                </w14:solidFill>
              </w14:textFill>
            </w:rPr>
            <w:t xml:space="preserve"> 广东省三线一单应用平台</w:t>
          </w:r>
          <w:r>
            <w:rPr>
              <w:rFonts w:hint="eastAsia"/>
              <w:b w:val="0"/>
              <w:bCs/>
              <w:color w:val="000000" w:themeColor="text1"/>
              <w14:textFill>
                <w14:solidFill>
                  <w14:schemeClr w14:val="tx1"/>
                </w14:solidFill>
              </w14:textFill>
            </w:rPr>
            <w:t>——大气环境一般管控区</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_Toc7997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75</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5CC216D8">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_Toc14937 </w:instrText>
          </w:r>
          <w:r>
            <w:rPr>
              <w:rFonts w:eastAsia="仿宋_GB2312"/>
              <w:b w:val="0"/>
              <w:bCs/>
              <w:color w:val="000000" w:themeColor="text1"/>
              <w:szCs w:val="21"/>
              <w14:textFill>
                <w14:solidFill>
                  <w14:schemeClr w14:val="tx1"/>
                </w14:solidFill>
              </w14:textFill>
            </w:rPr>
            <w:fldChar w:fldCharType="separate"/>
          </w:r>
          <w:r>
            <w:rPr>
              <w:rFonts w:hint="eastAsia"/>
              <w:b w:val="0"/>
              <w:bCs/>
              <w:color w:val="000000" w:themeColor="text1"/>
              <w14:textFill>
                <w14:solidFill>
                  <w14:schemeClr w14:val="tx1"/>
                </w14:solidFill>
              </w14:textFill>
            </w:rPr>
            <w:t>附图11 本项目与引用大气监测点位距离图</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_Toc14937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76</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66834D27">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_Toc21117 </w:instrText>
          </w:r>
          <w:r>
            <w:rPr>
              <w:rFonts w:eastAsia="仿宋_GB2312"/>
              <w:b w:val="0"/>
              <w:bCs/>
              <w:color w:val="000000" w:themeColor="text1"/>
              <w:szCs w:val="21"/>
              <w14:textFill>
                <w14:solidFill>
                  <w14:schemeClr w14:val="tx1"/>
                </w14:solidFill>
              </w14:textFill>
            </w:rPr>
            <w:fldChar w:fldCharType="separate"/>
          </w:r>
          <w:r>
            <w:rPr>
              <w:rFonts w:eastAsia="宋体"/>
              <w:b w:val="0"/>
              <w:bCs/>
              <w:color w:val="000000" w:themeColor="text1"/>
              <w:szCs w:val="21"/>
              <w14:textFill>
                <w14:solidFill>
                  <w14:schemeClr w14:val="tx1"/>
                </w14:solidFill>
              </w14:textFill>
            </w:rPr>
            <w:t>附件1 营业执照</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_Toc21117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77</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56150C9D">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_Toc19734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附件2 法人身份证</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_Toc19734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78</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02952838">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_Toc21996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附件3 临时用地协议</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_Toc21996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79</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7B43EB5">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_Toc19573 </w:instrText>
          </w:r>
          <w:r>
            <w:rPr>
              <w:rFonts w:eastAsia="仿宋_GB2312"/>
              <w:b w:val="0"/>
              <w:bCs/>
              <w:color w:val="000000" w:themeColor="text1"/>
              <w:szCs w:val="21"/>
              <w14:textFill>
                <w14:solidFill>
                  <w14:schemeClr w14:val="tx1"/>
                </w14:solidFill>
              </w14:textFill>
            </w:rPr>
            <w:fldChar w:fldCharType="separate"/>
          </w:r>
          <w:r>
            <w:rPr>
              <w:rFonts w:eastAsia="宋体"/>
              <w:b w:val="0"/>
              <w:bCs/>
              <w:color w:val="000000" w:themeColor="text1"/>
              <w:szCs w:val="21"/>
              <w14:textFill>
                <w14:solidFill>
                  <w14:schemeClr w14:val="tx1"/>
                </w14:solidFill>
              </w14:textFill>
            </w:rPr>
            <w:t>附件</w:t>
          </w:r>
          <w:r>
            <w:rPr>
              <w:rFonts w:hint="eastAsia" w:eastAsia="宋体"/>
              <w:b w:val="0"/>
              <w:bCs/>
              <w:color w:val="000000" w:themeColor="text1"/>
              <w:szCs w:val="21"/>
              <w14:textFill>
                <w14:solidFill>
                  <w14:schemeClr w14:val="tx1"/>
                </w14:solidFill>
              </w14:textFill>
            </w:rPr>
            <w:t>4</w:t>
          </w:r>
          <w:r>
            <w:rPr>
              <w:rFonts w:eastAsia="宋体"/>
              <w:b w:val="0"/>
              <w:bCs/>
              <w:color w:val="000000" w:themeColor="text1"/>
              <w:szCs w:val="21"/>
              <w14:textFill>
                <w14:solidFill>
                  <w14:schemeClr w14:val="tx1"/>
                </w14:solidFill>
              </w14:textFill>
            </w:rPr>
            <w:t xml:space="preserve"> </w:t>
          </w:r>
          <w:r>
            <w:rPr>
              <w:rFonts w:hint="eastAsia" w:eastAsia="宋体"/>
              <w:b w:val="0"/>
              <w:bCs/>
              <w:color w:val="000000" w:themeColor="text1"/>
              <w:szCs w:val="21"/>
              <w14:textFill>
                <w14:solidFill>
                  <w14:schemeClr w14:val="tx1"/>
                </w14:solidFill>
              </w14:textFill>
            </w:rPr>
            <w:t>地块权属证明</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_Toc19573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83</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6CE4D63">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_Toc1260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附件5 《关于新建合浦至湛江铁路(广东段)站前工程HZGDSG-1标项目经理部材料堆场临时用地的的批复》（廉自然资(临用)[2025]7号）</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_Toc1260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84</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27BFE53">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_Toc22976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附件6 《临时占用林地审批同意书》（廉林地许准〔2025〕5号）</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_Toc22976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86</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3C48E4FD">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_Toc10566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附件7 环境空气TSP监测报告</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_Toc10566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87</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41C41674">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_Toc13987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14:textFill>
                <w14:solidFill>
                  <w14:schemeClr w14:val="tx1"/>
                </w14:solidFill>
              </w14:textFill>
            </w:rPr>
            <w:t>附件8 广东省投资项目代码</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_Toc13987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93</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023A0CF0">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_Toc10483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lang w:val="en-US" w:eastAsia="zh-CN"/>
              <w14:textFill>
                <w14:solidFill>
                  <w14:schemeClr w14:val="tx1"/>
                </w14:solidFill>
              </w14:textFill>
            </w:rPr>
            <w:t>附件9 排污信息清单</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_Toc10483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94</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424C3327">
          <w:pPr>
            <w:pStyle w:val="12"/>
            <w:tabs>
              <w:tab w:val="right" w:leader="dot" w:pos="9071"/>
            </w:tabs>
            <w:rPr>
              <w:b w:val="0"/>
              <w:bCs/>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_Toc6207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lang w:val="en-US" w:eastAsia="zh-CN"/>
              <w14:textFill>
                <w14:solidFill>
                  <w14:schemeClr w14:val="tx1"/>
                </w14:solidFill>
              </w14:textFill>
            </w:rPr>
            <w:t>附件10 泥饼接受协议</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_Toc6207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97</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506515AA">
          <w:pPr>
            <w:pStyle w:val="12"/>
            <w:tabs>
              <w:tab w:val="right" w:leader="dot" w:pos="9071"/>
            </w:tabs>
            <w:rPr>
              <w:color w:val="000000" w:themeColor="text1"/>
              <w14:textFill>
                <w14:solidFill>
                  <w14:schemeClr w14:val="tx1"/>
                </w14:solidFill>
              </w14:textFill>
            </w:rPr>
          </w:pPr>
          <w:r>
            <w:rPr>
              <w:rFonts w:eastAsia="仿宋_GB2312"/>
              <w:b w:val="0"/>
              <w:bCs/>
              <w:color w:val="000000" w:themeColor="text1"/>
              <w:szCs w:val="21"/>
              <w14:textFill>
                <w14:solidFill>
                  <w14:schemeClr w14:val="tx1"/>
                </w14:solidFill>
              </w14:textFill>
            </w:rPr>
            <w:fldChar w:fldCharType="begin"/>
          </w:r>
          <w:r>
            <w:rPr>
              <w:rFonts w:eastAsia="仿宋_GB2312"/>
              <w:b w:val="0"/>
              <w:bCs/>
              <w:color w:val="000000" w:themeColor="text1"/>
              <w:szCs w:val="21"/>
              <w14:textFill>
                <w14:solidFill>
                  <w14:schemeClr w14:val="tx1"/>
                </w14:solidFill>
              </w14:textFill>
            </w:rPr>
            <w:instrText xml:space="preserve"> HYPERLINK \l _Toc30551 </w:instrText>
          </w:r>
          <w:r>
            <w:rPr>
              <w:rFonts w:eastAsia="仿宋_GB2312"/>
              <w:b w:val="0"/>
              <w:bCs/>
              <w:color w:val="000000" w:themeColor="text1"/>
              <w:szCs w:val="21"/>
              <w14:textFill>
                <w14:solidFill>
                  <w14:schemeClr w14:val="tx1"/>
                </w14:solidFill>
              </w14:textFill>
            </w:rPr>
            <w:fldChar w:fldCharType="separate"/>
          </w:r>
          <w:r>
            <w:rPr>
              <w:rFonts w:hint="eastAsia" w:eastAsia="宋体"/>
              <w:b w:val="0"/>
              <w:bCs/>
              <w:color w:val="000000" w:themeColor="text1"/>
              <w:szCs w:val="21"/>
              <w:lang w:val="en-US" w:eastAsia="zh-CN"/>
              <w14:textFill>
                <w14:solidFill>
                  <w14:schemeClr w14:val="tx1"/>
                </w14:solidFill>
              </w14:textFill>
            </w:rPr>
            <w:t>附件11 生活污水接受协议</w:t>
          </w:r>
          <w:r>
            <w:rPr>
              <w:b w:val="0"/>
              <w:bCs/>
              <w:color w:val="000000" w:themeColor="text1"/>
              <w14:textFill>
                <w14:solidFill>
                  <w14:schemeClr w14:val="tx1"/>
                </w14:solidFill>
              </w14:textFill>
            </w:rPr>
            <w:tab/>
          </w:r>
          <w:r>
            <w:rPr>
              <w:b w:val="0"/>
              <w:bCs/>
              <w:color w:val="000000" w:themeColor="text1"/>
              <w14:textFill>
                <w14:solidFill>
                  <w14:schemeClr w14:val="tx1"/>
                </w14:solidFill>
              </w14:textFill>
            </w:rPr>
            <w:fldChar w:fldCharType="begin"/>
          </w:r>
          <w:r>
            <w:rPr>
              <w:b w:val="0"/>
              <w:bCs/>
              <w:color w:val="000000" w:themeColor="text1"/>
              <w14:textFill>
                <w14:solidFill>
                  <w14:schemeClr w14:val="tx1"/>
                </w14:solidFill>
              </w14:textFill>
            </w:rPr>
            <w:instrText xml:space="preserve"> PAGEREF _Toc30551 \h </w:instrText>
          </w:r>
          <w:r>
            <w:rPr>
              <w:b w:val="0"/>
              <w:bCs/>
              <w:color w:val="000000" w:themeColor="text1"/>
              <w14:textFill>
                <w14:solidFill>
                  <w14:schemeClr w14:val="tx1"/>
                </w14:solidFill>
              </w14:textFill>
            </w:rPr>
            <w:fldChar w:fldCharType="separate"/>
          </w:r>
          <w:r>
            <w:rPr>
              <w:b w:val="0"/>
              <w:bCs/>
              <w:color w:val="000000" w:themeColor="text1"/>
              <w14:textFill>
                <w14:solidFill>
                  <w14:schemeClr w14:val="tx1"/>
                </w14:solidFill>
              </w14:textFill>
            </w:rPr>
            <w:t>101</w:t>
          </w:r>
          <w:r>
            <w:rPr>
              <w:b w:val="0"/>
              <w:bCs/>
              <w:color w:val="000000" w:themeColor="text1"/>
              <w14:textFill>
                <w14:solidFill>
                  <w14:schemeClr w14:val="tx1"/>
                </w14:solidFill>
              </w14:textFill>
            </w:rPr>
            <w:fldChar w:fldCharType="end"/>
          </w:r>
          <w:r>
            <w:rPr>
              <w:rFonts w:eastAsia="仿宋_GB2312"/>
              <w:b w:val="0"/>
              <w:bCs/>
              <w:color w:val="000000" w:themeColor="text1"/>
              <w:szCs w:val="21"/>
              <w14:textFill>
                <w14:solidFill>
                  <w14:schemeClr w14:val="tx1"/>
                </w14:solidFill>
              </w14:textFill>
            </w:rPr>
            <w:fldChar w:fldCharType="end"/>
          </w:r>
        </w:p>
        <w:p w14:paraId="04DCBAC9">
          <w:pPr>
            <w:rPr>
              <w:rFonts w:eastAsia="仿宋_GB2312"/>
              <w:b/>
              <w:bCs/>
              <w:color w:val="000000" w:themeColor="text1"/>
              <w:szCs w:val="36"/>
              <w14:textFill>
                <w14:solidFill>
                  <w14:schemeClr w14:val="tx1"/>
                </w14:solidFill>
              </w14:textFill>
            </w:rPr>
          </w:pPr>
          <w:r>
            <w:rPr>
              <w:rFonts w:eastAsia="仿宋_GB2312"/>
              <w:bCs w:val="0"/>
              <w:color w:val="000000" w:themeColor="text1"/>
              <w:szCs w:val="21"/>
              <w14:textFill>
                <w14:solidFill>
                  <w14:schemeClr w14:val="tx1"/>
                </w14:solidFill>
              </w14:textFill>
            </w:rPr>
            <w:fldChar w:fldCharType="end"/>
          </w:r>
        </w:p>
      </w:sdtContent>
    </w:sdt>
    <w:p w14:paraId="22F666E5">
      <w:pPr>
        <w:rPr>
          <w:rFonts w:eastAsia="仿宋_GB2312"/>
          <w:color w:val="000000" w:themeColor="text1"/>
          <w:szCs w:val="36"/>
          <w14:textFill>
            <w14:solidFill>
              <w14:schemeClr w14:val="tx1"/>
            </w14:solidFill>
          </w14:textFill>
        </w:rPr>
      </w:pPr>
    </w:p>
    <w:p w14:paraId="61D629AB">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sectPr>
          <w:pgSz w:w="11905" w:h="16838"/>
          <w:pgMar w:top="1587" w:right="1417" w:bottom="1587" w:left="1417" w:header="850" w:footer="1077" w:gutter="0"/>
          <w:pgNumType w:start="1"/>
          <w:cols w:space="720" w:num="1"/>
          <w:docGrid w:linePitch="312" w:charSpace="0"/>
        </w:sectPr>
      </w:pPr>
    </w:p>
    <w:p w14:paraId="70097416">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4" w:name="_Toc15442"/>
      <w:r>
        <w:rPr>
          <w:rFonts w:ascii="Times New Roman" w:hAnsi="Times New Roman" w:eastAsia="黑体"/>
          <w:snapToGrid w:val="0"/>
          <w:color w:val="000000" w:themeColor="text1"/>
          <w:sz w:val="30"/>
          <w:szCs w:val="30"/>
          <w14:textFill>
            <w14:solidFill>
              <w14:schemeClr w14:val="tx1"/>
            </w14:solidFill>
          </w14:textFill>
        </w:rPr>
        <w:t>一、建设项目基本情况</w:t>
      </w:r>
      <w:bookmarkEnd w:id="14"/>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71"/>
        <w:gridCol w:w="2503"/>
        <w:gridCol w:w="1875"/>
        <w:gridCol w:w="3121"/>
      </w:tblGrid>
      <w:tr w14:paraId="475E9F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35B7709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7499" w:type="dxa"/>
            <w:gridSpan w:val="3"/>
            <w:vAlign w:val="center"/>
          </w:tcPr>
          <w:p w14:paraId="59665F3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合湛铁路1标机制骨料加工场</w:t>
            </w:r>
          </w:p>
        </w:tc>
      </w:tr>
      <w:tr w14:paraId="2C8ED9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141D0D9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7499" w:type="dxa"/>
            <w:gridSpan w:val="3"/>
            <w:vAlign w:val="center"/>
          </w:tcPr>
          <w:p w14:paraId="399F3A5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2601-440881-07-01-841053</w:t>
            </w:r>
          </w:p>
        </w:tc>
      </w:tr>
      <w:tr w14:paraId="1259CC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7F475DE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2503" w:type="dxa"/>
            <w:vAlign w:val="center"/>
          </w:tcPr>
          <w:p w14:paraId="6FEA301F">
            <w:pPr>
              <w:adjustRightInd w:val="0"/>
              <w:snapToGrid w:val="0"/>
              <w:jc w:val="center"/>
              <w:rPr>
                <w:color w:val="000000" w:themeColor="text1"/>
                <w:szCs w:val="21"/>
                <w14:textFill>
                  <w14:solidFill>
                    <w14:schemeClr w14:val="tx1"/>
                  </w14:solidFill>
                </w14:textFill>
              </w:rPr>
            </w:pPr>
          </w:p>
        </w:tc>
        <w:tc>
          <w:tcPr>
            <w:tcW w:w="1875" w:type="dxa"/>
            <w:vAlign w:val="center"/>
          </w:tcPr>
          <w:p w14:paraId="064500F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3121" w:type="dxa"/>
            <w:vAlign w:val="center"/>
          </w:tcPr>
          <w:p w14:paraId="2041AB6A">
            <w:pPr>
              <w:adjustRightInd w:val="0"/>
              <w:snapToGrid w:val="0"/>
              <w:jc w:val="center"/>
              <w:rPr>
                <w:color w:val="000000" w:themeColor="text1"/>
                <w:szCs w:val="21"/>
                <w14:textFill>
                  <w14:solidFill>
                    <w14:schemeClr w14:val="tx1"/>
                  </w14:solidFill>
                </w14:textFill>
              </w:rPr>
            </w:pPr>
          </w:p>
        </w:tc>
      </w:tr>
      <w:tr w14:paraId="3E237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19F9314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7499" w:type="dxa"/>
            <w:gridSpan w:val="3"/>
            <w:vAlign w:val="center"/>
          </w:tcPr>
          <w:p w14:paraId="07E382F4">
            <w:pPr>
              <w:widowControl/>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湛江市廉江市营仔镇福山村高墩角经济合作社</w:t>
            </w:r>
          </w:p>
        </w:tc>
      </w:tr>
      <w:tr w14:paraId="409A64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7106697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地理坐标</w:t>
            </w:r>
          </w:p>
        </w:tc>
        <w:tc>
          <w:tcPr>
            <w:tcW w:w="7499" w:type="dxa"/>
            <w:gridSpan w:val="3"/>
            <w:vAlign w:val="center"/>
          </w:tcPr>
          <w:p w14:paraId="1E085465">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（东经</w:t>
            </w:r>
            <w:r>
              <w:rPr>
                <w:rFonts w:hint="eastAsia"/>
                <w:color w:val="000000" w:themeColor="text1"/>
                <w:szCs w:val="21"/>
                <w:u w:val="single"/>
                <w14:textFill>
                  <w14:solidFill>
                    <w14:schemeClr w14:val="tx1"/>
                  </w14:solidFill>
                </w14:textFill>
              </w:rPr>
              <w:t>109</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59</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35.896</w:t>
            </w:r>
            <w:r>
              <w:rPr>
                <w:color w:val="000000" w:themeColor="text1"/>
                <w:szCs w:val="21"/>
                <w14:textFill>
                  <w14:solidFill>
                    <w14:schemeClr w14:val="tx1"/>
                  </w14:solidFill>
                </w14:textFill>
              </w:rPr>
              <w:t>秒，北纬</w:t>
            </w:r>
            <w:r>
              <w:rPr>
                <w:color w:val="000000" w:themeColor="text1"/>
                <w:szCs w:val="21"/>
                <w:u w:val="single"/>
                <w14:textFill>
                  <w14:solidFill>
                    <w14:schemeClr w14:val="tx1"/>
                  </w14:solidFill>
                </w14:textFill>
              </w:rPr>
              <w:t>2</w:t>
            </w:r>
            <w:r>
              <w:rPr>
                <w:rFonts w:hint="eastAsia"/>
                <w:color w:val="000000" w:themeColor="text1"/>
                <w:szCs w:val="21"/>
                <w:u w:val="single"/>
                <w14:textFill>
                  <w14:solidFill>
                    <w14:schemeClr w14:val="tx1"/>
                  </w14:solidFill>
                </w14:textFill>
              </w:rPr>
              <w:t>1</w:t>
            </w:r>
            <w:r>
              <w:rPr>
                <w:color w:val="000000" w:themeColor="text1"/>
                <w:szCs w:val="21"/>
                <w14:textFill>
                  <w14:solidFill>
                    <w14:schemeClr w14:val="tx1"/>
                  </w14:solidFill>
                </w14:textFill>
              </w:rPr>
              <w:t>度</w:t>
            </w:r>
            <w:r>
              <w:rPr>
                <w:rFonts w:hint="eastAsia"/>
                <w:color w:val="000000" w:themeColor="text1"/>
                <w:szCs w:val="21"/>
                <w:u w:val="single"/>
                <w14:textFill>
                  <w14:solidFill>
                    <w14:schemeClr w14:val="tx1"/>
                  </w14:solidFill>
                </w14:textFill>
              </w:rPr>
              <w:t>34</w:t>
            </w:r>
            <w:r>
              <w:rPr>
                <w:color w:val="000000" w:themeColor="text1"/>
                <w:szCs w:val="21"/>
                <w14:textFill>
                  <w14:solidFill>
                    <w14:schemeClr w14:val="tx1"/>
                  </w14:solidFill>
                </w14:textFill>
              </w:rPr>
              <w:t>分</w:t>
            </w:r>
            <w:r>
              <w:rPr>
                <w:rFonts w:hint="eastAsia"/>
                <w:color w:val="000000" w:themeColor="text1"/>
                <w:szCs w:val="21"/>
                <w:u w:val="single"/>
                <w14:textFill>
                  <w14:solidFill>
                    <w14:schemeClr w14:val="tx1"/>
                  </w14:solidFill>
                </w14:textFill>
              </w:rPr>
              <w:t>26.328</w:t>
            </w:r>
            <w:r>
              <w:rPr>
                <w:color w:val="000000" w:themeColor="text1"/>
                <w:szCs w:val="21"/>
                <w14:textFill>
                  <w14:solidFill>
                    <w14:schemeClr w14:val="tx1"/>
                  </w14:solidFill>
                </w14:textFill>
              </w:rPr>
              <w:t>秒）</w:t>
            </w:r>
          </w:p>
        </w:tc>
      </w:tr>
      <w:tr w14:paraId="576C90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371" w:type="dxa"/>
            <w:tcMar>
              <w:top w:w="16" w:type="dxa"/>
              <w:left w:w="16" w:type="dxa"/>
              <w:right w:w="16" w:type="dxa"/>
            </w:tcMar>
            <w:vAlign w:val="center"/>
          </w:tcPr>
          <w:p w14:paraId="7E14632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14:paraId="6F2E005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p>
        </w:tc>
        <w:tc>
          <w:tcPr>
            <w:tcW w:w="2503" w:type="dxa"/>
            <w:vAlign w:val="center"/>
          </w:tcPr>
          <w:p w14:paraId="52CF72E7">
            <w:pPr>
              <w:widowControl/>
              <w:jc w:val="center"/>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C3039 其他建筑材料制造</w:t>
            </w:r>
          </w:p>
        </w:tc>
        <w:tc>
          <w:tcPr>
            <w:tcW w:w="1875" w:type="dxa"/>
            <w:vAlign w:val="center"/>
          </w:tcPr>
          <w:p w14:paraId="7B77E068">
            <w:pPr>
              <w:adjustRightInd w:val="0"/>
              <w:snapToGrid w:val="0"/>
              <w:jc w:val="center"/>
              <w:rPr>
                <w:color w:val="000000" w:themeColor="text1"/>
                <w:szCs w:val="21"/>
                <w14:textFill>
                  <w14:solidFill>
                    <w14:schemeClr w14:val="tx1"/>
                  </w14:solidFill>
                </w14:textFill>
              </w:rPr>
            </w:pPr>
            <w:bookmarkStart w:id="15" w:name="_Hlk49843745"/>
            <w:r>
              <w:rPr>
                <w:color w:val="000000" w:themeColor="text1"/>
                <w:szCs w:val="21"/>
                <w14:textFill>
                  <w14:solidFill>
                    <w14:schemeClr w14:val="tx1"/>
                  </w14:solidFill>
                </w14:textFill>
              </w:rPr>
              <w:t>建设项目</w:t>
            </w:r>
          </w:p>
          <w:p w14:paraId="40E8E37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行业类别</w:t>
            </w:r>
            <w:bookmarkEnd w:id="15"/>
          </w:p>
        </w:tc>
        <w:tc>
          <w:tcPr>
            <w:tcW w:w="3121" w:type="dxa"/>
            <w:vAlign w:val="center"/>
          </w:tcPr>
          <w:p w14:paraId="416B962A">
            <w:pPr>
              <w:widowControl/>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二十七、非金属矿物制品业-56砖瓦、石材等建筑材料制造</w:t>
            </w:r>
            <w:r>
              <w:rPr>
                <w:rStyle w:val="27"/>
                <w:rFonts w:hint="eastAsia"/>
                <w:color w:val="000000" w:themeColor="text1"/>
                <w:kern w:val="0"/>
                <w14:textFill>
                  <w14:solidFill>
                    <w14:schemeClr w14:val="tx1"/>
                  </w14:solidFill>
                </w14:textFill>
              </w:rPr>
              <w:t xml:space="preserve"> 303</w:t>
            </w:r>
            <w:r>
              <w:rPr>
                <w:rFonts w:hint="eastAsia"/>
                <w:color w:val="000000" w:themeColor="text1"/>
                <w:kern w:val="0"/>
                <w:szCs w:val="21"/>
                <w:lang w:bidi="ar"/>
                <w14:textFill>
                  <w14:solidFill>
                    <w14:schemeClr w14:val="tx1"/>
                  </w14:solidFill>
                </w14:textFill>
              </w:rPr>
              <w:t>-其他建筑材料制造（含干粉砂浆搅拌站）</w:t>
            </w:r>
          </w:p>
        </w:tc>
      </w:tr>
      <w:tr w14:paraId="27A57B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71" w:type="dxa"/>
            <w:tcMar>
              <w:top w:w="16" w:type="dxa"/>
              <w:left w:w="16" w:type="dxa"/>
              <w:right w:w="16" w:type="dxa"/>
            </w:tcMar>
            <w:vAlign w:val="center"/>
          </w:tcPr>
          <w:p w14:paraId="7AF9876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2503" w:type="dxa"/>
            <w:vAlign w:val="center"/>
          </w:tcPr>
          <w:p w14:paraId="51CDB94A">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新建（迁建）</w:t>
            </w:r>
          </w:p>
          <w:p w14:paraId="5C4A3169">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改建</w:t>
            </w:r>
          </w:p>
          <w:p w14:paraId="255667B5">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扩建</w:t>
            </w:r>
          </w:p>
          <w:p w14:paraId="7ED54711">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技术改造</w:t>
            </w:r>
          </w:p>
        </w:tc>
        <w:tc>
          <w:tcPr>
            <w:tcW w:w="1875" w:type="dxa"/>
            <w:vAlign w:val="center"/>
          </w:tcPr>
          <w:p w14:paraId="57145FD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14:paraId="43ADC74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3121" w:type="dxa"/>
            <w:vAlign w:val="center"/>
          </w:tcPr>
          <w:p w14:paraId="7CC382AD">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首次申报项目</w:t>
            </w:r>
          </w:p>
          <w:p w14:paraId="73791F68">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不予批准后再次申报项目</w:t>
            </w:r>
          </w:p>
          <w:p w14:paraId="08B6BCAA">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超五年重新审核项目</w:t>
            </w:r>
          </w:p>
          <w:p w14:paraId="65707E2D">
            <w:pPr>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重大变动重新报批项目</w:t>
            </w:r>
          </w:p>
        </w:tc>
      </w:tr>
      <w:tr w14:paraId="51E0E1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71" w:type="dxa"/>
            <w:tcMar>
              <w:top w:w="16" w:type="dxa"/>
              <w:left w:w="16" w:type="dxa"/>
              <w:right w:w="16" w:type="dxa"/>
            </w:tcMar>
            <w:vAlign w:val="center"/>
          </w:tcPr>
          <w:p w14:paraId="129055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项目审批（核准/备案）</w:t>
            </w:r>
          </w:p>
          <w:p w14:paraId="4637272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部门（选填）</w:t>
            </w:r>
          </w:p>
        </w:tc>
        <w:tc>
          <w:tcPr>
            <w:tcW w:w="2503" w:type="dxa"/>
            <w:vAlign w:val="center"/>
          </w:tcPr>
          <w:p w14:paraId="4CE5F309">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75" w:type="dxa"/>
            <w:vAlign w:val="center"/>
          </w:tcPr>
          <w:p w14:paraId="2CA98161">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14:paraId="7DD5294C">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3121" w:type="dxa"/>
            <w:vAlign w:val="center"/>
          </w:tcPr>
          <w:p w14:paraId="759E384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2E049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3B499E2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2503" w:type="dxa"/>
            <w:vAlign w:val="center"/>
          </w:tcPr>
          <w:p w14:paraId="12459E8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2000</w:t>
            </w:r>
          </w:p>
        </w:tc>
        <w:tc>
          <w:tcPr>
            <w:tcW w:w="1875" w:type="dxa"/>
            <w:tcMar>
              <w:top w:w="16" w:type="dxa"/>
              <w:left w:w="16" w:type="dxa"/>
              <w:right w:w="16" w:type="dxa"/>
            </w:tcMar>
            <w:vAlign w:val="center"/>
          </w:tcPr>
          <w:p w14:paraId="13DE8E4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环保投资（万元）</w:t>
            </w:r>
          </w:p>
        </w:tc>
        <w:tc>
          <w:tcPr>
            <w:tcW w:w="3121" w:type="dxa"/>
            <w:vAlign w:val="center"/>
          </w:tcPr>
          <w:p w14:paraId="5C045A2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500</w:t>
            </w:r>
          </w:p>
        </w:tc>
      </w:tr>
      <w:tr w14:paraId="25472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71" w:type="dxa"/>
            <w:tcMar>
              <w:top w:w="16" w:type="dxa"/>
              <w:left w:w="16" w:type="dxa"/>
              <w:right w:w="16" w:type="dxa"/>
            </w:tcMar>
            <w:vAlign w:val="center"/>
          </w:tcPr>
          <w:p w14:paraId="026BD1A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2503" w:type="dxa"/>
            <w:vAlign w:val="center"/>
          </w:tcPr>
          <w:p w14:paraId="7D57C7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875" w:type="dxa"/>
            <w:tcMar>
              <w:top w:w="16" w:type="dxa"/>
              <w:left w:w="16" w:type="dxa"/>
              <w:right w:w="16" w:type="dxa"/>
            </w:tcMar>
            <w:vAlign w:val="center"/>
          </w:tcPr>
          <w:p w14:paraId="2B9D55B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施工工期</w:t>
            </w:r>
          </w:p>
        </w:tc>
        <w:tc>
          <w:tcPr>
            <w:tcW w:w="3121" w:type="dxa"/>
            <w:vAlign w:val="center"/>
          </w:tcPr>
          <w:p w14:paraId="4DED579E">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个月</w:t>
            </w:r>
          </w:p>
        </w:tc>
      </w:tr>
      <w:tr w14:paraId="3025B0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71" w:type="dxa"/>
            <w:tcMar>
              <w:top w:w="16" w:type="dxa"/>
              <w:left w:w="16" w:type="dxa"/>
              <w:right w:w="16" w:type="dxa"/>
            </w:tcMar>
            <w:vAlign w:val="center"/>
          </w:tcPr>
          <w:p w14:paraId="36945D57">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2503" w:type="dxa"/>
            <w:vAlign w:val="center"/>
          </w:tcPr>
          <w:p w14:paraId="74CD9E21">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52"/>
            </w:r>
            <w:r>
              <w:rPr>
                <w:color w:val="000000" w:themeColor="text1"/>
                <w:szCs w:val="21"/>
                <w14:textFill>
                  <w14:solidFill>
                    <w14:schemeClr w14:val="tx1"/>
                  </w14:solidFill>
                </w14:textFill>
              </w:rPr>
              <w:t>否</w:t>
            </w:r>
          </w:p>
          <w:p w14:paraId="0F385BCA">
            <w:pPr>
              <w:adjustRightInd w:val="0"/>
              <w:snapToGrid w:val="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sym w:font="Wingdings 2" w:char="00A3"/>
            </w:r>
            <w:r>
              <w:rPr>
                <w:color w:val="000000" w:themeColor="text1"/>
                <w:szCs w:val="21"/>
                <w14:textFill>
                  <w14:solidFill>
                    <w14:schemeClr w14:val="tx1"/>
                  </w14:solidFill>
                </w14:textFill>
              </w:rPr>
              <w:t>是：</w:t>
            </w:r>
            <w:r>
              <w:rPr>
                <w:rFonts w:hint="eastAsia"/>
                <w:color w:val="000000" w:themeColor="text1"/>
                <w:szCs w:val="21"/>
                <w:u w:val="single"/>
                <w14:textFill>
                  <w14:solidFill>
                    <w14:schemeClr w14:val="tx1"/>
                  </w14:solidFill>
                </w14:textFill>
              </w:rPr>
              <w:t xml:space="preserve">        </w:t>
            </w:r>
          </w:p>
        </w:tc>
        <w:tc>
          <w:tcPr>
            <w:tcW w:w="1875" w:type="dxa"/>
            <w:tcMar>
              <w:top w:w="16" w:type="dxa"/>
              <w:left w:w="16" w:type="dxa"/>
              <w:right w:w="16" w:type="dxa"/>
            </w:tcMar>
            <w:vAlign w:val="center"/>
          </w:tcPr>
          <w:p w14:paraId="00261B58">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用地面积（m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3121" w:type="dxa"/>
            <w:vAlign w:val="center"/>
          </w:tcPr>
          <w:p w14:paraId="50F3B2F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55551</w:t>
            </w:r>
          </w:p>
        </w:tc>
      </w:tr>
      <w:tr w14:paraId="3F46A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71" w:type="dxa"/>
            <w:vAlign w:val="center"/>
          </w:tcPr>
          <w:p w14:paraId="30E4C601">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7499" w:type="dxa"/>
            <w:gridSpan w:val="3"/>
            <w:vAlign w:val="center"/>
          </w:tcPr>
          <w:p w14:paraId="538CE06A">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本项目无需设置专项评价，具体分析详见下表：</w:t>
            </w:r>
          </w:p>
          <w:p w14:paraId="5E8A2A5B">
            <w:pPr>
              <w:pStyle w:val="4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 xml:space="preserve">0 </w:t>
            </w:r>
            <w:r>
              <w:rPr>
                <w:color w:val="000000" w:themeColor="text1"/>
                <w14:textFill>
                  <w14:solidFill>
                    <w14:schemeClr w14:val="tx1"/>
                  </w14:solidFill>
                </w14:textFill>
              </w:rPr>
              <w:t>专项评价设置一览表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9"/>
              <w:gridCol w:w="3478"/>
              <w:gridCol w:w="2726"/>
            </w:tblGrid>
            <w:tr w14:paraId="479A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shd w:val="clear" w:color="auto" w:fill="D8D8D8"/>
                  <w:vAlign w:val="center"/>
                </w:tcPr>
                <w:p w14:paraId="7587DBD1">
                  <w:pPr>
                    <w:autoSpaceDE w:val="0"/>
                    <w:autoSpaceDN w:val="0"/>
                    <w:jc w:val="center"/>
                    <w:rPr>
                      <w:b/>
                      <w:color w:val="000000" w:themeColor="text1"/>
                      <w:kern w:val="0"/>
                      <w:sz w:val="18"/>
                      <w:szCs w:val="18"/>
                      <w14:textFill>
                        <w14:solidFill>
                          <w14:schemeClr w14:val="tx1"/>
                        </w14:solidFill>
                      </w14:textFill>
                    </w:rPr>
                  </w:pPr>
                  <w:r>
                    <w:rPr>
                      <w:b/>
                      <w:color w:val="000000" w:themeColor="text1"/>
                      <w:sz w:val="18"/>
                      <w:szCs w:val="18"/>
                      <w14:textFill>
                        <w14:solidFill>
                          <w14:schemeClr w14:val="tx1"/>
                        </w14:solidFill>
                      </w14:textFill>
                    </w:rPr>
                    <w:t>专项评价的类别</w:t>
                  </w:r>
                </w:p>
              </w:tc>
              <w:tc>
                <w:tcPr>
                  <w:tcW w:w="2391" w:type="pct"/>
                  <w:shd w:val="clear" w:color="auto" w:fill="D8D8D8"/>
                  <w:vAlign w:val="center"/>
                </w:tcPr>
                <w:p w14:paraId="7808DD4E">
                  <w:pPr>
                    <w:autoSpaceDE w:val="0"/>
                    <w:autoSpaceDN w:val="0"/>
                    <w:jc w:val="center"/>
                    <w:rPr>
                      <w:b/>
                      <w:color w:val="000000" w:themeColor="text1"/>
                      <w:kern w:val="0"/>
                      <w:sz w:val="18"/>
                      <w:szCs w:val="18"/>
                      <w14:textFill>
                        <w14:solidFill>
                          <w14:schemeClr w14:val="tx1"/>
                        </w14:solidFill>
                      </w14:textFill>
                    </w:rPr>
                  </w:pPr>
                  <w:r>
                    <w:rPr>
                      <w:b/>
                      <w:color w:val="000000" w:themeColor="text1"/>
                      <w:sz w:val="18"/>
                      <w:szCs w:val="18"/>
                      <w14:textFill>
                        <w14:solidFill>
                          <w14:schemeClr w14:val="tx1"/>
                        </w14:solidFill>
                      </w14:textFill>
                    </w:rPr>
                    <w:t>设置原则</w:t>
                  </w:r>
                </w:p>
              </w:tc>
              <w:tc>
                <w:tcPr>
                  <w:tcW w:w="1873" w:type="pct"/>
                  <w:shd w:val="clear" w:color="auto" w:fill="D8D8D8"/>
                  <w:vAlign w:val="center"/>
                </w:tcPr>
                <w:p w14:paraId="071EE742">
                  <w:pPr>
                    <w:autoSpaceDE w:val="0"/>
                    <w:autoSpaceDN w:val="0"/>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本项目</w:t>
                  </w:r>
                  <w:r>
                    <w:rPr>
                      <w:b/>
                      <w:color w:val="000000" w:themeColor="text1"/>
                      <w:kern w:val="0"/>
                      <w:sz w:val="18"/>
                      <w:szCs w:val="18"/>
                      <w14:textFill>
                        <w14:solidFill>
                          <w14:schemeClr w14:val="tx1"/>
                        </w14:solidFill>
                      </w14:textFill>
                    </w:rPr>
                    <w:t>情况</w:t>
                  </w:r>
                </w:p>
              </w:tc>
            </w:tr>
            <w:tr w14:paraId="5F3F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103D4EC7">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大气</w:t>
                  </w:r>
                </w:p>
              </w:tc>
              <w:tc>
                <w:tcPr>
                  <w:tcW w:w="2391" w:type="pct"/>
                  <w:vAlign w:val="center"/>
                </w:tcPr>
                <w:p w14:paraId="1B03E3B7">
                  <w:pPr>
                    <w:autoSpaceDE w:val="0"/>
                    <w:autoSpaceDN w:val="0"/>
                    <w:jc w:val="center"/>
                    <w:rPr>
                      <w:color w:val="000000" w:themeColor="text1"/>
                      <w:kern w:val="0"/>
                      <w:sz w:val="18"/>
                      <w:szCs w:val="18"/>
                      <w14:textFill>
                        <w14:solidFill>
                          <w14:schemeClr w14:val="tx1"/>
                        </w14:solidFill>
                      </w14:textFill>
                    </w:rPr>
                  </w:pPr>
                  <w:r>
                    <w:rPr>
                      <w:color w:val="000000" w:themeColor="text1"/>
                      <w:spacing w:val="-5"/>
                      <w:sz w:val="18"/>
                      <w:szCs w:val="18"/>
                      <w14:textFill>
                        <w14:solidFill>
                          <w14:schemeClr w14:val="tx1"/>
                        </w14:solidFill>
                      </w14:textFill>
                    </w:rPr>
                    <w:t>排放废气含有毒有害污染物</w:t>
                  </w:r>
                  <w:r>
                    <w:rPr>
                      <w:color w:val="000000" w:themeColor="text1"/>
                      <w:sz w:val="18"/>
                      <w:szCs w:val="18"/>
                      <w:vertAlign w:val="superscript"/>
                      <w14:textFill>
                        <w14:solidFill>
                          <w14:schemeClr w14:val="tx1"/>
                        </w14:solidFill>
                      </w14:textFill>
                    </w:rPr>
                    <w:t>1</w:t>
                  </w:r>
                  <w:r>
                    <w:rPr>
                      <w:color w:val="000000" w:themeColor="text1"/>
                      <w:spacing w:val="-7"/>
                      <w:sz w:val="18"/>
                      <w:szCs w:val="18"/>
                      <w14:textFill>
                        <w14:solidFill>
                          <w14:schemeClr w14:val="tx1"/>
                        </w14:solidFill>
                      </w14:textFill>
                    </w:rPr>
                    <w:t>、二噁英、苯并[</w:t>
                  </w:r>
                  <w:r>
                    <w:rPr>
                      <w:i/>
                      <w:color w:val="000000" w:themeColor="text1"/>
                      <w:spacing w:val="-23"/>
                      <w:sz w:val="18"/>
                      <w:szCs w:val="18"/>
                      <w14:textFill>
                        <w14:solidFill>
                          <w14:schemeClr w14:val="tx1"/>
                        </w14:solidFill>
                      </w14:textFill>
                    </w:rPr>
                    <w:t>a</w:t>
                  </w:r>
                  <w:r>
                    <w:rPr>
                      <w:color w:val="000000" w:themeColor="text1"/>
                      <w:spacing w:val="-7"/>
                      <w:sz w:val="18"/>
                      <w:szCs w:val="18"/>
                      <w14:textFill>
                        <w14:solidFill>
                          <w14:schemeClr w14:val="tx1"/>
                        </w14:solidFill>
                      </w14:textFill>
                    </w:rPr>
                    <w:t>]芘、氰化物、氯气且厂界外500</w:t>
                  </w:r>
                  <w:r>
                    <w:rPr>
                      <w:color w:val="000000" w:themeColor="text1"/>
                      <w:spacing w:val="-11"/>
                      <w:sz w:val="18"/>
                      <w:szCs w:val="18"/>
                      <w14:textFill>
                        <w14:solidFill>
                          <w14:schemeClr w14:val="tx1"/>
                        </w14:solidFill>
                      </w14:textFill>
                    </w:rPr>
                    <w:t xml:space="preserve"> 米范围内有环境空气保护目标</w:t>
                  </w:r>
                  <w:r>
                    <w:rPr>
                      <w:color w:val="000000" w:themeColor="text1"/>
                      <w:sz w:val="18"/>
                      <w:szCs w:val="18"/>
                      <w:vertAlign w:val="superscript"/>
                      <w14:textFill>
                        <w14:solidFill>
                          <w14:schemeClr w14:val="tx1"/>
                        </w14:solidFill>
                      </w14:textFill>
                    </w:rPr>
                    <w:t>2</w:t>
                  </w:r>
                  <w:r>
                    <w:rPr>
                      <w:color w:val="000000" w:themeColor="text1"/>
                      <w:sz w:val="18"/>
                      <w:szCs w:val="18"/>
                      <w14:textFill>
                        <w14:solidFill>
                          <w14:schemeClr w14:val="tx1"/>
                        </w14:solidFill>
                      </w14:textFill>
                    </w:rPr>
                    <w:t>的建设项目</w:t>
                  </w:r>
                </w:p>
              </w:tc>
              <w:tc>
                <w:tcPr>
                  <w:tcW w:w="1873" w:type="pct"/>
                  <w:vAlign w:val="center"/>
                </w:tcPr>
                <w:p w14:paraId="7F439887">
                  <w:pPr>
                    <w:autoSpaceDE w:val="0"/>
                    <w:autoSpaceDN w:val="0"/>
                    <w:jc w:val="center"/>
                    <w:rPr>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本项目主要排放废气为颗粒物、油烟，对比</w:t>
                  </w:r>
                  <w:r>
                    <w:rPr>
                      <w:color w:val="000000" w:themeColor="text1"/>
                      <w:sz w:val="18"/>
                      <w:szCs w:val="18"/>
                      <w14:textFill>
                        <w14:solidFill>
                          <w14:schemeClr w14:val="tx1"/>
                        </w14:solidFill>
                      </w14:textFill>
                    </w:rPr>
                    <w:t>《有毒有害大气污染物名录》</w:t>
                  </w:r>
                  <w:r>
                    <w:rPr>
                      <w:rFonts w:hint="eastAsia"/>
                      <w:color w:val="000000" w:themeColor="text1"/>
                      <w:sz w:val="18"/>
                      <w:szCs w:val="18"/>
                      <w14:textFill>
                        <w14:solidFill>
                          <w14:schemeClr w14:val="tx1"/>
                        </w14:solidFill>
                      </w14:textFill>
                    </w:rPr>
                    <w:t>(2018年)，项目不涉及有毒有害气体排放，不设置大气专项。</w:t>
                  </w:r>
                </w:p>
              </w:tc>
            </w:tr>
            <w:tr w14:paraId="1500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pct"/>
                  <w:vAlign w:val="center"/>
                </w:tcPr>
                <w:p w14:paraId="1DEAA405">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地表水</w:t>
                  </w:r>
                </w:p>
              </w:tc>
              <w:tc>
                <w:tcPr>
                  <w:tcW w:w="2391" w:type="pct"/>
                  <w:vAlign w:val="center"/>
                </w:tcPr>
                <w:p w14:paraId="4DA30A83">
                  <w:pPr>
                    <w:autoSpaceDE w:val="0"/>
                    <w:autoSpaceDN w:val="0"/>
                    <w:jc w:val="center"/>
                    <w:rPr>
                      <w:color w:val="000000" w:themeColor="text1"/>
                      <w:kern w:val="0"/>
                      <w:sz w:val="18"/>
                      <w:szCs w:val="18"/>
                      <w14:textFill>
                        <w14:solidFill>
                          <w14:schemeClr w14:val="tx1"/>
                        </w14:solidFill>
                      </w14:textFill>
                    </w:rPr>
                  </w:pPr>
                  <w:r>
                    <w:rPr>
                      <w:color w:val="000000" w:themeColor="text1"/>
                      <w:spacing w:val="-5"/>
                      <w:sz w:val="18"/>
                      <w:szCs w:val="18"/>
                      <w14:textFill>
                        <w14:solidFill>
                          <w14:schemeClr w14:val="tx1"/>
                        </w14:solidFill>
                      </w14:textFill>
                    </w:rPr>
                    <w:t>新增工业废水直排建设项目（槽罐车外送污水处理厂的除外）；新增废水直排的污水集中处理厂</w:t>
                  </w:r>
                </w:p>
              </w:tc>
              <w:tc>
                <w:tcPr>
                  <w:tcW w:w="1873" w:type="pct"/>
                  <w:vAlign w:val="center"/>
                </w:tcPr>
                <w:p w14:paraId="02D7345C">
                  <w:pPr>
                    <w:autoSpaceDE w:val="0"/>
                    <w:autoSpaceDN w:val="0"/>
                    <w:jc w:val="center"/>
                    <w:rPr>
                      <w:color w:val="000000" w:themeColor="text1"/>
                      <w:kern w:val="0"/>
                      <w:sz w:val="18"/>
                      <w:szCs w:val="18"/>
                      <w14:textFill>
                        <w14:solidFill>
                          <w14:schemeClr w14:val="tx1"/>
                        </w14:solidFill>
                      </w14:textFill>
                    </w:rPr>
                  </w:pPr>
                  <w:r>
                    <w:rPr>
                      <w:rFonts w:hint="eastAsia"/>
                      <w:bCs/>
                      <w:color w:val="000000" w:themeColor="text1"/>
                      <w:sz w:val="18"/>
                      <w:szCs w:val="18"/>
                      <w:lang w:bidi="ar"/>
                      <w14:textFill>
                        <w14:solidFill>
                          <w14:schemeClr w14:val="tx1"/>
                        </w14:solidFill>
                      </w14:textFill>
                    </w:rPr>
                    <w:t>本项目生产废水经收集沉淀后回用，不外排</w:t>
                  </w:r>
                  <w:r>
                    <w:rPr>
                      <w:rFonts w:hint="eastAsia"/>
                      <w:color w:val="000000" w:themeColor="text1"/>
                      <w:sz w:val="18"/>
                      <w:szCs w:val="18"/>
                      <w14:textFill>
                        <w14:solidFill>
                          <w14:schemeClr w14:val="tx1"/>
                        </w14:solidFill>
                      </w14:textFill>
                    </w:rPr>
                    <w:t>；</w:t>
                  </w:r>
                  <w:r>
                    <w:rPr>
                      <w:rFonts w:hint="eastAsia"/>
                      <w:bCs/>
                      <w:color w:val="000000" w:themeColor="text1"/>
                      <w:sz w:val="18"/>
                      <w:szCs w:val="18"/>
                      <w:lang w:bidi="ar"/>
                      <w14:textFill>
                        <w14:solidFill>
                          <w14:schemeClr w14:val="tx1"/>
                        </w14:solidFill>
                      </w14:textFill>
                    </w:rPr>
                    <w:t>生活污水经处理后回用厂区周边林地灌溉，不属于</w:t>
                  </w:r>
                  <w:r>
                    <w:rPr>
                      <w:color w:val="000000" w:themeColor="text1"/>
                      <w:spacing w:val="-5"/>
                      <w:sz w:val="18"/>
                      <w:szCs w:val="18"/>
                      <w14:textFill>
                        <w14:solidFill>
                          <w14:schemeClr w14:val="tx1"/>
                        </w14:solidFill>
                      </w14:textFill>
                    </w:rPr>
                    <w:t>新增工业废水直排建设项目</w:t>
                  </w:r>
                  <w:r>
                    <w:rPr>
                      <w:rFonts w:hint="eastAsia"/>
                      <w:color w:val="000000" w:themeColor="text1"/>
                      <w:sz w:val="18"/>
                      <w:szCs w:val="18"/>
                      <w14:textFill>
                        <w14:solidFill>
                          <w14:schemeClr w14:val="tx1"/>
                        </w14:solidFill>
                      </w14:textFill>
                    </w:rPr>
                    <w:t>，不设置地表水专项</w:t>
                  </w:r>
                  <w:r>
                    <w:rPr>
                      <w:rFonts w:hint="eastAsia"/>
                      <w:color w:val="000000" w:themeColor="text1"/>
                      <w:kern w:val="0"/>
                      <w:sz w:val="18"/>
                      <w:szCs w:val="18"/>
                      <w14:textFill>
                        <w14:solidFill>
                          <w14:schemeClr w14:val="tx1"/>
                        </w14:solidFill>
                      </w14:textFill>
                    </w:rPr>
                    <w:t>。</w:t>
                  </w:r>
                </w:p>
              </w:tc>
            </w:tr>
            <w:tr w14:paraId="2F8FF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4CB170C9">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环境风险</w:t>
                  </w:r>
                </w:p>
              </w:tc>
              <w:tc>
                <w:tcPr>
                  <w:tcW w:w="2391" w:type="pct"/>
                  <w:vAlign w:val="center"/>
                </w:tcPr>
                <w:p w14:paraId="4E40B3CC">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有毒有害和易燃易爆危险物质存储量超过临界量</w:t>
                  </w:r>
                  <w:r>
                    <w:rPr>
                      <w:color w:val="000000" w:themeColor="text1"/>
                      <w:sz w:val="18"/>
                      <w:szCs w:val="18"/>
                      <w:vertAlign w:val="superscript"/>
                      <w14:textFill>
                        <w14:solidFill>
                          <w14:schemeClr w14:val="tx1"/>
                        </w14:solidFill>
                      </w14:textFill>
                    </w:rPr>
                    <w:t>3</w:t>
                  </w:r>
                  <w:r>
                    <w:rPr>
                      <w:color w:val="000000" w:themeColor="text1"/>
                      <w:sz w:val="18"/>
                      <w:szCs w:val="18"/>
                      <w14:textFill>
                        <w14:solidFill>
                          <w14:schemeClr w14:val="tx1"/>
                        </w14:solidFill>
                      </w14:textFill>
                    </w:rPr>
                    <w:t>的建设项目</w:t>
                  </w:r>
                </w:p>
              </w:tc>
              <w:tc>
                <w:tcPr>
                  <w:tcW w:w="1873" w:type="pct"/>
                  <w:vAlign w:val="center"/>
                </w:tcPr>
                <w:p w14:paraId="233E7EB7">
                  <w:pPr>
                    <w:autoSpaceDE w:val="0"/>
                    <w:autoSpaceDN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根据下文计算，本项目Q值为Q=0.00002，危险物质存储量均不超过临界量</w:t>
                  </w:r>
                  <w:r>
                    <w:rPr>
                      <w:rFonts w:hint="eastAsia"/>
                      <w:color w:val="000000" w:themeColor="text1"/>
                      <w:sz w:val="18"/>
                      <w:szCs w:val="18"/>
                      <w14:textFill>
                        <w14:solidFill>
                          <w14:schemeClr w14:val="tx1"/>
                        </w14:solidFill>
                      </w14:textFill>
                    </w:rPr>
                    <w:t>，不设置环境风险专项。</w:t>
                  </w:r>
                </w:p>
              </w:tc>
            </w:tr>
            <w:tr w14:paraId="1577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40362580">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生态</w:t>
                  </w:r>
                </w:p>
              </w:tc>
              <w:tc>
                <w:tcPr>
                  <w:tcW w:w="2391" w:type="pct"/>
                  <w:vAlign w:val="center"/>
                </w:tcPr>
                <w:p w14:paraId="7849822D">
                  <w:pPr>
                    <w:autoSpaceDE w:val="0"/>
                    <w:autoSpaceDN w:val="0"/>
                    <w:jc w:val="center"/>
                    <w:rPr>
                      <w:color w:val="000000" w:themeColor="text1"/>
                      <w:kern w:val="0"/>
                      <w:sz w:val="18"/>
                      <w:szCs w:val="18"/>
                      <w14:textFill>
                        <w14:solidFill>
                          <w14:schemeClr w14:val="tx1"/>
                        </w14:solidFill>
                      </w14:textFill>
                    </w:rPr>
                  </w:pPr>
                  <w:r>
                    <w:rPr>
                      <w:color w:val="000000" w:themeColor="text1"/>
                      <w:spacing w:val="-11"/>
                      <w:sz w:val="18"/>
                      <w:szCs w:val="18"/>
                      <w14:textFill>
                        <w14:solidFill>
                          <w14:schemeClr w14:val="tx1"/>
                        </w14:solidFill>
                      </w14:textFill>
                    </w:rPr>
                    <w:t>取水口下游</w:t>
                  </w:r>
                  <w:r>
                    <w:rPr>
                      <w:color w:val="000000" w:themeColor="text1"/>
                      <w:sz w:val="18"/>
                      <w:szCs w:val="18"/>
                      <w14:textFill>
                        <w14:solidFill>
                          <w14:schemeClr w14:val="tx1"/>
                        </w14:solidFill>
                      </w14:textFill>
                    </w:rPr>
                    <w:t>500</w:t>
                  </w:r>
                  <w:r>
                    <w:rPr>
                      <w:color w:val="000000" w:themeColor="text1"/>
                      <w:spacing w:val="-10"/>
                      <w:sz w:val="18"/>
                      <w:szCs w:val="18"/>
                      <w14:textFill>
                        <w14:solidFill>
                          <w14:schemeClr w14:val="tx1"/>
                        </w14:solidFill>
                      </w14:textFill>
                    </w:rPr>
                    <w:t>米范围内有重要水生生物的自然产卵场、索饵场、越冬场和洄游通道的新增河道取水的污染类建设项目</w:t>
                  </w:r>
                </w:p>
              </w:tc>
              <w:tc>
                <w:tcPr>
                  <w:tcW w:w="1873" w:type="pct"/>
                  <w:vAlign w:val="center"/>
                </w:tcPr>
                <w:p w14:paraId="37140105">
                  <w:pPr>
                    <w:autoSpaceDE w:val="0"/>
                    <w:autoSpaceDN w:val="0"/>
                    <w:jc w:val="center"/>
                    <w:rPr>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375A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pct"/>
                  <w:vAlign w:val="center"/>
                </w:tcPr>
                <w:p w14:paraId="324A8A3A">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海洋</w:t>
                  </w:r>
                </w:p>
              </w:tc>
              <w:tc>
                <w:tcPr>
                  <w:tcW w:w="2391" w:type="pct"/>
                  <w:vAlign w:val="center"/>
                </w:tcPr>
                <w:p w14:paraId="70A5A544">
                  <w:pPr>
                    <w:autoSpaceDE w:val="0"/>
                    <w:autoSpaceDN w:val="0"/>
                    <w:jc w:val="center"/>
                    <w:rPr>
                      <w:color w:val="000000" w:themeColor="text1"/>
                      <w:kern w:val="0"/>
                      <w:sz w:val="18"/>
                      <w:szCs w:val="18"/>
                      <w14:textFill>
                        <w14:solidFill>
                          <w14:schemeClr w14:val="tx1"/>
                        </w14:solidFill>
                      </w14:textFill>
                    </w:rPr>
                  </w:pPr>
                  <w:r>
                    <w:rPr>
                      <w:color w:val="000000" w:themeColor="text1"/>
                      <w:sz w:val="18"/>
                      <w:szCs w:val="18"/>
                      <w14:textFill>
                        <w14:solidFill>
                          <w14:schemeClr w14:val="tx1"/>
                        </w14:solidFill>
                      </w14:textFill>
                    </w:rPr>
                    <w:t>直接向海排放污染物的海洋工程建设项目</w:t>
                  </w:r>
                </w:p>
              </w:tc>
              <w:tc>
                <w:tcPr>
                  <w:tcW w:w="1873" w:type="pct"/>
                  <w:vAlign w:val="center"/>
                </w:tcPr>
                <w:p w14:paraId="1DC20583">
                  <w:pPr>
                    <w:autoSpaceDE w:val="0"/>
                    <w:autoSpaceDN w:val="0"/>
                    <w:jc w:val="center"/>
                    <w:rPr>
                      <w:color w:val="000000" w:themeColor="text1"/>
                      <w:kern w:val="0"/>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bl>
          <w:p w14:paraId="1822AF79">
            <w:pPr>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注：1.废气中有毒有害污染物指纳入《有毒有害大气污染物名录》的污染物（不包括无排放标准的污染物）。</w:t>
            </w:r>
          </w:p>
          <w:p w14:paraId="05B26849">
            <w:pPr>
              <w:tabs>
                <w:tab w:val="left" w:pos="863"/>
              </w:tabs>
              <w:autoSpaceDE w:val="0"/>
              <w:autoSpaceDN w:val="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环境空气保护目标指自然保护区、风景名胜区、居住区、文化区和农村地区中人群较集中的区域。</w:t>
            </w:r>
          </w:p>
          <w:p w14:paraId="28577C42">
            <w:pPr>
              <w:autoSpaceDE w:val="0"/>
              <w:autoSpaceDN w:val="0"/>
              <w:adjustRightInd w:val="0"/>
              <w:snapToGrid w:val="0"/>
              <w:jc w:val="left"/>
              <w:rPr>
                <w:color w:val="000000" w:themeColor="text1"/>
                <w:szCs w:val="21"/>
                <w14:textFill>
                  <w14:solidFill>
                    <w14:schemeClr w14:val="tx1"/>
                  </w14:solidFill>
                </w14:textFill>
              </w:rPr>
            </w:pPr>
            <w:r>
              <w:rPr>
                <w:rFonts w:hint="eastAsia"/>
                <w:color w:val="000000" w:themeColor="text1"/>
                <w:spacing w:val="-4"/>
                <w:szCs w:val="21"/>
                <w14:textFill>
                  <w14:solidFill>
                    <w14:schemeClr w14:val="tx1"/>
                  </w14:solidFill>
                </w14:textFill>
              </w:rPr>
              <w:t>3.</w:t>
            </w:r>
            <w:r>
              <w:rPr>
                <w:color w:val="000000" w:themeColor="text1"/>
                <w:spacing w:val="-4"/>
                <w:szCs w:val="21"/>
                <w14:textFill>
                  <w14:solidFill>
                    <w14:schemeClr w14:val="tx1"/>
                  </w14:solidFill>
                </w14:textFill>
              </w:rPr>
              <w:t>临界量及其计算方法可参考《建设项目环境风险评价技术导则》</w:t>
            </w:r>
            <w:r>
              <w:rPr>
                <w:color w:val="000000" w:themeColor="text1"/>
                <w:szCs w:val="21"/>
                <w14:textFill>
                  <w14:solidFill>
                    <w14:schemeClr w14:val="tx1"/>
                  </w14:solidFill>
                </w14:textFill>
              </w:rPr>
              <w:t>（HJ</w:t>
            </w:r>
            <w:r>
              <w:rPr>
                <w:color w:val="000000" w:themeColor="text1"/>
                <w:spacing w:val="-57"/>
                <w:szCs w:val="21"/>
                <w14:textFill>
                  <w14:solidFill>
                    <w14:schemeClr w14:val="tx1"/>
                  </w14:solidFill>
                </w14:textFill>
              </w:rPr>
              <w:t xml:space="preserve"> </w:t>
            </w:r>
            <w:r>
              <w:rPr>
                <w:color w:val="000000" w:themeColor="text1"/>
                <w:spacing w:val="-7"/>
                <w:szCs w:val="21"/>
                <w14:textFill>
                  <w14:solidFill>
                    <w14:schemeClr w14:val="tx1"/>
                  </w14:solidFill>
                </w14:textFill>
              </w:rPr>
              <w:t>169）</w:t>
            </w:r>
            <w:r>
              <w:rPr>
                <w:color w:val="000000" w:themeColor="text1"/>
                <w:spacing w:val="-19"/>
                <w:szCs w:val="21"/>
                <w14:textFill>
                  <w14:solidFill>
                    <w14:schemeClr w14:val="tx1"/>
                  </w14:solidFill>
                </w14:textFill>
              </w:rPr>
              <w:t xml:space="preserve">附录 </w:t>
            </w:r>
            <w:r>
              <w:rPr>
                <w:color w:val="000000" w:themeColor="text1"/>
                <w:szCs w:val="21"/>
                <w14:textFill>
                  <w14:solidFill>
                    <w14:schemeClr w14:val="tx1"/>
                  </w14:solidFill>
                </w14:textFill>
              </w:rPr>
              <w:t>B</w:t>
            </w:r>
            <w:r>
              <w:rPr>
                <w:color w:val="000000" w:themeColor="text1"/>
                <w:spacing w:val="-21"/>
                <w:szCs w:val="21"/>
                <w14:textFill>
                  <w14:solidFill>
                    <w14:schemeClr w14:val="tx1"/>
                  </w14:solidFill>
                </w14:textFill>
              </w:rPr>
              <w:t xml:space="preserve">、附录 </w:t>
            </w:r>
            <w:r>
              <w:rPr>
                <w:color w:val="000000" w:themeColor="text1"/>
                <w:szCs w:val="21"/>
                <w14:textFill>
                  <w14:solidFill>
                    <w14:schemeClr w14:val="tx1"/>
                  </w14:solidFill>
                </w14:textFill>
              </w:rPr>
              <w:t>C。</w:t>
            </w:r>
          </w:p>
        </w:tc>
      </w:tr>
      <w:tr w14:paraId="41DD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371" w:type="dxa"/>
            <w:vAlign w:val="center"/>
          </w:tcPr>
          <w:p w14:paraId="15245D5E">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7499" w:type="dxa"/>
            <w:gridSpan w:val="3"/>
            <w:vAlign w:val="center"/>
          </w:tcPr>
          <w:p w14:paraId="2F1E8B95">
            <w:pPr>
              <w:autoSpaceDE w:val="0"/>
              <w:autoSpaceDN w:val="0"/>
              <w:adjustRightInd w:val="0"/>
              <w:snapToGrid w:val="0"/>
              <w:spacing w:line="36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无</w:t>
            </w:r>
          </w:p>
        </w:tc>
      </w:tr>
      <w:tr w14:paraId="1A394E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1371" w:type="dxa"/>
            <w:vAlign w:val="center"/>
          </w:tcPr>
          <w:p w14:paraId="6E9AEAC6">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规划环境影响评价情况</w:t>
            </w:r>
          </w:p>
        </w:tc>
        <w:tc>
          <w:tcPr>
            <w:tcW w:w="7499" w:type="dxa"/>
            <w:gridSpan w:val="3"/>
            <w:vAlign w:val="center"/>
          </w:tcPr>
          <w:p w14:paraId="482DA5AA">
            <w:pPr>
              <w:pStyle w:val="6"/>
              <w:spacing w:line="360" w:lineRule="auto"/>
              <w:ind w:firstLine="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w:t>
            </w:r>
          </w:p>
        </w:tc>
      </w:tr>
      <w:tr w14:paraId="0D88B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371" w:type="dxa"/>
            <w:vAlign w:val="center"/>
          </w:tcPr>
          <w:p w14:paraId="239061AB">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规划及规划环境影响评价符合性分析</w:t>
            </w:r>
          </w:p>
        </w:tc>
        <w:tc>
          <w:tcPr>
            <w:tcW w:w="7499" w:type="dxa"/>
            <w:gridSpan w:val="3"/>
            <w:vAlign w:val="center"/>
          </w:tcPr>
          <w:p w14:paraId="74FF9F21">
            <w:pPr>
              <w:autoSpaceDE w:val="0"/>
              <w:autoSpaceDN w:val="0"/>
              <w:adjustRightInd w:val="0"/>
              <w:snapToGrid w:val="0"/>
              <w:spacing w:line="360" w:lineRule="auto"/>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无</w:t>
            </w:r>
          </w:p>
        </w:tc>
      </w:tr>
      <w:tr w14:paraId="56107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8" w:hRule="atLeast"/>
          <w:jc w:val="center"/>
        </w:trPr>
        <w:tc>
          <w:tcPr>
            <w:tcW w:w="1371" w:type="dxa"/>
            <w:vAlign w:val="center"/>
          </w:tcPr>
          <w:p w14:paraId="50C148CA">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其他</w:t>
            </w:r>
          </w:p>
          <w:p w14:paraId="22125DED">
            <w:pPr>
              <w:autoSpaceDE w:val="0"/>
              <w:autoSpaceDN w:val="0"/>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w:t>
            </w:r>
          </w:p>
          <w:p w14:paraId="35AA2032">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分析</w:t>
            </w:r>
          </w:p>
        </w:tc>
        <w:tc>
          <w:tcPr>
            <w:tcW w:w="7499" w:type="dxa"/>
            <w:gridSpan w:val="3"/>
            <w:vAlign w:val="center"/>
          </w:tcPr>
          <w:p w14:paraId="5AA1E27F">
            <w:pPr>
              <w:snapToGrid w:val="0"/>
              <w:spacing w:line="360" w:lineRule="auto"/>
              <w:ind w:firstLine="422" w:firstLineChars="200"/>
              <w:jc w:val="left"/>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b/>
                <w:color w:val="000000" w:themeColor="text1"/>
                <w:szCs w:val="21"/>
                <w14:textFill>
                  <w14:solidFill>
                    <w14:schemeClr w14:val="tx1"/>
                  </w14:solidFill>
                </w14:textFill>
              </w:rPr>
              <w:t>产业政策相符性分析</w:t>
            </w:r>
          </w:p>
          <w:p w14:paraId="0F7B1528">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本项目属于《国民经济行业分类》（GB/T4754-2017）分类中的</w:t>
            </w:r>
            <w:r>
              <w:rPr>
                <w:rFonts w:hint="eastAsia"/>
                <w:color w:val="000000" w:themeColor="text1"/>
                <w14:textFill>
                  <w14:solidFill>
                    <w14:schemeClr w14:val="tx1"/>
                  </w14:solidFill>
                </w14:textFill>
              </w:rPr>
              <w:t>“C3039 其他建筑材料制造”</w:t>
            </w:r>
            <w:r>
              <w:rPr>
                <w:color w:val="000000" w:themeColor="text1"/>
                <w14:textFill>
                  <w14:solidFill>
                    <w14:schemeClr w14:val="tx1"/>
                  </w14:solidFill>
                </w14:textFill>
              </w:rPr>
              <w:t>，根据《产业结构调整指导目录》(2024年)，</w:t>
            </w:r>
            <w:r>
              <w:rPr>
                <w:rFonts w:hint="eastAsia"/>
                <w:color w:val="000000" w:themeColor="text1"/>
                <w14:textFill>
                  <w14:solidFill>
                    <w14:schemeClr w14:val="tx1"/>
                  </w14:solidFill>
                </w14:textFill>
              </w:rPr>
              <w:t>本项目不在其鼓励类、限制类和淘汰类项，为允许类，</w:t>
            </w:r>
            <w:r>
              <w:rPr>
                <w:color w:val="000000" w:themeColor="text1"/>
                <w14:textFill>
                  <w14:solidFill>
                    <w14:schemeClr w14:val="tx1"/>
                  </w14:solidFill>
                </w14:textFill>
              </w:rPr>
              <w:t>符合当前国家的产业发展政策。</w:t>
            </w:r>
          </w:p>
          <w:p w14:paraId="7FE74C09">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对照《市场准入负面清单》（202</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年版），本项目不属于负面清单中禁止准入事项，属于市场准入负面清单以外的行业，且不涉及与市场准入相关的禁止类规定，因此，本项目可依法进行建设和投产。</w:t>
            </w:r>
          </w:p>
          <w:p w14:paraId="675CF16C">
            <w:pPr>
              <w:pStyle w:val="42"/>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综上分析</w:t>
            </w:r>
            <w:r>
              <w:rPr>
                <w:color w:val="000000" w:themeColor="text1"/>
                <w14:textFill>
                  <w14:solidFill>
                    <w14:schemeClr w14:val="tx1"/>
                  </w14:solidFill>
                </w14:textFill>
              </w:rPr>
              <w:t>，本项目建设符合国家产业政策。</w:t>
            </w:r>
          </w:p>
          <w:p w14:paraId="73A6BBAF">
            <w:pPr>
              <w:adjustRightInd w:val="0"/>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2、选址合理性分析</w:t>
            </w:r>
          </w:p>
          <w:p w14:paraId="5E7B27A7">
            <w:pPr>
              <w:autoSpaceDE w:val="0"/>
              <w:autoSpaceDN w:val="0"/>
              <w:adjustRightInd w:val="0"/>
              <w:snapToGrid w:val="0"/>
              <w:spacing w:line="360" w:lineRule="auto"/>
              <w:ind w:firstLine="422" w:firstLineChars="200"/>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（1）与土地利用规划的相符性分析</w:t>
            </w:r>
          </w:p>
          <w:p w14:paraId="35AD0DE8">
            <w:pPr>
              <w:autoSpaceDE w:val="0"/>
              <w:autoSpaceDN w:val="0"/>
              <w:adjustRightInd w:val="0"/>
              <w:snapToGrid w:val="0"/>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本项目选址位于</w:t>
            </w:r>
            <w:r>
              <w:rPr>
                <w:rFonts w:hint="eastAsia"/>
                <w:color w:val="000000" w:themeColor="text1"/>
                <w:kern w:val="0"/>
                <w:szCs w:val="21"/>
                <w14:textFill>
                  <w14:solidFill>
                    <w14:schemeClr w14:val="tx1"/>
                  </w14:solidFill>
                </w14:textFill>
              </w:rPr>
              <w:t>湛江市廉江市营仔镇福山村高墩角经济合作社</w:t>
            </w:r>
            <w:r>
              <w:rPr>
                <w:color w:val="000000" w:themeColor="text1"/>
                <w:kern w:val="0"/>
                <w:szCs w:val="21"/>
                <w14:textFill>
                  <w14:solidFill>
                    <w14:schemeClr w14:val="tx1"/>
                  </w14:solidFill>
                </w14:textFill>
              </w:rPr>
              <w:t>，地理位置见附图1</w:t>
            </w:r>
            <w:r>
              <w:rPr>
                <w:rFonts w:hint="eastAsia"/>
                <w:color w:val="000000" w:themeColor="text1"/>
                <w:szCs w:val="21"/>
                <w14:textFill>
                  <w14:solidFill>
                    <w14:schemeClr w14:val="tx1"/>
                  </w14:solidFill>
                </w14:textFill>
              </w:rPr>
              <w:t>。</w:t>
            </w:r>
          </w:p>
          <w:p w14:paraId="4AFB47C2">
            <w:pPr>
              <w:autoSpaceDE w:val="0"/>
              <w:autoSpaceDN w:val="0"/>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根据本项目地块权属证明（见附件4）、廉江市自然资源局《关于新建合浦至湛江铁路(广东段)站前工程HZGDSG-1标项目经理部材料堆场临时用地的的批复》（廉自然资(临用)[2025]7号）（见附件5）及廉江市林业局《临时占用林地审批同意书》（廉林地许准〔2025〕5号）（见附件6），本项目用地可用于临时办公用房、临时工棚、材料堆场，</w:t>
            </w:r>
            <w:r>
              <w:rPr>
                <w:color w:val="000000" w:themeColor="text1"/>
                <w:kern w:val="0"/>
                <w:szCs w:val="21"/>
                <w14:textFill>
                  <w14:solidFill>
                    <w14:schemeClr w14:val="tx1"/>
                  </w14:solidFill>
                </w14:textFill>
              </w:rPr>
              <w:t>符合土地利用规划，项目选址合理。</w:t>
            </w:r>
          </w:p>
          <w:p w14:paraId="24FCCC73">
            <w:pPr>
              <w:autoSpaceDE w:val="0"/>
              <w:autoSpaceDN w:val="0"/>
              <w:adjustRightInd w:val="0"/>
              <w:snapToGrid w:val="0"/>
              <w:spacing w:line="360" w:lineRule="auto"/>
              <w:ind w:firstLine="422" w:firstLineChars="200"/>
              <w:jc w:val="left"/>
              <w:rPr>
                <w:b/>
                <w:bCs/>
                <w:color w:val="000000" w:themeColor="text1"/>
                <w:kern w:val="0"/>
                <w:szCs w:val="21"/>
                <w14:textFill>
                  <w14:solidFill>
                    <w14:schemeClr w14:val="tx1"/>
                  </w14:solidFill>
                </w14:textFill>
              </w:rPr>
            </w:pPr>
            <w:r>
              <w:rPr>
                <w:rFonts w:hint="eastAsia"/>
                <w:b/>
                <w:bCs/>
                <w:color w:val="000000" w:themeColor="text1"/>
                <w:kern w:val="0"/>
                <w:szCs w:val="21"/>
                <w14:textFill>
                  <w14:solidFill>
                    <w14:schemeClr w14:val="tx1"/>
                  </w14:solidFill>
                </w14:textFill>
              </w:rPr>
              <w:t>（2）与环境功能区划的相符性分析</w:t>
            </w:r>
          </w:p>
          <w:p w14:paraId="113C0BA2">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本项目建设地点位于湛江市廉江市营仔镇福山村高墩角经济合作社，根据《湛江市生态环境质量年报简报》（202</w:t>
            </w:r>
            <w:r>
              <w:rPr>
                <w:color w:val="000000" w:themeColor="text1"/>
                <w14:textFill>
                  <w14:solidFill>
                    <w14:schemeClr w14:val="tx1"/>
                  </w14:solidFill>
                </w14:textFill>
              </w:rPr>
              <w:t>4</w:t>
            </w:r>
            <w:r>
              <w:rPr>
                <w:rFonts w:hint="default"/>
                <w:color w:val="000000" w:themeColor="text1"/>
                <w14:textFill>
                  <w14:solidFill>
                    <w14:schemeClr w14:val="tx1"/>
                  </w14:solidFill>
                </w14:textFill>
              </w:rPr>
              <w:t>年）确定，项目所在区域为环境空气二类区</w:t>
            </w:r>
            <w:r>
              <w:rPr>
                <w:color w:val="000000" w:themeColor="text1"/>
                <w14:textFill>
                  <w14:solidFill>
                    <w14:schemeClr w14:val="tx1"/>
                  </w14:solidFill>
                </w14:textFill>
              </w:rPr>
              <w:t>，</w:t>
            </w:r>
            <w:r>
              <w:rPr>
                <w:rFonts w:hint="default"/>
                <w:color w:val="000000" w:themeColor="text1"/>
                <w14:textFill>
                  <w14:solidFill>
                    <w14:schemeClr w14:val="tx1"/>
                  </w14:solidFill>
                </w14:textFill>
              </w:rPr>
              <w:t>项目所在区域为环境空气质量二类区，执行国家</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环境空气质量标准</w:t>
            </w:r>
            <w:r>
              <w:rPr>
                <w:color w:val="000000" w:themeColor="text1"/>
                <w14:textFill>
                  <w14:solidFill>
                    <w14:schemeClr w14:val="tx1"/>
                  </w14:solidFill>
                </w14:textFill>
              </w:rPr>
              <w:t>》</w:t>
            </w:r>
            <w:r>
              <w:rPr>
                <w:rFonts w:hint="default"/>
                <w:color w:val="000000" w:themeColor="text1"/>
                <w14:textFill>
                  <w14:solidFill>
                    <w14:schemeClr w14:val="tx1"/>
                  </w14:solidFill>
                </w14:textFill>
              </w:rPr>
              <w:t>(GB3095-2012)及2018年修改单中二级标准。</w:t>
            </w:r>
          </w:p>
          <w:p w14:paraId="4796EDA3">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项目附近地表水体为</w:t>
            </w:r>
            <w:r>
              <w:rPr>
                <w:color w:val="000000" w:themeColor="text1"/>
                <w14:textFill>
                  <w14:solidFill>
                    <w14:schemeClr w14:val="tx1"/>
                  </w14:solidFill>
                </w14:textFill>
              </w:rPr>
              <w:t>龙潭河</w:t>
            </w:r>
            <w:r>
              <w:rPr>
                <w:rFonts w:hint="default"/>
                <w:color w:val="000000" w:themeColor="text1"/>
                <w14:textFill>
                  <w14:solidFill>
                    <w14:schemeClr w14:val="tx1"/>
                  </w14:solidFill>
                </w14:textFill>
              </w:rPr>
              <w:t>，位于本项目</w:t>
            </w:r>
            <w:r>
              <w:rPr>
                <w:color w:val="000000" w:themeColor="text1"/>
                <w14:textFill>
                  <w14:solidFill>
                    <w14:schemeClr w14:val="tx1"/>
                  </w14:solidFill>
                </w14:textFill>
              </w:rPr>
              <w:t>西南</w:t>
            </w:r>
            <w:r>
              <w:rPr>
                <w:rFonts w:hint="default"/>
                <w:color w:val="000000" w:themeColor="text1"/>
                <w14:textFill>
                  <w14:solidFill>
                    <w14:schemeClr w14:val="tx1"/>
                  </w14:solidFill>
                </w14:textFill>
              </w:rPr>
              <w:t>厂界约</w:t>
            </w:r>
            <w:r>
              <w:rPr>
                <w:color w:val="000000" w:themeColor="text1"/>
                <w14:textFill>
                  <w14:solidFill>
                    <w14:schemeClr w14:val="tx1"/>
                  </w14:solidFill>
                </w14:textFill>
              </w:rPr>
              <w:t>648m</w:t>
            </w:r>
            <w:r>
              <w:rPr>
                <w:rFonts w:hint="default"/>
                <w:color w:val="000000" w:themeColor="text1"/>
                <w14:textFill>
                  <w14:solidFill>
                    <w14:schemeClr w14:val="tx1"/>
                  </w14:solidFill>
                </w14:textFill>
              </w:rPr>
              <w:t>处。经查</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关于印发&lt;广东省地表水环境功能区划&gt;的通知</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(粤环(2011)14号)、</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湛江市人民政府关于同意湛江市级水功能区划的批复</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(湛府函(2016)168号)</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未对</w:t>
            </w:r>
            <w:r>
              <w:rPr>
                <w:color w:val="000000" w:themeColor="text1"/>
                <w14:textFill>
                  <w14:solidFill>
                    <w14:schemeClr w14:val="tx1"/>
                  </w14:solidFill>
                </w14:textFill>
              </w:rPr>
              <w:t>龙潭河</w:t>
            </w:r>
            <w:r>
              <w:rPr>
                <w:rFonts w:hint="default"/>
                <w:color w:val="000000" w:themeColor="text1"/>
                <w14:textFill>
                  <w14:solidFill>
                    <w14:schemeClr w14:val="tx1"/>
                  </w14:solidFill>
                </w14:textFill>
              </w:rPr>
              <w:t>划定功能级别，龙潭河最终汇入九洲江。根据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广东省地表水环境功能区划</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(粤环(2011)14号)，九洲江功能现状为工农渔混，其廉江和江桥武陵河入江口至营仔镇和安铺镇两处入海口的水质现状和水质目标均为I</w:t>
            </w:r>
            <w:r>
              <w:rPr>
                <w:color w:val="000000" w:themeColor="text1"/>
                <w14:textFill>
                  <w14:solidFill>
                    <w14:schemeClr w14:val="tx1"/>
                  </w14:solidFill>
                </w14:textFill>
              </w:rPr>
              <w:t>I</w:t>
            </w:r>
            <w:r>
              <w:rPr>
                <w:rFonts w:hint="default"/>
                <w:color w:val="000000" w:themeColor="text1"/>
                <w14:textFill>
                  <w14:solidFill>
                    <w14:schemeClr w14:val="tx1"/>
                  </w14:solidFill>
                </w14:textFill>
              </w:rPr>
              <w:t>I类。</w:t>
            </w:r>
          </w:p>
          <w:p w14:paraId="0427715E">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关于同意实施广东省地表水环境功能区划的批复</w:t>
            </w:r>
            <w:r>
              <w:rPr>
                <w:color w:val="000000" w:themeColor="text1"/>
                <w14:textFill>
                  <w14:solidFill>
                    <w14:schemeClr w14:val="tx1"/>
                  </w14:solidFill>
                </w14:textFill>
              </w:rPr>
              <w:t>》（</w:t>
            </w:r>
            <w:r>
              <w:rPr>
                <w:rFonts w:hint="default"/>
                <w:color w:val="000000" w:themeColor="text1"/>
                <w14:textFill>
                  <w14:solidFill>
                    <w14:schemeClr w14:val="tx1"/>
                  </w14:solidFill>
                </w14:textFill>
              </w:rPr>
              <w:t>粤府函(2011)29号</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各水体未列出的上游及支流的水体环境质量控制目标，以保证主流的环境质量控制目标为最低要求，原则上与汇入干流的环境质量控制目标要求不能相差一个级别</w:t>
            </w:r>
            <w:r>
              <w:rPr>
                <w:color w:val="000000" w:themeColor="text1"/>
                <w14:textFill>
                  <w14:solidFill>
                    <w14:schemeClr w14:val="tx1"/>
                  </w14:solidFill>
                </w14:textFill>
              </w:rPr>
              <w:t>”</w:t>
            </w:r>
            <w:r>
              <w:rPr>
                <w:rFonts w:hint="default"/>
                <w:color w:val="000000" w:themeColor="text1"/>
                <w14:textFill>
                  <w14:solidFill>
                    <w14:schemeClr w14:val="tx1"/>
                  </w14:solidFill>
                </w14:textFill>
              </w:rPr>
              <w:t>，龙潭河参考执行</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地表水环境质量标准</w:t>
            </w:r>
            <w:r>
              <w:rPr>
                <w:color w:val="000000" w:themeColor="text1"/>
                <w14:textFill>
                  <w14:solidFill>
                    <w14:schemeClr w14:val="tx1"/>
                  </w14:solidFill>
                </w14:textFill>
              </w:rPr>
              <w:t>》</w:t>
            </w:r>
            <w:r>
              <w:rPr>
                <w:rFonts w:hint="default"/>
                <w:color w:val="000000" w:themeColor="text1"/>
                <w14:textFill>
                  <w14:solidFill>
                    <w14:schemeClr w14:val="tx1"/>
                  </w14:solidFill>
                </w14:textFill>
              </w:rPr>
              <w:t>(GB3838-2002)I</w:t>
            </w:r>
            <w:r>
              <w:rPr>
                <w:color w:val="000000" w:themeColor="text1"/>
                <w14:textFill>
                  <w14:solidFill>
                    <w14:schemeClr w14:val="tx1"/>
                  </w14:solidFill>
                </w14:textFill>
              </w:rPr>
              <w:t>I</w:t>
            </w:r>
            <w:r>
              <w:rPr>
                <w:rFonts w:hint="default"/>
                <w:color w:val="000000" w:themeColor="text1"/>
                <w14:textFill>
                  <w14:solidFill>
                    <w14:schemeClr w14:val="tx1"/>
                  </w14:solidFill>
                </w14:textFill>
              </w:rPr>
              <w:t>I类标准。</w:t>
            </w:r>
          </w:p>
          <w:p w14:paraId="7834CCE1">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根据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湛江市县(市)声环境功能区划</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(湛江市生态环境局2022.12.19)，本项目所在区域没有纳入声环境功能区划。根据</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声环境功能区划分技术规范</w:t>
            </w:r>
            <w:r>
              <w:rPr>
                <w:color w:val="000000" w:themeColor="text1"/>
                <w14:textFill>
                  <w14:solidFill>
                    <w14:schemeClr w14:val="tx1"/>
                  </w14:solidFill>
                </w14:textFill>
              </w:rPr>
              <w:t>》</w:t>
            </w:r>
            <w:r>
              <w:rPr>
                <w:rFonts w:hint="default"/>
                <w:color w:val="000000" w:themeColor="text1"/>
                <w14:textFill>
                  <w14:solidFill>
                    <w14:schemeClr w14:val="tx1"/>
                  </w14:solidFill>
                </w14:textFill>
              </w:rPr>
              <w:t>(GB/T15190-2014)</w:t>
            </w:r>
            <w:r>
              <w:rPr>
                <w:color w:val="000000" w:themeColor="text1"/>
                <w14:textFill>
                  <w14:solidFill>
                    <w14:schemeClr w14:val="tx1"/>
                  </w14:solidFill>
                </w14:textFill>
              </w:rPr>
              <w:t>，</w:t>
            </w:r>
            <w:r>
              <w:rPr>
                <w:rFonts w:hint="default"/>
                <w:color w:val="000000" w:themeColor="text1"/>
                <w14:textFill>
                  <w14:solidFill>
                    <w14:schemeClr w14:val="tx1"/>
                  </w14:solidFill>
                </w14:textFill>
              </w:rPr>
              <w:t>4.3</w:t>
            </w:r>
            <w:r>
              <w:rPr>
                <w:color w:val="000000" w:themeColor="text1"/>
                <w14:textFill>
                  <w14:solidFill>
                    <w14:schemeClr w14:val="tx1"/>
                  </w14:solidFill>
                </w14:textFill>
              </w:rPr>
              <w:t>“</w:t>
            </w:r>
            <w:r>
              <w:rPr>
                <w:rFonts w:hint="default"/>
                <w:color w:val="000000" w:themeColor="text1"/>
                <w14:textFill>
                  <w14:solidFill>
                    <w14:schemeClr w14:val="tx1"/>
                  </w14:solidFill>
                </w14:textFill>
              </w:rPr>
              <w:t>2类声环境功能区</w:t>
            </w:r>
            <w:r>
              <w:rPr>
                <w:color w:val="000000" w:themeColor="text1"/>
                <w14:textFill>
                  <w14:solidFill>
                    <w14:schemeClr w14:val="tx1"/>
                  </w14:solidFill>
                </w14:textFill>
              </w:rPr>
              <w:t>：</w:t>
            </w:r>
            <w:r>
              <w:rPr>
                <w:rFonts w:hint="default"/>
                <w:color w:val="000000" w:themeColor="text1"/>
                <w14:textFill>
                  <w14:solidFill>
                    <w14:schemeClr w14:val="tx1"/>
                  </w14:solidFill>
                </w14:textFill>
              </w:rPr>
              <w:t>以商业金融、集市贸易为主要功能，或者居住、商业、工业混杂，需要维护住宅安静的区域</w:t>
            </w:r>
            <w:r>
              <w:rPr>
                <w:color w:val="000000" w:themeColor="text1"/>
                <w14:textFill>
                  <w14:solidFill>
                    <w14:schemeClr w14:val="tx1"/>
                  </w14:solidFill>
                </w14:textFill>
              </w:rPr>
              <w:t>”</w:t>
            </w:r>
            <w:r>
              <w:rPr>
                <w:rFonts w:hint="default"/>
                <w:color w:val="000000" w:themeColor="text1"/>
                <w14:textFill>
                  <w14:solidFill>
                    <w14:schemeClr w14:val="tx1"/>
                  </w14:solidFill>
                </w14:textFill>
              </w:rPr>
              <w:t>，本项目所在区域周边以农村及工业混合地区为主，参考执行</w:t>
            </w:r>
            <w:r>
              <w:rPr>
                <w:color w:val="000000" w:themeColor="text1"/>
                <w14:textFill>
                  <w14:solidFill>
                    <w14:schemeClr w14:val="tx1"/>
                  </w14:solidFill>
                </w14:textFill>
              </w:rPr>
              <w:t>《</w:t>
            </w:r>
            <w:r>
              <w:rPr>
                <w:rFonts w:hint="default"/>
                <w:color w:val="000000" w:themeColor="text1"/>
                <w14:textFill>
                  <w14:solidFill>
                    <w14:schemeClr w14:val="tx1"/>
                  </w14:solidFill>
                </w14:textFill>
              </w:rPr>
              <w:t>声环境质量标准</w:t>
            </w:r>
            <w:r>
              <w:rPr>
                <w:color w:val="000000" w:themeColor="text1"/>
                <w14:textFill>
                  <w14:solidFill>
                    <w14:schemeClr w14:val="tx1"/>
                  </w14:solidFill>
                </w14:textFill>
              </w:rPr>
              <w:t>》</w:t>
            </w:r>
            <w:r>
              <w:rPr>
                <w:rFonts w:hint="default"/>
                <w:color w:val="000000" w:themeColor="text1"/>
                <w14:textFill>
                  <w14:solidFill>
                    <w14:schemeClr w14:val="tx1"/>
                  </w14:solidFill>
                </w14:textFill>
              </w:rPr>
              <w:t>(GB3096-2008)2类声环境功能区标准。</w:t>
            </w:r>
          </w:p>
          <w:p w14:paraId="1CA4DA9D">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本项目运营期污染物经采取报告中提出的措施进行处理后不会改变区域环境功能，项目的运营与环境功能区划相符。</w:t>
            </w:r>
          </w:p>
          <w:p w14:paraId="7B636AB6">
            <w:pPr>
              <w:autoSpaceDE w:val="0"/>
              <w:autoSpaceDN w:val="0"/>
              <w:adjustRightInd w:val="0"/>
              <w:snapToGrid w:val="0"/>
              <w:spacing w:line="360" w:lineRule="auto"/>
              <w:ind w:firstLine="422" w:firstLineChars="200"/>
              <w:jc w:val="left"/>
              <w:rPr>
                <w:b/>
                <w:bCs/>
                <w:color w:val="000000" w:themeColor="text1"/>
                <w:szCs w:val="21"/>
                <w14:textFill>
                  <w14:solidFill>
                    <w14:schemeClr w14:val="tx1"/>
                  </w14:solidFill>
                </w14:textFill>
              </w:rPr>
            </w:pPr>
            <w:r>
              <w:rPr>
                <w:b/>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“三线一单”相符性分析</w:t>
            </w:r>
          </w:p>
          <w:p w14:paraId="3001B25E">
            <w:pPr>
              <w:autoSpaceDE w:val="0"/>
              <w:autoSpaceDN w:val="0"/>
              <w:spacing w:line="360" w:lineRule="auto"/>
              <w:ind w:firstLine="422" w:firstLineChars="200"/>
              <w:jc w:val="lef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（1）与《关于印发广东省“三线一单”生态环境分区管控方案的通知》（粤府[2020]71号）相符性分析</w:t>
            </w:r>
          </w:p>
          <w:p w14:paraId="4C248981">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根据广东省人民政府《关于印发广东省“三线一单”生态环境分区管控方案的通知》（粤府〔2020〕71号），从区域布局管控、能源资源利用、污染物排放管控和环境风险防控等方面明确准入要求，建立</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1+3+N</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三级生态环境准入清单体系。</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为全省总体管控要求，</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3</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为</w:t>
            </w:r>
            <w:r>
              <w:rPr>
                <w:rFonts w:hint="eastAsia" w:ascii="宋体" w:hAnsi="宋体" w:cs="宋体"/>
                <w:color w:val="000000" w:themeColor="text1"/>
                <w:kern w:val="0"/>
                <w:szCs w:val="21"/>
                <w:lang w:bidi="ar"/>
                <w14:textFill>
                  <w14:solidFill>
                    <w14:schemeClr w14:val="tx1"/>
                  </w14:solidFill>
                </w14:textFill>
              </w:rPr>
              <w:t>“一核一带一区”</w:t>
            </w:r>
            <w:r>
              <w:rPr>
                <w:color w:val="000000" w:themeColor="text1"/>
                <w:kern w:val="0"/>
                <w:szCs w:val="21"/>
                <w:lang w:bidi="ar"/>
                <w14:textFill>
                  <w14:solidFill>
                    <w14:schemeClr w14:val="tx1"/>
                  </w14:solidFill>
                </w14:textFill>
              </w:rPr>
              <w:t>区域管控要求，</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N</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为1912个陆域环境管控单元和471个海域环境管控单元的管控要求。本项目与</w:t>
            </w:r>
            <w:r>
              <w:rPr>
                <w:rFonts w:hint="eastAsia" w:ascii="宋体" w:hAnsi="宋体" w:cs="宋体"/>
                <w:color w:val="000000" w:themeColor="text1"/>
                <w:kern w:val="0"/>
                <w:szCs w:val="21"/>
                <w:lang w:bidi="ar"/>
                <w14:textFill>
                  <w14:solidFill>
                    <w14:schemeClr w14:val="tx1"/>
                  </w14:solidFill>
                </w14:textFill>
              </w:rPr>
              <w:t>“三线一单”</w:t>
            </w:r>
            <w:r>
              <w:rPr>
                <w:color w:val="000000" w:themeColor="text1"/>
                <w:kern w:val="0"/>
                <w:szCs w:val="21"/>
                <w:lang w:bidi="ar"/>
                <w14:textFill>
                  <w14:solidFill>
                    <w14:schemeClr w14:val="tx1"/>
                  </w14:solidFill>
                </w14:textFill>
              </w:rPr>
              <w:t>相符性分析如下：</w:t>
            </w:r>
          </w:p>
          <w:p w14:paraId="30BBED09">
            <w:pPr>
              <w:widowControl/>
              <w:spacing w:line="360" w:lineRule="auto"/>
              <w:ind w:firstLine="420" w:firstLineChars="200"/>
              <w:jc w:val="left"/>
              <w:rPr>
                <w:rFonts w:ascii="宋体" w:hAnsi="宋体" w:cs="宋体"/>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w:t>
            </w:r>
            <w:r>
              <w:rPr>
                <w:rFonts w:hint="eastAsia" w:ascii="宋体" w:hAnsi="宋体" w:cs="宋体"/>
                <w:color w:val="000000" w:themeColor="text1"/>
                <w:kern w:val="0"/>
                <w:szCs w:val="21"/>
                <w:lang w:bidi="ar"/>
                <w14:textFill>
                  <w14:solidFill>
                    <w14:schemeClr w14:val="tx1"/>
                  </w14:solidFill>
                </w14:textFill>
              </w:rPr>
              <w:t xml:space="preserve">与“一核一带一区”区域管控要求的相符性分析 </w:t>
            </w:r>
          </w:p>
          <w:p w14:paraId="34813D93">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本项目所在区域为“一核一带一区”中的“一区”，即“北部生态发展区”，坚持生态优先，强化生</w:t>
            </w:r>
            <w:r>
              <w:rPr>
                <w:color w:val="000000" w:themeColor="text1"/>
                <w:kern w:val="0"/>
                <w:szCs w:val="21"/>
                <w:lang w:bidi="ar"/>
                <w14:textFill>
                  <w14:solidFill>
                    <w14:schemeClr w14:val="tx1"/>
                  </w14:solidFill>
                </w14:textFill>
              </w:rPr>
              <w:t xml:space="preserve">态系统保护与修复，筑牢北部生态屏障。 </w:t>
            </w:r>
          </w:p>
          <w:p w14:paraId="5D23F8EE">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①</w:t>
            </w:r>
            <w:r>
              <w:rPr>
                <w:color w:val="000000" w:themeColor="text1"/>
                <w:kern w:val="0"/>
                <w:szCs w:val="21"/>
                <w:lang w:bidi="ar"/>
                <w14:textFill>
                  <w14:solidFill>
                    <w14:schemeClr w14:val="tx1"/>
                  </w14:solidFill>
                </w14:textFill>
              </w:rPr>
              <w:t xml:space="preserve">区域布局管控要求。大力强化生态保护和建设，严格控制开发强度。重点加强南岭山地保护，推进广东南岭国家公园建设，保护生态系统完整性与生物多样性，构建和巩固北部生态屏障。引导工业项目科学布局，新建项目原则上入园管理，推动现有工业项目集中进园。 </w:t>
            </w:r>
          </w:p>
          <w:p w14:paraId="4811BC12">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 xml:space="preserve">推动绿色钢铁、有色金属、建筑材料等先进材料产业集群向规模化、绿色化、高端化转型发展，打造特色优势产业集群，积极推动中高时延大数据中心项目布局落地。科学布局现代农业产业平台，打造现代农业与食品产业集群。严格控制涉重金属及有毒有害污染物排放的项目建设，新建、改建、扩建涉重金属重点行业的项目应明确重金属污染物总量来源。逐步扩大高污染燃料禁燃区范围。 </w:t>
            </w:r>
          </w:p>
          <w:p w14:paraId="6B68D0CF">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②</w:t>
            </w:r>
            <w:r>
              <w:rPr>
                <w:color w:val="000000" w:themeColor="text1"/>
                <w:kern w:val="0"/>
                <w:szCs w:val="21"/>
                <w:lang w:bidi="ar"/>
                <w14:textFill>
                  <w14:solidFill>
                    <w14:schemeClr w14:val="tx1"/>
                  </w14:solidFill>
                </w14:textFill>
              </w:rPr>
              <w:t xml:space="preserve">能源资源利用要求。进一步优化调整能源结构，鼓励使用天然气及可再生能源。县级及以上城市建成区，禁止新建每小时35蒸吨以下燃煤锅炉。原则上不再新建小水电以及除国家和省规划外的风电项目，对不符合生态环境要求的小水电进行清理整改。严格落实东江、北江、韩江流域等重要控制断面生态流量保障目标。推动矿产资源开发合理布局和节约集约利用，提高矿产资源开发项目准入门槛，严格执行开采总量指标管控，加快淘汰落后采选工艺，提高资源产出率。 </w:t>
            </w:r>
          </w:p>
          <w:p w14:paraId="2F1F7FF9">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③</w:t>
            </w:r>
            <w:r>
              <w:rPr>
                <w:color w:val="000000" w:themeColor="text1"/>
                <w:kern w:val="0"/>
                <w:szCs w:val="21"/>
                <w:lang w:bidi="ar"/>
                <w14:textFill>
                  <w14:solidFill>
                    <w14:schemeClr w14:val="tx1"/>
                  </w14:solidFill>
                </w14:textFill>
              </w:rPr>
              <w:t>污染物排放管控要求。在可核查、可监管的基础上，新建项目原则上实施氮氧化物和挥发性有机物等量替代。北江流域严格实行重点重金属污染物减量替代。加快镇级生活污水处理设施及配套管网建设，因地制宜建设农村生活污水处理设施。加强养殖污染防治，推动养殖尾水达标排放或资源化利用。加快推进钢铁、陶瓷、水泥等重点行业提标改造（或</w:t>
            </w:r>
            <w:r>
              <w:rPr>
                <w:rFonts w:hint="eastAsia" w:ascii="宋体" w:hAnsi="宋体" w:cs="宋体"/>
                <w:color w:val="000000" w:themeColor="text1"/>
                <w:kern w:val="0"/>
                <w:szCs w:val="21"/>
                <w:lang w:bidi="ar"/>
                <w14:textFill>
                  <w14:solidFill>
                    <w14:schemeClr w14:val="tx1"/>
                  </w14:solidFill>
                </w14:textFill>
              </w:rPr>
              <w:t>“煤改气”</w:t>
            </w:r>
            <w:r>
              <w:rPr>
                <w:color w:val="000000" w:themeColor="text1"/>
                <w:kern w:val="0"/>
                <w:szCs w:val="21"/>
                <w:lang w:bidi="ar"/>
                <w14:textFill>
                  <w14:solidFill>
                    <w14:schemeClr w14:val="tx1"/>
                  </w14:solidFill>
                </w14:textFill>
              </w:rPr>
              <w:t xml:space="preserve">改造）。加快矿山改造升级，逐步达到绿色矿山建设要求，凡口铅锌矿及其周边、大宝山矿及其周边等区域严格执行部分重金属水污染物特别排放限值的相关规定。 </w:t>
            </w:r>
          </w:p>
          <w:p w14:paraId="667D4726">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④</w:t>
            </w:r>
            <w:r>
              <w:rPr>
                <w:color w:val="000000" w:themeColor="text1"/>
                <w:kern w:val="0"/>
                <w:szCs w:val="21"/>
                <w:lang w:bidi="ar"/>
                <w14:textFill>
                  <w14:solidFill>
                    <w14:schemeClr w14:val="tx1"/>
                  </w14:solidFill>
                </w14:textFill>
              </w:rPr>
              <w:t>环境风险防控要求。强化流域上游生态保护与水源涵养功能，建立完善哭发环境事件应急管理体系，保障饮用水安全。加快落实受污染农用地的安全利用与严格管控措施，防范农产品重金属含量超标风险。加强尾矿库的环境风险排查与防范。加强金属矿采选、金属冶炼企业的重金属污染风险防控。强化选矿废水治理设施的升级改造，选矿废水原则上回用不外排。</w:t>
            </w:r>
          </w:p>
          <w:p w14:paraId="6F1F78E2">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相符性分析：</w:t>
            </w:r>
            <w:r>
              <w:rPr>
                <w:color w:val="000000" w:themeColor="text1"/>
                <w:kern w:val="0"/>
                <w:szCs w:val="21"/>
                <w:lang w:bidi="ar"/>
                <w14:textFill>
                  <w14:solidFill>
                    <w14:schemeClr w14:val="tx1"/>
                  </w14:solidFill>
                </w14:textFill>
              </w:rPr>
              <w:t>本项目属于《国民经济行业分类》（GB/T4754-2017）分类中的</w:t>
            </w:r>
            <w:r>
              <w:rPr>
                <w:rFonts w:hint="eastAsia"/>
                <w:color w:val="000000" w:themeColor="text1"/>
                <w:kern w:val="0"/>
                <w:szCs w:val="21"/>
                <w:lang w:bidi="ar"/>
                <w14:textFill>
                  <w14:solidFill>
                    <w14:schemeClr w14:val="tx1"/>
                  </w14:solidFill>
                </w14:textFill>
              </w:rPr>
              <w:t>“C3039 其他建筑材料制造</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原料为花岗岩矿石，不属于危险废物。项目运行期</w:t>
            </w:r>
            <w:r>
              <w:rPr>
                <w:color w:val="000000" w:themeColor="text1"/>
                <w:kern w:val="0"/>
                <w:szCs w:val="21"/>
                <w:lang w:bidi="ar"/>
                <w14:textFill>
                  <w14:solidFill>
                    <w14:schemeClr w14:val="tx1"/>
                  </w14:solidFill>
                </w14:textFill>
              </w:rPr>
              <w:t>不涉及重金属和有毒有害污染物的产生和排放，符合区域布局管控要求。</w:t>
            </w:r>
          </w:p>
          <w:p w14:paraId="256D6E83">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项目能源使用主要依托当地电网供电，符合能源资源利用要求。生活污水进入</w:t>
            </w:r>
            <w:r>
              <w:rPr>
                <w:rFonts w:hint="eastAsia"/>
                <w:color w:val="000000" w:themeColor="text1"/>
                <w:kern w:val="0"/>
                <w:szCs w:val="21"/>
                <w:lang w:bidi="ar"/>
                <w14:textFill>
                  <w14:solidFill>
                    <w14:schemeClr w14:val="tx1"/>
                  </w14:solidFill>
                </w14:textFill>
              </w:rPr>
              <w:t>三级化粪池/三级隔油池+一体化A/O生化装置</w:t>
            </w:r>
            <w:r>
              <w:rPr>
                <w:color w:val="000000" w:themeColor="text1"/>
                <w:kern w:val="0"/>
                <w:szCs w:val="21"/>
                <w:lang w:bidi="ar"/>
                <w14:textFill>
                  <w14:solidFill>
                    <w14:schemeClr w14:val="tx1"/>
                  </w14:solidFill>
                </w14:textFill>
              </w:rPr>
              <w:t>处理</w:t>
            </w:r>
            <w:r>
              <w:rPr>
                <w:rFonts w:hint="eastAsia"/>
                <w:color w:val="000000" w:themeColor="text1"/>
                <w:kern w:val="0"/>
                <w:szCs w:val="21"/>
                <w:lang w:bidi="ar"/>
                <w14:textFill>
                  <w14:solidFill>
                    <w14:schemeClr w14:val="tx1"/>
                  </w14:solidFill>
                </w14:textFill>
              </w:rPr>
              <w:t>后回用于周边林地灌溉；车辆冲洗废水经洗车台沉淀池处理后回用于洒水降尘，不外排；生产系统废水经污水池收集至浓密罐处理后、初期雨水经雨水池收集处理后回用于生产系统用水，不外排；因此，项目运行</w:t>
            </w:r>
            <w:r>
              <w:rPr>
                <w:color w:val="000000" w:themeColor="text1"/>
                <w:kern w:val="0"/>
                <w:szCs w:val="21"/>
                <w:lang w:bidi="ar"/>
                <w14:textFill>
                  <w14:solidFill>
                    <w14:schemeClr w14:val="tx1"/>
                  </w14:solidFill>
                </w14:textFill>
              </w:rPr>
              <w:t>对</w:t>
            </w:r>
            <w:r>
              <w:rPr>
                <w:rFonts w:hint="eastAsia"/>
                <w:color w:val="000000" w:themeColor="text1"/>
                <w:kern w:val="0"/>
                <w:szCs w:val="21"/>
                <w:lang w:bidi="ar"/>
                <w14:textFill>
                  <w14:solidFill>
                    <w14:schemeClr w14:val="tx1"/>
                  </w14:solidFill>
                </w14:textFill>
              </w:rPr>
              <w:t>附近水体龙潭河</w:t>
            </w:r>
            <w:r>
              <w:rPr>
                <w:color w:val="000000" w:themeColor="text1"/>
                <w:kern w:val="0"/>
                <w:szCs w:val="21"/>
                <w:lang w:bidi="ar"/>
                <w14:textFill>
                  <w14:solidFill>
                    <w14:schemeClr w14:val="tx1"/>
                  </w14:solidFill>
                </w14:textFill>
              </w:rPr>
              <w:t>水环境影响较小，符合污染物排放管控要求。</w:t>
            </w:r>
          </w:p>
          <w:p w14:paraId="72356D88">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项目将采取一系列风险防范措施，制定并落实企业突发环境事件应急预案，建立体系完备的风险管控体系，符合环境风险防控要求。</w:t>
            </w:r>
          </w:p>
          <w:p w14:paraId="06B7E15D">
            <w:pPr>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（2）与《</w:t>
            </w:r>
            <w:r>
              <w:rPr>
                <w:rFonts w:hint="eastAsia"/>
                <w:b/>
                <w:bCs/>
                <w:color w:val="000000" w:themeColor="text1"/>
                <w:szCs w:val="21"/>
                <w14:textFill>
                  <w14:solidFill>
                    <w14:schemeClr w14:val="tx1"/>
                  </w14:solidFill>
                </w14:textFill>
              </w:rPr>
              <w:t>湛江</w:t>
            </w:r>
            <w:r>
              <w:rPr>
                <w:b/>
                <w:color w:val="000000" w:themeColor="text1"/>
                <w:kern w:val="0"/>
                <w:szCs w:val="21"/>
                <w14:textFill>
                  <w14:solidFill>
                    <w14:schemeClr w14:val="tx1"/>
                  </w14:solidFill>
                </w14:textFill>
              </w:rPr>
              <w:t>市</w:t>
            </w:r>
            <w:r>
              <w:rPr>
                <w:b/>
                <w:bCs/>
                <w:color w:val="000000" w:themeColor="text1"/>
                <w:szCs w:val="21"/>
                <w14:textFill>
                  <w14:solidFill>
                    <w14:schemeClr w14:val="tx1"/>
                  </w14:solidFill>
                </w14:textFill>
              </w:rPr>
              <w:t>“三线一单”生态环境分区管控方案》（湛府〔2021〕</w:t>
            </w:r>
            <w:r>
              <w:rPr>
                <w:rFonts w:hint="eastAsia"/>
                <w:b/>
                <w:bCs/>
                <w:color w:val="000000" w:themeColor="text1"/>
                <w:szCs w:val="21"/>
                <w14:textFill>
                  <w14:solidFill>
                    <w14:schemeClr w14:val="tx1"/>
                  </w14:solidFill>
                </w14:textFill>
              </w:rPr>
              <w:t>30</w:t>
            </w:r>
            <w:r>
              <w:rPr>
                <w:b/>
                <w:bCs/>
                <w:color w:val="000000" w:themeColor="text1"/>
                <w:szCs w:val="21"/>
                <w14:textFill>
                  <w14:solidFill>
                    <w14:schemeClr w14:val="tx1"/>
                  </w14:solidFill>
                </w14:textFill>
              </w:rPr>
              <w:t>号）</w:t>
            </w:r>
            <w:r>
              <w:rPr>
                <w:rFonts w:hint="eastAsia"/>
                <w:b/>
                <w:bCs/>
                <w:color w:val="000000" w:themeColor="text1"/>
                <w:szCs w:val="21"/>
                <w14:textFill>
                  <w14:solidFill>
                    <w14:schemeClr w14:val="tx1"/>
                  </w14:solidFill>
                </w14:textFill>
              </w:rPr>
              <w:t>及《湛江市2023年“三线一单”生态环境分区管控成果更新调整成果》相符性分析</w:t>
            </w:r>
          </w:p>
          <w:p w14:paraId="574D5013">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根据《湛江市“三线一单”生态环境分区管控方案》</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湛府〔2021〕30号</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和《湛江市2023年“三线一单”生态环境分区管控成果更新调整成果》</w:t>
            </w:r>
          </w:p>
          <w:p w14:paraId="4C05D7F2">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本项目所在区域位于青平营仔-长山-石颈镇一般管控单元(ZH44088130008) 要素细类为大气环境弱扩散重点管控区、水环境一般管控区、土地资源优先保护区。“三线一单”环境管控单元相对位置图见附图</w:t>
            </w:r>
            <w:r>
              <w:rPr>
                <w:rFonts w:hint="eastAsia"/>
                <w:color w:val="000000" w:themeColor="text1"/>
                <w:szCs w:val="21"/>
                <w14:textFill>
                  <w14:solidFill>
                    <w14:schemeClr w14:val="tx1"/>
                  </w14:solidFill>
                </w14:textFill>
              </w:rPr>
              <w:t>10</w:t>
            </w:r>
            <w:r>
              <w:rPr>
                <w:color w:val="000000" w:themeColor="text1"/>
                <w:szCs w:val="21"/>
                <w14:textFill>
                  <w14:solidFill>
                    <w14:schemeClr w14:val="tx1"/>
                  </w14:solidFill>
                </w14:textFill>
              </w:rPr>
              <w:t>。本项目的建设与湛江市总体要求相符性分析见表1-1</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与该单元的管控要求相符性见表1-</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p>
          <w:p w14:paraId="173A4019">
            <w:pPr>
              <w:pStyle w:val="45"/>
              <w:rPr>
                <w:color w:val="000000" w:themeColor="text1"/>
                <w14:textFill>
                  <w14:solidFill>
                    <w14:schemeClr w14:val="tx1"/>
                  </w14:solidFill>
                </w14:textFill>
              </w:rPr>
            </w:pPr>
            <w:r>
              <w:rPr>
                <w:color w:val="000000" w:themeColor="text1"/>
                <w14:textFill>
                  <w14:solidFill>
                    <w14:schemeClr w14:val="tx1"/>
                  </w14:solidFill>
                </w14:textFill>
              </w:rPr>
              <w:t>表1-1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顶目与湛江市总体要求相符性分析一览表</w:t>
            </w:r>
          </w:p>
          <w:tbl>
            <w:tblPr>
              <w:tblStyle w:val="41"/>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65"/>
              <w:gridCol w:w="3038"/>
              <w:gridCol w:w="3621"/>
              <w:gridCol w:w="249"/>
            </w:tblGrid>
            <w:tr w14:paraId="6B43D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shd w:val="clear" w:color="auto" w:fill="D9D9D9"/>
                  <w:vAlign w:val="center"/>
                </w:tcPr>
                <w:p w14:paraId="30B9C91D">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管控维度</w:t>
                  </w:r>
                </w:p>
              </w:tc>
              <w:tc>
                <w:tcPr>
                  <w:tcW w:w="3038" w:type="dxa"/>
                  <w:shd w:val="clear" w:color="auto" w:fill="D9D9D9"/>
                  <w:vAlign w:val="center"/>
                </w:tcPr>
                <w:p w14:paraId="626522B1">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湛江市目标</w:t>
                  </w:r>
                </w:p>
              </w:tc>
              <w:tc>
                <w:tcPr>
                  <w:tcW w:w="3621" w:type="dxa"/>
                  <w:shd w:val="clear" w:color="auto" w:fill="D9D9D9"/>
                  <w:vAlign w:val="center"/>
                </w:tcPr>
                <w:p w14:paraId="5CF0D33D">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对照分析</w:t>
                  </w:r>
                </w:p>
              </w:tc>
              <w:tc>
                <w:tcPr>
                  <w:tcW w:w="249" w:type="dxa"/>
                  <w:shd w:val="clear" w:color="auto" w:fill="D9D9D9"/>
                  <w:vAlign w:val="center"/>
                </w:tcPr>
                <w:p w14:paraId="1DE4BD6E">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相符性</w:t>
                  </w:r>
                </w:p>
              </w:tc>
            </w:tr>
            <w:tr w14:paraId="55F02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24D5F23B">
                  <w:pPr>
                    <w:pStyle w:val="46"/>
                    <w:rPr>
                      <w:color w:val="000000" w:themeColor="text1"/>
                      <w14:textFill>
                        <w14:solidFill>
                          <w14:schemeClr w14:val="tx1"/>
                        </w14:solidFill>
                      </w14:textFill>
                    </w:rPr>
                  </w:pPr>
                  <w:r>
                    <w:rPr>
                      <w:color w:val="000000" w:themeColor="text1"/>
                      <w14:textFill>
                        <w14:solidFill>
                          <w14:schemeClr w14:val="tx1"/>
                        </w14:solidFill>
                      </w14:textFill>
                    </w:rPr>
                    <w:t>生态保护红线(已更新)</w:t>
                  </w:r>
                </w:p>
              </w:tc>
              <w:tc>
                <w:tcPr>
                  <w:tcW w:w="3038" w:type="dxa"/>
                  <w:vAlign w:val="center"/>
                </w:tcPr>
                <w:p w14:paraId="3EBA96C7">
                  <w:pPr>
                    <w:pStyle w:val="46"/>
                    <w:rPr>
                      <w:color w:val="000000" w:themeColor="text1"/>
                      <w14:textFill>
                        <w14:solidFill>
                          <w14:schemeClr w14:val="tx1"/>
                        </w14:solidFill>
                      </w14:textFill>
                    </w:rPr>
                  </w:pPr>
                  <w:r>
                    <w:rPr>
                      <w:color w:val="000000" w:themeColor="text1"/>
                      <w14:textFill>
                        <w14:solidFill>
                          <w14:schemeClr w14:val="tx1"/>
                        </w14:solidFill>
                      </w14:textFill>
                    </w:rPr>
                    <w:t>全市陆域生态保护红线面积261.55平方公里，一般生态空间面积715.17平方公里。全市海洋生态保护红线面积3625.28平方公里。</w:t>
                  </w:r>
                </w:p>
              </w:tc>
              <w:tc>
                <w:tcPr>
                  <w:tcW w:w="3621" w:type="dxa"/>
                  <w:vAlign w:val="center"/>
                </w:tcPr>
                <w:p w14:paraId="173725DD">
                  <w:pPr>
                    <w:pStyle w:val="46"/>
                    <w:rPr>
                      <w:color w:val="000000" w:themeColor="text1"/>
                      <w14:textFill>
                        <w14:solidFill>
                          <w14:schemeClr w14:val="tx1"/>
                        </w14:solidFill>
                      </w14:textFill>
                    </w:rPr>
                  </w:pPr>
                  <w:r>
                    <w:rPr>
                      <w:color w:val="000000" w:themeColor="text1"/>
                      <w14:textFill>
                        <w14:solidFill>
                          <w14:schemeClr w14:val="tx1"/>
                        </w14:solidFill>
                      </w14:textFill>
                    </w:rPr>
                    <w:t>本项目建设地点位于</w:t>
                  </w:r>
                  <w:r>
                    <w:rPr>
                      <w:rFonts w:hint="eastAsia"/>
                      <w:color w:val="000000" w:themeColor="text1"/>
                      <w14:textFill>
                        <w14:solidFill>
                          <w14:schemeClr w14:val="tx1"/>
                        </w14:solidFill>
                      </w14:textFill>
                    </w:rPr>
                    <w:t>湛江市廉江市营仔镇福山村高墩角经济合作社</w:t>
                  </w:r>
                  <w:r>
                    <w:rPr>
                      <w:color w:val="000000" w:themeColor="text1"/>
                      <w14:textFill>
                        <w14:solidFill>
                          <w14:schemeClr w14:val="tx1"/>
                        </w14:solidFill>
                      </w14:textFill>
                    </w:rPr>
                    <w:t>，不属于陆域生态保护红线范围及海洋生态环保红线范围，不涉及一般生态空间。</w:t>
                  </w:r>
                </w:p>
              </w:tc>
              <w:tc>
                <w:tcPr>
                  <w:tcW w:w="249" w:type="dxa"/>
                  <w:vAlign w:val="center"/>
                </w:tcPr>
                <w:p w14:paraId="39B45365">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r w14:paraId="70867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7933C2B4">
                  <w:pPr>
                    <w:pStyle w:val="46"/>
                    <w:rPr>
                      <w:color w:val="000000" w:themeColor="text1"/>
                      <w14:textFill>
                        <w14:solidFill>
                          <w14:schemeClr w14:val="tx1"/>
                        </w14:solidFill>
                      </w14:textFill>
                    </w:rPr>
                  </w:pPr>
                  <w:r>
                    <w:rPr>
                      <w:color w:val="000000" w:themeColor="text1"/>
                      <w14:textFill>
                        <w14:solidFill>
                          <w14:schemeClr w14:val="tx1"/>
                        </w14:solidFill>
                      </w14:textFill>
                    </w:rPr>
                    <w:t>环境质量底线(已更新)</w:t>
                  </w:r>
                </w:p>
              </w:tc>
              <w:tc>
                <w:tcPr>
                  <w:tcW w:w="3038" w:type="dxa"/>
                  <w:vAlign w:val="center"/>
                </w:tcPr>
                <w:p w14:paraId="51C16E6C">
                  <w:pPr>
                    <w:pStyle w:val="46"/>
                    <w:rPr>
                      <w:color w:val="000000" w:themeColor="text1"/>
                      <w14:textFill>
                        <w14:solidFill>
                          <w14:schemeClr w14:val="tx1"/>
                        </w14:solidFill>
                      </w14:textFill>
                    </w:rPr>
                  </w:pPr>
                  <w:r>
                    <w:rPr>
                      <w:color w:val="000000" w:themeColor="text1"/>
                      <w14:textFill>
                        <w14:solidFill>
                          <w14:schemeClr w14:val="tx1"/>
                        </w14:solidFill>
                      </w14:textFill>
                    </w:rPr>
                    <w:t>全市生态环境持续改善，空气质量优良天数比例和细颗粒物年均浓度达到省下达的目标，无重污染天气，地表水水质达到或优于Ⅲ类水体比例国考断面达到85.7%、省考断面达到91.7%,县级及以上集中式饮用水水源水质100%达标，基本清除城市黑臭水体，近岸海域水质优良(一、二类)面积比例达到92.2%,受污染耕地安全利用率达到93%,重点建设用地安全利用得到有效保障。</w:t>
                  </w:r>
                </w:p>
              </w:tc>
              <w:tc>
                <w:tcPr>
                  <w:tcW w:w="3621" w:type="dxa"/>
                  <w:vAlign w:val="center"/>
                </w:tcPr>
                <w:p w14:paraId="04B608F8">
                  <w:pPr>
                    <w:pStyle w:val="46"/>
                    <w:rPr>
                      <w:color w:val="000000" w:themeColor="text1"/>
                      <w14:textFill>
                        <w14:solidFill>
                          <w14:schemeClr w14:val="tx1"/>
                        </w14:solidFill>
                      </w14:textFill>
                    </w:rPr>
                  </w:pPr>
                  <w:r>
                    <w:rPr>
                      <w:color w:val="000000" w:themeColor="text1"/>
                      <w14:textFill>
                        <w14:solidFill>
                          <w14:schemeClr w14:val="tx1"/>
                        </w14:solidFill>
                      </w14:textFill>
                    </w:rPr>
                    <w:t>根据项目所在地环境现状调查和污染物排放影响分析，本项目运营后对区域环境影响较小，环境质量可以保持现有水平。因此，本项目建设满足环境质量底线的相关要求。</w:t>
                  </w:r>
                </w:p>
              </w:tc>
              <w:tc>
                <w:tcPr>
                  <w:tcW w:w="249" w:type="dxa"/>
                  <w:vAlign w:val="center"/>
                </w:tcPr>
                <w:p w14:paraId="5682BC81">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r w14:paraId="1D708A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710469BC">
                  <w:pPr>
                    <w:pStyle w:val="46"/>
                    <w:rPr>
                      <w:color w:val="000000" w:themeColor="text1"/>
                      <w14:textFill>
                        <w14:solidFill>
                          <w14:schemeClr w14:val="tx1"/>
                        </w14:solidFill>
                      </w14:textFill>
                    </w:rPr>
                  </w:pPr>
                  <w:r>
                    <w:rPr>
                      <w:color w:val="000000" w:themeColor="text1"/>
                      <w14:textFill>
                        <w14:solidFill>
                          <w14:schemeClr w14:val="tx1"/>
                        </w14:solidFill>
                      </w14:textFill>
                    </w:rPr>
                    <w:t>资源利用上线(已更新)</w:t>
                  </w:r>
                </w:p>
              </w:tc>
              <w:tc>
                <w:tcPr>
                  <w:tcW w:w="3038" w:type="dxa"/>
                  <w:vAlign w:val="center"/>
                </w:tcPr>
                <w:p w14:paraId="51593EEB">
                  <w:pPr>
                    <w:pStyle w:val="46"/>
                    <w:rPr>
                      <w:color w:val="000000" w:themeColor="text1"/>
                      <w14:textFill>
                        <w14:solidFill>
                          <w14:schemeClr w14:val="tx1"/>
                        </w14:solidFill>
                      </w14:textFill>
                    </w:rPr>
                  </w:pPr>
                  <w:r>
                    <w:rPr>
                      <w:color w:val="000000" w:themeColor="text1"/>
                      <w14:textFill>
                        <w14:solidFill>
                          <w14:schemeClr w14:val="tx1"/>
                        </w14:solidFill>
                      </w14:textFill>
                    </w:rPr>
                    <w:t>强化节约集约利用，持续提升资源能源利用效率；用水总量控制在27.76亿立方米，万元地区生产总值用水量较2020年下降23%,万元工业增加值用水量较2020年下降20%,农田灌溉水有效利用系数不低于0.538;土地资源、岸线资源、能源消耗等达到或优于国家和省下达的总量和强度控制目标。按国家要求在2030年底前实现碳达峰。</w:t>
                  </w:r>
                </w:p>
              </w:tc>
              <w:tc>
                <w:tcPr>
                  <w:tcW w:w="3621" w:type="dxa"/>
                  <w:vAlign w:val="center"/>
                </w:tcPr>
                <w:p w14:paraId="67CF8D51">
                  <w:pPr>
                    <w:pStyle w:val="46"/>
                    <w:rPr>
                      <w:color w:val="000000" w:themeColor="text1"/>
                      <w14:textFill>
                        <w14:solidFill>
                          <w14:schemeClr w14:val="tx1"/>
                        </w14:solidFill>
                      </w14:textFill>
                    </w:rPr>
                  </w:pPr>
                  <w:r>
                    <w:rPr>
                      <w:color w:val="000000" w:themeColor="text1"/>
                      <w14:textFill>
                        <w14:solidFill>
                          <w14:schemeClr w14:val="tx1"/>
                        </w14:solidFill>
                      </w14:textFill>
                    </w:rPr>
                    <w:t>本项目运营期主要消耗的资源为电能和水，项目对资源消耗较少。本项目建设符合资源利用上线相关要求。</w:t>
                  </w:r>
                </w:p>
              </w:tc>
              <w:tc>
                <w:tcPr>
                  <w:tcW w:w="249" w:type="dxa"/>
                  <w:vAlign w:val="center"/>
                </w:tcPr>
                <w:p w14:paraId="206D555D">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r w14:paraId="0D766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0" w:type="auto"/>
                  <w:gridSpan w:val="4"/>
                  <w:vAlign w:val="center"/>
                </w:tcPr>
                <w:p w14:paraId="018604E5">
                  <w:pPr>
                    <w:pStyle w:val="46"/>
                    <w:rPr>
                      <w:color w:val="000000" w:themeColor="text1"/>
                      <w14:textFill>
                        <w14:solidFill>
                          <w14:schemeClr w14:val="tx1"/>
                        </w14:solidFill>
                      </w14:textFill>
                    </w:rPr>
                  </w:pPr>
                  <w:r>
                    <w:rPr>
                      <w:b/>
                      <w:bCs/>
                      <w:color w:val="000000" w:themeColor="text1"/>
                      <w14:textFill>
                        <w14:solidFill>
                          <w14:schemeClr w14:val="tx1"/>
                        </w14:solidFill>
                      </w14:textFill>
                    </w:rPr>
                    <w:t>生态环境准入清单</w:t>
                  </w:r>
                </w:p>
              </w:tc>
            </w:tr>
            <w:tr w14:paraId="6740B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13901A5A">
                  <w:pPr>
                    <w:pStyle w:val="46"/>
                    <w:rPr>
                      <w:color w:val="000000" w:themeColor="text1"/>
                      <w14:textFill>
                        <w14:solidFill>
                          <w14:schemeClr w14:val="tx1"/>
                        </w14:solidFill>
                      </w14:textFill>
                    </w:rPr>
                  </w:pPr>
                  <w:r>
                    <w:rPr>
                      <w:color w:val="000000" w:themeColor="text1"/>
                      <w14:textFill>
                        <w14:solidFill>
                          <w14:schemeClr w14:val="tx1"/>
                        </w14:solidFill>
                      </w14:textFill>
                    </w:rPr>
                    <w:t>区域布局管控要求</w:t>
                  </w:r>
                </w:p>
              </w:tc>
              <w:tc>
                <w:tcPr>
                  <w:tcW w:w="3038" w:type="dxa"/>
                  <w:vAlign w:val="center"/>
                </w:tcPr>
                <w:p w14:paraId="1A4FA3A3">
                  <w:pPr>
                    <w:pStyle w:val="46"/>
                    <w:rPr>
                      <w:color w:val="000000" w:themeColor="text1"/>
                      <w14:textFill>
                        <w14:solidFill>
                          <w14:schemeClr w14:val="tx1"/>
                        </w14:solidFill>
                      </w14:textFill>
                    </w:rPr>
                  </w:pPr>
                  <w:r>
                    <w:rPr>
                      <w:color w:val="000000" w:themeColor="text1"/>
                      <w14:textFill>
                        <w14:solidFill>
                          <w14:schemeClr w14:val="tx1"/>
                        </w14:solidFill>
                      </w14:textFill>
                    </w:rPr>
                    <w:t>①优先保护生态空间，生态保护红线、一般生态空间严格按照国家、省有关要求进行管理。一般生态空间内人工商品林，允许依法进行抚育采伐、择伐和树种更新等经营活动。筑牢廉江北部丘陵山地和雷州半岛中部林地生态屏障，加快推进以鉴江、鹤地水库-九洲江、南渡河、遂溪河等为骨干的绿色生态水网体系建设，严格保护红树林、珊瑚礁、海草床和中华白海豚、鲎类等各级各类自然保护地，严格保护重要水生生物产卵场、孵育场，大力保护生物多样性。全面推进森林、湿地、海洋、农田及城乡等生态系统的保护与修复，提升生态系统稳定性和生态服务功能。</w:t>
                  </w:r>
                </w:p>
                <w:p w14:paraId="7C455122">
                  <w:pPr>
                    <w:pStyle w:val="46"/>
                    <w:rPr>
                      <w:color w:val="000000" w:themeColor="text1"/>
                      <w14:textFill>
                        <w14:solidFill>
                          <w14:schemeClr w14:val="tx1"/>
                        </w14:solidFill>
                      </w14:textFill>
                    </w:rPr>
                  </w:pPr>
                  <w:r>
                    <w:rPr>
                      <w:color w:val="000000" w:themeColor="text1"/>
                      <w14:textFill>
                        <w14:solidFill>
                          <w14:schemeClr w14:val="tx1"/>
                        </w14:solidFill>
                      </w14:textFill>
                    </w:rPr>
                    <w:t>②全力推进以临港产业、滨海旅游、特色优势农业、军民融合发展为重点的湛江特色现代产业体系建设，加快推动湛江临港大型工业园等重大平台高质量发展。积极推进智能家电、农副食(海、水)产品加工、家具建材、羽绒制鞋等四大优势传统产业转型升级，推动新能源汽车、装备制造、现代医药、电子信息等战略性新兴产业规模化、集约化发展。延伸完善循环产业链条，提升绿色钢铁、绿色石化、高端造纸、绿色能源等战略性支柱产业绿色发展水平，打造高端绿色临港重化基地。加强“两高”行业建设项目生态环境源头防控。推动工业项目入园集聚发展。推进既有园区(集聚地)循环化改造，开展环境质量评估，推动公共设施共建共享、能源梯级利用、资源循环利用和污染物集中安全处置。科学制定畜禽养殖发展规划，优化雷州半岛畜禽养殖布局。</w:t>
                  </w:r>
                </w:p>
              </w:tc>
              <w:tc>
                <w:tcPr>
                  <w:tcW w:w="3621" w:type="dxa"/>
                  <w:vAlign w:val="center"/>
                </w:tcPr>
                <w:p w14:paraId="0A466E4B">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本项目不属于陆域生态保护红线范围及海洋生态环保红线范围，不涉及一般生态空间</w:t>
                  </w:r>
                  <w:r>
                    <w:rPr>
                      <w:rFonts w:hint="eastAsia"/>
                      <w:color w:val="000000" w:themeColor="text1"/>
                      <w14:textFill>
                        <w14:solidFill>
                          <w14:schemeClr w14:val="tx1"/>
                        </w14:solidFill>
                      </w14:textFill>
                    </w:rPr>
                    <w:t>；</w:t>
                  </w:r>
                </w:p>
                <w:p w14:paraId="4B01E287">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）本项目属于《国民经济行业分类》(GB/T4754-2017)中“C3039 其他建筑材料制造”不属于“两高”行业</w:t>
                  </w:r>
                  <w:r>
                    <w:rPr>
                      <w:rFonts w:hint="eastAsia"/>
                      <w:color w:val="000000" w:themeColor="text1"/>
                      <w14:textFill>
                        <w14:solidFill>
                          <w14:schemeClr w14:val="tx1"/>
                        </w14:solidFill>
                      </w14:textFill>
                    </w:rPr>
                    <w:t>；</w:t>
                  </w:r>
                </w:p>
                <w:p w14:paraId="225C2020">
                  <w:pPr>
                    <w:pStyle w:val="46"/>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）本项目位于</w:t>
                  </w:r>
                  <w:r>
                    <w:rPr>
                      <w:rFonts w:hint="eastAsia"/>
                      <w:color w:val="000000" w:themeColor="text1"/>
                      <w14:textFill>
                        <w14:solidFill>
                          <w14:schemeClr w14:val="tx1"/>
                        </w14:solidFill>
                      </w14:textFill>
                    </w:rPr>
                    <w:t>湛江市廉江市营仔镇福山村高墩角经济合作社</w:t>
                  </w:r>
                  <w:r>
                    <w:rPr>
                      <w:color w:val="000000" w:themeColor="text1"/>
                      <w14:textFill>
                        <w14:solidFill>
                          <w14:schemeClr w14:val="tx1"/>
                        </w14:solidFill>
                      </w14:textFill>
                    </w:rPr>
                    <w:t>，不属于产业园区内项目。</w:t>
                  </w:r>
                </w:p>
              </w:tc>
              <w:tc>
                <w:tcPr>
                  <w:tcW w:w="249" w:type="dxa"/>
                  <w:vAlign w:val="center"/>
                </w:tcPr>
                <w:p w14:paraId="43491F40">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r w14:paraId="168A4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3926FE12">
                  <w:pPr>
                    <w:pStyle w:val="46"/>
                    <w:rPr>
                      <w:color w:val="000000" w:themeColor="text1"/>
                      <w14:textFill>
                        <w14:solidFill>
                          <w14:schemeClr w14:val="tx1"/>
                        </w14:solidFill>
                      </w14:textFill>
                    </w:rPr>
                  </w:pPr>
                  <w:r>
                    <w:rPr>
                      <w:color w:val="000000" w:themeColor="text1"/>
                      <w14:textFill>
                        <w14:solidFill>
                          <w14:schemeClr w14:val="tx1"/>
                        </w14:solidFill>
                      </w14:textFill>
                    </w:rPr>
                    <w:t>能源资源利用要求</w:t>
                  </w:r>
                </w:p>
              </w:tc>
              <w:tc>
                <w:tcPr>
                  <w:tcW w:w="3038" w:type="dxa"/>
                  <w:vAlign w:val="center"/>
                </w:tcPr>
                <w:p w14:paraId="27EDC784">
                  <w:pPr>
                    <w:pStyle w:val="46"/>
                    <w:rPr>
                      <w:color w:val="000000" w:themeColor="text1"/>
                      <w14:textFill>
                        <w14:solidFill>
                          <w14:schemeClr w14:val="tx1"/>
                        </w14:solidFill>
                      </w14:textFill>
                    </w:rPr>
                  </w:pPr>
                  <w:r>
                    <w:rPr>
                      <w:color w:val="000000" w:themeColor="text1"/>
                      <w14:textFill>
                        <w14:solidFill>
                          <w14:schemeClr w14:val="tx1"/>
                        </w14:solidFill>
                      </w14:textFill>
                    </w:rPr>
                    <w:t>①推进廉江新能源项目安全高效发展，因地制宜有序发展陆上风电，规模化开发海上风电，合理布局光伏发电。严格控制并逐步减少煤炭使用量。县级及以上城市建成区和天然气管网覆盖范围内，禁止新建每小时35蒸吨以下燃煤锅炉。在集中供热管网覆盖范围内，禁止新建、扩建燃用煤炭、重油、渣油、生物质等分散供热锅炉。逐步扩大高污染燃料禁燃区范围。推进湛江港、徐闻港等港口船舶能源清洁化改造，逐步提高岸电使用和港作机械“非油”比例。推进“两高”行业减污降碳协同控制，新建、扩建“两高”项目采用先进适用的工艺技术和装备，单位产品物耗、能耗、水耗等达到清洁生产先进水平。</w:t>
                  </w:r>
                </w:p>
                <w:p w14:paraId="680BD7A9">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②实行最严格水资源管理制度，贯彻落实“节水优先”方针，发展节水型工业、农业、林业和服务业。提高水资源利用效率，压减赤坎区、霞山区等地下水超采区的采水量，维持采补平衡。严格落实鉴江、九洲江、遂溪河、南渡河、袂花江等流域重要控制断面生态流量保障目标，加快推进鹤地水库恢复正常蓄水位。</w:t>
                  </w:r>
                </w:p>
                <w:p w14:paraId="295D5DE4">
                  <w:pPr>
                    <w:pStyle w:val="46"/>
                    <w:rPr>
                      <w:color w:val="000000" w:themeColor="text1"/>
                      <w14:textFill>
                        <w14:solidFill>
                          <w14:schemeClr w14:val="tx1"/>
                        </w14:solidFill>
                      </w14:textFill>
                    </w:rPr>
                  </w:pPr>
                  <w:r>
                    <w:rPr>
                      <w:color w:val="000000" w:themeColor="text1"/>
                      <w14:textFill>
                        <w14:solidFill>
                          <w14:schemeClr w14:val="tx1"/>
                        </w14:solidFill>
                      </w14:textFill>
                    </w:rPr>
                    <w:t>③严格落实自然岸线保有率管控目标，除国家重大项目外，全面禁止围填海。强化用地指标精细化管理，充分挖掘建设用地潜力，大幅提升土地节约集约利用效率。推动绿色矿山建设，提高矿产资源产出率。</w:t>
                  </w:r>
                </w:p>
              </w:tc>
              <w:tc>
                <w:tcPr>
                  <w:tcW w:w="3621" w:type="dxa"/>
                  <w:vAlign w:val="center"/>
                </w:tcPr>
                <w:p w14:paraId="7DE7B217">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（1）本项目不属于“两高”行业，主要使用能源资源为电能和水，</w:t>
                  </w:r>
                  <w:r>
                    <w:rPr>
                      <w:rFonts w:hint="eastAsia"/>
                      <w:color w:val="000000" w:themeColor="text1"/>
                      <w14:textFill>
                        <w14:solidFill>
                          <w14:schemeClr w14:val="tx1"/>
                        </w14:solidFill>
                      </w14:textFill>
                    </w:rPr>
                    <w:t>水</w:t>
                  </w:r>
                  <w:r>
                    <w:rPr>
                      <w:color w:val="000000" w:themeColor="text1"/>
                      <w14:textFill>
                        <w14:solidFill>
                          <w14:schemeClr w14:val="tx1"/>
                        </w14:solidFill>
                      </w14:textFill>
                    </w:rPr>
                    <w:t>电</w:t>
                  </w:r>
                  <w:r>
                    <w:rPr>
                      <w:rFonts w:hint="eastAsia"/>
                      <w:color w:val="000000" w:themeColor="text1"/>
                      <w14:textFill>
                        <w14:solidFill>
                          <w14:schemeClr w14:val="tx1"/>
                        </w14:solidFill>
                      </w14:textFill>
                    </w:rPr>
                    <w:t>均</w:t>
                  </w:r>
                  <w:r>
                    <w:rPr>
                      <w:color w:val="000000" w:themeColor="text1"/>
                      <w14:textFill>
                        <w14:solidFill>
                          <w14:schemeClr w14:val="tx1"/>
                        </w14:solidFill>
                      </w14:textFill>
                    </w:rPr>
                    <w:t>由市政供应。项目不设锅炉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无其他供热设施，无备用发电机</w:t>
                  </w:r>
                  <w:r>
                    <w:rPr>
                      <w:rFonts w:hint="eastAsia"/>
                      <w:color w:val="000000" w:themeColor="text1"/>
                      <w14:textFill>
                        <w14:solidFill>
                          <w14:schemeClr w14:val="tx1"/>
                        </w14:solidFill>
                      </w14:textFill>
                    </w:rPr>
                    <w:t>；</w:t>
                  </w:r>
                </w:p>
                <w:p w14:paraId="3CA81A63">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）本项目年取新鲜水</w:t>
                  </w:r>
                  <w:r>
                    <w:rPr>
                      <w:rFonts w:hint="eastAsia"/>
                      <w:color w:val="000000" w:themeColor="text1"/>
                      <w14:textFill>
                        <w14:solidFill>
                          <w14:schemeClr w14:val="tx1"/>
                        </w14:solidFill>
                      </w14:textFill>
                    </w:rPr>
                    <w:t>53689.09</w:t>
                  </w:r>
                  <w:r>
                    <w:rPr>
                      <w:color w:val="000000" w:themeColor="text1"/>
                      <w14:textFill>
                        <w14:solidFill>
                          <w14:schemeClr w14:val="tx1"/>
                        </w14:solidFill>
                      </w14:textFill>
                    </w:rPr>
                    <w:t>m³/a</w:t>
                  </w:r>
                  <w:r>
                    <w:rPr>
                      <w:rFonts w:hint="eastAsia"/>
                      <w:color w:val="000000" w:themeColor="text1"/>
                      <w14:textFill>
                        <w14:solidFill>
                          <w14:schemeClr w14:val="tx1"/>
                        </w14:solidFill>
                      </w14:textFill>
                    </w:rPr>
                    <w:t>，由市政管网供水；</w:t>
                  </w:r>
                </w:p>
                <w:p w14:paraId="18090F86">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）项目不临近海岸线，无围填海项目，不属于矿产开采项目。</w:t>
                  </w:r>
                </w:p>
              </w:tc>
              <w:tc>
                <w:tcPr>
                  <w:tcW w:w="249" w:type="dxa"/>
                  <w:vAlign w:val="center"/>
                </w:tcPr>
                <w:p w14:paraId="2EA54D11">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r w14:paraId="22CC52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 w:hRule="atLeast"/>
              </w:trPr>
              <w:tc>
                <w:tcPr>
                  <w:tcW w:w="365" w:type="dxa"/>
                  <w:vAlign w:val="center"/>
                </w:tcPr>
                <w:p w14:paraId="50D16326">
                  <w:pPr>
                    <w:pStyle w:val="46"/>
                    <w:rPr>
                      <w:color w:val="000000" w:themeColor="text1"/>
                      <w14:textFill>
                        <w14:solidFill>
                          <w14:schemeClr w14:val="tx1"/>
                        </w14:solidFill>
                      </w14:textFill>
                    </w:rPr>
                  </w:pPr>
                  <w:r>
                    <w:rPr>
                      <w:color w:val="000000" w:themeColor="text1"/>
                      <w14:textFill>
                        <w14:solidFill>
                          <w14:schemeClr w14:val="tx1"/>
                        </w14:solidFill>
                      </w14:textFill>
                    </w:rPr>
                    <w:t>污染物排放管控要求</w:t>
                  </w:r>
                </w:p>
              </w:tc>
              <w:tc>
                <w:tcPr>
                  <w:tcW w:w="3038" w:type="dxa"/>
                  <w:vAlign w:val="center"/>
                </w:tcPr>
                <w:p w14:paraId="0BD583D9">
                  <w:pPr>
                    <w:pStyle w:val="46"/>
                    <w:rPr>
                      <w:color w:val="000000" w:themeColor="text1"/>
                      <w14:textFill>
                        <w14:solidFill>
                          <w14:schemeClr w14:val="tx1"/>
                        </w14:solidFill>
                      </w14:textFill>
                    </w:rPr>
                  </w:pPr>
                  <w:r>
                    <w:rPr>
                      <w:color w:val="000000" w:themeColor="text1"/>
                      <w14:textFill>
                        <w14:solidFill>
                          <w14:schemeClr w14:val="tx1"/>
                        </w14:solidFill>
                      </w14:textFill>
                    </w:rPr>
                    <w:t>①实施重点污染物总量控制，新建项目原则上实施氮氧化物和挥发性有机物等量替代或减量替代；超过重点污染物排放总量控制指标或未完成环境质量改善目标的区域，新建、改建和扩建项目实施重点污染物减量替代。新建、改建和扩建石化、煤化工、燃煤发电(含热电)、钢铁、有色金属冶炼、制浆造纸等行业项目应满足区域、流域控制单元环境质量改善目标管理要求。</w:t>
                  </w:r>
                </w:p>
                <w:p w14:paraId="192FC38C">
                  <w:pPr>
                    <w:pStyle w:val="46"/>
                    <w:rPr>
                      <w:color w:val="000000" w:themeColor="text1"/>
                      <w14:textFill>
                        <w14:solidFill>
                          <w14:schemeClr w14:val="tx1"/>
                        </w14:solidFill>
                      </w14:textFill>
                    </w:rPr>
                  </w:pPr>
                  <w:r>
                    <w:rPr>
                      <w:color w:val="000000" w:themeColor="text1"/>
                      <w14:textFill>
                        <w14:solidFill>
                          <w14:schemeClr w14:val="tx1"/>
                        </w14:solidFill>
                      </w14:textFill>
                    </w:rPr>
                    <w:t>②实施重点行业清洁化改造，火电及钢铁行业企业大气污染物达到可核查、可监管的超低排放标准，石化、化工及有色金属冶炼等行业企业严格执行大气污染物特别排放限值。实施工业炉窑降碳减污综合治理，推动工业炉窑燃料清洁低碳化替代、废气治理设施升级改造、全过程无组织排放管控。逐步开展35蒸吨及以上燃气锅炉低氮燃烧改造，新建燃气锅炉配套有效脱硝措施，减少氮氧化物排放。严格实施涉VOCs排放行业企业分级和清单化管控。加强石化、化工、包装印刷、制鞋、表面涂装、家具等重点行业VOCs深度治理，推动源头、过程和末端的VOCs全过程控制。涉VOCs重点行业新建、改建和扩建项目不推荐使用光氧化、光催化、低温等离子等低效治理设施，已建项目逐步淘汰光氧化、光催化、低温等离子等治理措施。鼓励东海岛石化产业园等石化园区建设VOCs自动监测和组分分析站点。</w:t>
                  </w:r>
                </w:p>
                <w:p w14:paraId="586D8FAD">
                  <w:pPr>
                    <w:pStyle w:val="46"/>
                    <w:rPr>
                      <w:color w:val="000000" w:themeColor="text1"/>
                      <w14:textFill>
                        <w14:solidFill>
                          <w14:schemeClr w14:val="tx1"/>
                        </w14:solidFill>
                      </w14:textFill>
                    </w:rPr>
                  </w:pPr>
                  <w:r>
                    <w:rPr>
                      <w:color w:val="000000" w:themeColor="text1"/>
                      <w14:textFill>
                        <w14:solidFill>
                          <w14:schemeClr w14:val="tx1"/>
                        </w14:solidFill>
                      </w14:textFill>
                    </w:rPr>
                    <w:t>③地表水I、Ⅱ类水域，以及Ⅲ类水域中的保护区、游泳区，禁止新建排污口，已建成的排污口应当实行污染物总量控制且不得增加污染物排放量；饮用水水源保护区内已建的排污口应当依法拆除。严格执行小东江流域水污染物排放标准。东海岛石化产业园、湛江钢铁基地、森工产业园等专业园区或基地应不断提升工艺水平，提高中水回用率，逐步削减水污染物排放总量。实施城镇生活污水处理提质增效，加快补齐生活污水收集和处理设施短板，稳步提升城市生活污水集中收集率和污水处理厂进水生化需氧量(BOD)浓度。因地制宜推进农村生活污水治理。持续推进化肥、农药减量增效，深入推进测土配方施肥和农作物病虫害统防统治与绿色防控。严格畜禽养殖禁养区管理，加强畜禽养殖废弃物资源化利用，到2025年，全市畜禽粪污综合利用率达到80%以上，规模化养殖场粪污处理设施装备配套基本实现全覆盖。</w:t>
                  </w:r>
                </w:p>
                <w:p w14:paraId="7E2DB410">
                  <w:pPr>
                    <w:pStyle w:val="46"/>
                    <w:rPr>
                      <w:color w:val="000000" w:themeColor="text1"/>
                      <w14:textFill>
                        <w14:solidFill>
                          <w14:schemeClr w14:val="tx1"/>
                        </w14:solidFill>
                      </w14:textFill>
                    </w:rPr>
                  </w:pPr>
                  <w:r>
                    <w:rPr>
                      <w:color w:val="000000" w:themeColor="text1"/>
                      <w14:textFill>
                        <w14:solidFill>
                          <w14:schemeClr w14:val="tx1"/>
                        </w14:solidFill>
                      </w14:textFill>
                    </w:rPr>
                    <w:t>④统筹陆海污染治理，加强湛江港、雷州湾、博茂港湾等重点海湾陆源污染控制和环境综合整治。新建、改建、扩建的入海排污口纳入备案管理。严格控制近海养殖密度，科学划定高位池禁养区，开展高位池养殖排查和分类整治，推动养殖尾水达标排放或资源化利用。</w:t>
                  </w:r>
                </w:p>
              </w:tc>
              <w:tc>
                <w:tcPr>
                  <w:tcW w:w="3621" w:type="dxa"/>
                  <w:vAlign w:val="center"/>
                </w:tcPr>
                <w:p w14:paraId="3A61D04F">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（1）本项目所属行业类别为“C3039 其他建筑材料制造”</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使用花岗岩石子生产</w:t>
                  </w:r>
                  <w:r>
                    <w:rPr>
                      <w:rFonts w:hint="eastAsia"/>
                      <w:color w:val="000000" w:themeColor="text1"/>
                      <w14:textFill>
                        <w14:solidFill>
                          <w14:schemeClr w14:val="tx1"/>
                        </w14:solidFill>
                      </w14:textFill>
                    </w:rPr>
                    <w:t>碎石及</w:t>
                  </w:r>
                  <w:r>
                    <w:rPr>
                      <w:color w:val="000000" w:themeColor="text1"/>
                      <w14:textFill>
                        <w14:solidFill>
                          <w14:schemeClr w14:val="tx1"/>
                        </w14:solidFill>
                      </w14:textFill>
                    </w:rPr>
                    <w:t>机制砂。运营期主要大气污染物为颗粒物</w:t>
                  </w:r>
                  <w:r>
                    <w:rPr>
                      <w:rFonts w:hint="eastAsia"/>
                      <w:color w:val="000000" w:themeColor="text1"/>
                      <w14:textFill>
                        <w14:solidFill>
                          <w14:schemeClr w14:val="tx1"/>
                        </w14:solidFill>
                      </w14:textFill>
                    </w:rPr>
                    <w:t>、油烟，不涉及VOCs；</w:t>
                  </w:r>
                </w:p>
                <w:p w14:paraId="55814256">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）项目不涉及使用锅炉，同时无其他供热设施</w:t>
                  </w:r>
                  <w:r>
                    <w:rPr>
                      <w:rFonts w:hint="eastAsia"/>
                      <w:color w:val="000000" w:themeColor="text1"/>
                      <w14:textFill>
                        <w14:solidFill>
                          <w14:schemeClr w14:val="tx1"/>
                        </w14:solidFill>
                      </w14:textFill>
                    </w:rPr>
                    <w:t>；</w:t>
                  </w:r>
                </w:p>
                <w:p w14:paraId="5ADABCB3">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）本项目废水不外排，生产废水和初期雨水经收集处理后回用于生产</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本项目生活</w:t>
                  </w:r>
                  <w:r>
                    <w:rPr>
                      <w:rFonts w:hint="eastAsia"/>
                      <w:color w:val="000000" w:themeColor="text1"/>
                      <w14:textFill>
                        <w14:solidFill>
                          <w14:schemeClr w14:val="tx1"/>
                        </w14:solidFill>
                      </w14:textFill>
                    </w:rPr>
                    <w:t>污水经三级化粪池/三级隔油池+一体化A/O生化装置处理后回用于周边林地灌溉；</w:t>
                  </w:r>
                </w:p>
                <w:p w14:paraId="1486089B">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）本项目不涉及畜禽养殖</w:t>
                  </w:r>
                  <w:r>
                    <w:rPr>
                      <w:rFonts w:hint="eastAsia"/>
                      <w:color w:val="000000" w:themeColor="text1"/>
                      <w14:textFill>
                        <w14:solidFill>
                          <w14:schemeClr w14:val="tx1"/>
                        </w14:solidFill>
                      </w14:textFill>
                    </w:rPr>
                    <w:t>；</w:t>
                  </w:r>
                </w:p>
                <w:p w14:paraId="7504D329">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）本项目废水不外排，无排放口，不涉及建设入海排放口，不涉及养殖尾水排放。</w:t>
                  </w:r>
                </w:p>
              </w:tc>
              <w:tc>
                <w:tcPr>
                  <w:tcW w:w="249" w:type="dxa"/>
                  <w:vAlign w:val="center"/>
                </w:tcPr>
                <w:p w14:paraId="5525B63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相符</w:t>
                  </w:r>
                </w:p>
              </w:tc>
            </w:tr>
            <w:tr w14:paraId="2B9AA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365" w:type="dxa"/>
                  <w:vAlign w:val="center"/>
                </w:tcPr>
                <w:p w14:paraId="1389594E">
                  <w:pPr>
                    <w:pStyle w:val="46"/>
                    <w:rPr>
                      <w:color w:val="000000" w:themeColor="text1"/>
                      <w14:textFill>
                        <w14:solidFill>
                          <w14:schemeClr w14:val="tx1"/>
                        </w14:solidFill>
                      </w14:textFill>
                    </w:rPr>
                  </w:pPr>
                  <w:r>
                    <w:rPr>
                      <w:color w:val="000000" w:themeColor="text1"/>
                      <w14:textFill>
                        <w14:solidFill>
                          <w14:schemeClr w14:val="tx1"/>
                        </w14:solidFill>
                      </w14:textFill>
                    </w:rPr>
                    <w:t>环境风险防控要求</w:t>
                  </w:r>
                </w:p>
              </w:tc>
              <w:tc>
                <w:tcPr>
                  <w:tcW w:w="3038" w:type="dxa"/>
                  <w:vAlign w:val="center"/>
                </w:tcPr>
                <w:p w14:paraId="1733AEC6">
                  <w:pPr>
                    <w:pStyle w:val="46"/>
                    <w:rPr>
                      <w:color w:val="000000" w:themeColor="text1"/>
                      <w14:textFill>
                        <w14:solidFill>
                          <w14:schemeClr w14:val="tx1"/>
                        </w14:solidFill>
                      </w14:textFill>
                    </w:rPr>
                  </w:pPr>
                  <w:r>
                    <w:rPr>
                      <w:color w:val="000000" w:themeColor="text1"/>
                      <w14:textFill>
                        <w14:solidFill>
                          <w14:schemeClr w14:val="tx1"/>
                        </w14:solidFill>
                      </w14:textFill>
                    </w:rPr>
                    <w:t>①深化粤桂鹤地水库-九洲江流域，湛茂小东江、袂花江等跨界流域水环境污染联防联治机制，共同打击跨区域、跨流域环境违法行为。加强南渡河、雷州青年运河等供水通道干流沿岸以及饮用水水源地、备用水源环境风险防控，提高地下水饮用水水源地规范化整治水平，建立完善突发环境事件应急管理体系。</w:t>
                  </w:r>
                </w:p>
                <w:p w14:paraId="34C4A691">
                  <w:pPr>
                    <w:pStyle w:val="46"/>
                    <w:rPr>
                      <w:color w:val="000000" w:themeColor="text1"/>
                      <w14:textFill>
                        <w14:solidFill>
                          <w14:schemeClr w14:val="tx1"/>
                        </w14:solidFill>
                      </w14:textFill>
                    </w:rPr>
                  </w:pPr>
                  <w:r>
                    <w:rPr>
                      <w:color w:val="000000" w:themeColor="text1"/>
                      <w14:textFill>
                        <w14:solidFill>
                          <w14:schemeClr w14:val="tx1"/>
                        </w14:solidFill>
                      </w14:textFill>
                    </w:rPr>
                    <w:t>②加强湛江临港大型工业园、霞山临港产业转移工业园等涉危险化学品和有毒有害气体的工业园区的环境风险防控，开展有毒有害气体监测，落实环境风险应急预案。加强环境风险分级分类管理，强化化工企业、涉重金属行业和尾矿库等重点环境风险源的环境风险防控。鼓励东海岛石化产业园、湛江钢铁基地、森工产业园等专业园区或基地结合实际配套建设危险废物集中贮存、预处理和处置设施。</w:t>
                  </w:r>
                </w:p>
                <w:p w14:paraId="7736CAD6">
                  <w:pPr>
                    <w:pStyle w:val="46"/>
                    <w:rPr>
                      <w:color w:val="000000" w:themeColor="text1"/>
                      <w14:textFill>
                        <w14:solidFill>
                          <w14:schemeClr w14:val="tx1"/>
                        </w14:solidFill>
                      </w14:textFill>
                    </w:rPr>
                  </w:pPr>
                  <w:r>
                    <w:rPr>
                      <w:color w:val="000000" w:themeColor="text1"/>
                      <w14:textFill>
                        <w14:solidFill>
                          <w14:schemeClr w14:val="tx1"/>
                        </w14:solidFill>
                      </w14:textFill>
                    </w:rPr>
                    <w:t>③实施农用地分类管理，依法划定特定农产品禁止生产区域，加快受污染耕地的安全利用与严格管控，加强农产品检测，严格控制重金属超标风险。加强土壤污染重点监管单位规范化管理，严格落实污染隐患排查、自行监测、拆除活动污染防治、排污许可制度等。规范受污染地块准入管理。</w:t>
                  </w:r>
                </w:p>
              </w:tc>
              <w:tc>
                <w:tcPr>
                  <w:tcW w:w="3621" w:type="dxa"/>
                  <w:vAlign w:val="center"/>
                </w:tcPr>
                <w:p w14:paraId="0C105C7F">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（1）本项目属九洲江流域，项目所在地不涉及饮用水源地</w:t>
                  </w:r>
                  <w:r>
                    <w:rPr>
                      <w:rFonts w:hint="eastAsia"/>
                      <w:color w:val="000000" w:themeColor="text1"/>
                      <w14:textFill>
                        <w14:solidFill>
                          <w14:schemeClr w14:val="tx1"/>
                        </w14:solidFill>
                      </w14:textFill>
                    </w:rPr>
                    <w:t>；</w:t>
                  </w:r>
                </w:p>
                <w:p w14:paraId="6AB92536">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）项目建成后，严格落实环境风险防范措施与应急措施，定期开展应急培训及演练，切实保障区域环境安全</w:t>
                  </w:r>
                  <w:r>
                    <w:rPr>
                      <w:rFonts w:hint="eastAsia"/>
                      <w:color w:val="000000" w:themeColor="text1"/>
                      <w14:textFill>
                        <w14:solidFill>
                          <w14:schemeClr w14:val="tx1"/>
                        </w14:solidFill>
                      </w14:textFill>
                    </w:rPr>
                    <w:t>；</w:t>
                  </w:r>
                </w:p>
                <w:p w14:paraId="5BD587D8">
                  <w:pPr>
                    <w:pStyle w:val="46"/>
                    <w:jc w:val="both"/>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）本项目不涉及农产品生产。</w:t>
                  </w:r>
                </w:p>
              </w:tc>
              <w:tc>
                <w:tcPr>
                  <w:tcW w:w="249" w:type="dxa"/>
                  <w:vAlign w:val="center"/>
                </w:tcPr>
                <w:p w14:paraId="29C953A5">
                  <w:pPr>
                    <w:pStyle w:val="46"/>
                    <w:rPr>
                      <w:color w:val="000000" w:themeColor="text1"/>
                      <w14:textFill>
                        <w14:solidFill>
                          <w14:schemeClr w14:val="tx1"/>
                        </w14:solidFill>
                      </w14:textFill>
                    </w:rPr>
                  </w:pPr>
                  <w:r>
                    <w:rPr>
                      <w:color w:val="000000" w:themeColor="text1"/>
                      <w14:textFill>
                        <w14:solidFill>
                          <w14:schemeClr w14:val="tx1"/>
                        </w14:solidFill>
                      </w14:textFill>
                    </w:rPr>
                    <w:t>相符</w:t>
                  </w:r>
                </w:p>
              </w:tc>
            </w:tr>
          </w:tbl>
          <w:p w14:paraId="6672E510">
            <w:pPr>
              <w:pStyle w:val="9"/>
              <w:spacing w:before="0" w:after="0" w:line="360" w:lineRule="auto"/>
              <w:ind w:right="0" w:firstLine="420" w:firstLineChars="200"/>
              <w:jc w:val="left"/>
              <w:rPr>
                <w:color w:val="000000" w:themeColor="text1"/>
                <w14:textFill>
                  <w14:solidFill>
                    <w14:schemeClr w14:val="tx1"/>
                  </w14:solidFill>
                </w14:textFill>
              </w:rPr>
            </w:pPr>
            <w:r>
              <w:rPr>
                <w:color w:val="000000" w:themeColor="text1"/>
                <w:sz w:val="21"/>
                <w:szCs w:val="21"/>
                <w14:textFill>
                  <w14:solidFill>
                    <w14:schemeClr w14:val="tx1"/>
                  </w14:solidFill>
                </w14:textFill>
              </w:rPr>
              <w:t>综上，项目的建设符合《湛江市“三线一单”生态环境分区管控方案》 及《湛江市2023年“三线一单”生态环境分区管控成果更新调整成果》相关要求。</w:t>
            </w:r>
          </w:p>
          <w:p w14:paraId="60CA9058">
            <w:pPr>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青平营仔-长山-石颈镇一般管控单元管控要求相符性分析</w:t>
            </w:r>
            <w:r>
              <w:rPr>
                <w:rFonts w:hint="eastAsia"/>
                <w:color w:val="000000" w:themeColor="text1"/>
                <w14:textFill>
                  <w14:solidFill>
                    <w14:schemeClr w14:val="tx1"/>
                  </w14:solidFill>
                </w14:textFill>
              </w:rPr>
              <w:t>如下表所示。</w:t>
            </w:r>
          </w:p>
        </w:tc>
      </w:tr>
    </w:tbl>
    <w:p w14:paraId="4FE442BF">
      <w:pPr>
        <w:spacing w:line="360" w:lineRule="auto"/>
        <w:outlineLvl w:val="0"/>
        <w:rPr>
          <w:rFonts w:eastAsia="黑体"/>
          <w:color w:val="000000" w:themeColor="text1"/>
          <w:sz w:val="30"/>
          <w14:textFill>
            <w14:solidFill>
              <w14:schemeClr w14:val="tx1"/>
            </w14:solidFill>
          </w14:textFill>
        </w:rPr>
        <w:sectPr>
          <w:footerReference r:id="rId5" w:type="default"/>
          <w:pgSz w:w="11905" w:h="16838"/>
          <w:pgMar w:top="1587" w:right="1417" w:bottom="1587" w:left="1417" w:header="850" w:footer="1077" w:gutter="0"/>
          <w:pgNumType w:start="1"/>
          <w:cols w:space="720" w:num="1"/>
          <w:docGrid w:linePitch="312" w:charSpace="0"/>
        </w:sectPr>
      </w:pP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3266"/>
      </w:tblGrid>
      <w:tr w14:paraId="02E1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21" w:hRule="atLeast"/>
        </w:trPr>
        <w:tc>
          <w:tcPr>
            <w:tcW w:w="614" w:type="dxa"/>
            <w:vAlign w:val="center"/>
          </w:tcPr>
          <w:p w14:paraId="02E16CA3">
            <w:pPr>
              <w:pStyle w:val="42"/>
              <w:spacing w:line="240" w:lineRule="auto"/>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其他相符性分析</w:t>
            </w:r>
          </w:p>
        </w:tc>
        <w:tc>
          <w:tcPr>
            <w:tcW w:w="13266" w:type="dxa"/>
          </w:tcPr>
          <w:p w14:paraId="1D115520">
            <w:pPr>
              <w:pStyle w:val="4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与</w:t>
            </w:r>
            <w:r>
              <w:rPr>
                <w:rFonts w:hint="eastAsia"/>
                <w:color w:val="000000" w:themeColor="text1"/>
                <w14:textFill>
                  <w14:solidFill>
                    <w14:schemeClr w14:val="tx1"/>
                  </w14:solidFill>
                </w14:textFill>
              </w:rPr>
              <w:t>青平营仔-长山-石颈镇一般管控单元</w:t>
            </w:r>
            <w:r>
              <w:rPr>
                <w:color w:val="000000" w:themeColor="text1"/>
                <w14:textFill>
                  <w14:solidFill>
                    <w14:schemeClr w14:val="tx1"/>
                  </w14:solidFill>
                </w14:textFill>
              </w:rPr>
              <w:t>相符性分析一览表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4548"/>
              <w:gridCol w:w="7354"/>
              <w:gridCol w:w="484"/>
            </w:tblGrid>
            <w:tr w14:paraId="5BFA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0" w:type="auto"/>
                  <w:shd w:val="clear" w:color="auto" w:fill="D9D9D9"/>
                  <w:vAlign w:val="center"/>
                </w:tcPr>
                <w:p w14:paraId="3CFB710A">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内容</w:t>
                  </w:r>
                </w:p>
              </w:tc>
              <w:tc>
                <w:tcPr>
                  <w:tcW w:w="0" w:type="auto"/>
                  <w:shd w:val="clear" w:color="auto" w:fill="D9D9D9"/>
                  <w:vAlign w:val="center"/>
                </w:tcPr>
                <w:p w14:paraId="152C50E5">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管控要求</w:t>
                  </w:r>
                </w:p>
              </w:tc>
              <w:tc>
                <w:tcPr>
                  <w:tcW w:w="0" w:type="auto"/>
                  <w:shd w:val="clear" w:color="auto" w:fill="D9D9D9"/>
                  <w:vAlign w:val="center"/>
                </w:tcPr>
                <w:p w14:paraId="602826E0">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本项目情况</w:t>
                  </w:r>
                </w:p>
              </w:tc>
              <w:tc>
                <w:tcPr>
                  <w:tcW w:w="0" w:type="auto"/>
                  <w:shd w:val="clear" w:color="auto" w:fill="D9D9D9"/>
                  <w:vAlign w:val="center"/>
                </w:tcPr>
                <w:p w14:paraId="7F68365D">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相符性</w:t>
                  </w:r>
                </w:p>
              </w:tc>
            </w:tr>
            <w:tr w14:paraId="13FEA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357C5C3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区域布局管控</w:t>
                  </w:r>
                </w:p>
              </w:tc>
              <w:tc>
                <w:tcPr>
                  <w:tcW w:w="0" w:type="auto"/>
                  <w:vAlign w:val="center"/>
                </w:tcPr>
                <w:p w14:paraId="7EEA69F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1-1.【产业/鼓励引导类】单元内鼓励发挥资源优势集约发展生态农业，鼓励发展农业贸易等现代服务业，推动传统建材、农副食品加工等行业绿色转型。</w:t>
                  </w:r>
                </w:p>
              </w:tc>
              <w:tc>
                <w:tcPr>
                  <w:tcW w:w="0" w:type="auto"/>
                  <w:vAlign w:val="center"/>
                </w:tcPr>
                <w:p w14:paraId="01F02D95">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本项目属于其他非金属矿物制品制造行业，符合相关产业政策。</w:t>
                  </w:r>
                </w:p>
              </w:tc>
              <w:tc>
                <w:tcPr>
                  <w:tcW w:w="0" w:type="auto"/>
                  <w:vAlign w:val="center"/>
                </w:tcPr>
                <w:p w14:paraId="7611628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02BE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2B97ADCF">
                  <w:pPr>
                    <w:pStyle w:val="44"/>
                    <w:rPr>
                      <w:rFonts w:hint="default"/>
                      <w:color w:val="000000" w:themeColor="text1"/>
                      <w14:textFill>
                        <w14:solidFill>
                          <w14:schemeClr w14:val="tx1"/>
                        </w14:solidFill>
                      </w14:textFill>
                    </w:rPr>
                  </w:pPr>
                </w:p>
              </w:tc>
              <w:tc>
                <w:tcPr>
                  <w:tcW w:w="0" w:type="auto"/>
                  <w:vAlign w:val="center"/>
                </w:tcPr>
                <w:p w14:paraId="74F3B410">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1-2.【大气/限制类】大气环境弱扩散重点管控区，限制引入大气污染物排放较大的建设项目。</w:t>
                  </w:r>
                </w:p>
              </w:tc>
              <w:tc>
                <w:tcPr>
                  <w:tcW w:w="0" w:type="auto"/>
                  <w:vAlign w:val="center"/>
                </w:tcPr>
                <w:p w14:paraId="444FD029">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本项目不属于大气污染物排放较大的建设项目，主要大气污染物为颗粒物、油烟。</w:t>
                  </w:r>
                </w:p>
              </w:tc>
              <w:tc>
                <w:tcPr>
                  <w:tcW w:w="0" w:type="auto"/>
                  <w:vAlign w:val="center"/>
                </w:tcPr>
                <w:p w14:paraId="44F18298">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4BC8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2F936832">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能源资源利用</w:t>
                  </w:r>
                </w:p>
              </w:tc>
              <w:tc>
                <w:tcPr>
                  <w:tcW w:w="0" w:type="auto"/>
                  <w:vAlign w:val="center"/>
                </w:tcPr>
                <w:p w14:paraId="4511246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2-1.【能源/综合类】优化能源结构，加强能源消费总量和节能降耗的源头控制。</w:t>
                  </w:r>
                </w:p>
              </w:tc>
              <w:tc>
                <w:tcPr>
                  <w:tcW w:w="0" w:type="auto"/>
                  <w:vAlign w:val="center"/>
                </w:tcPr>
                <w:p w14:paraId="3DAF3ECB">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本项目用能主要为电能，由市政电网供应。</w:t>
                  </w:r>
                </w:p>
              </w:tc>
              <w:tc>
                <w:tcPr>
                  <w:tcW w:w="0" w:type="auto"/>
                  <w:vAlign w:val="center"/>
                </w:tcPr>
                <w:p w14:paraId="0708B962">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214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001DA038">
                  <w:pPr>
                    <w:pStyle w:val="44"/>
                    <w:rPr>
                      <w:rFonts w:hint="default"/>
                      <w:color w:val="000000" w:themeColor="text1"/>
                      <w14:textFill>
                        <w14:solidFill>
                          <w14:schemeClr w14:val="tx1"/>
                        </w14:solidFill>
                      </w14:textFill>
                    </w:rPr>
                  </w:pPr>
                </w:p>
              </w:tc>
              <w:tc>
                <w:tcPr>
                  <w:tcW w:w="0" w:type="auto"/>
                  <w:vAlign w:val="center"/>
                </w:tcPr>
                <w:p w14:paraId="0B984469">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2-2.【水资源/限制类】贯彻落实“节水优先”方针，严格实施水资源消耗总量和强度“双控”。</w:t>
                  </w:r>
                </w:p>
              </w:tc>
              <w:tc>
                <w:tcPr>
                  <w:tcW w:w="0" w:type="auto"/>
                  <w:vAlign w:val="center"/>
                </w:tcPr>
                <w:p w14:paraId="6B852F3C">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本项目由市政管网供水，生产系统废水经污水池收集至浓密罐处理后、初期雨水经雨水池收集处理后回用于生产系统用水，不外排；生活污水经处理后回用于周边林地灌溉。</w:t>
                  </w:r>
                </w:p>
              </w:tc>
              <w:tc>
                <w:tcPr>
                  <w:tcW w:w="0" w:type="auto"/>
                  <w:vAlign w:val="center"/>
                </w:tcPr>
                <w:p w14:paraId="6F71F6C3">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0D57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69E51EE6">
                  <w:pPr>
                    <w:pStyle w:val="44"/>
                    <w:rPr>
                      <w:rFonts w:hint="default"/>
                      <w:color w:val="000000" w:themeColor="text1"/>
                      <w14:textFill>
                        <w14:solidFill>
                          <w14:schemeClr w14:val="tx1"/>
                        </w14:solidFill>
                      </w14:textFill>
                    </w:rPr>
                  </w:pPr>
                </w:p>
              </w:tc>
              <w:tc>
                <w:tcPr>
                  <w:tcW w:w="0" w:type="auto"/>
                  <w:vAlign w:val="center"/>
                </w:tcPr>
                <w:p w14:paraId="15DF41AA">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2-3.【土地资源/禁止类】严禁占用永久基本农田挖塘造湖、植树造林、建绿色通道、堆放固体废弃物及其他毁坏永久基本农田种植条件和破坏永久基本农田的行为。</w:t>
                  </w:r>
                </w:p>
              </w:tc>
              <w:tc>
                <w:tcPr>
                  <w:tcW w:w="0" w:type="auto"/>
                  <w:vAlign w:val="center"/>
                </w:tcPr>
                <w:p w14:paraId="30E6D4A6">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根据廉江市自然资源局《关于新建合浦至湛江铁路(广东段)站前工程HZGDSG-1标项目经理部材料堆场临时用地的的批复》（廉自然资(临用)[2025]7号）（见附件5）及廉江市林业局《临时占用林地审批同意书》（廉林地许准〔2025〕5号）（见附件6），本项目用地符合土地利用规划，不涉及占用永久基本永田。</w:t>
                  </w:r>
                </w:p>
              </w:tc>
              <w:tc>
                <w:tcPr>
                  <w:tcW w:w="0" w:type="auto"/>
                  <w:vAlign w:val="center"/>
                </w:tcPr>
                <w:p w14:paraId="2278BF7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0CA2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62919AF4">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污染物排放管控</w:t>
                  </w:r>
                </w:p>
              </w:tc>
              <w:tc>
                <w:tcPr>
                  <w:tcW w:w="0" w:type="auto"/>
                  <w:vAlign w:val="center"/>
                </w:tcPr>
                <w:p w14:paraId="06F27DFA">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3-1.【水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综合类】加快补齐镇级污水收集和处理设施短板，因地制宜建设农村生活污水处理设施。</w:t>
                  </w:r>
                </w:p>
              </w:tc>
              <w:tc>
                <w:tcPr>
                  <w:tcW w:w="0" w:type="auto"/>
                  <w:vAlign w:val="center"/>
                </w:tcPr>
                <w:p w14:paraId="1FD7928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本项目不涉及。</w:t>
                  </w:r>
                </w:p>
              </w:tc>
              <w:tc>
                <w:tcPr>
                  <w:tcW w:w="0" w:type="auto"/>
                  <w:vAlign w:val="center"/>
                </w:tcPr>
                <w:p w14:paraId="2C1DDD93">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6076F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371F5A0F">
                  <w:pPr>
                    <w:pStyle w:val="44"/>
                    <w:rPr>
                      <w:rFonts w:hint="default"/>
                      <w:color w:val="000000" w:themeColor="text1"/>
                      <w14:textFill>
                        <w14:solidFill>
                          <w14:schemeClr w14:val="tx1"/>
                        </w14:solidFill>
                      </w14:textFill>
                    </w:rPr>
                  </w:pPr>
                </w:p>
              </w:tc>
              <w:tc>
                <w:tcPr>
                  <w:tcW w:w="0" w:type="auto"/>
                  <w:vAlign w:val="center"/>
                </w:tcPr>
                <w:p w14:paraId="48CEBA0E">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3-2.</w:t>
                  </w:r>
                  <w:r>
                    <w:rPr>
                      <w:color w:val="000000" w:themeColor="text1"/>
                      <w14:textFill>
                        <w14:solidFill>
                          <w14:schemeClr w14:val="tx1"/>
                        </w14:solidFill>
                      </w14:textFill>
                    </w:rPr>
                    <w:t>【水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限制类】城镇污水处理设施出水执行《城镇污水处理厂污染物排放标准》（</w:t>
                  </w:r>
                  <w:r>
                    <w:rPr>
                      <w:rFonts w:hint="default"/>
                      <w:color w:val="000000" w:themeColor="text1"/>
                      <w14:textFill>
                        <w14:solidFill>
                          <w14:schemeClr w14:val="tx1"/>
                        </w14:solidFill>
                      </w14:textFill>
                    </w:rPr>
                    <w:t>GB18918</w:t>
                  </w:r>
                  <w:r>
                    <w:rPr>
                      <w:color w:val="000000" w:themeColor="text1"/>
                      <w14:textFill>
                        <w14:solidFill>
                          <w14:schemeClr w14:val="tx1"/>
                        </w14:solidFill>
                      </w14:textFill>
                    </w:rPr>
                    <w:t>）一级</w:t>
                  </w:r>
                  <w:r>
                    <w:rPr>
                      <w:rFonts w:hint="default"/>
                      <w:color w:val="000000" w:themeColor="text1"/>
                      <w14:textFill>
                        <w14:solidFill>
                          <w14:schemeClr w14:val="tx1"/>
                        </w14:solidFill>
                      </w14:textFill>
                    </w:rPr>
                    <w:t>A</w:t>
                  </w:r>
                  <w:r>
                    <w:rPr>
                      <w:color w:val="000000" w:themeColor="text1"/>
                      <w14:textFill>
                        <w14:solidFill>
                          <w14:schemeClr w14:val="tx1"/>
                        </w14:solidFill>
                      </w14:textFill>
                    </w:rPr>
                    <w:t>标准及广东省地方标准《水污染物排放限值》（</w:t>
                  </w:r>
                  <w:r>
                    <w:rPr>
                      <w:rFonts w:hint="default"/>
                      <w:color w:val="000000" w:themeColor="text1"/>
                      <w14:textFill>
                        <w14:solidFill>
                          <w14:schemeClr w14:val="tx1"/>
                        </w14:solidFill>
                      </w14:textFill>
                    </w:rPr>
                    <w:t>DB44/26</w:t>
                  </w:r>
                  <w:r>
                    <w:rPr>
                      <w:color w:val="000000" w:themeColor="text1"/>
                      <w14:textFill>
                        <w14:solidFill>
                          <w14:schemeClr w14:val="tx1"/>
                        </w14:solidFill>
                      </w14:textFill>
                    </w:rPr>
                    <w:t>）的较严值。</w:t>
                  </w:r>
                </w:p>
              </w:tc>
              <w:tc>
                <w:tcPr>
                  <w:tcW w:w="0" w:type="auto"/>
                  <w:vAlign w:val="center"/>
                </w:tcPr>
                <w:p w14:paraId="3DC4854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本项目不涉及。</w:t>
                  </w:r>
                </w:p>
              </w:tc>
              <w:tc>
                <w:tcPr>
                  <w:tcW w:w="0" w:type="auto"/>
                  <w:vAlign w:val="center"/>
                </w:tcPr>
                <w:p w14:paraId="373AA920">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2E2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4EB18D3E">
                  <w:pPr>
                    <w:pStyle w:val="44"/>
                    <w:rPr>
                      <w:rFonts w:hint="default"/>
                      <w:color w:val="000000" w:themeColor="text1"/>
                      <w14:textFill>
                        <w14:solidFill>
                          <w14:schemeClr w14:val="tx1"/>
                        </w14:solidFill>
                      </w14:textFill>
                    </w:rPr>
                  </w:pPr>
                </w:p>
              </w:tc>
              <w:tc>
                <w:tcPr>
                  <w:tcW w:w="0" w:type="auto"/>
                  <w:vAlign w:val="center"/>
                </w:tcPr>
                <w:p w14:paraId="0C846409">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3-3.</w:t>
                  </w:r>
                  <w:r>
                    <w:rPr>
                      <w:color w:val="000000" w:themeColor="text1"/>
                      <w14:textFill>
                        <w14:solidFill>
                          <w14:schemeClr w14:val="tx1"/>
                        </w14:solidFill>
                      </w14:textFill>
                    </w:rPr>
                    <w:t>【水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禁止类】禁止将不符合农用标准和环境保护标准的固体废物、废水施入农田或者排入沟渠，防止有毒有害物质污染地下水。</w:t>
                  </w:r>
                </w:p>
              </w:tc>
              <w:tc>
                <w:tcPr>
                  <w:tcW w:w="0" w:type="auto"/>
                  <w:vAlign w:val="center"/>
                </w:tcPr>
                <w:p w14:paraId="4DFE5EF2">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本项目生产系统废水经污水池收集至浓密罐处理后、初期雨水经雨水池收集处理后回用于生产系统用水，不外排；生活污水经处理后回用于周边林地灌溉。</w:t>
                  </w:r>
                </w:p>
              </w:tc>
              <w:tc>
                <w:tcPr>
                  <w:tcW w:w="0" w:type="auto"/>
                  <w:vAlign w:val="center"/>
                </w:tcPr>
                <w:p w14:paraId="328D542A">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1AF7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79FFD276">
                  <w:pPr>
                    <w:pStyle w:val="44"/>
                    <w:rPr>
                      <w:rFonts w:hint="default"/>
                      <w:color w:val="000000" w:themeColor="text1"/>
                      <w14:textFill>
                        <w14:solidFill>
                          <w14:schemeClr w14:val="tx1"/>
                        </w14:solidFill>
                      </w14:textFill>
                    </w:rPr>
                  </w:pPr>
                </w:p>
              </w:tc>
              <w:tc>
                <w:tcPr>
                  <w:tcW w:w="0" w:type="auto"/>
                  <w:vAlign w:val="center"/>
                </w:tcPr>
                <w:p w14:paraId="6639F2C6">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3-4.</w:t>
                  </w:r>
                  <w:r>
                    <w:rPr>
                      <w:color w:val="000000" w:themeColor="text1"/>
                      <w14:textFill>
                        <w14:solidFill>
                          <w14:schemeClr w14:val="tx1"/>
                        </w14:solidFill>
                      </w14:textFill>
                    </w:rPr>
                    <w:t>【水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综合类】积极推进建材、农副食品加工等行业企业清洁化改造。</w:t>
                  </w:r>
                </w:p>
              </w:tc>
              <w:tc>
                <w:tcPr>
                  <w:tcW w:w="0" w:type="auto"/>
                  <w:vAlign w:val="center"/>
                </w:tcPr>
                <w:p w14:paraId="58238426">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本项目不涉及。</w:t>
                  </w:r>
                </w:p>
              </w:tc>
              <w:tc>
                <w:tcPr>
                  <w:tcW w:w="0" w:type="auto"/>
                  <w:vAlign w:val="center"/>
                </w:tcPr>
                <w:p w14:paraId="6591870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347D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1AA4899A">
                  <w:pPr>
                    <w:pStyle w:val="44"/>
                    <w:rPr>
                      <w:rFonts w:hint="default"/>
                      <w:color w:val="000000" w:themeColor="text1"/>
                      <w14:textFill>
                        <w14:solidFill>
                          <w14:schemeClr w14:val="tx1"/>
                        </w14:solidFill>
                      </w14:textFill>
                    </w:rPr>
                  </w:pPr>
                </w:p>
              </w:tc>
              <w:tc>
                <w:tcPr>
                  <w:tcW w:w="0" w:type="auto"/>
                  <w:vAlign w:val="center"/>
                </w:tcPr>
                <w:p w14:paraId="353FA5E6">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3-5.</w:t>
                  </w:r>
                  <w:r>
                    <w:rPr>
                      <w:color w:val="000000" w:themeColor="text1"/>
                      <w14:textFill>
                        <w14:solidFill>
                          <w14:schemeClr w14:val="tx1"/>
                        </w14:solidFill>
                      </w14:textFill>
                    </w:rPr>
                    <w:t>【水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综合类】实施种植业“肥药双控”，加强畜禽养殖废弃物资源化利用，加快规模化畜禽养殖场粪便污水贮存、处理与利用配套设施建设。</w:t>
                  </w:r>
                </w:p>
              </w:tc>
              <w:tc>
                <w:tcPr>
                  <w:tcW w:w="0" w:type="auto"/>
                  <w:vAlign w:val="center"/>
                </w:tcPr>
                <w:p w14:paraId="65CC30E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本项目不涉及。</w:t>
                  </w:r>
                </w:p>
              </w:tc>
              <w:tc>
                <w:tcPr>
                  <w:tcW w:w="0" w:type="auto"/>
                  <w:vAlign w:val="center"/>
                </w:tcPr>
                <w:p w14:paraId="657E2C7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4A6A6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5BD37054">
                  <w:pPr>
                    <w:pStyle w:val="44"/>
                    <w:rPr>
                      <w:rFonts w:hint="default"/>
                      <w:color w:val="000000" w:themeColor="text1"/>
                      <w14:textFill>
                        <w14:solidFill>
                          <w14:schemeClr w14:val="tx1"/>
                        </w14:solidFill>
                      </w14:textFill>
                    </w:rPr>
                  </w:pPr>
                </w:p>
              </w:tc>
              <w:tc>
                <w:tcPr>
                  <w:tcW w:w="0" w:type="auto"/>
                  <w:vAlign w:val="center"/>
                </w:tcPr>
                <w:p w14:paraId="5989212D">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3-6.</w:t>
                  </w:r>
                  <w:r>
                    <w:rPr>
                      <w:color w:val="000000" w:themeColor="text1"/>
                      <w14:textFill>
                        <w14:solidFill>
                          <w14:schemeClr w14:val="tx1"/>
                        </w14:solidFill>
                      </w14:textFill>
                    </w:rPr>
                    <w:t>【大气</w:t>
                  </w:r>
                  <w:r>
                    <w:rPr>
                      <w:rFonts w:hint="default"/>
                      <w:color w:val="000000" w:themeColor="text1"/>
                      <w14:textFill>
                        <w14:solidFill>
                          <w14:schemeClr w14:val="tx1"/>
                        </w14:solidFill>
                      </w14:textFill>
                    </w:rPr>
                    <w:t>/</w:t>
                  </w:r>
                  <w:r>
                    <w:rPr>
                      <w:color w:val="000000" w:themeColor="text1"/>
                      <w14:textFill>
                        <w14:solidFill>
                          <w14:schemeClr w14:val="tx1"/>
                        </w14:solidFill>
                      </w14:textFill>
                    </w:rPr>
                    <w:t>限制类】建材等“两高”行业项目，大气污染物排放应满足国家和省的超低排放要求。</w:t>
                  </w:r>
                </w:p>
              </w:tc>
              <w:tc>
                <w:tcPr>
                  <w:tcW w:w="0" w:type="auto"/>
                  <w:vAlign w:val="center"/>
                </w:tcPr>
                <w:p w14:paraId="7CCAB34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本项目属于《国民经济行业分类》（GB/T4754-2017）分类中的“C3039 其他建筑材料制造”，不属于“两高”行业。</w:t>
                  </w:r>
                </w:p>
              </w:tc>
              <w:tc>
                <w:tcPr>
                  <w:tcW w:w="0" w:type="auto"/>
                  <w:vAlign w:val="center"/>
                </w:tcPr>
                <w:p w14:paraId="074DB020">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2F7C2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6F15970C">
                  <w:pPr>
                    <w:pStyle w:val="44"/>
                    <w:rPr>
                      <w:rFonts w:hint="default"/>
                      <w:color w:val="000000" w:themeColor="text1"/>
                      <w14:textFill>
                        <w14:solidFill>
                          <w14:schemeClr w14:val="tx1"/>
                        </w14:solidFill>
                      </w14:textFill>
                    </w:rPr>
                  </w:pPr>
                </w:p>
              </w:tc>
              <w:tc>
                <w:tcPr>
                  <w:tcW w:w="0" w:type="auto"/>
                  <w:vAlign w:val="center"/>
                </w:tcPr>
                <w:p w14:paraId="2A509D39">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3-7.</w:t>
                  </w:r>
                  <w:r>
                    <w:rPr>
                      <w:color w:val="000000" w:themeColor="text1"/>
                      <w14:textFill>
                        <w14:solidFill>
                          <w14:schemeClr w14:val="tx1"/>
                        </w14:solidFill>
                      </w14:textFill>
                    </w:rPr>
                    <w:t>【大气</w:t>
                  </w:r>
                  <w:r>
                    <w:rPr>
                      <w:rFonts w:hint="default"/>
                      <w:color w:val="000000" w:themeColor="text1"/>
                      <w14:textFill>
                        <w14:solidFill>
                          <w14:schemeClr w14:val="tx1"/>
                        </w14:solidFill>
                      </w14:textFill>
                    </w:rPr>
                    <w:t>/</w:t>
                  </w:r>
                  <w:r>
                    <w:rPr>
                      <w:color w:val="000000" w:themeColor="text1"/>
                      <w14:textFill>
                        <w14:solidFill>
                          <w14:schemeClr w14:val="tx1"/>
                        </w14:solidFill>
                      </w14:textFill>
                    </w:rPr>
                    <w:t>综合类】强化涉</w:t>
                  </w:r>
                  <w:r>
                    <w:rPr>
                      <w:rFonts w:hint="default"/>
                      <w:color w:val="000000" w:themeColor="text1"/>
                      <w14:textFill>
                        <w14:solidFill>
                          <w14:schemeClr w14:val="tx1"/>
                        </w14:solidFill>
                      </w14:textFill>
                    </w:rPr>
                    <w:t>VOCs</w:t>
                  </w:r>
                  <w:r>
                    <w:rPr>
                      <w:color w:val="000000" w:themeColor="text1"/>
                      <w14:textFill>
                        <w14:solidFill>
                          <w14:schemeClr w14:val="tx1"/>
                        </w14:solidFill>
                      </w14:textFill>
                    </w:rPr>
                    <w:t>排放行业企业无组织排放达标监管。</w:t>
                  </w:r>
                </w:p>
              </w:tc>
              <w:tc>
                <w:tcPr>
                  <w:tcW w:w="0" w:type="auto"/>
                  <w:vAlign w:val="center"/>
                </w:tcPr>
                <w:p w14:paraId="71AC62E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本项目主要废气为颗粒物、油烟，不涉及VOCs的排放。</w:t>
                  </w:r>
                </w:p>
              </w:tc>
              <w:tc>
                <w:tcPr>
                  <w:tcW w:w="0" w:type="auto"/>
                  <w:vAlign w:val="center"/>
                </w:tcPr>
                <w:p w14:paraId="7D5B37E4">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r w14:paraId="78D24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4A30429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环境风险防控</w:t>
                  </w:r>
                </w:p>
              </w:tc>
              <w:tc>
                <w:tcPr>
                  <w:tcW w:w="0" w:type="auto"/>
                  <w:vAlign w:val="center"/>
                </w:tcPr>
                <w:p w14:paraId="38787B78">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4-1.【风险/综合类】企业事业单位和其他生产经营者要落实环境安全主体责任，定期排查环境安全隐患，开展环境风险评估，健全风险防控措施，按规定加强突发环境事件应急预案管理。</w:t>
                  </w:r>
                </w:p>
              </w:tc>
              <w:tc>
                <w:tcPr>
                  <w:tcW w:w="0" w:type="auto"/>
                  <w:vAlign w:val="center"/>
                </w:tcPr>
                <w:p w14:paraId="01257CCB">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本项目不生产、使用、储存危险化学品。本项目制定有效的事故风险防范和应急措施，为防范污染事故发生，并避免发生事故对周围环境造成污染，确保环境安全。项目符合环境风险防控要求。</w:t>
                  </w:r>
                </w:p>
              </w:tc>
              <w:tc>
                <w:tcPr>
                  <w:tcW w:w="0" w:type="auto"/>
                  <w:vAlign w:val="center"/>
                </w:tcPr>
                <w:p w14:paraId="16313531">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符合</w:t>
                  </w:r>
                </w:p>
              </w:tc>
            </w:tr>
          </w:tbl>
          <w:p w14:paraId="3674A097">
            <w:pPr>
              <w:pStyle w:val="45"/>
              <w:rPr>
                <w:color w:val="000000" w:themeColor="text1"/>
                <w14:textFill>
                  <w14:solidFill>
                    <w14:schemeClr w14:val="tx1"/>
                  </w14:solidFill>
                </w14:textFill>
              </w:rPr>
            </w:pPr>
            <w:r>
              <w:rPr>
                <w:color w:val="000000" w:themeColor="text1"/>
                <w14:textFill>
                  <w14:solidFill>
                    <w14:schemeClr w14:val="tx1"/>
                  </w14:solidFill>
                </w14:textFill>
              </w:rPr>
              <w:t>表1-</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本项目与九洲江湛江市青平-营仔-横山-安铺镇控制单元（YS4408813210005）管控要求相符性分析一览表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5279"/>
              <w:gridCol w:w="5136"/>
              <w:gridCol w:w="986"/>
            </w:tblGrid>
            <w:tr w14:paraId="01989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D9D9D9"/>
                  <w:vAlign w:val="center"/>
                </w:tcPr>
                <w:p w14:paraId="334182DE">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类别</w:t>
                  </w:r>
                </w:p>
              </w:tc>
              <w:tc>
                <w:tcPr>
                  <w:tcW w:w="2023" w:type="pct"/>
                  <w:shd w:val="clear" w:color="auto" w:fill="D9D9D9"/>
                  <w:vAlign w:val="center"/>
                </w:tcPr>
                <w:p w14:paraId="73465975">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管控要求</w:t>
                  </w:r>
                </w:p>
              </w:tc>
              <w:tc>
                <w:tcPr>
                  <w:tcW w:w="1968" w:type="pct"/>
                  <w:shd w:val="clear" w:color="auto" w:fill="D9D9D9"/>
                  <w:vAlign w:val="center"/>
                </w:tcPr>
                <w:p w14:paraId="6CE2E366">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相符性分析</w:t>
                  </w:r>
                </w:p>
              </w:tc>
              <w:tc>
                <w:tcPr>
                  <w:tcW w:w="378" w:type="pct"/>
                  <w:shd w:val="clear" w:color="auto" w:fill="D9D9D9"/>
                  <w:vAlign w:val="center"/>
                </w:tcPr>
                <w:p w14:paraId="573AB0AC">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是否相符</w:t>
                  </w:r>
                </w:p>
              </w:tc>
            </w:tr>
            <w:tr w14:paraId="16AE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54F1114E">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区域布局管控</w:t>
                  </w:r>
                </w:p>
              </w:tc>
              <w:tc>
                <w:tcPr>
                  <w:tcW w:w="2023" w:type="pct"/>
                  <w:shd w:val="clear" w:color="auto" w:fill="auto"/>
                  <w:vAlign w:val="center"/>
                </w:tcPr>
                <w:p w14:paraId="3F31CC9B">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1-1.【水/综合类】根据水环境承载能力，引导产业科学布局，合理控制开发强度，维护水生态环境功能稳定。</w:t>
                  </w:r>
                </w:p>
              </w:tc>
              <w:tc>
                <w:tcPr>
                  <w:tcW w:w="1968" w:type="pct"/>
                  <w:shd w:val="clear" w:color="auto" w:fill="auto"/>
                  <w:vAlign w:val="center"/>
                </w:tcPr>
                <w:p w14:paraId="7483317E">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1-1.本项目生产系统废水经污水池收集至浓密罐处理后、初期雨水经雨水池收集处理后回用于生产系统用水，不外排；生活污水经处理后回用于周边林地灌溉。</w:t>
                  </w:r>
                </w:p>
              </w:tc>
              <w:tc>
                <w:tcPr>
                  <w:tcW w:w="378" w:type="pct"/>
                  <w:vAlign w:val="center"/>
                </w:tcPr>
                <w:p w14:paraId="680EB126">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相符</w:t>
                  </w:r>
                </w:p>
              </w:tc>
            </w:tr>
            <w:tr w14:paraId="54A9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4D0A7FFE">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资源能源利用</w:t>
                  </w:r>
                </w:p>
              </w:tc>
              <w:tc>
                <w:tcPr>
                  <w:tcW w:w="2023" w:type="pct"/>
                  <w:shd w:val="clear" w:color="auto" w:fill="auto"/>
                  <w:vAlign w:val="center"/>
                </w:tcPr>
                <w:p w14:paraId="26DD0C5D">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09302481">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16F51EBD">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00948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72EA44AE">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污染物排放管控</w:t>
                  </w:r>
                </w:p>
              </w:tc>
              <w:tc>
                <w:tcPr>
                  <w:tcW w:w="2023" w:type="pct"/>
                  <w:shd w:val="clear" w:color="auto" w:fill="auto"/>
                  <w:vAlign w:val="center"/>
                </w:tcPr>
                <w:p w14:paraId="2059C7CA">
                  <w:pPr>
                    <w:pStyle w:val="6"/>
                    <w:snapToGrid w:val="0"/>
                    <w:spacing w:line="240" w:lineRule="auto"/>
                    <w:ind w:firstLine="0"/>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2-1.【水/综合类】执行区域水生态环境保护的基本要求。</w:t>
                  </w:r>
                </w:p>
              </w:tc>
              <w:tc>
                <w:tcPr>
                  <w:tcW w:w="1968" w:type="pct"/>
                  <w:shd w:val="clear" w:color="auto" w:fill="auto"/>
                  <w:vAlign w:val="center"/>
                </w:tcPr>
                <w:p w14:paraId="2F525E89">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lang w:bidi="ar"/>
                      <w14:textFill>
                        <w14:solidFill>
                          <w14:schemeClr w14:val="tx1"/>
                        </w14:solidFill>
                      </w14:textFill>
                    </w:rPr>
                    <w:t>2-1.本项目符合区域水生态环境保护的基本要求。</w:t>
                  </w:r>
                </w:p>
              </w:tc>
              <w:tc>
                <w:tcPr>
                  <w:tcW w:w="378" w:type="pct"/>
                  <w:vAlign w:val="center"/>
                </w:tcPr>
                <w:p w14:paraId="0601728F">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相符</w:t>
                  </w:r>
                </w:p>
              </w:tc>
            </w:tr>
            <w:tr w14:paraId="1282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5C3FF715">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环境风险防控</w:t>
                  </w:r>
                </w:p>
              </w:tc>
              <w:tc>
                <w:tcPr>
                  <w:tcW w:w="2023" w:type="pct"/>
                  <w:shd w:val="clear" w:color="auto" w:fill="auto"/>
                  <w:vAlign w:val="center"/>
                </w:tcPr>
                <w:p w14:paraId="1CF6B8AC">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3-1.【水/综合类】生产、储存危险化学品的企业事业单位，应当采取措施，防止处理安全生产事故过程中产生的可能严重污染水体的消防废水、废液直接排入水体。</w:t>
                  </w:r>
                </w:p>
              </w:tc>
              <w:tc>
                <w:tcPr>
                  <w:tcW w:w="1968" w:type="pct"/>
                  <w:shd w:val="clear" w:color="auto" w:fill="auto"/>
                  <w:vAlign w:val="center"/>
                </w:tcPr>
                <w:p w14:paraId="40176DD5">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3-1.本项目不属于生产、储存危险化学品的企业事业单位。</w:t>
                  </w:r>
                </w:p>
              </w:tc>
              <w:tc>
                <w:tcPr>
                  <w:tcW w:w="378" w:type="pct"/>
                  <w:vAlign w:val="center"/>
                </w:tcPr>
                <w:p w14:paraId="5DDD6BEE">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相符</w:t>
                  </w:r>
                </w:p>
              </w:tc>
            </w:tr>
          </w:tbl>
          <w:p w14:paraId="2F5090D6">
            <w:pPr>
              <w:keepNext/>
              <w:spacing w:line="360" w:lineRule="auto"/>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表1-</w:t>
            </w:r>
            <w:r>
              <w:rPr>
                <w:rFonts w:hint="eastAsia"/>
                <w:b/>
                <w:color w:val="000000" w:themeColor="text1"/>
                <w:sz w:val="18"/>
                <w:szCs w:val="21"/>
                <w14:textFill>
                  <w14:solidFill>
                    <w14:schemeClr w14:val="tx1"/>
                  </w14:solidFill>
                </w14:textFill>
              </w:rPr>
              <w:t>4</w:t>
            </w:r>
            <w:r>
              <w:rPr>
                <w:b/>
                <w:color w:val="000000" w:themeColor="text1"/>
                <w:sz w:val="18"/>
                <w:szCs w:val="21"/>
                <w14:textFill>
                  <w14:solidFill>
                    <w14:schemeClr w14:val="tx1"/>
                  </w14:solidFill>
                </w14:textFill>
              </w:rPr>
              <w:t xml:space="preserve"> </w:t>
            </w:r>
            <w:r>
              <w:rPr>
                <w:rFonts w:hint="eastAsia"/>
                <w:b/>
                <w:color w:val="000000" w:themeColor="text1"/>
                <w:sz w:val="18"/>
                <w:szCs w:val="21"/>
                <w14:textFill>
                  <w14:solidFill>
                    <w14:schemeClr w14:val="tx1"/>
                  </w14:solidFill>
                </w14:textFill>
              </w:rPr>
              <w:t>本项目与大气环境一般管控区（YS4408813310001）管控要求相符性分析一览表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5279"/>
              <w:gridCol w:w="5136"/>
              <w:gridCol w:w="986"/>
            </w:tblGrid>
            <w:tr w14:paraId="1960C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D9D9D9"/>
                  <w:vAlign w:val="center"/>
                </w:tcPr>
                <w:p w14:paraId="40D127CD">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类别</w:t>
                  </w:r>
                </w:p>
              </w:tc>
              <w:tc>
                <w:tcPr>
                  <w:tcW w:w="2023" w:type="pct"/>
                  <w:shd w:val="clear" w:color="auto" w:fill="D9D9D9"/>
                  <w:vAlign w:val="center"/>
                </w:tcPr>
                <w:p w14:paraId="32F0B6F2">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管控要求</w:t>
                  </w:r>
                </w:p>
              </w:tc>
              <w:tc>
                <w:tcPr>
                  <w:tcW w:w="1968" w:type="pct"/>
                  <w:shd w:val="clear" w:color="auto" w:fill="D9D9D9"/>
                  <w:vAlign w:val="center"/>
                </w:tcPr>
                <w:p w14:paraId="57A722BA">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相符性分析</w:t>
                  </w:r>
                </w:p>
              </w:tc>
              <w:tc>
                <w:tcPr>
                  <w:tcW w:w="378" w:type="pct"/>
                  <w:shd w:val="clear" w:color="auto" w:fill="D9D9D9"/>
                  <w:vAlign w:val="center"/>
                </w:tcPr>
                <w:p w14:paraId="41EC17FB">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是否相符</w:t>
                  </w:r>
                </w:p>
              </w:tc>
            </w:tr>
            <w:tr w14:paraId="0125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31A28AA6">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区域布局管控</w:t>
                  </w:r>
                </w:p>
              </w:tc>
              <w:tc>
                <w:tcPr>
                  <w:tcW w:w="2023" w:type="pct"/>
                  <w:shd w:val="clear" w:color="auto" w:fill="auto"/>
                  <w:vAlign w:val="center"/>
                </w:tcPr>
                <w:p w14:paraId="43ADC105">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1-1.根据大气环境承载能力，引导产业科学布局。</w:t>
                  </w:r>
                </w:p>
              </w:tc>
              <w:tc>
                <w:tcPr>
                  <w:tcW w:w="1968" w:type="pct"/>
                  <w:shd w:val="clear" w:color="auto" w:fill="auto"/>
                  <w:vAlign w:val="center"/>
                </w:tcPr>
                <w:p w14:paraId="7BD2B7ED">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1-1.本项目不属于大气污染物排放较大的建设项目。主要大气污染物为颗粒物、油烟。</w:t>
                  </w:r>
                </w:p>
              </w:tc>
              <w:tc>
                <w:tcPr>
                  <w:tcW w:w="378" w:type="pct"/>
                  <w:vAlign w:val="center"/>
                </w:tcPr>
                <w:p w14:paraId="5DE6FA81">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相符</w:t>
                  </w:r>
                </w:p>
              </w:tc>
            </w:tr>
            <w:tr w14:paraId="215C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048A4034">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资源能源利用</w:t>
                  </w:r>
                </w:p>
              </w:tc>
              <w:tc>
                <w:tcPr>
                  <w:tcW w:w="2023" w:type="pct"/>
                  <w:shd w:val="clear" w:color="auto" w:fill="auto"/>
                  <w:vAlign w:val="center"/>
                </w:tcPr>
                <w:p w14:paraId="46CDBD05">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5DD93BA5">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71D206D3">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1070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7DD8B9FF">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污染物排放管控</w:t>
                  </w:r>
                </w:p>
              </w:tc>
              <w:tc>
                <w:tcPr>
                  <w:tcW w:w="2023" w:type="pct"/>
                  <w:shd w:val="clear" w:color="auto" w:fill="auto"/>
                  <w:vAlign w:val="center"/>
                </w:tcPr>
                <w:p w14:paraId="7E647474">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6ED47A0D">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685B44EC">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7844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353683D4">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环境风险防控</w:t>
                  </w:r>
                </w:p>
              </w:tc>
              <w:tc>
                <w:tcPr>
                  <w:tcW w:w="2023" w:type="pct"/>
                  <w:shd w:val="clear" w:color="auto" w:fill="auto"/>
                  <w:vAlign w:val="center"/>
                </w:tcPr>
                <w:p w14:paraId="076C2620">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5AFF3F63">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0D2FA7CA">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bl>
          <w:p w14:paraId="7A46B800">
            <w:pPr>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表1-</w:t>
            </w:r>
            <w:r>
              <w:rPr>
                <w:rFonts w:hint="eastAsia"/>
                <w:b/>
                <w:color w:val="000000" w:themeColor="text1"/>
                <w:sz w:val="18"/>
                <w:szCs w:val="21"/>
                <w14:textFill>
                  <w14:solidFill>
                    <w14:schemeClr w14:val="tx1"/>
                  </w14:solidFill>
                </w14:textFill>
              </w:rPr>
              <w:t>5 本项目与廉江市生态空间一般管控区（YS4408813110002）管控要求相符性分析一览表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9"/>
              <w:gridCol w:w="5279"/>
              <w:gridCol w:w="5136"/>
              <w:gridCol w:w="986"/>
            </w:tblGrid>
            <w:tr w14:paraId="25371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D9D9D9"/>
                  <w:vAlign w:val="center"/>
                </w:tcPr>
                <w:p w14:paraId="060DC27A">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类别</w:t>
                  </w:r>
                </w:p>
              </w:tc>
              <w:tc>
                <w:tcPr>
                  <w:tcW w:w="2023" w:type="pct"/>
                  <w:shd w:val="clear" w:color="auto" w:fill="D9D9D9"/>
                  <w:vAlign w:val="center"/>
                </w:tcPr>
                <w:p w14:paraId="58EA7A24">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管控要求</w:t>
                  </w:r>
                </w:p>
              </w:tc>
              <w:tc>
                <w:tcPr>
                  <w:tcW w:w="1968" w:type="pct"/>
                  <w:shd w:val="clear" w:color="auto" w:fill="D9D9D9"/>
                  <w:vAlign w:val="center"/>
                </w:tcPr>
                <w:p w14:paraId="365C9D48">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相符性分析</w:t>
                  </w:r>
                </w:p>
              </w:tc>
              <w:tc>
                <w:tcPr>
                  <w:tcW w:w="378" w:type="pct"/>
                  <w:shd w:val="clear" w:color="auto" w:fill="D9D9D9"/>
                  <w:vAlign w:val="center"/>
                </w:tcPr>
                <w:p w14:paraId="1A0AA3B5">
                  <w:pPr>
                    <w:pStyle w:val="6"/>
                    <w:snapToGrid w:val="0"/>
                    <w:spacing w:line="240" w:lineRule="auto"/>
                    <w:ind w:firstLine="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是否相符</w:t>
                  </w:r>
                </w:p>
              </w:tc>
            </w:tr>
            <w:tr w14:paraId="59DB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4D1459A5">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区域布局管控</w:t>
                  </w:r>
                </w:p>
              </w:tc>
              <w:tc>
                <w:tcPr>
                  <w:tcW w:w="2023" w:type="pct"/>
                  <w:shd w:val="clear" w:color="auto" w:fill="auto"/>
                  <w:vAlign w:val="center"/>
                </w:tcPr>
                <w:p w14:paraId="20BFFB71">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1-1.按国家和省统一要求管理。</w:t>
                  </w:r>
                </w:p>
              </w:tc>
              <w:tc>
                <w:tcPr>
                  <w:tcW w:w="1968" w:type="pct"/>
                  <w:shd w:val="clear" w:color="auto" w:fill="auto"/>
                  <w:vAlign w:val="center"/>
                </w:tcPr>
                <w:p w14:paraId="001DD221">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1-1.本项目不涉及生态环境保护目标，不属于生态环境保护区。</w:t>
                  </w:r>
                </w:p>
              </w:tc>
              <w:tc>
                <w:tcPr>
                  <w:tcW w:w="378" w:type="pct"/>
                  <w:vAlign w:val="center"/>
                </w:tcPr>
                <w:p w14:paraId="1312F8AF">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相符</w:t>
                  </w:r>
                </w:p>
              </w:tc>
            </w:tr>
            <w:tr w14:paraId="22D4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431B5B3A">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资源能源利用</w:t>
                  </w:r>
                </w:p>
              </w:tc>
              <w:tc>
                <w:tcPr>
                  <w:tcW w:w="2023" w:type="pct"/>
                  <w:shd w:val="clear" w:color="auto" w:fill="auto"/>
                  <w:vAlign w:val="center"/>
                </w:tcPr>
                <w:p w14:paraId="0B879917">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6C08B2BD">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24BDDD05">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55FE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59B2339A">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污染物排放管控</w:t>
                  </w:r>
                </w:p>
              </w:tc>
              <w:tc>
                <w:tcPr>
                  <w:tcW w:w="2023" w:type="pct"/>
                  <w:shd w:val="clear" w:color="auto" w:fill="auto"/>
                  <w:vAlign w:val="center"/>
                </w:tcPr>
                <w:p w14:paraId="24728186">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57DFBEB4">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3DA3F51A">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r w14:paraId="0B21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628" w:type="pct"/>
                  <w:shd w:val="clear" w:color="auto" w:fill="auto"/>
                  <w:vAlign w:val="center"/>
                </w:tcPr>
                <w:p w14:paraId="2B318A87">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环境风险防控</w:t>
                  </w:r>
                </w:p>
              </w:tc>
              <w:tc>
                <w:tcPr>
                  <w:tcW w:w="2023" w:type="pct"/>
                  <w:shd w:val="clear" w:color="auto" w:fill="auto"/>
                  <w:vAlign w:val="center"/>
                </w:tcPr>
                <w:p w14:paraId="269C1D2F">
                  <w:pPr>
                    <w:pStyle w:val="6"/>
                    <w:snapToGrid w:val="0"/>
                    <w:spacing w:line="240" w:lineRule="auto"/>
                    <w:ind w:firstLine="0"/>
                    <w:jc w:val="center"/>
                    <w:rPr>
                      <w:color w:val="000000" w:themeColor="text1"/>
                      <w:sz w:val="18"/>
                      <w:szCs w:val="18"/>
                      <w:lang w:bidi="ar"/>
                      <w14:textFill>
                        <w14:solidFill>
                          <w14:schemeClr w14:val="tx1"/>
                        </w14:solidFill>
                      </w14:textFill>
                    </w:rPr>
                  </w:pPr>
                  <w:r>
                    <w:rPr>
                      <w:rFonts w:hint="eastAsia"/>
                      <w:color w:val="000000" w:themeColor="text1"/>
                      <w:sz w:val="18"/>
                      <w:szCs w:val="18"/>
                      <w:lang w:bidi="ar"/>
                      <w14:textFill>
                        <w14:solidFill>
                          <w14:schemeClr w14:val="tx1"/>
                        </w14:solidFill>
                      </w14:textFill>
                    </w:rPr>
                    <w:t>/</w:t>
                  </w:r>
                </w:p>
              </w:tc>
              <w:tc>
                <w:tcPr>
                  <w:tcW w:w="1968" w:type="pct"/>
                  <w:shd w:val="clear" w:color="auto" w:fill="auto"/>
                  <w:vAlign w:val="center"/>
                </w:tcPr>
                <w:p w14:paraId="4E185A22">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378" w:type="pct"/>
                  <w:vAlign w:val="center"/>
                </w:tcPr>
                <w:p w14:paraId="17469DD3">
                  <w:pPr>
                    <w:pStyle w:val="6"/>
                    <w:snapToGrid w:val="0"/>
                    <w:spacing w:line="240" w:lineRule="auto"/>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r>
          </w:tbl>
          <w:p w14:paraId="1BB17BA5">
            <w:pPr>
              <w:jc w:val="center"/>
              <w:rPr>
                <w:b/>
                <w:color w:val="000000" w:themeColor="text1"/>
                <w:sz w:val="18"/>
                <w:szCs w:val="21"/>
                <w14:textFill>
                  <w14:solidFill>
                    <w14:schemeClr w14:val="tx1"/>
                  </w14:solidFill>
                </w14:textFill>
              </w:rPr>
            </w:pPr>
          </w:p>
        </w:tc>
      </w:tr>
    </w:tbl>
    <w:p w14:paraId="10488F57">
      <w:pPr>
        <w:widowControl/>
        <w:spacing w:line="360" w:lineRule="auto"/>
        <w:jc w:val="center"/>
        <w:rPr>
          <w:b/>
          <w:bCs/>
          <w:color w:val="000000" w:themeColor="text1"/>
          <w:kern w:val="0"/>
          <w:szCs w:val="21"/>
          <w:lang w:bidi="ar"/>
          <w14:textFill>
            <w14:solidFill>
              <w14:schemeClr w14:val="tx1"/>
            </w14:solidFill>
          </w14:textFill>
        </w:rPr>
      </w:pPr>
    </w:p>
    <w:p w14:paraId="4AAFBB53">
      <w:pPr>
        <w:spacing w:line="360" w:lineRule="auto"/>
        <w:outlineLvl w:val="0"/>
        <w:rPr>
          <w:rFonts w:eastAsia="黑体"/>
          <w:color w:val="000000" w:themeColor="text1"/>
          <w:sz w:val="30"/>
          <w14:textFill>
            <w14:solidFill>
              <w14:schemeClr w14:val="tx1"/>
            </w14:solidFill>
          </w14:textFill>
        </w:rPr>
        <w:sectPr>
          <w:pgSz w:w="16838" w:h="11905" w:orient="landscape"/>
          <w:pgMar w:top="1417" w:right="1587" w:bottom="1417" w:left="1587" w:header="850" w:footer="1077" w:gutter="0"/>
          <w:cols w:space="720" w:num="1"/>
          <w:docGrid w:linePitch="312" w:charSpace="0"/>
        </w:sectPr>
      </w:pPr>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7786"/>
      </w:tblGrid>
      <w:tr w14:paraId="5763C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1" w:hRule="atLeast"/>
          <w:jc w:val="center"/>
        </w:trPr>
        <w:tc>
          <w:tcPr>
            <w:tcW w:w="1084" w:type="dxa"/>
            <w:vAlign w:val="center"/>
          </w:tcPr>
          <w:p w14:paraId="52B22AE7">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7786" w:type="dxa"/>
            <w:vAlign w:val="center"/>
          </w:tcPr>
          <w:p w14:paraId="1824D243">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4、与《关于加强高耗能、高排放建设项目生态环境源头防控的指导意见》（环环评〔2021〕45 号）、《广东省坚决遏制“两高”项目盲目发展的实施方案》（粤发改能源〔2021〕368 号）</w:t>
            </w:r>
            <w:r>
              <w:rPr>
                <w:rFonts w:hint="eastAsia"/>
                <w:b/>
                <w:bCs/>
                <w:color w:val="000000" w:themeColor="text1"/>
                <w:kern w:val="0"/>
                <w:szCs w:val="21"/>
                <w:lang w:bidi="ar"/>
                <w14:textFill>
                  <w14:solidFill>
                    <w14:schemeClr w14:val="tx1"/>
                  </w14:solidFill>
                </w14:textFill>
              </w:rPr>
              <w:t>、《广东省“两高”项目管理目录（2022版）》</w:t>
            </w:r>
            <w:r>
              <w:rPr>
                <w:b/>
                <w:bCs/>
                <w:color w:val="000000" w:themeColor="text1"/>
                <w:kern w:val="0"/>
                <w:szCs w:val="21"/>
                <w:lang w:bidi="ar"/>
                <w14:textFill>
                  <w14:solidFill>
                    <w14:schemeClr w14:val="tx1"/>
                  </w14:solidFill>
                </w14:textFill>
              </w:rPr>
              <w:t>的相符性分析</w:t>
            </w:r>
          </w:p>
          <w:p w14:paraId="57A30EDC">
            <w:pPr>
              <w:spacing w:line="360" w:lineRule="auto"/>
              <w:ind w:firstLine="420" w:firstLineChars="200"/>
              <w:jc w:val="left"/>
              <w:textAlignment w:val="center"/>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生态环境部《关于加强高耗能、高排放建设项目生态环境源头防控的指导意见》（环环评〔2021〕45 号）提出</w:t>
            </w:r>
            <w:r>
              <w:rPr>
                <w:rFonts w:hint="eastAsia"/>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严格</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项目环评审批，推进</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行业减污降碳协同控制，并将碳排放影响评价纳入环境影响评价体系。</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项目暂按煤电、石化、化工、钢铁、有色金属冶炼、建材等六个行业类别统计，后续</w:t>
            </w:r>
            <w:r>
              <w:rPr>
                <w:rFonts w:hint="eastAsia" w:ascii="宋体" w:hAnsi="宋体" w:cs="宋体"/>
                <w:color w:val="000000" w:themeColor="text1"/>
                <w:kern w:val="0"/>
                <w:szCs w:val="21"/>
                <w:lang w:bidi="ar"/>
                <w14:textFill>
                  <w14:solidFill>
                    <w14:schemeClr w14:val="tx1"/>
                  </w14:solidFill>
                </w14:textFill>
              </w:rPr>
              <w:t>对“两高”</w:t>
            </w:r>
            <w:r>
              <w:rPr>
                <w:color w:val="000000" w:themeColor="text1"/>
                <w:kern w:val="0"/>
                <w:szCs w:val="21"/>
                <w:lang w:bidi="ar"/>
                <w14:textFill>
                  <w14:solidFill>
                    <w14:schemeClr w14:val="tx1"/>
                  </w14:solidFill>
                </w14:textFill>
              </w:rPr>
              <w:t>范围国家如有明确规定的，从其规定。</w:t>
            </w:r>
          </w:p>
          <w:p w14:paraId="257DE271">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kern w:val="0"/>
                <w:szCs w:val="21"/>
                <w:lang w:bidi="ar"/>
                <w14:textFill>
                  <w14:solidFill>
                    <w14:schemeClr w14:val="tx1"/>
                  </w14:solidFill>
                </w14:textFill>
              </w:rPr>
              <w:t>根据</w:t>
            </w:r>
            <w:r>
              <w:rPr>
                <w:color w:val="000000" w:themeColor="text1"/>
                <w:kern w:val="0"/>
                <w:szCs w:val="21"/>
                <w:lang w:bidi="ar"/>
                <w14:textFill>
                  <w14:solidFill>
                    <w14:schemeClr w14:val="tx1"/>
                  </w14:solidFill>
                </w14:textFill>
              </w:rPr>
              <w:t>广东省发展改革委印发了《广东省坚决遏制“两高”项目盲目发展的实施方案》（粤发改能源〔2021〕368 号），方案提出：为深入贯彻习近平生态文明思想，全面贯彻党的十九大和十九届二中、三中、四中、五中全会精神，立足新发展阶段，贯彻新发展理念，构建新发展格局，采取强有力措施，严格落</w:t>
            </w:r>
            <w:r>
              <w:rPr>
                <w:rFonts w:hint="eastAsia" w:ascii="宋体" w:hAnsi="宋体" w:cs="宋体"/>
                <w:color w:val="000000" w:themeColor="text1"/>
                <w:kern w:val="0"/>
                <w:szCs w:val="21"/>
                <w:lang w:bidi="ar"/>
                <w14:textFill>
                  <w14:solidFill>
                    <w14:schemeClr w14:val="tx1"/>
                  </w14:solidFill>
                </w14:textFill>
              </w:rPr>
              <w:t>实能耗双控及碳排放控制要求，坚决遏制不符合产业政策、未落实能耗指标来源等的“两高”</w:t>
            </w:r>
            <w:r>
              <w:rPr>
                <w:color w:val="000000" w:themeColor="text1"/>
                <w:kern w:val="0"/>
                <w:szCs w:val="21"/>
                <w:lang w:bidi="ar"/>
                <w14:textFill>
                  <w14:solidFill>
                    <w14:schemeClr w14:val="tx1"/>
                  </w14:solidFill>
                </w14:textFill>
              </w:rPr>
              <w:t>项目盲目发展，推动全省经济社会发展全面绿色低碳转型。</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项目范围暂定为年综合能源消费量1万吨标准煤以上的煤电、石化、化工、钢铁、有色金属、建材、煤化工、焦化等8个行业的项目，对上述行业的项目纳入“两高”项目管理台账，后续国家对“两高”项目范围如有明确规定，从其规定。</w:t>
            </w:r>
          </w:p>
          <w:p w14:paraId="6964DEB1">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相符性分析：</w:t>
            </w:r>
            <w:r>
              <w:rPr>
                <w:color w:val="000000" w:themeColor="text1"/>
                <w:kern w:val="0"/>
                <w:szCs w:val="21"/>
                <w:lang w:bidi="ar"/>
                <w14:textFill>
                  <w14:solidFill>
                    <w14:schemeClr w14:val="tx1"/>
                  </w14:solidFill>
                </w14:textFill>
              </w:rPr>
              <w:t>本项目属于《国民经济行业分类》（GB/T4754-2017）分类中的</w:t>
            </w:r>
            <w:r>
              <w:rPr>
                <w:rFonts w:hint="eastAsia" w:ascii="宋体" w:hAnsi="宋体" w:cs="宋体"/>
                <w:color w:val="000000" w:themeColor="text1"/>
                <w:szCs w:val="21"/>
                <w14:textFill>
                  <w14:solidFill>
                    <w14:schemeClr w14:val="tx1"/>
                  </w14:solidFill>
                </w14:textFill>
              </w:rPr>
              <w:t>“</w:t>
            </w:r>
            <w:r>
              <w:rPr>
                <w:rFonts w:hint="eastAsia"/>
                <w:color w:val="000000" w:themeColor="text1"/>
                <w:kern w:val="0"/>
                <w:szCs w:val="21"/>
                <w:lang w:bidi="ar"/>
                <w14:textFill>
                  <w14:solidFill>
                    <w14:schemeClr w14:val="tx1"/>
                  </w14:solidFill>
                </w14:textFill>
              </w:rPr>
              <w:t>C3039 其他建筑材料制造</w:t>
            </w:r>
            <w:r>
              <w:rPr>
                <w:rFonts w:hint="eastAsia" w:ascii="宋体" w:hAnsi="宋体" w:cs="宋体"/>
                <w:color w:val="000000" w:themeColor="text1"/>
                <w:szCs w:val="21"/>
                <w14:textFill>
                  <w14:solidFill>
                    <w14:schemeClr w14:val="tx1"/>
                  </w14:solidFill>
                </w14:textFill>
              </w:rPr>
              <w:t>”</w:t>
            </w:r>
            <w:r>
              <w:rPr>
                <w:color w:val="000000" w:themeColor="text1"/>
                <w:kern w:val="0"/>
                <w:szCs w:val="21"/>
                <w:lang w:bidi="ar"/>
                <w14:textFill>
                  <w14:solidFill>
                    <w14:schemeClr w14:val="tx1"/>
                  </w14:solidFill>
                </w14:textFill>
              </w:rPr>
              <w:t>，不在《关于加强高耗能、高排放建设项目生态环境源头防控的指导意见》（环环评〔2021〕45号）、《广东省坚决遏</w:t>
            </w:r>
            <w:r>
              <w:rPr>
                <w:rFonts w:hint="eastAsia" w:ascii="宋体" w:hAnsi="宋体" w:cs="宋体"/>
                <w:color w:val="000000" w:themeColor="text1"/>
                <w:kern w:val="0"/>
                <w:szCs w:val="21"/>
                <w:lang w:bidi="ar"/>
                <w14:textFill>
                  <w14:solidFill>
                    <w14:schemeClr w14:val="tx1"/>
                  </w14:solidFill>
                </w14:textFill>
              </w:rPr>
              <w:t>制“两高”项</w:t>
            </w:r>
            <w:r>
              <w:rPr>
                <w:color w:val="000000" w:themeColor="text1"/>
                <w:kern w:val="0"/>
                <w:szCs w:val="21"/>
                <w:lang w:bidi="ar"/>
                <w14:textFill>
                  <w14:solidFill>
                    <w14:schemeClr w14:val="tx1"/>
                  </w14:solidFill>
                </w14:textFill>
              </w:rPr>
              <w:t>目盲目发展的实施方案》（粤发改能源〔2021〕368号）</w:t>
            </w:r>
            <w:r>
              <w:rPr>
                <w:rFonts w:hint="eastAsia"/>
                <w:color w:val="000000" w:themeColor="text1"/>
                <w:kern w:val="0"/>
                <w:szCs w:val="21"/>
                <w:lang w:bidi="ar"/>
                <w14:textFill>
                  <w14:solidFill>
                    <w14:schemeClr w14:val="tx1"/>
                  </w14:solidFill>
                </w14:textFill>
              </w:rPr>
              <w:t>、《广东省</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项目管理目录》（</w:t>
            </w:r>
            <w:r>
              <w:rPr>
                <w:color w:val="000000" w:themeColor="text1"/>
                <w:kern w:val="0"/>
                <w:szCs w:val="21"/>
                <w:lang w:bidi="ar"/>
                <w14:textFill>
                  <w14:solidFill>
                    <w14:schemeClr w14:val="tx1"/>
                  </w14:solidFill>
                </w14:textFill>
              </w:rPr>
              <w:t>2022</w:t>
            </w:r>
            <w:r>
              <w:rPr>
                <w:rFonts w:hint="eastAsia"/>
                <w:color w:val="000000" w:themeColor="text1"/>
                <w:kern w:val="0"/>
                <w:szCs w:val="21"/>
                <w:lang w:bidi="ar"/>
                <w14:textFill>
                  <w14:solidFill>
                    <w14:schemeClr w14:val="tx1"/>
                  </w14:solidFill>
                </w14:textFill>
              </w:rPr>
              <w:t>版）</w:t>
            </w:r>
            <w:r>
              <w:rPr>
                <w:color w:val="000000" w:themeColor="text1"/>
                <w:kern w:val="0"/>
                <w:szCs w:val="21"/>
                <w:lang w:bidi="ar"/>
                <w14:textFill>
                  <w14:solidFill>
                    <w14:schemeClr w14:val="tx1"/>
                  </w14:solidFill>
                </w14:textFill>
              </w:rPr>
              <w:t>所列的</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行业、</w:t>
            </w:r>
            <w:r>
              <w:rPr>
                <w:rFonts w:hint="eastAsia" w:ascii="宋体" w:hAnsi="宋体" w:cs="宋体"/>
                <w:color w:val="000000" w:themeColor="text1"/>
                <w:kern w:val="0"/>
                <w:szCs w:val="21"/>
                <w:lang w:bidi="ar"/>
                <w14:textFill>
                  <w14:solidFill>
                    <w14:schemeClr w14:val="tx1"/>
                  </w14:solidFill>
                </w14:textFill>
              </w:rPr>
              <w:t>“两高”</w:t>
            </w:r>
            <w:r>
              <w:rPr>
                <w:color w:val="000000" w:themeColor="text1"/>
                <w:kern w:val="0"/>
                <w:szCs w:val="21"/>
                <w:lang w:bidi="ar"/>
                <w14:textFill>
                  <w14:solidFill>
                    <w14:schemeClr w14:val="tx1"/>
                  </w14:solidFill>
                </w14:textFill>
              </w:rPr>
              <w:t>项目，且本项目所有生产设备均以清洁的电为能源，项目拟采取严格的废气、废水、固体废物等污染治理措施，确保各污染物长期稳定达标排放，并严格履行环境影响评价、环保“三同时”等手续，不会对区域生态环境造成不良影响。</w:t>
            </w:r>
          </w:p>
          <w:p w14:paraId="5DC01DBE">
            <w:pPr>
              <w:pStyle w:val="11"/>
              <w:spacing w:line="360" w:lineRule="auto"/>
              <w:ind w:firstLine="420" w:firstLineChars="200"/>
              <w:jc w:val="left"/>
              <w:rPr>
                <w:rFonts w:ascii="Times New Roman" w:hAnsi="Times New Roman"/>
                <w:color w:val="000000" w:themeColor="text1"/>
                <w:sz w:val="21"/>
                <w:lang w:bidi="ar"/>
                <w14:textFill>
                  <w14:solidFill>
                    <w14:schemeClr w14:val="tx1"/>
                  </w14:solidFill>
                </w14:textFill>
              </w:rPr>
            </w:pPr>
            <w:r>
              <w:rPr>
                <w:rFonts w:hint="eastAsia" w:ascii="Times New Roman" w:hAnsi="Times New Roman"/>
                <w:color w:val="000000" w:themeColor="text1"/>
                <w:sz w:val="21"/>
                <w:lang w:bidi="ar"/>
                <w14:textFill>
                  <w14:solidFill>
                    <w14:schemeClr w14:val="tx1"/>
                  </w14:solidFill>
                </w14:textFill>
              </w:rPr>
              <w:t>因此，</w:t>
            </w:r>
            <w:r>
              <w:rPr>
                <w:rFonts w:ascii="Times New Roman" w:hAnsi="Times New Roman"/>
                <w:color w:val="000000" w:themeColor="text1"/>
                <w:sz w:val="21"/>
                <w:lang w:bidi="ar"/>
                <w14:textFill>
                  <w14:solidFill>
                    <w14:schemeClr w14:val="tx1"/>
                  </w14:solidFill>
                </w14:textFill>
              </w:rPr>
              <w:t>本项目与《关于加强高耗能、高排放建设项目生态环境源头防控的指导意见》（环环评〔2021〕45号）、《广东省坚决遏制</w:t>
            </w:r>
            <w:r>
              <w:rPr>
                <w:rFonts w:hint="eastAsia" w:hAnsi="宋体" w:cs="宋体"/>
                <w:color w:val="000000" w:themeColor="text1"/>
                <w:sz w:val="21"/>
                <w:lang w:bidi="ar"/>
                <w14:textFill>
                  <w14:solidFill>
                    <w14:schemeClr w14:val="tx1"/>
                  </w14:solidFill>
                </w14:textFill>
              </w:rPr>
              <w:t>“两高”</w:t>
            </w:r>
            <w:r>
              <w:rPr>
                <w:rFonts w:ascii="Times New Roman" w:hAnsi="Times New Roman"/>
                <w:color w:val="000000" w:themeColor="text1"/>
                <w:sz w:val="21"/>
                <w:lang w:bidi="ar"/>
                <w14:textFill>
                  <w14:solidFill>
                    <w14:schemeClr w14:val="tx1"/>
                  </w14:solidFill>
                </w14:textFill>
              </w:rPr>
              <w:t>项目盲目发展的实施方案》（粤发改能源〔2021〕368号）</w:t>
            </w:r>
            <w:r>
              <w:rPr>
                <w:rFonts w:hint="eastAsia" w:ascii="Times New Roman" w:hAnsi="Times New Roman"/>
                <w:color w:val="000000" w:themeColor="text1"/>
                <w:sz w:val="21"/>
                <w:lang w:bidi="ar"/>
                <w14:textFill>
                  <w14:solidFill>
                    <w14:schemeClr w14:val="tx1"/>
                  </w14:solidFill>
                </w14:textFill>
              </w:rPr>
              <w:t>及《广东省“两高”项目管理目录（2022版）》</w:t>
            </w:r>
            <w:r>
              <w:rPr>
                <w:rFonts w:ascii="Times New Roman" w:hAnsi="Times New Roman"/>
                <w:color w:val="000000" w:themeColor="text1"/>
                <w:sz w:val="21"/>
                <w:lang w:bidi="ar"/>
                <w14:textFill>
                  <w14:solidFill>
                    <w14:schemeClr w14:val="tx1"/>
                  </w14:solidFill>
                </w14:textFill>
              </w:rPr>
              <w:t>的相关要求不相冲突。</w:t>
            </w:r>
          </w:p>
          <w:p w14:paraId="2E41DC04">
            <w:pPr>
              <w:widowControl/>
              <w:spacing w:line="360" w:lineRule="auto"/>
              <w:ind w:firstLine="422" w:firstLineChars="200"/>
              <w:jc w:val="left"/>
              <w:rPr>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5、与广东省生态环境保护“十四五”规划相符性分析</w:t>
            </w:r>
          </w:p>
          <w:p w14:paraId="2FA23EB3">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根据广东省生态环境厅关于印发《广东省生态环境保护“十四五”规划》的通知（粤环[2021]10号），《广东省生态环境保护“十四五”规划》的具体目标为生态环境持续改善、绿色低碳发展水平明显提升、环境风险得到有效防控、生态系统质量和稳定性显著提升。本项目与规划中相关要求分析如下：</w:t>
            </w:r>
          </w:p>
          <w:p w14:paraId="7E4C2A2C">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深化大气污染联防联控。深化珠三角、汕潮揭等区域大气污染联防联控，开展区域大气污染专项治理和联合执法。推动粤港澳大湾区打造大气污染防治先行区，积极探索臭氧污染区域联防联控技术手段和管理机制。优化污染天气应对机制，完善“省—市—县”污染天气应对预案体系，逐步扩大污染天气重点行业绩效分级和应急减排的实施范围，完善差异化管控机制。</w:t>
            </w:r>
          </w:p>
          <w:p w14:paraId="4AFACF52">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加强高污染燃料禁燃区管理。在禁燃区内，禁止销售、燃用高污染燃料；禁止新建、扩建燃用高污染燃料的设施，已建成的按要求改用天然气、电或者其他清洁能源。逐步推动珠三角高污染燃料禁燃区全覆盖，扩大东西两翼和北部生态发展区高污染燃料禁燃区范围。</w:t>
            </w:r>
          </w:p>
          <w:p w14:paraId="12F06804">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大力推进挥发性有机物（VOCs）源头控制和重点行业深度治理。开展原油、成品油、有机化学品等涉VOCs物质储罐排查，深化重点行业VOCs排放基数调查，系统掌握工业源VOCs产生、处理、排放及分布情况，分类建立台账，实施VOCs精细化管理。在石化、化工、包装印刷、工业涂装等重点行业建立完善源头、过程和末端的VOCs全过程控制体系。大力推进低VOCs含量原辅材料源头替代，严格落实国家和地方产品VOCs含量限值质量标准，禁止建设生产和使用高VOCs含量的溶剂型涂料、油墨、胶粘剂等项目。严格实施VOCs排放企业分级管控，全面推进涉VOCs排放企业深度治理。开展中小型企业废气收集和治理设施建设、运行情况的评估，强化对企业涉VOCs生产车间/工序废气的收集管理，推动企业开展治理设施升级改造。</w:t>
            </w:r>
          </w:p>
          <w:p w14:paraId="2BD31228">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深化工业炉窑和锅炉排放治理。实施重点行业深度治理，2022年底前全省长流程钢铁企业基本完成超低排放改造，2025年底前全省钢铁企业完成超低排放改造；石化、水泥、化工、有色金属冶炼等行业企业依法严格执行大气污染物特别排放限值。</w:t>
            </w:r>
          </w:p>
          <w:p w14:paraId="5B6C64EB">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5）系统优化供排水格局。科学规划供水布局，全面统筹、合理规划流域、区域饮用水水源地。严格落实供排水通道保护要求，供水通道严格控制新建排污口，依法关停涉重金属、持久性有机污染物的排污口；强化水源地空间管控，严格限制饮用水水源汇水区内不利于水源保护的土地利用变更。</w:t>
            </w:r>
          </w:p>
          <w:p w14:paraId="686863C9">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所属行业为其他建筑材料制造业，外排废气污染物主要为颗粒物、油烟，项目生产和使用均不涉及含VOCs物料，项目生产设备均由市政供电网提供能源，不设备用发电机，不设锅炉。项目生产废水回用于生产工序，循环使用不外排。因此，本项目符合广东省生态环境保护“十四五”规划要求。</w:t>
            </w:r>
          </w:p>
          <w:p w14:paraId="07C8FCC0">
            <w:pPr>
              <w:pStyle w:val="42"/>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6、与《湛江市生态环境保护“十四五”规划》（湛江市生态环境局，2022.3.9）相符性分析</w:t>
            </w:r>
          </w:p>
          <w:p w14:paraId="4495065A">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不属于《湛江市生态环境保护“十四五”规划》中禁止建设的项目情况：“禁止新建每小时35蒸吨以下燃煤锅炉。逐步削减钢铁、石化、浆纸行业燃煤量，全市禁止新建自备燃煤发电机组。”、“在禁燃区内，禁止销售、燃用高污染燃料；禁止新建、扩建燃用高污染燃料的设施，已建成的按要求改用天然气、电或者其他清洁能源。”、“禁止使用劣质燃料或掺烧垃圾、工业固体废物等。”、“除国家重大战略项目外，禁止审批新增围填海项目。”</w:t>
            </w:r>
          </w:p>
          <w:p w14:paraId="242171CE">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《湛江市生态环境保护“十四五”规划》中要求深化工业源污染治理；水环境综合整治；加强土壤和地下水污染源头防控；全面提高固体废物环境安全管控水平。</w:t>
            </w:r>
          </w:p>
          <w:p w14:paraId="3217ADC6">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深化工业源污染治理：项目运营期主要大气污染物为颗粒物，成品堆场采用洒水和编织覆盖的方式控制扬尘；道路硬化，通过道路洒水和洗车池清洁车辆的方式减少扬尘。输送带设置围蔽，投料口设置喷淋装置。生产过程采取湿法作业，破碎、筛分环节均在水中进行。</w:t>
            </w:r>
          </w:p>
          <w:p w14:paraId="517258C6">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水环境综合整治：本项目废水不外排，生产废水、初期雨水经收集处理后回用于生产，生活污水经处理后回用于周边林地灌溉。</w:t>
            </w:r>
          </w:p>
          <w:p w14:paraId="2AC48796">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加强土壤和地下水污染源头防控：建设单位采取分区防护措施，各个环节得到良好控制的情况下，不存在地下水及土壤污染途径。</w:t>
            </w:r>
          </w:p>
          <w:p w14:paraId="50924F4C">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全面提高固体废物环境安全管控水平：本项目运营期产生一般工业固体废物淤泥泥饼</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含水60%</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、弃土，暂存于一般工业固体废物暂存</w:t>
            </w:r>
            <w:r>
              <w:rPr>
                <w:rFonts w:hint="eastAsia"/>
                <w:color w:val="000000" w:themeColor="text1"/>
                <w:lang w:val="en-US" w:eastAsia="zh-CN"/>
                <w14:textFill>
                  <w14:solidFill>
                    <w14:schemeClr w14:val="tx1"/>
                  </w14:solidFill>
                </w14:textFill>
              </w:rPr>
              <w:t>点</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定期运至中铁大桥局集团有限公司新建合浦至湛江铁路（广东段）站前工程 HZGDSG-1 标项目经理部的临时弃土场临时暂存，由中铁大桥局集团有限公司新建合浦至湛江铁路（广东段）站前工程 HZGDSG-1 标项目经理部统一处理，接受协议详见附件10</w:t>
            </w:r>
            <w:r>
              <w:rPr>
                <w:rFonts w:hint="eastAsia"/>
                <w:color w:val="000000" w:themeColor="text1"/>
                <w14:textFill>
                  <w14:solidFill>
                    <w14:schemeClr w14:val="tx1"/>
                  </w14:solidFill>
                </w14:textFill>
              </w:rPr>
              <w:t>；本项目运营期产生危险废物（废机油、废油桶、含油废抹布及手套）暂存于危险废物暂存间内，定期交由有资质单位处置。</w:t>
            </w:r>
          </w:p>
          <w:p w14:paraId="17F8ED3B">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综上，本项目的建设与《湛江市生态环境保护“十四五”规划》相符。</w:t>
            </w:r>
          </w:p>
          <w:p w14:paraId="43B1A303">
            <w:pPr>
              <w:pStyle w:val="12"/>
              <w:spacing w:before="0" w:after="0" w:line="360" w:lineRule="auto"/>
              <w:ind w:firstLine="422" w:firstLineChars="200"/>
              <w:rPr>
                <w:color w:val="000000" w:themeColor="text1"/>
                <w:sz w:val="21"/>
                <w:szCs w:val="21"/>
                <w14:textFill>
                  <w14:solidFill>
                    <w14:schemeClr w14:val="tx1"/>
                  </w14:solidFill>
                </w14:textFill>
              </w:rPr>
            </w:pPr>
            <w:r>
              <w:rPr>
                <w:rFonts w:hint="eastAsia"/>
                <w:color w:val="000000" w:themeColor="text1"/>
                <w:sz w:val="21"/>
                <w:szCs w:val="21"/>
                <w:lang w:bidi="ar"/>
                <w14:textFill>
                  <w14:solidFill>
                    <w14:schemeClr w14:val="tx1"/>
                  </w14:solidFill>
                </w14:textFill>
              </w:rPr>
              <w:t>7、与《环境保护综合名录（2021年版）》</w:t>
            </w:r>
            <w:r>
              <w:rPr>
                <w:color w:val="000000" w:themeColor="text1"/>
                <w:kern w:val="0"/>
                <w:sz w:val="21"/>
                <w:szCs w:val="21"/>
                <w14:textFill>
                  <w14:solidFill>
                    <w14:schemeClr w14:val="tx1"/>
                  </w14:solidFill>
                </w14:textFill>
              </w:rPr>
              <w:t>相符性分析</w:t>
            </w:r>
          </w:p>
          <w:p w14:paraId="10C774DF">
            <w:pPr>
              <w:pStyle w:val="42"/>
              <w:ind w:firstLine="420"/>
              <w:rPr>
                <w:color w:val="000000" w:themeColor="text1"/>
                <w14:textFill>
                  <w14:solidFill>
                    <w14:schemeClr w14:val="tx1"/>
                  </w14:solidFill>
                </w14:textFill>
              </w:rPr>
            </w:pPr>
            <w:r>
              <w:rPr>
                <w:rFonts w:hint="eastAsia"/>
                <w:bCs/>
                <w:color w:val="000000" w:themeColor="text1"/>
                <w14:textFill>
                  <w14:solidFill>
                    <w14:schemeClr w14:val="tx1"/>
                  </w14:solidFill>
                </w14:textFill>
              </w:rPr>
              <w:t>本项目生产的产品为碎石及机制砂，不属于</w:t>
            </w:r>
            <w:r>
              <w:rPr>
                <w:rFonts w:hint="eastAsia"/>
                <w:bCs/>
                <w:color w:val="000000" w:themeColor="text1"/>
                <w:lang w:bidi="ar"/>
                <w14:textFill>
                  <w14:solidFill>
                    <w14:schemeClr w14:val="tx1"/>
                  </w14:solidFill>
                </w14:textFill>
              </w:rPr>
              <w:t>《环境保护综合名录（2021年版）》中的</w:t>
            </w:r>
            <w:r>
              <w:rPr>
                <w:rFonts w:hint="eastAsia"/>
                <w:bCs/>
                <w:color w:val="000000" w:themeColor="text1"/>
                <w14:textFill>
                  <w14:solidFill>
                    <w14:schemeClr w14:val="tx1"/>
                  </w14:solidFill>
                </w14:textFill>
              </w:rPr>
              <w:t>“高污染、高环境风险”产品。</w:t>
            </w:r>
          </w:p>
          <w:p w14:paraId="4EDB4D20">
            <w:pPr>
              <w:pStyle w:val="12"/>
              <w:spacing w:before="0" w:after="0" w:line="360" w:lineRule="auto"/>
              <w:ind w:firstLine="422" w:firstLineChars="200"/>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8、与《有毒有害大气污染物名录（2018年）》</w:t>
            </w:r>
            <w:r>
              <w:rPr>
                <w:color w:val="000000" w:themeColor="text1"/>
                <w:kern w:val="0"/>
                <w:sz w:val="21"/>
                <w:szCs w:val="21"/>
                <w14:textFill>
                  <w14:solidFill>
                    <w14:schemeClr w14:val="tx1"/>
                  </w14:solidFill>
                </w14:textFill>
              </w:rPr>
              <w:t>相符性分析</w:t>
            </w:r>
          </w:p>
          <w:p w14:paraId="4E2AB4B8">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w:t>
            </w:r>
            <w:r>
              <w:rPr>
                <w:rFonts w:hint="eastAsia"/>
                <w:color w:val="000000" w:themeColor="text1"/>
                <w:kern w:val="0"/>
                <w:szCs w:val="21"/>
                <w:lang w:bidi="ar"/>
                <w14:textFill>
                  <w14:solidFill>
                    <w14:schemeClr w14:val="tx1"/>
                  </w14:solidFill>
                </w14:textFill>
              </w:rPr>
              <w:t>车辆运输、堆场、</w:t>
            </w:r>
            <w:r>
              <w:rPr>
                <w:rFonts w:hint="eastAsia"/>
                <w:color w:val="000000" w:themeColor="text1"/>
                <w:szCs w:val="21"/>
                <w14:textFill>
                  <w14:solidFill>
                    <w14:schemeClr w14:val="tx1"/>
                  </w14:solidFill>
                </w14:textFill>
              </w:rPr>
              <w:t>碎石、机制砂</w:t>
            </w:r>
            <w:r>
              <w:rPr>
                <w:rFonts w:hint="eastAsia"/>
                <w:color w:val="000000" w:themeColor="text1"/>
                <w:kern w:val="0"/>
                <w:szCs w:val="21"/>
                <w:lang w:bidi="ar"/>
                <w14:textFill>
                  <w14:solidFill>
                    <w14:schemeClr w14:val="tx1"/>
                  </w14:solidFill>
                </w14:textFill>
              </w:rPr>
              <w:t>生产线废气主要污染物为颗粒物、油烟，不属于</w:t>
            </w:r>
            <w:r>
              <w:rPr>
                <w:rFonts w:hint="eastAsia"/>
                <w:color w:val="000000" w:themeColor="text1"/>
                <w:szCs w:val="21"/>
                <w14:textFill>
                  <w14:solidFill>
                    <w14:schemeClr w14:val="tx1"/>
                  </w14:solidFill>
                </w14:textFill>
              </w:rPr>
              <w:t>《有毒有害大气污染物名录（2018年）》内的有毒有害大气污染物。</w:t>
            </w:r>
          </w:p>
        </w:tc>
      </w:tr>
    </w:tbl>
    <w:p w14:paraId="29C2ACD6">
      <w:pPr>
        <w:rPr>
          <w:color w:val="000000" w:themeColor="text1"/>
          <w14:textFill>
            <w14:solidFill>
              <w14:schemeClr w14:val="tx1"/>
            </w14:solidFill>
          </w14:textFill>
        </w:rPr>
        <w:sectPr>
          <w:pgSz w:w="11905" w:h="16838"/>
          <w:pgMar w:top="1587" w:right="1417" w:bottom="1587" w:left="1417" w:header="850" w:footer="1077" w:gutter="0"/>
          <w:cols w:space="720" w:num="1"/>
          <w:docGrid w:linePitch="312" w:charSpace="0"/>
        </w:sectPr>
      </w:pPr>
    </w:p>
    <w:p w14:paraId="2C6D5826">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6" w:name="_Toc32664"/>
      <w:r>
        <w:rPr>
          <w:rFonts w:ascii="Times New Roman" w:hAnsi="Times New Roman" w:eastAsia="黑体"/>
          <w:snapToGrid w:val="0"/>
          <w:color w:val="000000" w:themeColor="text1"/>
          <w:sz w:val="30"/>
          <w:szCs w:val="30"/>
          <w14:textFill>
            <w14:solidFill>
              <w14:schemeClr w14:val="tx1"/>
            </w14:solidFill>
          </w14:textFill>
        </w:rPr>
        <w:t>二、建设项目工程分析</w:t>
      </w:r>
      <w:bookmarkEnd w:id="16"/>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1"/>
        <w:gridCol w:w="8796"/>
      </w:tblGrid>
      <w:tr w14:paraId="0A175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8" w:hRule="atLeast"/>
          <w:jc w:val="center"/>
        </w:trPr>
        <w:tc>
          <w:tcPr>
            <w:tcW w:w="806" w:type="dxa"/>
            <w:vAlign w:val="center"/>
          </w:tcPr>
          <w:p w14:paraId="79DB6B70">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建设内容</w:t>
            </w:r>
          </w:p>
        </w:tc>
        <w:tc>
          <w:tcPr>
            <w:tcW w:w="8254" w:type="dxa"/>
          </w:tcPr>
          <w:p w14:paraId="71B5AC62">
            <w:pPr>
              <w:pStyle w:val="42"/>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一、项目概况及由来</w:t>
            </w:r>
          </w:p>
          <w:p w14:paraId="61A31FD0">
            <w:pPr>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中铁大桥局集团有限公司第二工程分公司拟</w:t>
            </w:r>
            <w:r>
              <w:rPr>
                <w:color w:val="000000" w:themeColor="text1"/>
                <w:szCs w:val="21"/>
                <w14:textFill>
                  <w14:solidFill>
                    <w14:schemeClr w14:val="tx1"/>
                  </w14:solidFill>
                </w14:textFill>
              </w:rPr>
              <w:t>选址于</w:t>
            </w:r>
            <w:r>
              <w:rPr>
                <w:rFonts w:hint="eastAsia"/>
                <w:color w:val="000000" w:themeColor="text1"/>
                <w:szCs w:val="21"/>
                <w14:textFill>
                  <w14:solidFill>
                    <w14:schemeClr w14:val="tx1"/>
                  </w14:solidFill>
                </w14:textFill>
              </w:rPr>
              <w:t>湛江市廉江市营仔镇福山村高墩角经济合作社建设“合湛铁路1标机制骨料加工场”（以下简称“本项目”），</w:t>
            </w:r>
            <w:r>
              <w:rPr>
                <w:color w:val="000000" w:themeColor="text1"/>
                <w:szCs w:val="21"/>
                <w14:textFill>
                  <w14:solidFill>
                    <w14:schemeClr w14:val="tx1"/>
                  </w14:solidFill>
                </w14:textFill>
              </w:rPr>
              <w:t>厂区中心地理坐标为东经1</w:t>
            </w:r>
            <w:r>
              <w:rPr>
                <w:rFonts w:hint="eastAsia"/>
                <w:color w:val="000000" w:themeColor="text1"/>
                <w:szCs w:val="21"/>
                <w14:textFill>
                  <w14:solidFill>
                    <w14:schemeClr w14:val="tx1"/>
                  </w14:solidFill>
                </w14:textFill>
              </w:rPr>
              <w:t>09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35.896</w:t>
            </w:r>
            <w:r>
              <w:rPr>
                <w:color w:val="000000" w:themeColor="text1"/>
                <w:szCs w:val="21"/>
                <w14:textFill>
                  <w14:solidFill>
                    <w14:schemeClr w14:val="tx1"/>
                  </w14:solidFill>
                </w14:textFill>
              </w:rPr>
              <w:t>″，北纬2</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26.328</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，项目总投资2000万元，其中环保投资500万元</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本项目占地面积55551m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，建筑面积为6640m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，绿化面积为3000m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，拟外购花岗岩矿石作为原料，用于生产</w:t>
            </w:r>
            <w:r>
              <w:rPr>
                <w:rFonts w:hint="eastAsia"/>
                <w:color w:val="000000" w:themeColor="text1"/>
                <w:szCs w:val="21"/>
                <w:lang w:val="en-US" w:eastAsia="zh-CN"/>
                <w14:textFill>
                  <w14:solidFill>
                    <w14:schemeClr w14:val="tx1"/>
                  </w14:solidFill>
                </w14:textFill>
              </w:rPr>
              <w:t>碎石</w:t>
            </w:r>
            <w:r>
              <w:rPr>
                <w:rFonts w:hint="eastAsia"/>
                <w:color w:val="000000" w:themeColor="text1"/>
                <w:szCs w:val="21"/>
                <w14:textFill>
                  <w14:solidFill>
                    <w14:schemeClr w14:val="tx1"/>
                  </w14:solidFill>
                </w14:textFill>
              </w:rPr>
              <w:t>和机制砂，产能合计为106.1万吨/年。</w:t>
            </w:r>
          </w:p>
          <w:p w14:paraId="4A086446">
            <w:pPr>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本项目为合浦至湛江铁路（广东段）工程的配套项目，为该工程生产</w:t>
            </w:r>
            <w:r>
              <w:rPr>
                <w:rFonts w:hint="eastAsia"/>
                <w:color w:val="000000" w:themeColor="text1"/>
                <w:szCs w:val="21"/>
                <w14:textFill>
                  <w14:solidFill>
                    <w14:schemeClr w14:val="tx1"/>
                  </w14:solidFill>
                </w14:textFill>
              </w:rPr>
              <w:t>碎石、机制砂</w:t>
            </w:r>
            <w:r>
              <w:rPr>
                <w:color w:val="000000" w:themeColor="text1"/>
                <w:szCs w:val="21"/>
                <w14:textFill>
                  <w14:solidFill>
                    <w14:schemeClr w14:val="tx1"/>
                  </w14:solidFill>
                </w14:textFill>
              </w:rPr>
              <w:t>。本项目的服务周期与合浦至湛江铁路（广东段）工程建设周期同步，待合浦至湛江铁路（广东段）</w:t>
            </w:r>
            <w:r>
              <w:rPr>
                <w:rFonts w:hint="eastAsia"/>
                <w:color w:val="000000" w:themeColor="text1"/>
                <w:szCs w:val="21"/>
                <w14:textFill>
                  <w14:solidFill>
                    <w14:schemeClr w14:val="tx1"/>
                  </w14:solidFill>
                </w14:textFill>
              </w:rPr>
              <w:t>工程</w:t>
            </w:r>
            <w:r>
              <w:rPr>
                <w:color w:val="000000" w:themeColor="text1"/>
                <w:szCs w:val="21"/>
                <w14:textFill>
                  <w14:solidFill>
                    <w14:schemeClr w14:val="tx1"/>
                  </w14:solidFill>
                </w14:textFill>
              </w:rPr>
              <w:t>完工后，本项目将同步结束运营。</w:t>
            </w:r>
          </w:p>
          <w:p w14:paraId="3EFBB8FB">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根据《中华人民共和国环境保护法》、《中华人民共和国环境影响评价法》、《建设项目环境保护管理条例》等有关规定，该项目需进行环境影响评价。对照《建设项目环境影响评价分类管理名录》（2021年版），本项目属于“二十七、非金属矿物制品业-56砖瓦、石材等建筑材料制造 303-其他建筑材料制造（含干粉砂浆搅拌站）”，应当编制环境影响报告表。</w:t>
            </w:r>
          </w:p>
          <w:p w14:paraId="59F45012">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为此，</w:t>
            </w:r>
            <w:r>
              <w:rPr>
                <w:rFonts w:hint="eastAsia"/>
                <w:color w:val="000000" w:themeColor="text1"/>
                <w:szCs w:val="21"/>
                <w14:textFill>
                  <w14:solidFill>
                    <w14:schemeClr w14:val="tx1"/>
                  </w14:solidFill>
                </w14:textFill>
              </w:rPr>
              <w:t>中铁大桥局集团有限公司第二工程分公司</w:t>
            </w:r>
            <w:r>
              <w:rPr>
                <w:color w:val="000000" w:themeColor="text1"/>
                <w:szCs w:val="21"/>
                <w14:textFill>
                  <w14:solidFill>
                    <w14:schemeClr w14:val="tx1"/>
                  </w14:solidFill>
                </w14:textFill>
              </w:rPr>
              <w:t>委托广州国寰环保科技发展有限公司承担环境影响评价报告表的编制工作。</w:t>
            </w:r>
            <w:r>
              <w:rPr>
                <w:rFonts w:hint="eastAsia"/>
                <w:color w:val="000000" w:themeColor="text1"/>
                <w:szCs w:val="21"/>
                <w14:textFill>
                  <w14:solidFill>
                    <w14:schemeClr w14:val="tx1"/>
                  </w14:solidFill>
                </w14:textFill>
              </w:rPr>
              <w:t>我司</w:t>
            </w:r>
            <w:r>
              <w:rPr>
                <w:color w:val="000000" w:themeColor="text1"/>
                <w:szCs w:val="21"/>
                <w14:textFill>
                  <w14:solidFill>
                    <w14:schemeClr w14:val="tx1"/>
                  </w14:solidFill>
                </w14:textFill>
              </w:rPr>
              <w:t>受</w:t>
            </w:r>
            <w:r>
              <w:rPr>
                <w:rFonts w:hint="eastAsia"/>
                <w:color w:val="000000" w:themeColor="text1"/>
                <w:szCs w:val="21"/>
                <w14:textFill>
                  <w14:solidFill>
                    <w14:schemeClr w14:val="tx1"/>
                  </w14:solidFill>
                </w14:textFill>
              </w:rPr>
              <w:t>中铁大桥局集团有限公司第二工程分公司</w:t>
            </w:r>
            <w:r>
              <w:rPr>
                <w:color w:val="000000" w:themeColor="text1"/>
                <w:szCs w:val="21"/>
                <w14:textFill>
                  <w14:solidFill>
                    <w14:schemeClr w14:val="tx1"/>
                  </w14:solidFill>
                </w14:textFill>
              </w:rPr>
              <w:t>委托后，派有关工程技术人员到现场进行调查和资料收集，并在工程分析的基础上，明确各污染源排放源强及排放特征，提出切实可行的污染防治措施，分析对环境可能造成的影响程度和范围，为项目管理提供科学依据。</w:t>
            </w:r>
          </w:p>
          <w:p w14:paraId="0CB0A90B">
            <w:pPr>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二、项目选址、四至情况</w:t>
            </w:r>
          </w:p>
          <w:p w14:paraId="7051D10D">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本项目选址位于</w:t>
            </w:r>
            <w:r>
              <w:rPr>
                <w:rFonts w:hint="eastAsia"/>
                <w:color w:val="000000" w:themeColor="text1"/>
                <w:szCs w:val="21"/>
                <w14:textFill>
                  <w14:solidFill>
                    <w14:schemeClr w14:val="tx1"/>
                  </w14:solidFill>
                </w14:textFill>
              </w:rPr>
              <w:t>湛江市廉江市营仔镇福山村高墩角经济合作社</w:t>
            </w:r>
            <w:r>
              <w:rPr>
                <w:color w:val="000000" w:themeColor="text1"/>
                <w:szCs w:val="21"/>
                <w14:textFill>
                  <w14:solidFill>
                    <w14:schemeClr w14:val="tx1"/>
                  </w14:solidFill>
                </w14:textFill>
              </w:rPr>
              <w:t>，项目中心点位坐标为东经1</w:t>
            </w:r>
            <w:r>
              <w:rPr>
                <w:rFonts w:hint="eastAsia"/>
                <w:color w:val="000000" w:themeColor="text1"/>
                <w:szCs w:val="21"/>
                <w14:textFill>
                  <w14:solidFill>
                    <w14:schemeClr w14:val="tx1"/>
                  </w14:solidFill>
                </w14:textFill>
              </w:rPr>
              <w:t>09</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9′</w:t>
            </w:r>
            <w:r>
              <w:rPr>
                <w:rFonts w:hint="eastAsia"/>
                <w:color w:val="000000" w:themeColor="text1"/>
                <w:szCs w:val="21"/>
                <w14:textFill>
                  <w14:solidFill>
                    <w14:schemeClr w14:val="tx1"/>
                  </w14:solidFill>
                </w14:textFill>
              </w:rPr>
              <w:t>35.896</w:t>
            </w:r>
            <w:r>
              <w:rPr>
                <w:color w:val="000000" w:themeColor="text1"/>
                <w:szCs w:val="21"/>
                <w14:textFill>
                  <w14:solidFill>
                    <w14:schemeClr w14:val="tx1"/>
                  </w14:solidFill>
                </w14:textFill>
              </w:rPr>
              <w:t>″，北纬2</w:t>
            </w:r>
            <w:r>
              <w:rPr>
                <w:rFonts w:hint="eastAsia"/>
                <w:color w:val="000000" w:themeColor="text1"/>
                <w:szCs w:val="21"/>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26.328</w:t>
            </w:r>
            <w:r>
              <w:rPr>
                <w:color w:val="000000" w:themeColor="text1"/>
                <w:szCs w:val="21"/>
                <w14:textFill>
                  <w14:solidFill>
                    <w14:schemeClr w14:val="tx1"/>
                  </w14:solidFill>
                </w14:textFill>
              </w:rPr>
              <w:t>″，项目地理位置见附图1。</w:t>
            </w:r>
          </w:p>
          <w:p w14:paraId="0DCDD98F">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根据现场踏勘，厂区</w:t>
            </w:r>
            <w:r>
              <w:rPr>
                <w:rFonts w:hint="eastAsia"/>
                <w:color w:val="000000" w:themeColor="text1"/>
                <w:szCs w:val="21"/>
                <w14:textFill>
                  <w14:solidFill>
                    <w14:schemeClr w14:val="tx1"/>
                  </w14:solidFill>
                </w14:textFill>
              </w:rPr>
              <w:t>东面为林地；北面为忠哥红橙果场</w:t>
            </w:r>
            <w:r>
              <w:rPr>
                <w:color w:val="000000" w:themeColor="text1"/>
                <w:szCs w:val="21"/>
                <w14:textFill>
                  <w14:solidFill>
                    <w14:schemeClr w14:val="tx1"/>
                  </w14:solidFill>
                </w14:textFill>
              </w:rPr>
              <w:t>；南面为</w:t>
            </w:r>
            <w:r>
              <w:rPr>
                <w:rFonts w:hint="eastAsia"/>
                <w:color w:val="000000" w:themeColor="text1"/>
                <w:szCs w:val="21"/>
                <w14:textFill>
                  <w14:solidFill>
                    <w14:schemeClr w14:val="tx1"/>
                  </w14:solidFill>
                </w14:textFill>
              </w:rPr>
              <w:t>228国道；</w:t>
            </w:r>
            <w:r>
              <w:rPr>
                <w:color w:val="000000" w:themeColor="text1"/>
                <w:szCs w:val="21"/>
                <w14:textFill>
                  <w14:solidFill>
                    <w14:schemeClr w14:val="tx1"/>
                  </w14:solidFill>
                </w14:textFill>
              </w:rPr>
              <w:t>东面为</w:t>
            </w:r>
            <w:r>
              <w:rPr>
                <w:rFonts w:hint="eastAsia"/>
                <w:color w:val="000000" w:themeColor="text1"/>
                <w:szCs w:val="21"/>
                <w14:textFill>
                  <w14:solidFill>
                    <w14:schemeClr w14:val="tx1"/>
                  </w14:solidFill>
                </w14:textFill>
              </w:rPr>
              <w:t>荒地</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西面为荒地；</w:t>
            </w:r>
            <w:r>
              <w:rPr>
                <w:color w:val="000000" w:themeColor="text1"/>
                <w:szCs w:val="21"/>
                <w14:textFill>
                  <w14:solidFill>
                    <w14:schemeClr w14:val="tx1"/>
                  </w14:solidFill>
                </w14:textFill>
              </w:rPr>
              <w:t>项目四至图见附图3。项目周边交通较为便利，为原料及产品的运输提供了良好的运输条件。</w:t>
            </w:r>
          </w:p>
          <w:p w14:paraId="2D2003EA">
            <w:pPr>
              <w:spacing w:line="360" w:lineRule="auto"/>
              <w:ind w:firstLine="422" w:firstLineChars="200"/>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三、</w:t>
            </w:r>
            <w:r>
              <w:rPr>
                <w:b/>
                <w:bCs/>
                <w:color w:val="000000" w:themeColor="text1"/>
                <w:szCs w:val="21"/>
                <w14:textFill>
                  <w14:solidFill>
                    <w14:schemeClr w14:val="tx1"/>
                  </w14:solidFill>
                </w14:textFill>
              </w:rPr>
              <w:t>建设规模及内容</w:t>
            </w:r>
          </w:p>
          <w:p w14:paraId="4042EDFE">
            <w:pPr>
              <w:widowControl/>
              <w:spacing w:line="360" w:lineRule="auto"/>
              <w:ind w:firstLine="420" w:firstLineChars="200"/>
              <w:jc w:val="left"/>
              <w:rPr>
                <w:b/>
                <w:bCs/>
                <w:color w:val="000000" w:themeColor="text1"/>
                <w:kern w:val="0"/>
                <w:szCs w:val="21"/>
                <w:highlight w:val="yellow"/>
                <w:lang w:bidi="ar"/>
                <w14:textFill>
                  <w14:solidFill>
                    <w14:schemeClr w14:val="tx1"/>
                  </w14:solidFill>
                </w14:textFill>
              </w:rPr>
            </w:pPr>
            <w:r>
              <w:rPr>
                <w:rFonts w:hint="eastAsia"/>
                <w:color w:val="000000" w:themeColor="text1"/>
                <w:szCs w:val="21"/>
                <w14:textFill>
                  <w14:solidFill>
                    <w14:schemeClr w14:val="tx1"/>
                  </w14:solidFill>
                </w14:textFill>
              </w:rPr>
              <w:t>中铁大桥局集团有限公司第二工程分公司</w:t>
            </w:r>
            <w:r>
              <w:rPr>
                <w:color w:val="000000" w:themeColor="text1"/>
                <w:szCs w:val="21"/>
                <w14:textFill>
                  <w14:solidFill>
                    <w14:schemeClr w14:val="tx1"/>
                  </w14:solidFill>
                </w14:textFill>
              </w:rPr>
              <w:t>总</w:t>
            </w:r>
            <w:r>
              <w:rPr>
                <w:rFonts w:hint="eastAsia"/>
                <w:color w:val="000000" w:themeColor="text1"/>
                <w:szCs w:val="21"/>
                <w14:textFill>
                  <w14:solidFill>
                    <w14:schemeClr w14:val="tx1"/>
                  </w14:solidFill>
                </w14:textFill>
              </w:rPr>
              <w:t>占地面积55551m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，建筑面积为6640m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主要建设</w:t>
            </w:r>
            <w:r>
              <w:rPr>
                <w:rFonts w:hint="eastAsia"/>
                <w:color w:val="000000" w:themeColor="text1"/>
                <w:szCs w:val="21"/>
                <w14:textFill>
                  <w14:solidFill>
                    <w14:schemeClr w14:val="tx1"/>
                  </w14:solidFill>
                </w14:textFill>
              </w:rPr>
              <w:t>生产车间、办公生活区、原料堆棚、成品仓库</w:t>
            </w:r>
            <w:r>
              <w:rPr>
                <w:color w:val="000000" w:themeColor="text1"/>
                <w:szCs w:val="21"/>
                <w14:textFill>
                  <w14:solidFill>
                    <w14:schemeClr w14:val="tx1"/>
                  </w14:solidFill>
                </w14:textFill>
              </w:rPr>
              <w:t>，并配套建设给排水、环保设施等工程。厂区平面布置图见附图</w:t>
            </w:r>
            <w:r>
              <w:rPr>
                <w:rFonts w:hint="eastAsia"/>
                <w:color w:val="000000" w:themeColor="text1"/>
                <w:szCs w:val="21"/>
                <w14:textFill>
                  <w14:solidFill>
                    <w14:schemeClr w14:val="tx1"/>
                  </w14:solidFill>
                </w14:textFill>
              </w:rPr>
              <w:t>5</w:t>
            </w:r>
            <w:r>
              <w:rPr>
                <w:color w:val="000000" w:themeColor="text1"/>
                <w:szCs w:val="21"/>
                <w14:textFill>
                  <w14:solidFill>
                    <w14:schemeClr w14:val="tx1"/>
                  </w14:solidFill>
                </w14:textFill>
              </w:rPr>
              <w:t>。</w:t>
            </w:r>
          </w:p>
          <w:p w14:paraId="62B0F5C6">
            <w:pPr>
              <w:pStyle w:val="45"/>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 xml:space="preserve"> 本项目工程组成一览表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1138"/>
              <w:gridCol w:w="6493"/>
            </w:tblGrid>
            <w:tr w14:paraId="2FE8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212" w:type="pct"/>
                  <w:gridSpan w:val="2"/>
                  <w:shd w:val="clear" w:color="auto" w:fill="D9D9D9"/>
                  <w:vAlign w:val="center"/>
                </w:tcPr>
                <w:p w14:paraId="39D1983A">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类别</w:t>
                  </w:r>
                </w:p>
              </w:tc>
              <w:tc>
                <w:tcPr>
                  <w:tcW w:w="3787" w:type="pct"/>
                  <w:shd w:val="clear" w:color="auto" w:fill="D9D9D9"/>
                  <w:vAlign w:val="center"/>
                </w:tcPr>
                <w:p w14:paraId="38C9C71B">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工程内容及规模</w:t>
                  </w:r>
                </w:p>
              </w:tc>
            </w:tr>
            <w:tr w14:paraId="1505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548" w:type="pct"/>
                  <w:vAlign w:val="center"/>
                </w:tcPr>
                <w:p w14:paraId="7962C4B0">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主体工程</w:t>
                  </w:r>
                </w:p>
              </w:tc>
              <w:tc>
                <w:tcPr>
                  <w:tcW w:w="663" w:type="pct"/>
                  <w:vAlign w:val="center"/>
                </w:tcPr>
                <w:p w14:paraId="5D209D81">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生产车间</w:t>
                  </w:r>
                </w:p>
              </w:tc>
              <w:tc>
                <w:tcPr>
                  <w:tcW w:w="3787" w:type="pct"/>
                  <w:vAlign w:val="center"/>
                </w:tcPr>
                <w:p w14:paraId="47474A96">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生产车间为封闭式钢结构建筑，</w:t>
                  </w:r>
                  <w:r>
                    <w:rPr>
                      <w:rFonts w:hint="default"/>
                      <w:color w:val="000000" w:themeColor="text1"/>
                      <w:szCs w:val="18"/>
                      <w14:textFill>
                        <w14:solidFill>
                          <w14:schemeClr w14:val="tx1"/>
                        </w14:solidFill>
                      </w14:textFill>
                    </w:rPr>
                    <w:t>设有一条生产线，占地面积</w:t>
                  </w:r>
                  <w:r>
                    <w:rPr>
                      <w:color w:val="000000" w:themeColor="text1"/>
                      <w:szCs w:val="18"/>
                      <w14:textFill>
                        <w14:solidFill>
                          <w14:schemeClr w14:val="tx1"/>
                        </w14:solidFill>
                      </w14:textFill>
                    </w:rPr>
                    <w:t>3500</w:t>
                  </w:r>
                  <w:r>
                    <w:rPr>
                      <w:rFonts w:hint="default"/>
                      <w:color w:val="000000" w:themeColor="text1"/>
                      <w:szCs w:val="18"/>
                      <w14:textFill>
                        <w14:solidFill>
                          <w14:schemeClr w14:val="tx1"/>
                        </w14:solidFill>
                      </w14:textFill>
                    </w:rPr>
                    <w:t>平方米，</w:t>
                  </w:r>
                  <w:r>
                    <w:rPr>
                      <w:color w:val="000000" w:themeColor="text1"/>
                      <w:szCs w:val="18"/>
                      <w14:textFill>
                        <w14:solidFill>
                          <w14:schemeClr w14:val="tx1"/>
                        </w14:solidFill>
                      </w14:textFill>
                    </w:rPr>
                    <w:t>建筑面积为1380m</w:t>
                  </w:r>
                  <w:r>
                    <w:rPr>
                      <w:color w:val="000000" w:themeColor="text1"/>
                      <w:szCs w:val="18"/>
                      <w:vertAlign w:val="superscript"/>
                      <w14:textFill>
                        <w14:solidFill>
                          <w14:schemeClr w14:val="tx1"/>
                        </w14:solidFill>
                      </w14:textFill>
                    </w:rPr>
                    <w:t>2</w:t>
                  </w:r>
                  <w:r>
                    <w:rPr>
                      <w:color w:val="000000" w:themeColor="text1"/>
                      <w:szCs w:val="18"/>
                      <w14:textFill>
                        <w14:solidFill>
                          <w14:schemeClr w14:val="tx1"/>
                        </w14:solidFill>
                      </w14:textFill>
                    </w:rPr>
                    <w:t>，</w:t>
                  </w:r>
                  <w:r>
                    <w:rPr>
                      <w:rFonts w:hint="default"/>
                      <w:color w:val="000000" w:themeColor="text1"/>
                      <w:szCs w:val="18"/>
                      <w14:textFill>
                        <w14:solidFill>
                          <w14:schemeClr w14:val="tx1"/>
                        </w14:solidFill>
                      </w14:textFill>
                    </w:rPr>
                    <w:t>包括给料、破碎、筛分等工序，配备有振动给料机、鄂式破碎机、圆锥破碎机、振动筛、冲击破（制砂机）等设备。</w:t>
                  </w:r>
                </w:p>
              </w:tc>
            </w:tr>
            <w:tr w14:paraId="7C34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Align w:val="center"/>
                </w:tcPr>
                <w:p w14:paraId="017B69A7">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辅助工程</w:t>
                  </w:r>
                </w:p>
              </w:tc>
              <w:tc>
                <w:tcPr>
                  <w:tcW w:w="663" w:type="pct"/>
                  <w:vAlign w:val="center"/>
                </w:tcPr>
                <w:p w14:paraId="7690E536">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办公生活区</w:t>
                  </w:r>
                </w:p>
              </w:tc>
              <w:tc>
                <w:tcPr>
                  <w:tcW w:w="3787" w:type="pct"/>
                  <w:vAlign w:val="center"/>
                </w:tcPr>
                <w:p w14:paraId="2FB635A4">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占地面积约50</w:t>
                  </w:r>
                  <w:r>
                    <w:rPr>
                      <w:rFonts w:hint="default"/>
                      <w:color w:val="000000" w:themeColor="text1"/>
                      <w:szCs w:val="18"/>
                      <w14:textFill>
                        <w14:solidFill>
                          <w14:schemeClr w14:val="tx1"/>
                        </w14:solidFill>
                      </w14:textFill>
                    </w:rPr>
                    <w:t>00m</w:t>
                  </w:r>
                  <w:r>
                    <w:rPr>
                      <w:rFonts w:hint="default"/>
                      <w:color w:val="000000" w:themeColor="text1"/>
                      <w:szCs w:val="18"/>
                      <w:vertAlign w:val="superscript"/>
                      <w14:textFill>
                        <w14:solidFill>
                          <w14:schemeClr w14:val="tx1"/>
                        </w14:solidFill>
                      </w14:textFill>
                    </w:rPr>
                    <w:t>2</w:t>
                  </w:r>
                  <w:r>
                    <w:rPr>
                      <w:rFonts w:hint="default"/>
                      <w:color w:val="000000" w:themeColor="text1"/>
                      <w:szCs w:val="18"/>
                      <w14:textFill>
                        <w14:solidFill>
                          <w14:schemeClr w14:val="tx1"/>
                        </w14:solidFill>
                      </w14:textFill>
                    </w:rPr>
                    <w:t>，</w:t>
                  </w:r>
                  <w:r>
                    <w:rPr>
                      <w:color w:val="000000" w:themeColor="text1"/>
                      <w:szCs w:val="18"/>
                      <w14:textFill>
                        <w14:solidFill>
                          <w14:schemeClr w14:val="tx1"/>
                        </w14:solidFill>
                      </w14:textFill>
                    </w:rPr>
                    <w:t>建筑面积为500m</w:t>
                  </w:r>
                  <w:r>
                    <w:rPr>
                      <w:color w:val="000000" w:themeColor="text1"/>
                      <w:szCs w:val="18"/>
                      <w:vertAlign w:val="superscript"/>
                      <w14:textFill>
                        <w14:solidFill>
                          <w14:schemeClr w14:val="tx1"/>
                        </w14:solidFill>
                      </w14:textFill>
                    </w:rPr>
                    <w:t>2</w:t>
                  </w:r>
                  <w:r>
                    <w:rPr>
                      <w:color w:val="000000" w:themeColor="text1"/>
                      <w:szCs w:val="18"/>
                      <w14:textFill>
                        <w14:solidFill>
                          <w14:schemeClr w14:val="tx1"/>
                        </w14:solidFill>
                      </w14:textFill>
                    </w:rPr>
                    <w:t>，主要分为办公区、宿舍、食堂。</w:t>
                  </w:r>
                </w:p>
              </w:tc>
            </w:tr>
            <w:tr w14:paraId="5473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48" w:type="pct"/>
                  <w:vMerge w:val="restart"/>
                  <w:vAlign w:val="center"/>
                </w:tcPr>
                <w:p w14:paraId="09B86BB4">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储运工程</w:t>
                  </w:r>
                </w:p>
              </w:tc>
              <w:tc>
                <w:tcPr>
                  <w:tcW w:w="663" w:type="pct"/>
                  <w:vAlign w:val="center"/>
                </w:tcPr>
                <w:p w14:paraId="0308A0DA">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原料堆棚</w:t>
                  </w:r>
                </w:p>
              </w:tc>
              <w:tc>
                <w:tcPr>
                  <w:tcW w:w="3787" w:type="pct"/>
                  <w:vAlign w:val="center"/>
                </w:tcPr>
                <w:p w14:paraId="7D0F711B">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占地面积约100</w:t>
                  </w:r>
                  <w:r>
                    <w:rPr>
                      <w:rFonts w:hint="default"/>
                      <w:color w:val="000000" w:themeColor="text1"/>
                      <w:szCs w:val="18"/>
                      <w14:textFill>
                        <w14:solidFill>
                          <w14:schemeClr w14:val="tx1"/>
                        </w14:solidFill>
                      </w14:textFill>
                    </w:rPr>
                    <w:t>00m</w:t>
                  </w:r>
                  <w:r>
                    <w:rPr>
                      <w:rFonts w:hint="default"/>
                      <w:color w:val="000000" w:themeColor="text1"/>
                      <w:szCs w:val="18"/>
                      <w:vertAlign w:val="superscript"/>
                      <w14:textFill>
                        <w14:solidFill>
                          <w14:schemeClr w14:val="tx1"/>
                        </w14:solidFill>
                      </w14:textFill>
                    </w:rPr>
                    <w:t>2</w:t>
                  </w:r>
                  <w:r>
                    <w:rPr>
                      <w:rFonts w:hint="default"/>
                      <w:color w:val="000000" w:themeColor="text1"/>
                      <w:szCs w:val="18"/>
                      <w14:textFill>
                        <w14:solidFill>
                          <w14:schemeClr w14:val="tx1"/>
                        </w14:solidFill>
                      </w14:textFill>
                    </w:rPr>
                    <w:t>，</w:t>
                  </w:r>
                  <w:r>
                    <w:rPr>
                      <w:rFonts w:hint="eastAsia"/>
                      <w:color w:val="000000" w:themeColor="text1"/>
                      <w:szCs w:val="18"/>
                      <w:lang w:val="en-US" w:eastAsia="zh-CN"/>
                      <w14:textFill>
                        <w14:solidFill>
                          <w14:schemeClr w14:val="tx1"/>
                        </w14:solidFill>
                      </w14:textFill>
                    </w:rPr>
                    <w:t>顶部设置堆棚，</w:t>
                  </w:r>
                  <w:r>
                    <w:rPr>
                      <w:color w:val="000000" w:themeColor="text1"/>
                      <w:szCs w:val="18"/>
                      <w14:textFill>
                        <w14:solidFill>
                          <w14:schemeClr w14:val="tx1"/>
                        </w14:solidFill>
                      </w14:textFill>
                    </w:rPr>
                    <w:t>为备用仓库，日常不做储存，特殊情况下使用。</w:t>
                  </w:r>
                </w:p>
              </w:tc>
            </w:tr>
            <w:tr w14:paraId="0ED9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Merge w:val="continue"/>
                  <w:vAlign w:val="center"/>
                </w:tcPr>
                <w:p w14:paraId="5E0F36B6">
                  <w:pPr>
                    <w:pStyle w:val="44"/>
                    <w:rPr>
                      <w:rFonts w:hint="default"/>
                      <w:color w:val="000000" w:themeColor="text1"/>
                      <w:szCs w:val="18"/>
                      <w14:textFill>
                        <w14:solidFill>
                          <w14:schemeClr w14:val="tx1"/>
                        </w14:solidFill>
                      </w14:textFill>
                    </w:rPr>
                  </w:pPr>
                </w:p>
              </w:tc>
              <w:tc>
                <w:tcPr>
                  <w:tcW w:w="663" w:type="pct"/>
                  <w:vAlign w:val="center"/>
                </w:tcPr>
                <w:p w14:paraId="08B2D88F">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成品仓库</w:t>
                  </w:r>
                </w:p>
              </w:tc>
              <w:tc>
                <w:tcPr>
                  <w:tcW w:w="3787" w:type="pct"/>
                  <w:vAlign w:val="center"/>
                </w:tcPr>
                <w:p w14:paraId="502AA3C4">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占地面积约48</w:t>
                  </w:r>
                  <w:r>
                    <w:rPr>
                      <w:rFonts w:hint="default"/>
                      <w:color w:val="000000" w:themeColor="text1"/>
                      <w:szCs w:val="18"/>
                      <w14:textFill>
                        <w14:solidFill>
                          <w14:schemeClr w14:val="tx1"/>
                        </w14:solidFill>
                      </w14:textFill>
                    </w:rPr>
                    <w:t>00m</w:t>
                  </w:r>
                  <w:r>
                    <w:rPr>
                      <w:rFonts w:hint="default"/>
                      <w:color w:val="000000" w:themeColor="text1"/>
                      <w:szCs w:val="18"/>
                      <w:vertAlign w:val="superscript"/>
                      <w14:textFill>
                        <w14:solidFill>
                          <w14:schemeClr w14:val="tx1"/>
                        </w14:solidFill>
                      </w14:textFill>
                    </w:rPr>
                    <w:t>2</w:t>
                  </w:r>
                  <w:r>
                    <w:rPr>
                      <w:rFonts w:hint="default"/>
                      <w:color w:val="000000" w:themeColor="text1"/>
                      <w:szCs w:val="18"/>
                      <w14:textFill>
                        <w14:solidFill>
                          <w14:schemeClr w14:val="tx1"/>
                        </w14:solidFill>
                      </w14:textFill>
                    </w:rPr>
                    <w:t>，</w:t>
                  </w:r>
                  <w:r>
                    <w:rPr>
                      <w:color w:val="000000" w:themeColor="text1"/>
                      <w:szCs w:val="18"/>
                      <w14:textFill>
                        <w14:solidFill>
                          <w14:schemeClr w14:val="tx1"/>
                        </w14:solidFill>
                      </w14:textFill>
                    </w:rPr>
                    <w:t>建筑面积为4800m</w:t>
                  </w:r>
                  <w:r>
                    <w:rPr>
                      <w:color w:val="000000" w:themeColor="text1"/>
                      <w:szCs w:val="18"/>
                      <w:vertAlign w:val="superscript"/>
                      <w14:textFill>
                        <w14:solidFill>
                          <w14:schemeClr w14:val="tx1"/>
                        </w14:solidFill>
                      </w14:textFill>
                    </w:rPr>
                    <w:t>2</w:t>
                  </w:r>
                  <w:r>
                    <w:rPr>
                      <w:color w:val="000000" w:themeColor="text1"/>
                      <w:szCs w:val="18"/>
                      <w14:textFill>
                        <w14:solidFill>
                          <w14:schemeClr w14:val="tx1"/>
                        </w14:solidFill>
                      </w14:textFill>
                    </w:rPr>
                    <w:t>，为半封闭式钢结构建筑，主要用于堆放碎石及机制砂。</w:t>
                  </w:r>
                </w:p>
              </w:tc>
            </w:tr>
            <w:tr w14:paraId="59AE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Merge w:val="restart"/>
                  <w:vAlign w:val="center"/>
                </w:tcPr>
                <w:p w14:paraId="45D4915E">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公用工程</w:t>
                  </w:r>
                </w:p>
              </w:tc>
              <w:tc>
                <w:tcPr>
                  <w:tcW w:w="663" w:type="pct"/>
                  <w:vAlign w:val="center"/>
                </w:tcPr>
                <w:p w14:paraId="06D99EB7">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供水工程</w:t>
                  </w:r>
                </w:p>
              </w:tc>
              <w:tc>
                <w:tcPr>
                  <w:tcW w:w="3787" w:type="pct"/>
                  <w:vAlign w:val="center"/>
                </w:tcPr>
                <w:p w14:paraId="65AA849B">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由市政自来水管网供给</w:t>
                  </w:r>
                </w:p>
              </w:tc>
            </w:tr>
            <w:tr w14:paraId="60EF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Merge w:val="continue"/>
                  <w:vAlign w:val="center"/>
                </w:tcPr>
                <w:p w14:paraId="07752935">
                  <w:pPr>
                    <w:pStyle w:val="44"/>
                    <w:rPr>
                      <w:rFonts w:hint="default"/>
                      <w:color w:val="000000" w:themeColor="text1"/>
                      <w:szCs w:val="18"/>
                      <w14:textFill>
                        <w14:solidFill>
                          <w14:schemeClr w14:val="tx1"/>
                        </w14:solidFill>
                      </w14:textFill>
                    </w:rPr>
                  </w:pPr>
                </w:p>
              </w:tc>
              <w:tc>
                <w:tcPr>
                  <w:tcW w:w="663" w:type="pct"/>
                  <w:vAlign w:val="center"/>
                </w:tcPr>
                <w:p w14:paraId="34BA9DBD">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供电工程</w:t>
                  </w:r>
                </w:p>
              </w:tc>
              <w:tc>
                <w:tcPr>
                  <w:tcW w:w="3787" w:type="pct"/>
                  <w:vAlign w:val="center"/>
                </w:tcPr>
                <w:p w14:paraId="76421A13">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市政供电</w:t>
                  </w:r>
                </w:p>
              </w:tc>
            </w:tr>
            <w:tr w14:paraId="6F81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8" w:type="pct"/>
                  <w:vMerge w:val="restart"/>
                  <w:vAlign w:val="center"/>
                </w:tcPr>
                <w:p w14:paraId="5324AA64">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环保工程</w:t>
                  </w:r>
                </w:p>
              </w:tc>
              <w:tc>
                <w:tcPr>
                  <w:tcW w:w="663" w:type="pct"/>
                  <w:vAlign w:val="center"/>
                </w:tcPr>
                <w:p w14:paraId="40A99CE3">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废气</w:t>
                  </w:r>
                </w:p>
              </w:tc>
              <w:tc>
                <w:tcPr>
                  <w:tcW w:w="3787" w:type="pct"/>
                  <w:vAlign w:val="center"/>
                </w:tcPr>
                <w:p w14:paraId="45F49325">
                  <w:pPr>
                    <w:pStyle w:val="44"/>
                    <w:jc w:val="left"/>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①车辆运输扬尘：洒水喷淋系统、洗车台等抑尘措施；</w:t>
                  </w:r>
                </w:p>
                <w:p w14:paraId="52BDD4BF">
                  <w:pPr>
                    <w:pStyle w:val="44"/>
                    <w:jc w:val="left"/>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②</w:t>
                  </w:r>
                  <w:r>
                    <w:rPr>
                      <w:rFonts w:ascii="宋体" w:hAnsi="宋体" w:cs="宋体"/>
                      <w:color w:val="000000" w:themeColor="text1"/>
                      <w:szCs w:val="18"/>
                      <w14:textFill>
                        <w14:solidFill>
                          <w14:schemeClr w14:val="tx1"/>
                        </w14:solidFill>
                      </w14:textFill>
                    </w:rPr>
                    <w:t>装卸粉尘：洒水降尘、进行局部封闭防风降尘等抑尘措施；</w:t>
                  </w:r>
                </w:p>
                <w:p w14:paraId="57978937">
                  <w:pPr>
                    <w:pStyle w:val="44"/>
                    <w:jc w:val="left"/>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fldChar w:fldCharType="begin"/>
                  </w:r>
                  <w:r>
                    <w:rPr>
                      <w:color w:val="000000" w:themeColor="text1"/>
                      <w:szCs w:val="18"/>
                      <w14:textFill>
                        <w14:solidFill>
                          <w14:schemeClr w14:val="tx1"/>
                        </w14:solidFill>
                      </w14:textFill>
                    </w:rPr>
                    <w:instrText xml:space="preserve"> = 3 \* GB3 \* MERGEFORMAT </w:instrText>
                  </w:r>
                  <w:r>
                    <w:rPr>
                      <w:color w:val="000000" w:themeColor="text1"/>
                      <w:szCs w:val="18"/>
                      <w14:textFill>
                        <w14:solidFill>
                          <w14:schemeClr w14:val="tx1"/>
                        </w14:solidFill>
                      </w14:textFill>
                    </w:rPr>
                    <w:fldChar w:fldCharType="separate"/>
                  </w:r>
                  <w:r>
                    <w:rPr>
                      <w:color w:val="000000" w:themeColor="text1"/>
                      <w:szCs w:val="18"/>
                      <w14:textFill>
                        <w14:solidFill>
                          <w14:schemeClr w14:val="tx1"/>
                        </w14:solidFill>
                      </w14:textFill>
                    </w:rPr>
                    <w:t>③</w:t>
                  </w:r>
                  <w:r>
                    <w:rPr>
                      <w:color w:val="000000" w:themeColor="text1"/>
                      <w:szCs w:val="18"/>
                      <w14:textFill>
                        <w14:solidFill>
                          <w14:schemeClr w14:val="tx1"/>
                        </w14:solidFill>
                      </w14:textFill>
                    </w:rPr>
                    <w:fldChar w:fldCharType="end"/>
                  </w:r>
                  <w:r>
                    <w:rPr>
                      <w:color w:val="000000" w:themeColor="text1"/>
                      <w:szCs w:val="18"/>
                      <w14:textFill>
                        <w14:solidFill>
                          <w14:schemeClr w14:val="tx1"/>
                        </w14:solidFill>
                      </w14:textFill>
                    </w:rPr>
                    <w:t>破碎筛分粉尘：洒水降尘、进行局部封闭防风降尘、密闭设备等抑尘措施；</w:t>
                  </w:r>
                </w:p>
                <w:p w14:paraId="37025097">
                  <w:pPr>
                    <w:pStyle w:val="44"/>
                    <w:jc w:val="left"/>
                    <w:rPr>
                      <w:rFonts w:hint="default" w:eastAsia="宋体"/>
                      <w:color w:val="000000" w:themeColor="text1"/>
                      <w:szCs w:val="18"/>
                      <w:lang w:val="en-US" w:eastAsia="zh-CN"/>
                      <w14:textFill>
                        <w14:solidFill>
                          <w14:schemeClr w14:val="tx1"/>
                        </w14:solidFill>
                      </w14:textFill>
                    </w:rPr>
                  </w:pPr>
                  <w:r>
                    <w:rPr>
                      <w:rFonts w:hint="default"/>
                      <w:color w:val="000000" w:themeColor="text1"/>
                      <w:szCs w:val="18"/>
                      <w14:textFill>
                        <w14:solidFill>
                          <w14:schemeClr w14:val="tx1"/>
                        </w14:solidFill>
                      </w14:textFill>
                    </w:rPr>
                    <w:t>④</w:t>
                  </w:r>
                  <w:r>
                    <w:rPr>
                      <w:rFonts w:hint="eastAsia"/>
                      <w:color w:val="000000" w:themeColor="text1"/>
                      <w:szCs w:val="18"/>
                      <w:lang w:val="en-US" w:eastAsia="zh-CN"/>
                      <w14:textFill>
                        <w14:solidFill>
                          <w14:schemeClr w14:val="tx1"/>
                        </w14:solidFill>
                      </w14:textFill>
                    </w:rPr>
                    <w:t>堆场扬尘：洒水降尘、编织覆盖、半敞开式堆场等抑尘措施；</w:t>
                  </w:r>
                </w:p>
                <w:p w14:paraId="6B77D70C">
                  <w:pPr>
                    <w:pStyle w:val="44"/>
                    <w:jc w:val="left"/>
                    <w:rPr>
                      <w:rFonts w:hint="default"/>
                      <w:color w:val="000000" w:themeColor="text1"/>
                      <w:szCs w:val="18"/>
                      <w14:textFill>
                        <w14:solidFill>
                          <w14:schemeClr w14:val="tx1"/>
                        </w14:solidFill>
                      </w14:textFill>
                    </w:rPr>
                  </w:pPr>
                  <w:r>
                    <w:rPr>
                      <w:rFonts w:hint="eastAsia" w:ascii="宋体" w:hAnsi="宋体" w:eastAsia="宋体" w:cs="宋体"/>
                      <w:color w:val="000000" w:themeColor="text1"/>
                      <w:szCs w:val="18"/>
                      <w14:textFill>
                        <w14:solidFill>
                          <w14:schemeClr w14:val="tx1"/>
                        </w14:solidFill>
                      </w14:textFill>
                    </w:rPr>
                    <w:t>⑤</w:t>
                  </w:r>
                  <w:r>
                    <w:rPr>
                      <w:color w:val="000000" w:themeColor="text1"/>
                      <w:szCs w:val="18"/>
                      <w14:textFill>
                        <w14:solidFill>
                          <w14:schemeClr w14:val="tx1"/>
                        </w14:solidFill>
                      </w14:textFill>
                    </w:rPr>
                    <w:t>油烟：</w:t>
                  </w:r>
                  <w:r>
                    <w:rPr>
                      <w:rFonts w:hint="eastAsia"/>
                      <w:color w:val="000000" w:themeColor="text1"/>
                      <w:szCs w:val="18"/>
                      <w:lang w:val="en-US" w:eastAsia="zh-CN"/>
                      <w14:textFill>
                        <w14:solidFill>
                          <w14:schemeClr w14:val="tx1"/>
                        </w14:solidFill>
                      </w14:textFill>
                    </w:rPr>
                    <w:t>静电</w:t>
                  </w:r>
                  <w:r>
                    <w:rPr>
                      <w:color w:val="000000" w:themeColor="text1"/>
                      <w:szCs w:val="18"/>
                      <w14:textFill>
                        <w14:solidFill>
                          <w14:schemeClr w14:val="tx1"/>
                        </w14:solidFill>
                      </w14:textFill>
                    </w:rPr>
                    <w:t>油烟净化</w:t>
                  </w:r>
                  <w:r>
                    <w:rPr>
                      <w:rFonts w:hint="eastAsia"/>
                      <w:color w:val="000000" w:themeColor="text1"/>
                      <w:szCs w:val="18"/>
                      <w:lang w:val="en-US" w:eastAsia="zh-CN"/>
                      <w14:textFill>
                        <w14:solidFill>
                          <w14:schemeClr w14:val="tx1"/>
                        </w14:solidFill>
                      </w14:textFill>
                    </w:rPr>
                    <w:t>装置</w:t>
                  </w:r>
                  <w:r>
                    <w:rPr>
                      <w:color w:val="000000" w:themeColor="text1"/>
                      <w:szCs w:val="18"/>
                      <w14:textFill>
                        <w14:solidFill>
                          <w14:schemeClr w14:val="tx1"/>
                        </w14:solidFill>
                      </w14:textFill>
                    </w:rPr>
                    <w:t>。</w:t>
                  </w:r>
                </w:p>
              </w:tc>
            </w:tr>
            <w:tr w14:paraId="494F7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548" w:type="pct"/>
                  <w:vMerge w:val="continue"/>
                  <w:vAlign w:val="center"/>
                </w:tcPr>
                <w:p w14:paraId="64781E40">
                  <w:pPr>
                    <w:pStyle w:val="44"/>
                    <w:rPr>
                      <w:rFonts w:hint="default"/>
                      <w:color w:val="000000" w:themeColor="text1"/>
                      <w:szCs w:val="18"/>
                      <w14:textFill>
                        <w14:solidFill>
                          <w14:schemeClr w14:val="tx1"/>
                        </w14:solidFill>
                      </w14:textFill>
                    </w:rPr>
                  </w:pPr>
                </w:p>
              </w:tc>
              <w:tc>
                <w:tcPr>
                  <w:tcW w:w="663" w:type="pct"/>
                  <w:vAlign w:val="center"/>
                </w:tcPr>
                <w:p w14:paraId="6F2D5C08">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废水</w:t>
                  </w:r>
                </w:p>
              </w:tc>
              <w:tc>
                <w:tcPr>
                  <w:tcW w:w="3787" w:type="pct"/>
                  <w:vAlign w:val="center"/>
                </w:tcPr>
                <w:p w14:paraId="3A30967E">
                  <w:pPr>
                    <w:pStyle w:val="44"/>
                    <w:jc w:val="left"/>
                    <w:rPr>
                      <w:rFonts w:hint="default"/>
                      <w:color w:val="000000" w:themeColor="text1"/>
                      <w:szCs w:val="18"/>
                      <w:highlight w:val="yellow"/>
                      <w14:textFill>
                        <w14:solidFill>
                          <w14:schemeClr w14:val="tx1"/>
                        </w14:solidFill>
                      </w14:textFill>
                    </w:rPr>
                  </w:pPr>
                  <w:r>
                    <w:rPr>
                      <w:color w:val="000000" w:themeColor="text1"/>
                      <w:szCs w:val="18"/>
                      <w14:textFill>
                        <w14:solidFill>
                          <w14:schemeClr w14:val="tx1"/>
                        </w14:solidFill>
                      </w14:textFill>
                    </w:rPr>
                    <w:t>①生产系统废水：设置一个污水池收集后进入浓密罐处理，上层清水进入清水池后回用于生产；</w:t>
                  </w:r>
                </w:p>
                <w:p w14:paraId="750A35B7">
                  <w:pPr>
                    <w:pStyle w:val="44"/>
                    <w:jc w:val="left"/>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②车辆冲洗废水：设置一个洗车台沉淀池处理，处理达标后用于车辆冲洗；</w:t>
                  </w:r>
                </w:p>
                <w:p w14:paraId="23BB946F">
                  <w:pPr>
                    <w:pStyle w:val="44"/>
                    <w:jc w:val="left"/>
                    <w:rPr>
                      <w:rFonts w:hint="default"/>
                      <w:color w:val="000000" w:themeColor="text1"/>
                      <w:szCs w:val="18"/>
                      <w14:textFill>
                        <w14:solidFill>
                          <w14:schemeClr w14:val="tx1"/>
                        </w14:solidFill>
                      </w14:textFill>
                    </w:rPr>
                  </w:pPr>
                  <w:r>
                    <w:rPr>
                      <w:rFonts w:ascii="宋体" w:hAnsi="宋体" w:cs="宋体"/>
                      <w:color w:val="000000" w:themeColor="text1"/>
                      <w:szCs w:val="18"/>
                      <w14:textFill>
                        <w14:solidFill>
                          <w14:schemeClr w14:val="tx1"/>
                        </w14:solidFill>
                      </w14:textFill>
                    </w:rPr>
                    <w:t>③</w:t>
                  </w:r>
                  <w:r>
                    <w:rPr>
                      <w:color w:val="000000" w:themeColor="text1"/>
                      <w:szCs w:val="18"/>
                      <w14:textFill>
                        <w14:solidFill>
                          <w14:schemeClr w14:val="tx1"/>
                        </w14:solidFill>
                      </w14:textFill>
                    </w:rPr>
                    <w:t>初期雨水：设置一个雨水收集池，收集沉淀处理后回用于生产系统；</w:t>
                  </w:r>
                </w:p>
                <w:p w14:paraId="6E3A2FFA">
                  <w:pPr>
                    <w:pStyle w:val="44"/>
                    <w:jc w:val="left"/>
                    <w:rPr>
                      <w:rFonts w:hint="default"/>
                      <w:color w:val="000000" w:themeColor="text1"/>
                      <w:szCs w:val="18"/>
                      <w14:textFill>
                        <w14:solidFill>
                          <w14:schemeClr w14:val="tx1"/>
                        </w14:solidFill>
                      </w14:textFill>
                    </w:rPr>
                  </w:pPr>
                  <w:r>
                    <w:rPr>
                      <w:rFonts w:ascii="宋体" w:hAnsi="宋体" w:cs="宋体"/>
                      <w:color w:val="000000" w:themeColor="text1"/>
                      <w:szCs w:val="18"/>
                      <w14:textFill>
                        <w14:solidFill>
                          <w14:schemeClr w14:val="tx1"/>
                        </w14:solidFill>
                      </w14:textFill>
                    </w:rPr>
                    <w:t>④</w:t>
                  </w:r>
                  <w:r>
                    <w:rPr>
                      <w:color w:val="000000" w:themeColor="text1"/>
                      <w:szCs w:val="18"/>
                      <w14:textFill>
                        <w14:solidFill>
                          <w14:schemeClr w14:val="tx1"/>
                        </w14:solidFill>
                      </w14:textFill>
                    </w:rPr>
                    <w:t>生活污水：经三级化粪池/三级隔油池+一体化A/O生化装置处理后回用周边林地灌溉。</w:t>
                  </w:r>
                </w:p>
              </w:tc>
            </w:tr>
            <w:tr w14:paraId="67446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548" w:type="pct"/>
                  <w:vMerge w:val="continue"/>
                  <w:vAlign w:val="center"/>
                </w:tcPr>
                <w:p w14:paraId="08DC979F">
                  <w:pPr>
                    <w:pStyle w:val="44"/>
                    <w:rPr>
                      <w:rFonts w:hint="default"/>
                      <w:color w:val="000000" w:themeColor="text1"/>
                      <w:szCs w:val="18"/>
                      <w14:textFill>
                        <w14:solidFill>
                          <w14:schemeClr w14:val="tx1"/>
                        </w14:solidFill>
                      </w14:textFill>
                    </w:rPr>
                  </w:pPr>
                </w:p>
              </w:tc>
              <w:tc>
                <w:tcPr>
                  <w:tcW w:w="663" w:type="pct"/>
                  <w:vAlign w:val="center"/>
                </w:tcPr>
                <w:p w14:paraId="11B1605E">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噪声</w:t>
                  </w:r>
                </w:p>
              </w:tc>
              <w:tc>
                <w:tcPr>
                  <w:tcW w:w="3787" w:type="pct"/>
                  <w:vAlign w:val="center"/>
                </w:tcPr>
                <w:p w14:paraId="5CCAB310">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选用低噪声设备，减振、隔声、合理布局等。</w:t>
                  </w:r>
                </w:p>
              </w:tc>
            </w:tr>
            <w:tr w14:paraId="19C6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548" w:type="pct"/>
                  <w:vMerge w:val="continue"/>
                  <w:vAlign w:val="center"/>
                </w:tcPr>
                <w:p w14:paraId="4536F9B9">
                  <w:pPr>
                    <w:pStyle w:val="44"/>
                    <w:rPr>
                      <w:rFonts w:hint="default"/>
                      <w:color w:val="000000" w:themeColor="text1"/>
                      <w:szCs w:val="18"/>
                      <w14:textFill>
                        <w14:solidFill>
                          <w14:schemeClr w14:val="tx1"/>
                        </w14:solidFill>
                      </w14:textFill>
                    </w:rPr>
                  </w:pPr>
                </w:p>
              </w:tc>
              <w:tc>
                <w:tcPr>
                  <w:tcW w:w="663" w:type="pct"/>
                  <w:vAlign w:val="center"/>
                </w:tcPr>
                <w:p w14:paraId="69170546">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固体废物</w:t>
                  </w:r>
                </w:p>
              </w:tc>
              <w:tc>
                <w:tcPr>
                  <w:tcW w:w="3787" w:type="pct"/>
                  <w:vAlign w:val="center"/>
                </w:tcPr>
                <w:p w14:paraId="33322AD1">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一般工业固体废物：设置一般工业固废暂存间，面积</w:t>
                  </w:r>
                  <w:r>
                    <w:rPr>
                      <w:rFonts w:hint="eastAsia"/>
                      <w:color w:val="000000" w:themeColor="text1"/>
                      <w:szCs w:val="18"/>
                      <w:lang w:val="en-US" w:eastAsia="zh-CN"/>
                      <w14:textFill>
                        <w14:solidFill>
                          <w14:schemeClr w14:val="tx1"/>
                        </w14:solidFill>
                      </w14:textFill>
                    </w:rPr>
                    <w:t>3</w:t>
                  </w:r>
                  <w:r>
                    <w:rPr>
                      <w:color w:val="000000" w:themeColor="text1"/>
                      <w:szCs w:val="18"/>
                      <w14:textFill>
                        <w14:solidFill>
                          <w14:schemeClr w14:val="tx1"/>
                        </w14:solidFill>
                      </w14:textFill>
                    </w:rPr>
                    <w:t>10m</w:t>
                  </w:r>
                  <w:r>
                    <w:rPr>
                      <w:color w:val="000000" w:themeColor="text1"/>
                      <w:szCs w:val="18"/>
                      <w:vertAlign w:val="superscript"/>
                      <w14:textFill>
                        <w14:solidFill>
                          <w14:schemeClr w14:val="tx1"/>
                        </w14:solidFill>
                      </w14:textFill>
                    </w:rPr>
                    <w:t>2</w:t>
                  </w:r>
                  <w:r>
                    <w:rPr>
                      <w:color w:val="000000" w:themeColor="text1"/>
                      <w:szCs w:val="18"/>
                      <w14:textFill>
                        <w14:solidFill>
                          <w14:schemeClr w14:val="tx1"/>
                        </w14:solidFill>
                      </w14:textFill>
                    </w:rPr>
                    <w:t>，主要</w:t>
                  </w:r>
                  <w:r>
                    <w:rPr>
                      <w:rFonts w:hint="eastAsia"/>
                      <w:color w:val="000000" w:themeColor="text1"/>
                      <w:szCs w:val="18"/>
                      <w:lang w:val="en-US" w:eastAsia="zh-CN"/>
                      <w14:textFill>
                        <w14:solidFill>
                          <w14:schemeClr w14:val="tx1"/>
                        </w14:solidFill>
                      </w14:textFill>
                    </w:rPr>
                    <w:t>暂存</w:t>
                  </w:r>
                  <w:r>
                    <w:rPr>
                      <w:color w:val="000000" w:themeColor="text1"/>
                      <w:szCs w:val="18"/>
                      <w14:textFill>
                        <w14:solidFill>
                          <w14:schemeClr w14:val="tx1"/>
                        </w14:solidFill>
                      </w14:textFill>
                    </w:rPr>
                    <w:t>淤泥泥饼</w:t>
                  </w:r>
                  <w:r>
                    <w:rPr>
                      <w:rFonts w:hint="eastAsia"/>
                      <w:color w:val="000000" w:themeColor="text1"/>
                      <w:szCs w:val="18"/>
                      <w:lang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含水60%</w:t>
                  </w:r>
                  <w:r>
                    <w:rPr>
                      <w:rFonts w:hint="eastAsia"/>
                      <w:color w:val="000000" w:themeColor="text1"/>
                      <w:szCs w:val="18"/>
                      <w:lang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设置弃土堆棚，面积为600m</w:t>
                  </w:r>
                  <w:r>
                    <w:rPr>
                      <w:rFonts w:hint="eastAsia"/>
                      <w:color w:val="000000" w:themeColor="text1"/>
                      <w:szCs w:val="18"/>
                      <w:vertAlign w:val="superscript"/>
                      <w:lang w:val="en-US" w:eastAsia="zh-CN"/>
                      <w14:textFill>
                        <w14:solidFill>
                          <w14:schemeClr w14:val="tx1"/>
                        </w14:solidFill>
                      </w14:textFill>
                    </w:rPr>
                    <w:t>2</w:t>
                  </w:r>
                  <w:r>
                    <w:rPr>
                      <w:rFonts w:hint="eastAsia"/>
                      <w:color w:val="000000" w:themeColor="text1"/>
                      <w:szCs w:val="18"/>
                      <w:vertAlign w:val="baseline"/>
                      <w:lang w:val="en-US" w:eastAsia="zh-CN"/>
                      <w14:textFill>
                        <w14:solidFill>
                          <w14:schemeClr w14:val="tx1"/>
                        </w14:solidFill>
                      </w14:textFill>
                    </w:rPr>
                    <w:t>，主要暂存</w:t>
                  </w:r>
                  <w:r>
                    <w:rPr>
                      <w:color w:val="000000" w:themeColor="text1"/>
                      <w:szCs w:val="18"/>
                      <w14:textFill>
                        <w14:solidFill>
                          <w14:schemeClr w14:val="tx1"/>
                        </w14:solidFill>
                      </w14:textFill>
                    </w:rPr>
                    <w:t>弃土</w:t>
                  </w:r>
                  <w:r>
                    <w:rPr>
                      <w:rFonts w:hint="eastAsia"/>
                      <w:color w:val="000000" w:themeColor="text1"/>
                      <w:szCs w:val="18"/>
                      <w:lang w:eastAsia="zh-CN"/>
                      <w14:textFill>
                        <w14:solidFill>
                          <w14:schemeClr w14:val="tx1"/>
                        </w14:solidFill>
                      </w14:textFill>
                    </w:rPr>
                    <w:t>；</w:t>
                  </w:r>
                  <w:r>
                    <w:rPr>
                      <w:rFonts w:hint="eastAsia"/>
                      <w:color w:val="000000" w:themeColor="text1"/>
                      <w:szCs w:val="18"/>
                      <w:lang w:val="en-US" w:eastAsia="zh-CN"/>
                      <w14:textFill>
                        <w14:solidFill>
                          <w14:schemeClr w14:val="tx1"/>
                        </w14:solidFill>
                      </w14:textFill>
                    </w:rPr>
                    <w:t>淤泥泥饼（含水60%）、弃土交由中铁大桥局集团有限公司新建合浦至湛江铁路（广东段）站前工程 HZGDSG-1 标项目经理部统一处理</w:t>
                  </w:r>
                  <w:r>
                    <w:rPr>
                      <w:color w:val="000000" w:themeColor="text1"/>
                      <w:szCs w:val="18"/>
                      <w14:textFill>
                        <w14:solidFill>
                          <w14:schemeClr w14:val="tx1"/>
                        </w14:solidFill>
                      </w14:textFill>
                    </w:rPr>
                    <w:t>；</w:t>
                  </w:r>
                </w:p>
                <w:p w14:paraId="26A16C58">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危险废物：设置危险废物暂存间，面积5m</w:t>
                  </w:r>
                  <w:r>
                    <w:rPr>
                      <w:color w:val="000000" w:themeColor="text1"/>
                      <w:szCs w:val="18"/>
                      <w:vertAlign w:val="superscript"/>
                      <w14:textFill>
                        <w14:solidFill>
                          <w14:schemeClr w14:val="tx1"/>
                        </w14:solidFill>
                      </w14:textFill>
                    </w:rPr>
                    <w:t>2</w:t>
                  </w:r>
                  <w:r>
                    <w:rPr>
                      <w:color w:val="000000" w:themeColor="text1"/>
                      <w:szCs w:val="18"/>
                      <w14:textFill>
                        <w14:solidFill>
                          <w14:schemeClr w14:val="tx1"/>
                        </w14:solidFill>
                      </w14:textFill>
                    </w:rPr>
                    <w:t>，定期交给资质单位收集处理。</w:t>
                  </w:r>
                </w:p>
              </w:tc>
            </w:tr>
          </w:tbl>
          <w:p w14:paraId="629F93D7">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四、</w:t>
            </w:r>
            <w:r>
              <w:rPr>
                <w:b/>
                <w:bCs/>
                <w:color w:val="000000" w:themeColor="text1"/>
                <w:szCs w:val="21"/>
                <w14:textFill>
                  <w14:solidFill>
                    <w14:schemeClr w14:val="tx1"/>
                  </w14:solidFill>
                </w14:textFill>
              </w:rPr>
              <w:t>项目产品方案</w:t>
            </w:r>
          </w:p>
          <w:p w14:paraId="1EF78C94">
            <w:pPr>
              <w:keepNext/>
              <w:spacing w:line="360" w:lineRule="auto"/>
              <w:ind w:firstLine="420" w:firstLineChars="200"/>
              <w:jc w:val="left"/>
              <w:rPr>
                <w:b/>
                <w:color w:val="000000" w:themeColor="text1"/>
                <w:szCs w:val="21"/>
                <w14:textFill>
                  <w14:solidFill>
                    <w14:schemeClr w14:val="tx1"/>
                  </w14:solidFill>
                </w14:textFill>
              </w:rPr>
            </w:pPr>
            <w:r>
              <w:rPr>
                <w:color w:val="000000" w:themeColor="text1"/>
                <w:szCs w:val="21"/>
                <w14:textFill>
                  <w14:solidFill>
                    <w14:schemeClr w14:val="tx1"/>
                  </w14:solidFill>
                </w14:textFill>
              </w:rPr>
              <w:t>本项目</w:t>
            </w:r>
            <w:r>
              <w:rPr>
                <w:rFonts w:hint="eastAsia"/>
                <w:color w:val="000000" w:themeColor="text1"/>
                <w:szCs w:val="21"/>
                <w14:textFill>
                  <w14:solidFill>
                    <w14:schemeClr w14:val="tx1"/>
                  </w14:solidFill>
                </w14:textFill>
              </w:rPr>
              <w:t>产品为碎石及机制砂，</w:t>
            </w:r>
            <w:r>
              <w:rPr>
                <w:color w:val="000000" w:themeColor="text1"/>
                <w:szCs w:val="21"/>
                <w14:textFill>
                  <w14:solidFill>
                    <w14:schemeClr w14:val="tx1"/>
                  </w14:solidFill>
                </w14:textFill>
              </w:rPr>
              <w:t>产品方案见表2-</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w:t>
            </w:r>
          </w:p>
          <w:p w14:paraId="19D8CBB5">
            <w:pPr>
              <w:pStyle w:val="45"/>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主要产品方案</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9"/>
              <w:gridCol w:w="1281"/>
              <w:gridCol w:w="1471"/>
              <w:gridCol w:w="4909"/>
            </w:tblGrid>
            <w:tr w14:paraId="69392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530" w:type="pct"/>
                  <w:shd w:val="clear" w:color="auto" w:fill="D9D9D9"/>
                  <w:vAlign w:val="center"/>
                </w:tcPr>
                <w:p w14:paraId="2D0B8C3D">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序号</w:t>
                  </w:r>
                </w:p>
              </w:tc>
              <w:tc>
                <w:tcPr>
                  <w:tcW w:w="747" w:type="pct"/>
                  <w:shd w:val="clear" w:color="auto" w:fill="D9D9D9"/>
                  <w:vAlign w:val="center"/>
                </w:tcPr>
                <w:p w14:paraId="2F0FBD74">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产品名称</w:t>
                  </w:r>
                </w:p>
              </w:tc>
              <w:tc>
                <w:tcPr>
                  <w:tcW w:w="858" w:type="pct"/>
                  <w:shd w:val="clear" w:color="auto" w:fill="D9D9D9"/>
                  <w:vAlign w:val="center"/>
                </w:tcPr>
                <w:p w14:paraId="09E3D4F3">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设计产量</w:t>
                  </w:r>
                </w:p>
              </w:tc>
              <w:tc>
                <w:tcPr>
                  <w:tcW w:w="2863" w:type="pct"/>
                  <w:shd w:val="clear" w:color="auto" w:fill="D9D9D9"/>
                  <w:vAlign w:val="center"/>
                </w:tcPr>
                <w:p w14:paraId="046D1E89">
                  <w:pPr>
                    <w:pStyle w:val="44"/>
                    <w:rPr>
                      <w:rFonts w:hint="default"/>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备注</w:t>
                  </w:r>
                </w:p>
              </w:tc>
            </w:tr>
            <w:tr w14:paraId="6EB0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30" w:type="pct"/>
                  <w:vAlign w:val="center"/>
                </w:tcPr>
                <w:p w14:paraId="4F9AC11C">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1</w:t>
                  </w:r>
                </w:p>
              </w:tc>
              <w:tc>
                <w:tcPr>
                  <w:tcW w:w="747" w:type="pct"/>
                  <w:shd w:val="clear" w:color="auto" w:fill="auto"/>
                  <w:vAlign w:val="center"/>
                </w:tcPr>
                <w:p w14:paraId="7EEF33A6">
                  <w:pPr>
                    <w:pStyle w:val="44"/>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Cs w:val="18"/>
                      <w14:textFill>
                        <w14:solidFill>
                          <w14:schemeClr w14:val="tx1"/>
                        </w14:solidFill>
                      </w14:textFill>
                    </w:rPr>
                    <w:t>碎石</w:t>
                  </w:r>
                </w:p>
              </w:tc>
              <w:tc>
                <w:tcPr>
                  <w:tcW w:w="858" w:type="pct"/>
                  <w:shd w:val="clear" w:color="auto" w:fill="auto"/>
                  <w:vAlign w:val="center"/>
                </w:tcPr>
                <w:p w14:paraId="399D5766">
                  <w:pPr>
                    <w:pStyle w:val="46"/>
                    <w:rPr>
                      <w:rFonts w:hint="default" w:ascii="Times New Roman" w:hAnsi="Times New Roman" w:eastAsia="宋体" w:cs="Times New Roman"/>
                      <w:color w:val="000000" w:themeColor="text1"/>
                      <w:kern w:val="2"/>
                      <w:sz w:val="18"/>
                      <w:szCs w:val="24"/>
                      <w:lang w:val="en-US" w:eastAsia="zh-CN" w:bidi="ar-SA"/>
                      <w14:textFill>
                        <w14:solidFill>
                          <w14:schemeClr w14:val="tx1"/>
                        </w14:solidFill>
                      </w14:textFill>
                    </w:rPr>
                  </w:pPr>
                  <w:r>
                    <w:rPr>
                      <w:rFonts w:hint="eastAsia"/>
                      <w:color w:val="000000" w:themeColor="text1"/>
                      <w:lang w:val="en-US" w:eastAsia="zh-CN"/>
                      <w14:textFill>
                        <w14:solidFill>
                          <w14:schemeClr w14:val="tx1"/>
                        </w14:solidFill>
                      </w14:textFill>
                    </w:rPr>
                    <w:t>63.6</w:t>
                  </w:r>
                  <w:r>
                    <w:rPr>
                      <w:rFonts w:hint="eastAsia"/>
                      <w:color w:val="000000" w:themeColor="text1"/>
                      <w14:textFill>
                        <w14:solidFill>
                          <w14:schemeClr w14:val="tx1"/>
                        </w14:solidFill>
                      </w14:textFill>
                    </w:rPr>
                    <w:t>万吨/年</w:t>
                  </w:r>
                </w:p>
              </w:tc>
              <w:tc>
                <w:tcPr>
                  <w:tcW w:w="2863" w:type="pct"/>
                  <w:shd w:val="clear" w:color="auto" w:fill="auto"/>
                  <w:vAlign w:val="center"/>
                </w:tcPr>
                <w:p w14:paraId="642EB3B4">
                  <w:pPr>
                    <w:pStyle w:val="44"/>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Cs w:val="18"/>
                      <w14:textFill>
                        <w14:solidFill>
                          <w14:schemeClr w14:val="tx1"/>
                        </w14:solidFill>
                      </w14:textFill>
                    </w:rPr>
                    <w:t>平均粒径为5-</w:t>
                  </w:r>
                  <w:r>
                    <w:rPr>
                      <w:rFonts w:hint="eastAsia"/>
                      <w:color w:val="000000" w:themeColor="text1"/>
                      <w:szCs w:val="18"/>
                      <w:lang w:val="en-US" w:eastAsia="zh-CN"/>
                      <w14:textFill>
                        <w14:solidFill>
                          <w14:schemeClr w14:val="tx1"/>
                        </w14:solidFill>
                      </w14:textFill>
                    </w:rPr>
                    <w:t>31.5</w:t>
                  </w:r>
                  <w:r>
                    <w:rPr>
                      <w:color w:val="000000" w:themeColor="text1"/>
                      <w:szCs w:val="18"/>
                      <w14:textFill>
                        <w14:solidFill>
                          <w14:schemeClr w14:val="tx1"/>
                        </w14:solidFill>
                      </w14:textFill>
                    </w:rPr>
                    <w:t>mm，含水率约5%</w:t>
                  </w:r>
                </w:p>
              </w:tc>
            </w:tr>
            <w:tr w14:paraId="32EC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530" w:type="pct"/>
                  <w:vAlign w:val="center"/>
                </w:tcPr>
                <w:p w14:paraId="122C758C">
                  <w:pPr>
                    <w:pStyle w:val="44"/>
                    <w:rPr>
                      <w:rFonts w:hint="default"/>
                      <w:color w:val="000000" w:themeColor="text1"/>
                      <w:szCs w:val="18"/>
                      <w14:textFill>
                        <w14:solidFill>
                          <w14:schemeClr w14:val="tx1"/>
                        </w14:solidFill>
                      </w14:textFill>
                    </w:rPr>
                  </w:pPr>
                  <w:r>
                    <w:rPr>
                      <w:color w:val="000000" w:themeColor="text1"/>
                      <w:szCs w:val="18"/>
                      <w14:textFill>
                        <w14:solidFill>
                          <w14:schemeClr w14:val="tx1"/>
                        </w14:solidFill>
                      </w14:textFill>
                    </w:rPr>
                    <w:t>2</w:t>
                  </w:r>
                </w:p>
              </w:tc>
              <w:tc>
                <w:tcPr>
                  <w:tcW w:w="747" w:type="pct"/>
                  <w:shd w:val="clear" w:color="auto" w:fill="auto"/>
                  <w:vAlign w:val="center"/>
                </w:tcPr>
                <w:p w14:paraId="4EA63D92">
                  <w:pPr>
                    <w:pStyle w:val="44"/>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Cs w:val="18"/>
                      <w14:textFill>
                        <w14:solidFill>
                          <w14:schemeClr w14:val="tx1"/>
                        </w14:solidFill>
                      </w14:textFill>
                    </w:rPr>
                    <w:t>机制砂</w:t>
                  </w:r>
                </w:p>
              </w:tc>
              <w:tc>
                <w:tcPr>
                  <w:tcW w:w="858" w:type="pct"/>
                  <w:shd w:val="clear" w:color="auto" w:fill="auto"/>
                  <w:vAlign w:val="center"/>
                </w:tcPr>
                <w:p w14:paraId="5A94EF57">
                  <w:pPr>
                    <w:pStyle w:val="44"/>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Cs w:val="18"/>
                      <w14:textFill>
                        <w14:solidFill>
                          <w14:schemeClr w14:val="tx1"/>
                        </w14:solidFill>
                      </w14:textFill>
                    </w:rPr>
                    <w:t>42.5万吨/年</w:t>
                  </w:r>
                </w:p>
              </w:tc>
              <w:tc>
                <w:tcPr>
                  <w:tcW w:w="2863" w:type="pct"/>
                  <w:shd w:val="clear" w:color="auto" w:fill="auto"/>
                  <w:vAlign w:val="center"/>
                </w:tcPr>
                <w:p w14:paraId="1EAECCA0">
                  <w:pPr>
                    <w:pStyle w:val="44"/>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color w:val="000000" w:themeColor="text1"/>
                      <w:szCs w:val="18"/>
                      <w14:textFill>
                        <w14:solidFill>
                          <w14:schemeClr w14:val="tx1"/>
                        </w14:solidFill>
                      </w14:textFill>
                    </w:rPr>
                    <w:t>平均粒径为0.25~0.5mm，含水率约8%</w:t>
                  </w:r>
                </w:p>
              </w:tc>
            </w:tr>
          </w:tbl>
          <w:p w14:paraId="1F29D610">
            <w:pPr>
              <w:pStyle w:val="45"/>
              <w:ind w:firstLine="420" w:firstLineChars="200"/>
              <w:jc w:val="left"/>
              <w:rPr>
                <w:b w:val="0"/>
                <w:bCs/>
                <w:color w:val="000000" w:themeColor="text1"/>
                <w:sz w:val="21"/>
                <w14:textFill>
                  <w14:solidFill>
                    <w14:schemeClr w14:val="tx1"/>
                  </w14:solidFill>
                </w14:textFill>
              </w:rPr>
            </w:pPr>
            <w:r>
              <w:rPr>
                <w:rFonts w:hint="eastAsia"/>
                <w:b w:val="0"/>
                <w:bCs/>
                <w:color w:val="000000" w:themeColor="text1"/>
                <w:sz w:val="21"/>
                <w14:textFill>
                  <w14:solidFill>
                    <w14:schemeClr w14:val="tx1"/>
                  </w14:solidFill>
                </w14:textFill>
              </w:rPr>
              <w:t>本项目碎石产品执行《建设用卵石、碎石》（GB/T14685-2022）II类标准，具体要求详见表2-</w:t>
            </w:r>
            <w:r>
              <w:rPr>
                <w:rFonts w:hint="eastAsia"/>
                <w:b w:val="0"/>
                <w:bCs/>
                <w:color w:val="000000" w:themeColor="text1"/>
                <w:sz w:val="21"/>
                <w:lang w:val="en-US" w:eastAsia="zh-CN"/>
                <w14:textFill>
                  <w14:solidFill>
                    <w14:schemeClr w14:val="tx1"/>
                  </w14:solidFill>
                </w14:textFill>
              </w:rPr>
              <w:t>3</w:t>
            </w:r>
            <w:r>
              <w:rPr>
                <w:rFonts w:hint="eastAsia"/>
                <w:b w:val="0"/>
                <w:bCs/>
                <w:color w:val="000000" w:themeColor="text1"/>
                <w:sz w:val="21"/>
                <w14:textFill>
                  <w14:solidFill>
                    <w14:schemeClr w14:val="tx1"/>
                  </w14:solidFill>
                </w14:textFill>
              </w:rPr>
              <w:t>；本项目机制砂产品执行《建设用砂》（GB/T14684-2022）II类标准，具体要求详见表2-</w:t>
            </w:r>
            <w:r>
              <w:rPr>
                <w:rFonts w:hint="eastAsia"/>
                <w:b w:val="0"/>
                <w:bCs/>
                <w:color w:val="000000" w:themeColor="text1"/>
                <w:sz w:val="21"/>
                <w:lang w:val="en-US" w:eastAsia="zh-CN"/>
                <w14:textFill>
                  <w14:solidFill>
                    <w14:schemeClr w14:val="tx1"/>
                  </w14:solidFill>
                </w14:textFill>
              </w:rPr>
              <w:t>4</w:t>
            </w:r>
            <w:r>
              <w:rPr>
                <w:rFonts w:hint="eastAsia"/>
                <w:b w:val="0"/>
                <w:bCs/>
                <w:color w:val="000000" w:themeColor="text1"/>
                <w:sz w:val="21"/>
                <w14:textFill>
                  <w14:solidFill>
                    <w14:schemeClr w14:val="tx1"/>
                  </w14:solidFill>
                </w14:textFill>
              </w:rPr>
              <w:t>、表2-</w:t>
            </w:r>
            <w:r>
              <w:rPr>
                <w:rFonts w:hint="eastAsia"/>
                <w:b w:val="0"/>
                <w:bCs/>
                <w:color w:val="000000" w:themeColor="text1"/>
                <w:sz w:val="21"/>
                <w:lang w:val="en-US" w:eastAsia="zh-CN"/>
                <w14:textFill>
                  <w14:solidFill>
                    <w14:schemeClr w14:val="tx1"/>
                  </w14:solidFill>
                </w14:textFill>
              </w:rPr>
              <w:t>5</w:t>
            </w:r>
            <w:r>
              <w:rPr>
                <w:rFonts w:hint="eastAsia"/>
                <w:b w:val="0"/>
                <w:bCs/>
                <w:color w:val="000000" w:themeColor="text1"/>
                <w:sz w:val="21"/>
                <w14:textFill>
                  <w14:solidFill>
                    <w14:schemeClr w14:val="tx1"/>
                  </w14:solidFill>
                </w14:textFill>
              </w:rPr>
              <w:t>；</w:t>
            </w:r>
          </w:p>
          <w:p w14:paraId="082DD742">
            <w:pPr>
              <w:spacing w:before="120" w:beforeLines="50"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表2-</w:t>
            </w:r>
            <w:r>
              <w:rPr>
                <w:rFonts w:hint="eastAsia"/>
                <w:b/>
                <w:color w:val="000000" w:themeColor="text1"/>
                <w:sz w:val="18"/>
                <w:szCs w:val="21"/>
                <w:lang w:val="en-US" w:eastAsia="zh-CN"/>
                <w14:textFill>
                  <w14:solidFill>
                    <w14:schemeClr w14:val="tx1"/>
                  </w14:solidFill>
                </w14:textFill>
              </w:rPr>
              <w:t>3</w:t>
            </w:r>
            <w:r>
              <w:rPr>
                <w:rFonts w:hint="eastAsia"/>
                <w:b/>
                <w:color w:val="000000" w:themeColor="text1"/>
                <w:sz w:val="18"/>
                <w:szCs w:val="21"/>
                <w14:textFill>
                  <w14:solidFill>
                    <w14:schemeClr w14:val="tx1"/>
                  </w14:solidFill>
                </w14:textFill>
              </w:rPr>
              <w:t xml:space="preserve"> 碎石质量标准要求</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2248"/>
              <w:gridCol w:w="2569"/>
              <w:gridCol w:w="1929"/>
              <w:gridCol w:w="937"/>
            </w:tblGrid>
            <w:tr w14:paraId="2B0D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shd w:val="clear" w:color="auto" w:fill="D9D9D9"/>
                  <w:vAlign w:val="center"/>
                </w:tcPr>
                <w:p w14:paraId="61A7B9D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类别</w:t>
                  </w:r>
                </w:p>
              </w:tc>
              <w:tc>
                <w:tcPr>
                  <w:tcW w:w="1311" w:type="pct"/>
                  <w:shd w:val="clear" w:color="auto" w:fill="D9D9D9"/>
                  <w:vAlign w:val="center"/>
                </w:tcPr>
                <w:p w14:paraId="7A927102">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碎石泥粉含</w:t>
                  </w:r>
                  <w:r>
                    <w:rPr>
                      <w:b/>
                      <w:color w:val="000000" w:themeColor="text1"/>
                      <w:sz w:val="18"/>
                      <w:szCs w:val="18"/>
                      <w14:textFill>
                        <w14:solidFill>
                          <w14:schemeClr w14:val="tx1"/>
                        </w14:solidFill>
                      </w14:textFill>
                    </w:rPr>
                    <w:t>量（质量分数）%</w:t>
                  </w:r>
                </w:p>
              </w:tc>
              <w:tc>
                <w:tcPr>
                  <w:tcW w:w="1498" w:type="pct"/>
                  <w:shd w:val="clear" w:color="auto" w:fill="D9D9D9"/>
                  <w:vAlign w:val="center"/>
                </w:tcPr>
                <w:p w14:paraId="5F064120">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泥块含量</w:t>
                  </w:r>
                  <w:r>
                    <w:rPr>
                      <w:b/>
                      <w:color w:val="000000" w:themeColor="text1"/>
                      <w:sz w:val="18"/>
                      <w:szCs w:val="18"/>
                      <w14:textFill>
                        <w14:solidFill>
                          <w14:schemeClr w14:val="tx1"/>
                        </w14:solidFill>
                      </w14:textFill>
                    </w:rPr>
                    <w:t>（质量分数）%</w:t>
                  </w:r>
                </w:p>
              </w:tc>
              <w:tc>
                <w:tcPr>
                  <w:tcW w:w="1125" w:type="pct"/>
                  <w:shd w:val="clear" w:color="auto" w:fill="D9D9D9"/>
                  <w:vAlign w:val="center"/>
                </w:tcPr>
                <w:p w14:paraId="0DFD5BF1">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针、片状颗粒物</w:t>
                  </w:r>
                  <w:r>
                    <w:rPr>
                      <w:b/>
                      <w:color w:val="000000" w:themeColor="text1"/>
                      <w:sz w:val="18"/>
                      <w:szCs w:val="18"/>
                      <w14:textFill>
                        <w14:solidFill>
                          <w14:schemeClr w14:val="tx1"/>
                        </w14:solidFill>
                      </w14:textFill>
                    </w:rPr>
                    <w:t>（质量分数）%</w:t>
                  </w:r>
                </w:p>
              </w:tc>
              <w:tc>
                <w:tcPr>
                  <w:tcW w:w="546" w:type="pct"/>
                  <w:shd w:val="clear" w:color="auto" w:fill="D9D9D9"/>
                  <w:vAlign w:val="center"/>
                </w:tcPr>
                <w:p w14:paraId="4BBCF4E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吸水率</w:t>
                  </w:r>
                </w:p>
              </w:tc>
            </w:tr>
            <w:tr w14:paraId="26B3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restart"/>
                  <w:vAlign w:val="center"/>
                </w:tcPr>
                <w:p w14:paraId="357C04DE">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II类碎石</w:t>
                  </w:r>
                </w:p>
              </w:tc>
              <w:tc>
                <w:tcPr>
                  <w:tcW w:w="1311" w:type="pct"/>
                  <w:tcBorders>
                    <w:bottom w:val="single" w:color="auto" w:sz="4" w:space="0"/>
                  </w:tcBorders>
                  <w:vAlign w:val="center"/>
                </w:tcPr>
                <w:p w14:paraId="71D37C4E">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w:t>
                  </w:r>
                  <w:r>
                    <w:rPr>
                      <w:rFonts w:hint="eastAsia"/>
                      <w:color w:val="000000" w:themeColor="text1"/>
                      <w:sz w:val="18"/>
                      <w:szCs w:val="18"/>
                      <w14:textFill>
                        <w14:solidFill>
                          <w14:schemeClr w14:val="tx1"/>
                        </w14:solidFill>
                      </w14:textFill>
                    </w:rPr>
                    <w:t>5</w:t>
                  </w:r>
                </w:p>
              </w:tc>
              <w:tc>
                <w:tcPr>
                  <w:tcW w:w="1498" w:type="pct"/>
                  <w:tcBorders>
                    <w:bottom w:val="single" w:color="auto" w:sz="4" w:space="0"/>
                  </w:tcBorders>
                  <w:vAlign w:val="center"/>
                </w:tcPr>
                <w:p w14:paraId="5954BD5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0</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w:t>
                  </w:r>
                </w:p>
              </w:tc>
              <w:tc>
                <w:tcPr>
                  <w:tcW w:w="1125" w:type="pct"/>
                  <w:tcBorders>
                    <w:bottom w:val="single" w:color="auto" w:sz="4" w:space="0"/>
                  </w:tcBorders>
                  <w:vAlign w:val="center"/>
                </w:tcPr>
                <w:p w14:paraId="22F16A89">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p>
              </w:tc>
              <w:tc>
                <w:tcPr>
                  <w:tcW w:w="546" w:type="pct"/>
                  <w:tcBorders>
                    <w:bottom w:val="single" w:color="auto" w:sz="4" w:space="0"/>
                  </w:tcBorders>
                  <w:vAlign w:val="center"/>
                </w:tcPr>
                <w:p w14:paraId="2290C3C4">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r>
            <w:tr w14:paraId="1309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7" w:type="pct"/>
                  <w:vMerge w:val="continue"/>
                  <w:tcBorders>
                    <w:right w:val="single" w:color="auto" w:sz="4" w:space="0"/>
                  </w:tcBorders>
                  <w:vAlign w:val="center"/>
                </w:tcPr>
                <w:p w14:paraId="3C1FA2D4">
                  <w:pPr>
                    <w:spacing w:line="340" w:lineRule="exact"/>
                    <w:jc w:val="center"/>
                    <w:textAlignment w:val="baseline"/>
                    <w:rPr>
                      <w:b/>
                      <w:bCs/>
                      <w:color w:val="000000" w:themeColor="text1"/>
                      <w:sz w:val="18"/>
                      <w:szCs w:val="18"/>
                      <w14:textFill>
                        <w14:solidFill>
                          <w14:schemeClr w14:val="tx1"/>
                        </w14:solidFill>
                      </w14:textFill>
                    </w:rPr>
                  </w:pPr>
                </w:p>
              </w:tc>
              <w:tc>
                <w:tcPr>
                  <w:tcW w:w="1311" w:type="pct"/>
                  <w:tcBorders>
                    <w:top w:val="single" w:color="auto" w:sz="4" w:space="0"/>
                    <w:left w:val="single" w:color="auto" w:sz="4" w:space="0"/>
                    <w:bottom w:val="single" w:color="auto" w:sz="4" w:space="0"/>
                  </w:tcBorders>
                  <w:shd w:val="clear" w:color="auto" w:fill="D9D9D9"/>
                  <w:vAlign w:val="center"/>
                </w:tcPr>
                <w:p w14:paraId="24B66779">
                  <w:pPr>
                    <w:spacing w:line="340" w:lineRule="exact"/>
                    <w:jc w:val="center"/>
                    <w:textAlignment w:val="baseline"/>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有机物含量</w:t>
                  </w:r>
                </w:p>
              </w:tc>
              <w:tc>
                <w:tcPr>
                  <w:tcW w:w="1498" w:type="pct"/>
                  <w:tcBorders>
                    <w:top w:val="single" w:color="auto" w:sz="4" w:space="0"/>
                    <w:bottom w:val="single" w:color="auto" w:sz="4" w:space="0"/>
                  </w:tcBorders>
                  <w:shd w:val="clear" w:color="auto" w:fill="D9D9D9"/>
                  <w:vAlign w:val="center"/>
                </w:tcPr>
                <w:p w14:paraId="04AC593D">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硫化物及硫酸盐</w:t>
                  </w:r>
                  <w:r>
                    <w:rPr>
                      <w:b/>
                      <w:color w:val="000000" w:themeColor="text1"/>
                      <w:sz w:val="18"/>
                      <w:szCs w:val="18"/>
                      <w14:textFill>
                        <w14:solidFill>
                          <w14:schemeClr w14:val="tx1"/>
                        </w14:solidFill>
                      </w14:textFill>
                    </w:rPr>
                    <w:t>（</w:t>
                  </w:r>
                  <w:r>
                    <w:rPr>
                      <w:rFonts w:hint="eastAsia"/>
                      <w:b/>
                      <w:color w:val="000000" w:themeColor="text1"/>
                      <w:sz w:val="18"/>
                      <w:szCs w:val="18"/>
                      <w14:textFill>
                        <w14:solidFill>
                          <w14:schemeClr w14:val="tx1"/>
                        </w14:solidFill>
                      </w14:textFill>
                    </w:rPr>
                    <w:t>以SO</w:t>
                  </w:r>
                  <w:r>
                    <w:rPr>
                      <w:rFonts w:hint="eastAsia"/>
                      <w:b/>
                      <w:color w:val="000000" w:themeColor="text1"/>
                      <w:sz w:val="18"/>
                      <w:szCs w:val="18"/>
                      <w:vertAlign w:val="subscript"/>
                      <w14:textFill>
                        <w14:solidFill>
                          <w14:schemeClr w14:val="tx1"/>
                        </w14:solidFill>
                      </w14:textFill>
                    </w:rPr>
                    <w:t>3</w:t>
                  </w:r>
                  <w:r>
                    <w:rPr>
                      <w:b/>
                      <w:color w:val="000000" w:themeColor="text1"/>
                      <w:sz w:val="18"/>
                      <w:szCs w:val="18"/>
                      <w14:textFill>
                        <w14:solidFill>
                          <w14:schemeClr w14:val="tx1"/>
                        </w14:solidFill>
                      </w14:textFill>
                    </w:rPr>
                    <w:t>质量</w:t>
                  </w:r>
                  <w:r>
                    <w:rPr>
                      <w:rFonts w:hint="eastAsia"/>
                      <w:b/>
                      <w:color w:val="000000" w:themeColor="text1"/>
                      <w:sz w:val="18"/>
                      <w:szCs w:val="18"/>
                      <w14:textFill>
                        <w14:solidFill>
                          <w14:schemeClr w14:val="tx1"/>
                        </w14:solidFill>
                      </w14:textFill>
                    </w:rPr>
                    <w:t>计</w:t>
                  </w:r>
                  <w:r>
                    <w:rPr>
                      <w:b/>
                      <w:color w:val="000000" w:themeColor="text1"/>
                      <w:sz w:val="18"/>
                      <w:szCs w:val="18"/>
                      <w14:textFill>
                        <w14:solidFill>
                          <w14:schemeClr w14:val="tx1"/>
                        </w14:solidFill>
                      </w14:textFill>
                    </w:rPr>
                    <w:t>）%</w:t>
                  </w:r>
                </w:p>
              </w:tc>
              <w:tc>
                <w:tcPr>
                  <w:tcW w:w="1125" w:type="pct"/>
                  <w:tcBorders>
                    <w:top w:val="single" w:color="auto" w:sz="4" w:space="0"/>
                    <w:bottom w:val="single" w:color="auto" w:sz="4" w:space="0"/>
                  </w:tcBorders>
                  <w:shd w:val="clear" w:color="auto" w:fill="D9D9D9"/>
                  <w:vAlign w:val="center"/>
                </w:tcPr>
                <w:p w14:paraId="62E82930">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质量损失率%</w:t>
                  </w:r>
                </w:p>
              </w:tc>
              <w:tc>
                <w:tcPr>
                  <w:tcW w:w="546" w:type="pct"/>
                  <w:tcBorders>
                    <w:top w:val="single" w:color="auto" w:sz="4" w:space="0"/>
                    <w:bottom w:val="single" w:color="auto" w:sz="4" w:space="0"/>
                    <w:right w:val="single" w:color="auto" w:sz="4" w:space="0"/>
                  </w:tcBorders>
                  <w:shd w:val="clear" w:color="auto" w:fill="D9D9D9"/>
                  <w:vAlign w:val="center"/>
                </w:tcPr>
                <w:p w14:paraId="7F8100D5">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空隙率%</w:t>
                  </w:r>
                </w:p>
              </w:tc>
            </w:tr>
            <w:tr w14:paraId="37B0F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E380987">
                  <w:pPr>
                    <w:spacing w:line="340" w:lineRule="exact"/>
                    <w:jc w:val="center"/>
                    <w:textAlignment w:val="baseline"/>
                    <w:rPr>
                      <w:color w:val="000000" w:themeColor="text1"/>
                      <w:sz w:val="18"/>
                      <w:szCs w:val="18"/>
                      <w14:textFill>
                        <w14:solidFill>
                          <w14:schemeClr w14:val="tx1"/>
                        </w14:solidFill>
                      </w14:textFill>
                    </w:rPr>
                  </w:pPr>
                </w:p>
              </w:tc>
              <w:tc>
                <w:tcPr>
                  <w:tcW w:w="1311" w:type="pct"/>
                  <w:tcBorders>
                    <w:top w:val="single" w:color="auto" w:sz="4" w:space="0"/>
                  </w:tcBorders>
                  <w:vAlign w:val="center"/>
                </w:tcPr>
                <w:p w14:paraId="46D281AB">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合格</w:t>
                  </w:r>
                </w:p>
              </w:tc>
              <w:tc>
                <w:tcPr>
                  <w:tcW w:w="1498" w:type="pct"/>
                  <w:tcBorders>
                    <w:top w:val="single" w:color="auto" w:sz="4" w:space="0"/>
                  </w:tcBorders>
                  <w:vAlign w:val="center"/>
                </w:tcPr>
                <w:p w14:paraId="14C5604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c>
                <w:tcPr>
                  <w:tcW w:w="1125" w:type="pct"/>
                  <w:tcBorders>
                    <w:top w:val="single" w:color="auto" w:sz="4" w:space="0"/>
                  </w:tcBorders>
                  <w:vAlign w:val="center"/>
                </w:tcPr>
                <w:p w14:paraId="730A5D0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p>
              </w:tc>
              <w:tc>
                <w:tcPr>
                  <w:tcW w:w="546" w:type="pct"/>
                  <w:tcBorders>
                    <w:top w:val="single" w:color="auto" w:sz="4" w:space="0"/>
                  </w:tcBorders>
                  <w:vAlign w:val="center"/>
                </w:tcPr>
                <w:p w14:paraId="6F9EBC7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≤45</w:t>
                  </w:r>
                </w:p>
              </w:tc>
            </w:tr>
            <w:tr w14:paraId="5B1F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1B18793D">
                  <w:pPr>
                    <w:spacing w:line="340" w:lineRule="exact"/>
                    <w:jc w:val="center"/>
                    <w:textAlignment w:val="baseline"/>
                    <w:rPr>
                      <w:color w:val="000000" w:themeColor="text1"/>
                      <w:sz w:val="18"/>
                      <w:szCs w:val="18"/>
                      <w14:textFill>
                        <w14:solidFill>
                          <w14:schemeClr w14:val="tx1"/>
                        </w14:solidFill>
                      </w14:textFill>
                    </w:rPr>
                  </w:pPr>
                </w:p>
              </w:tc>
              <w:tc>
                <w:tcPr>
                  <w:tcW w:w="1311" w:type="pct"/>
                  <w:shd w:val="clear" w:color="auto" w:fill="D9D9D9"/>
                  <w:vAlign w:val="center"/>
                </w:tcPr>
                <w:p w14:paraId="14EFD0E9">
                  <w:pPr>
                    <w:spacing w:line="340" w:lineRule="exact"/>
                    <w:jc w:val="center"/>
                    <w:textAlignment w:val="baseline"/>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岩石抗压强度/MPa</w:t>
                  </w:r>
                </w:p>
              </w:tc>
              <w:tc>
                <w:tcPr>
                  <w:tcW w:w="1498" w:type="pct"/>
                  <w:shd w:val="clear" w:color="auto" w:fill="D9D9D9"/>
                  <w:vAlign w:val="center"/>
                </w:tcPr>
                <w:p w14:paraId="4F2E3384">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压碎指标%</w:t>
                  </w:r>
                </w:p>
              </w:tc>
              <w:tc>
                <w:tcPr>
                  <w:tcW w:w="1125" w:type="pct"/>
                  <w:vAlign w:val="center"/>
                </w:tcPr>
                <w:p w14:paraId="3A7B239F">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c>
                <w:tcPr>
                  <w:tcW w:w="546" w:type="pct"/>
                  <w:vAlign w:val="center"/>
                </w:tcPr>
                <w:p w14:paraId="21126E58">
                  <w:pPr>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w:t>
                  </w:r>
                </w:p>
              </w:tc>
            </w:tr>
            <w:tr w14:paraId="590C6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7" w:type="pct"/>
                  <w:vMerge w:val="continue"/>
                  <w:vAlign w:val="center"/>
                </w:tcPr>
                <w:p w14:paraId="72330192">
                  <w:pPr>
                    <w:spacing w:line="340" w:lineRule="exact"/>
                    <w:jc w:val="center"/>
                    <w:textAlignment w:val="baseline"/>
                    <w:rPr>
                      <w:color w:val="000000" w:themeColor="text1"/>
                      <w:sz w:val="18"/>
                      <w:szCs w:val="18"/>
                      <w14:textFill>
                        <w14:solidFill>
                          <w14:schemeClr w14:val="tx1"/>
                        </w14:solidFill>
                      </w14:textFill>
                    </w:rPr>
                  </w:pPr>
                </w:p>
              </w:tc>
              <w:tc>
                <w:tcPr>
                  <w:tcW w:w="1311" w:type="pct"/>
                  <w:vAlign w:val="center"/>
                </w:tcPr>
                <w:p w14:paraId="29D03CF8">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≥45</w:t>
                  </w:r>
                </w:p>
              </w:tc>
              <w:tc>
                <w:tcPr>
                  <w:tcW w:w="1498" w:type="pct"/>
                  <w:vAlign w:val="center"/>
                </w:tcPr>
                <w:p w14:paraId="34BFC48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≤20</w:t>
                  </w:r>
                </w:p>
              </w:tc>
              <w:tc>
                <w:tcPr>
                  <w:tcW w:w="1125" w:type="pct"/>
                  <w:vAlign w:val="center"/>
                </w:tcPr>
                <w:p w14:paraId="3BE3E927">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c>
                <w:tcPr>
                  <w:tcW w:w="546" w:type="pct"/>
                  <w:vAlign w:val="center"/>
                </w:tcPr>
                <w:p w14:paraId="31746326">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p>
              </w:tc>
            </w:tr>
          </w:tbl>
          <w:p w14:paraId="4FAFC6C3">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表2-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机制砂石粉含量标准要求</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6"/>
              <w:gridCol w:w="4011"/>
              <w:gridCol w:w="3611"/>
            </w:tblGrid>
            <w:tr w14:paraId="671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8" w:hRule="atLeast"/>
                <w:jc w:val="center"/>
              </w:trPr>
              <w:tc>
                <w:tcPr>
                  <w:tcW w:w="552" w:type="pct"/>
                  <w:shd w:val="clear" w:color="auto" w:fill="D9D9D9"/>
                  <w:vAlign w:val="center"/>
                </w:tcPr>
                <w:p w14:paraId="54EFF019">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类别</w:t>
                  </w:r>
                </w:p>
              </w:tc>
              <w:tc>
                <w:tcPr>
                  <w:tcW w:w="2340" w:type="pct"/>
                  <w:shd w:val="clear" w:color="auto" w:fill="D9D9D9"/>
                  <w:vAlign w:val="center"/>
                </w:tcPr>
                <w:p w14:paraId="250DF45F">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亚甲蓝值（MB）</w:t>
                  </w:r>
                </w:p>
              </w:tc>
              <w:tc>
                <w:tcPr>
                  <w:tcW w:w="2106" w:type="pct"/>
                  <w:shd w:val="clear" w:color="auto" w:fill="D9D9D9"/>
                  <w:vAlign w:val="center"/>
                </w:tcPr>
                <w:p w14:paraId="6FCEBC9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石粉含量（质量分数）%</w:t>
                  </w:r>
                </w:p>
              </w:tc>
            </w:tr>
            <w:tr w14:paraId="3A7E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2" w:type="pct"/>
                  <w:vMerge w:val="restart"/>
                  <w:vAlign w:val="center"/>
                </w:tcPr>
                <w:p w14:paraId="26DF2740">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II类</w:t>
                  </w:r>
                </w:p>
              </w:tc>
              <w:tc>
                <w:tcPr>
                  <w:tcW w:w="2340" w:type="pct"/>
                  <w:vAlign w:val="center"/>
                </w:tcPr>
                <w:p w14:paraId="48275962">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MB≤1.0</w:t>
                  </w:r>
                </w:p>
              </w:tc>
              <w:tc>
                <w:tcPr>
                  <w:tcW w:w="2106" w:type="pct"/>
                  <w:vAlign w:val="center"/>
                </w:tcPr>
                <w:p w14:paraId="4E9176CB">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≤15.0</w:t>
                  </w:r>
                </w:p>
              </w:tc>
            </w:tr>
            <w:tr w14:paraId="5D8F6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2" w:type="pct"/>
                  <w:vMerge w:val="continue"/>
                  <w:vAlign w:val="center"/>
                </w:tcPr>
                <w:p w14:paraId="282E07D0">
                  <w:pPr>
                    <w:spacing w:line="340" w:lineRule="exact"/>
                    <w:jc w:val="center"/>
                    <w:textAlignment w:val="baseline"/>
                    <w:rPr>
                      <w:color w:val="000000" w:themeColor="text1"/>
                      <w:sz w:val="18"/>
                      <w:szCs w:val="18"/>
                      <w14:textFill>
                        <w14:solidFill>
                          <w14:schemeClr w14:val="tx1"/>
                        </w14:solidFill>
                      </w14:textFill>
                    </w:rPr>
                  </w:pPr>
                </w:p>
              </w:tc>
              <w:tc>
                <w:tcPr>
                  <w:tcW w:w="2340" w:type="pct"/>
                  <w:vAlign w:val="center"/>
                </w:tcPr>
                <w:p w14:paraId="710EA76B">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1.0≤MB≤1.4或快速实验合格</w:t>
                  </w:r>
                </w:p>
              </w:tc>
              <w:tc>
                <w:tcPr>
                  <w:tcW w:w="2106" w:type="pct"/>
                  <w:vAlign w:val="center"/>
                </w:tcPr>
                <w:p w14:paraId="28EC0D08">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≤10.0</w:t>
                  </w:r>
                </w:p>
              </w:tc>
            </w:tr>
            <w:tr w14:paraId="639D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2" w:type="pct"/>
                  <w:vMerge w:val="continue"/>
                  <w:vAlign w:val="center"/>
                </w:tcPr>
                <w:p w14:paraId="290F4124">
                  <w:pPr>
                    <w:spacing w:line="340" w:lineRule="exact"/>
                    <w:jc w:val="center"/>
                    <w:textAlignment w:val="baseline"/>
                    <w:rPr>
                      <w:color w:val="000000" w:themeColor="text1"/>
                      <w:sz w:val="18"/>
                      <w:szCs w:val="18"/>
                      <w14:textFill>
                        <w14:solidFill>
                          <w14:schemeClr w14:val="tx1"/>
                        </w14:solidFill>
                      </w14:textFill>
                    </w:rPr>
                  </w:pPr>
                </w:p>
              </w:tc>
              <w:tc>
                <w:tcPr>
                  <w:tcW w:w="2340" w:type="pct"/>
                  <w:vAlign w:val="center"/>
                </w:tcPr>
                <w:p w14:paraId="6769A0A3">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MB＞1.4或快速法不合格</w:t>
                  </w:r>
                </w:p>
              </w:tc>
              <w:tc>
                <w:tcPr>
                  <w:tcW w:w="2106" w:type="pct"/>
                  <w:vAlign w:val="center"/>
                </w:tcPr>
                <w:p w14:paraId="668279F3">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w:t>
                  </w:r>
                </w:p>
              </w:tc>
            </w:tr>
          </w:tbl>
          <w:p w14:paraId="2CF99132">
            <w:pPr>
              <w:spacing w:before="120" w:beforeLines="50"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表2-</w:t>
            </w:r>
            <w:r>
              <w:rPr>
                <w:rFonts w:hint="eastAsia"/>
                <w:b/>
                <w:color w:val="000000" w:themeColor="text1"/>
                <w:sz w:val="18"/>
                <w:szCs w:val="21"/>
                <w:lang w:val="en-US" w:eastAsia="zh-CN"/>
                <w14:textFill>
                  <w14:solidFill>
                    <w14:schemeClr w14:val="tx1"/>
                  </w14:solidFill>
                </w14:textFill>
              </w:rPr>
              <w:t>5</w:t>
            </w:r>
            <w:r>
              <w:rPr>
                <w:rFonts w:hint="eastAsia"/>
                <w:b/>
                <w:color w:val="000000" w:themeColor="text1"/>
                <w:sz w:val="18"/>
                <w:szCs w:val="21"/>
                <w14:textFill>
                  <w14:solidFill>
                    <w14:schemeClr w14:val="tx1"/>
                  </w14:solidFill>
                </w14:textFill>
              </w:rPr>
              <w:t xml:space="preserve"> 机制砂其他标准要求</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501"/>
              <w:gridCol w:w="3116"/>
              <w:gridCol w:w="2295"/>
            </w:tblGrid>
            <w:tr w14:paraId="1BFE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shd w:val="clear" w:color="auto" w:fill="D9D9D9"/>
                  <w:vAlign w:val="center"/>
                </w:tcPr>
                <w:p w14:paraId="71B3CC3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类别</w:t>
                  </w:r>
                </w:p>
              </w:tc>
              <w:tc>
                <w:tcPr>
                  <w:tcW w:w="1459" w:type="pct"/>
                  <w:shd w:val="clear" w:color="auto" w:fill="D9D9D9"/>
                  <w:vAlign w:val="center"/>
                </w:tcPr>
                <w:p w14:paraId="00EF14FD">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泥块含量（质量分数）%</w:t>
                  </w:r>
                </w:p>
              </w:tc>
              <w:tc>
                <w:tcPr>
                  <w:tcW w:w="1818" w:type="pct"/>
                  <w:shd w:val="clear" w:color="auto" w:fill="D9D9D9"/>
                  <w:vAlign w:val="center"/>
                </w:tcPr>
                <w:p w14:paraId="5A6F1FE2">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云母</w:t>
                  </w:r>
                  <w:r>
                    <w:rPr>
                      <w:b/>
                      <w:color w:val="000000" w:themeColor="text1"/>
                      <w:sz w:val="18"/>
                      <w:szCs w:val="18"/>
                      <w14:textFill>
                        <w14:solidFill>
                          <w14:schemeClr w14:val="tx1"/>
                        </w14:solidFill>
                      </w14:textFill>
                    </w:rPr>
                    <w:t>（质量分数）%</w:t>
                  </w:r>
                </w:p>
              </w:tc>
              <w:tc>
                <w:tcPr>
                  <w:tcW w:w="1339" w:type="pct"/>
                  <w:shd w:val="clear" w:color="auto" w:fill="D9D9D9"/>
                  <w:vAlign w:val="center"/>
                </w:tcPr>
                <w:p w14:paraId="10CD54E4">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轻物质</w:t>
                  </w:r>
                  <w:r>
                    <w:rPr>
                      <w:b/>
                      <w:color w:val="000000" w:themeColor="text1"/>
                      <w:sz w:val="18"/>
                      <w:szCs w:val="18"/>
                      <w14:textFill>
                        <w14:solidFill>
                          <w14:schemeClr w14:val="tx1"/>
                        </w14:solidFill>
                      </w14:textFill>
                    </w:rPr>
                    <w:t>（质量分数）%</w:t>
                  </w:r>
                </w:p>
              </w:tc>
            </w:tr>
            <w:tr w14:paraId="6848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restart"/>
                  <w:vAlign w:val="center"/>
                </w:tcPr>
                <w:p w14:paraId="4617CE9E">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II类</w:t>
                  </w:r>
                </w:p>
              </w:tc>
              <w:tc>
                <w:tcPr>
                  <w:tcW w:w="1459" w:type="pct"/>
                  <w:vAlign w:val="center"/>
                </w:tcPr>
                <w:p w14:paraId="37366F4F">
                  <w:pPr>
                    <w:spacing w:line="340" w:lineRule="exact"/>
                    <w:jc w:val="center"/>
                    <w:textAlignment w:val="baseline"/>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c>
                <w:tcPr>
                  <w:tcW w:w="1818" w:type="pct"/>
                  <w:vAlign w:val="center"/>
                </w:tcPr>
                <w:p w14:paraId="6CD2C815">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w:t>
                  </w:r>
                </w:p>
              </w:tc>
              <w:tc>
                <w:tcPr>
                  <w:tcW w:w="1339" w:type="pct"/>
                  <w:vAlign w:val="center"/>
                </w:tcPr>
                <w:p w14:paraId="216EC85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r>
            <w:tr w14:paraId="39078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382" w:type="pct"/>
                  <w:vMerge w:val="continue"/>
                  <w:vAlign w:val="center"/>
                </w:tcPr>
                <w:p w14:paraId="3BED1B6B">
                  <w:pPr>
                    <w:spacing w:line="340" w:lineRule="exact"/>
                    <w:jc w:val="center"/>
                    <w:textAlignment w:val="baseline"/>
                    <w:rPr>
                      <w:b/>
                      <w:bCs/>
                      <w:color w:val="000000" w:themeColor="text1"/>
                      <w:sz w:val="18"/>
                      <w:szCs w:val="18"/>
                      <w14:textFill>
                        <w14:solidFill>
                          <w14:schemeClr w14:val="tx1"/>
                        </w14:solidFill>
                      </w14:textFill>
                    </w:rPr>
                  </w:pPr>
                </w:p>
              </w:tc>
              <w:tc>
                <w:tcPr>
                  <w:tcW w:w="1459" w:type="pct"/>
                  <w:shd w:val="clear" w:color="auto" w:fill="D9D9D9"/>
                  <w:vAlign w:val="center"/>
                </w:tcPr>
                <w:p w14:paraId="612177B7">
                  <w:pPr>
                    <w:spacing w:line="340" w:lineRule="exact"/>
                    <w:jc w:val="center"/>
                    <w:textAlignment w:val="baseline"/>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有机物</w:t>
                  </w:r>
                </w:p>
              </w:tc>
              <w:tc>
                <w:tcPr>
                  <w:tcW w:w="1818" w:type="pct"/>
                  <w:shd w:val="clear" w:color="auto" w:fill="D9D9D9"/>
                  <w:vAlign w:val="center"/>
                </w:tcPr>
                <w:p w14:paraId="7062F042">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硫化物及硫酸盐</w:t>
                  </w:r>
                  <w:r>
                    <w:rPr>
                      <w:b/>
                      <w:color w:val="000000" w:themeColor="text1"/>
                      <w:sz w:val="18"/>
                      <w:szCs w:val="18"/>
                      <w14:textFill>
                        <w14:solidFill>
                          <w14:schemeClr w14:val="tx1"/>
                        </w14:solidFill>
                      </w14:textFill>
                    </w:rPr>
                    <w:t>（质量分数）%</w:t>
                  </w:r>
                </w:p>
              </w:tc>
              <w:tc>
                <w:tcPr>
                  <w:tcW w:w="1339" w:type="pct"/>
                  <w:shd w:val="clear" w:color="auto" w:fill="D9D9D9"/>
                  <w:vAlign w:val="center"/>
                </w:tcPr>
                <w:p w14:paraId="05B887BF">
                  <w:pPr>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氯化物</w:t>
                  </w:r>
                  <w:r>
                    <w:rPr>
                      <w:b/>
                      <w:color w:val="000000" w:themeColor="text1"/>
                      <w:sz w:val="18"/>
                      <w:szCs w:val="18"/>
                      <w14:textFill>
                        <w14:solidFill>
                          <w14:schemeClr w14:val="tx1"/>
                        </w14:solidFill>
                      </w14:textFill>
                    </w:rPr>
                    <w:t>（质量分数）%</w:t>
                  </w:r>
                </w:p>
              </w:tc>
            </w:tr>
            <w:tr w14:paraId="17FFC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2" w:type="pct"/>
                  <w:vMerge w:val="continue"/>
                  <w:vAlign w:val="center"/>
                </w:tcPr>
                <w:p w14:paraId="151255FA">
                  <w:pPr>
                    <w:spacing w:line="340" w:lineRule="exact"/>
                    <w:jc w:val="center"/>
                    <w:textAlignment w:val="baseline"/>
                    <w:rPr>
                      <w:color w:val="000000" w:themeColor="text1"/>
                      <w:sz w:val="18"/>
                      <w:szCs w:val="18"/>
                      <w14:textFill>
                        <w14:solidFill>
                          <w14:schemeClr w14:val="tx1"/>
                        </w14:solidFill>
                      </w14:textFill>
                    </w:rPr>
                  </w:pPr>
                </w:p>
              </w:tc>
              <w:tc>
                <w:tcPr>
                  <w:tcW w:w="1459" w:type="pct"/>
                  <w:vAlign w:val="center"/>
                </w:tcPr>
                <w:p w14:paraId="1DC5513E">
                  <w:pPr>
                    <w:spacing w:line="340" w:lineRule="exact"/>
                    <w:jc w:val="center"/>
                    <w:textAlignment w:val="baseline"/>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合格</w:t>
                  </w:r>
                </w:p>
              </w:tc>
              <w:tc>
                <w:tcPr>
                  <w:tcW w:w="1818" w:type="pct"/>
                  <w:vAlign w:val="center"/>
                </w:tcPr>
                <w:p w14:paraId="168BD19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0.5</w:t>
                  </w:r>
                </w:p>
              </w:tc>
              <w:tc>
                <w:tcPr>
                  <w:tcW w:w="1339" w:type="pct"/>
                  <w:vAlign w:val="center"/>
                </w:tcPr>
                <w:p w14:paraId="3E1EFFB1">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0.02</w:t>
                  </w:r>
                </w:p>
              </w:tc>
            </w:tr>
          </w:tbl>
          <w:p w14:paraId="4B7659BB">
            <w:pPr>
              <w:widowControl/>
              <w:spacing w:before="120" w:beforeLines="50" w:line="360" w:lineRule="auto"/>
              <w:ind w:firstLine="422" w:firstLineChars="200"/>
              <w:jc w:val="left"/>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 xml:space="preserve">五、项目原辅材料 </w:t>
            </w:r>
          </w:p>
          <w:p w14:paraId="165D3F7D">
            <w:pPr>
              <w:autoSpaceDE w:val="0"/>
              <w:autoSpaceDN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本项目原材料花岗岩矿石为外购，本项目原辅材料使用量详见表2-6。</w:t>
            </w:r>
          </w:p>
          <w:p w14:paraId="12596F1C">
            <w:pPr>
              <w:pStyle w:val="45"/>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主要原辅材料</w:t>
            </w:r>
            <w:r>
              <w:rPr>
                <w:rFonts w:hint="eastAsia"/>
                <w:color w:val="000000" w:themeColor="text1"/>
                <w14:textFill>
                  <w14:solidFill>
                    <w14:schemeClr w14:val="tx1"/>
                  </w14:solidFill>
                </w14:textFill>
              </w:rPr>
              <w:t>及年用量</w:t>
            </w:r>
            <w:r>
              <w:rPr>
                <w:color w:val="000000" w:themeColor="text1"/>
                <w14:textFill>
                  <w14:solidFill>
                    <w14:schemeClr w14:val="tx1"/>
                  </w14:solidFill>
                </w14:textFill>
              </w:rPr>
              <w:t>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01"/>
              <w:gridCol w:w="1711"/>
              <w:gridCol w:w="1214"/>
              <w:gridCol w:w="2009"/>
              <w:gridCol w:w="816"/>
              <w:gridCol w:w="816"/>
            </w:tblGrid>
            <w:tr w14:paraId="5A04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tblHeader/>
                <w:jc w:val="center"/>
              </w:trPr>
              <w:tc>
                <w:tcPr>
                  <w:tcW w:w="1167" w:type="pct"/>
                  <w:shd w:val="clear" w:color="auto" w:fill="D9D9D9"/>
                  <w:vAlign w:val="center"/>
                </w:tcPr>
                <w:p w14:paraId="0C0850B4">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名称</w:t>
                  </w:r>
                </w:p>
              </w:tc>
              <w:tc>
                <w:tcPr>
                  <w:tcW w:w="998" w:type="pct"/>
                  <w:shd w:val="clear" w:color="auto" w:fill="D9D9D9"/>
                  <w:vAlign w:val="center"/>
                </w:tcPr>
                <w:p w14:paraId="360CC077">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年用量</w:t>
                  </w:r>
                  <w:r>
                    <w:rPr>
                      <w:rFonts w:hint="eastAsia"/>
                      <w:color w:val="000000" w:themeColor="text1"/>
                      <w:sz w:val="18"/>
                      <w:szCs w:val="18"/>
                      <w14:textFill>
                        <w14:solidFill>
                          <w14:schemeClr w14:val="tx1"/>
                        </w14:solidFill>
                      </w14:textFill>
                    </w:rPr>
                    <w:t>t/a</w:t>
                  </w:r>
                </w:p>
              </w:tc>
              <w:tc>
                <w:tcPr>
                  <w:tcW w:w="708" w:type="pct"/>
                  <w:shd w:val="clear" w:color="auto" w:fill="D9D9D9"/>
                  <w:tcMar>
                    <w:left w:w="0" w:type="dxa"/>
                    <w:right w:w="0" w:type="dxa"/>
                  </w:tcMar>
                  <w:vAlign w:val="center"/>
                </w:tcPr>
                <w:p w14:paraId="22405C1D">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含水率</w:t>
                  </w:r>
                </w:p>
              </w:tc>
              <w:tc>
                <w:tcPr>
                  <w:tcW w:w="1172" w:type="pct"/>
                  <w:shd w:val="clear" w:color="auto" w:fill="D9D9D9"/>
                  <w:tcMar>
                    <w:left w:w="0" w:type="dxa"/>
                    <w:right w:w="0" w:type="dxa"/>
                  </w:tcMar>
                  <w:vAlign w:val="center"/>
                </w:tcPr>
                <w:p w14:paraId="1A1A97EF">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最大储存量</w:t>
                  </w:r>
                </w:p>
              </w:tc>
              <w:tc>
                <w:tcPr>
                  <w:tcW w:w="476" w:type="pct"/>
                  <w:shd w:val="clear" w:color="auto" w:fill="D9D9D9"/>
                  <w:vAlign w:val="center"/>
                </w:tcPr>
                <w:p w14:paraId="094365AC">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来源</w:t>
                  </w:r>
                </w:p>
              </w:tc>
              <w:tc>
                <w:tcPr>
                  <w:tcW w:w="476" w:type="pct"/>
                  <w:shd w:val="clear" w:color="auto" w:fill="D9D9D9"/>
                  <w:vAlign w:val="center"/>
                </w:tcPr>
                <w:p w14:paraId="071567E1">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运输方式</w:t>
                  </w:r>
                </w:p>
              </w:tc>
            </w:tr>
            <w:tr w14:paraId="1491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1" w:hRule="atLeast"/>
                <w:tblHeader/>
                <w:jc w:val="center"/>
              </w:trPr>
              <w:tc>
                <w:tcPr>
                  <w:tcW w:w="1167" w:type="pct"/>
                  <w:vAlign w:val="center"/>
                </w:tcPr>
                <w:p w14:paraId="11EA620A">
                  <w:pPr>
                    <w:snapToGrid w:val="0"/>
                    <w:jc w:val="center"/>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花岗岩矿石</w:t>
                  </w:r>
                </w:p>
              </w:tc>
              <w:tc>
                <w:tcPr>
                  <w:tcW w:w="998" w:type="pct"/>
                  <w:vAlign w:val="center"/>
                </w:tcPr>
                <w:p w14:paraId="67BFE17D">
                  <w:pPr>
                    <w:snapToGrid w:val="0"/>
                    <w:jc w:val="center"/>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111.6万</w:t>
                  </w:r>
                </w:p>
              </w:tc>
              <w:tc>
                <w:tcPr>
                  <w:tcW w:w="708" w:type="pct"/>
                  <w:tcMar>
                    <w:left w:w="0" w:type="dxa"/>
                    <w:right w:w="0" w:type="dxa"/>
                  </w:tcMar>
                  <w:vAlign w:val="center"/>
                </w:tcPr>
                <w:p w14:paraId="473A59AB">
                  <w:pPr>
                    <w:snapToGrid w:val="0"/>
                    <w:jc w:val="center"/>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0.5%</w:t>
                  </w:r>
                </w:p>
              </w:tc>
              <w:tc>
                <w:tcPr>
                  <w:tcW w:w="1172" w:type="pct"/>
                  <w:tcMar>
                    <w:left w:w="0" w:type="dxa"/>
                    <w:right w:w="0" w:type="dxa"/>
                  </w:tcMar>
                  <w:vAlign w:val="center"/>
                </w:tcPr>
                <w:p w14:paraId="248EC61F">
                  <w:pPr>
                    <w:snapToGrid w:val="0"/>
                    <w:jc w:val="center"/>
                    <w:rPr>
                      <w:b/>
                      <w:bCs/>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不储存</w:t>
                  </w:r>
                </w:p>
              </w:tc>
              <w:tc>
                <w:tcPr>
                  <w:tcW w:w="476" w:type="pct"/>
                  <w:vAlign w:val="center"/>
                </w:tcPr>
                <w:p w14:paraId="1453544D">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外购</w:t>
                  </w:r>
                </w:p>
              </w:tc>
              <w:tc>
                <w:tcPr>
                  <w:tcW w:w="476" w:type="pct"/>
                  <w:vAlign w:val="center"/>
                </w:tcPr>
                <w:p w14:paraId="1484DD0E">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自卸车辆运输</w:t>
                  </w:r>
                </w:p>
              </w:tc>
            </w:tr>
          </w:tbl>
          <w:p w14:paraId="363C7E7B">
            <w:pPr>
              <w:pStyle w:val="42"/>
              <w:ind w:firstLine="422"/>
              <w:rPr>
                <w:b/>
                <w:bCs/>
                <w:color w:val="000000" w:themeColor="text1"/>
                <w14:textFill>
                  <w14:solidFill>
                    <w14:schemeClr w14:val="tx1"/>
                  </w14:solidFill>
                </w14:textFill>
              </w:rPr>
            </w:pPr>
          </w:p>
          <w:p w14:paraId="49CCF9FE">
            <w:pPr>
              <w:keepNext/>
              <w:spacing w:line="360" w:lineRule="auto"/>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w:t>
            </w:r>
            <w:r>
              <w:rPr>
                <w:rFonts w:hint="eastAsia"/>
                <w:b/>
                <w:color w:val="000000" w:themeColor="text1"/>
                <w:sz w:val="18"/>
                <w:szCs w:val="21"/>
                <w14:textFill>
                  <w14:solidFill>
                    <w14:schemeClr w14:val="tx1"/>
                  </w14:solidFill>
                </w14:textFill>
              </w:rPr>
              <w:t>2-7 本</w:t>
            </w:r>
            <w:r>
              <w:rPr>
                <w:b/>
                <w:color w:val="000000" w:themeColor="text1"/>
                <w:sz w:val="18"/>
                <w:szCs w:val="21"/>
                <w14:textFill>
                  <w14:solidFill>
                    <w14:schemeClr w14:val="tx1"/>
                  </w14:solidFill>
                </w14:textFill>
              </w:rPr>
              <w:t>项目</w:t>
            </w:r>
            <w:r>
              <w:rPr>
                <w:rFonts w:hint="eastAsia"/>
                <w:b/>
                <w:color w:val="000000" w:themeColor="text1"/>
                <w:sz w:val="18"/>
                <w:szCs w:val="21"/>
                <w14:textFill>
                  <w14:solidFill>
                    <w14:schemeClr w14:val="tx1"/>
                  </w14:solidFill>
                </w14:textFill>
              </w:rPr>
              <w:t>物料平衡</w:t>
            </w:r>
            <w:r>
              <w:rPr>
                <w:b/>
                <w:color w:val="000000" w:themeColor="text1"/>
                <w:sz w:val="18"/>
                <w:szCs w:val="21"/>
                <w14:textFill>
                  <w14:solidFill>
                    <w14:schemeClr w14:val="tx1"/>
                  </w14:solidFill>
                </w14:textFill>
              </w:rPr>
              <w:t>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2692"/>
              <w:gridCol w:w="2162"/>
              <w:gridCol w:w="1554"/>
            </w:tblGrid>
            <w:tr w14:paraId="334B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831" w:type="pct"/>
                  <w:gridSpan w:val="2"/>
                  <w:shd w:val="clear" w:color="auto" w:fill="D9D9D9"/>
                  <w:vAlign w:val="center"/>
                </w:tcPr>
                <w:p w14:paraId="579F5FC9">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原料（t/a）（干重）</w:t>
                  </w:r>
                </w:p>
              </w:tc>
              <w:tc>
                <w:tcPr>
                  <w:tcW w:w="2168" w:type="pct"/>
                  <w:gridSpan w:val="2"/>
                  <w:shd w:val="clear" w:color="auto" w:fill="D9D9D9"/>
                  <w:vAlign w:val="center"/>
                </w:tcPr>
                <w:p w14:paraId="182A8C0C">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产出（t/a）（干重）</w:t>
                  </w:r>
                </w:p>
              </w:tc>
            </w:tr>
            <w:tr w14:paraId="0F6A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0" w:type="pct"/>
                  <w:vMerge w:val="restart"/>
                  <w:vAlign w:val="center"/>
                </w:tcPr>
                <w:p w14:paraId="6D2E90FD">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花岗岩矿石</w:t>
                  </w:r>
                </w:p>
              </w:tc>
              <w:tc>
                <w:tcPr>
                  <w:tcW w:w="1571" w:type="pct"/>
                  <w:vMerge w:val="restart"/>
                  <w:vAlign w:val="center"/>
                </w:tcPr>
                <w:p w14:paraId="2E7D32B2">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1110420</w:t>
                  </w:r>
                </w:p>
              </w:tc>
              <w:tc>
                <w:tcPr>
                  <w:tcW w:w="1261" w:type="pct"/>
                  <w:shd w:val="clear" w:color="auto" w:fill="auto"/>
                  <w:vAlign w:val="center"/>
                </w:tcPr>
                <w:p w14:paraId="140EA903">
                  <w:pPr>
                    <w:adjustRightInd w:val="0"/>
                    <w:snapToGrid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碎石</w:t>
                  </w:r>
                </w:p>
              </w:tc>
              <w:tc>
                <w:tcPr>
                  <w:tcW w:w="906" w:type="pct"/>
                  <w:shd w:val="clear" w:color="auto" w:fill="auto"/>
                  <w:vAlign w:val="center"/>
                </w:tcPr>
                <w:p w14:paraId="1176A379">
                  <w:pPr>
                    <w:widowControl/>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604200</w:t>
                  </w:r>
                </w:p>
              </w:tc>
            </w:tr>
            <w:tr w14:paraId="0D43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0" w:type="pct"/>
                  <w:vMerge w:val="continue"/>
                  <w:vAlign w:val="center"/>
                </w:tcPr>
                <w:p w14:paraId="70DF21D7">
                  <w:pPr>
                    <w:adjustRightInd w:val="0"/>
                    <w:snapToGrid w:val="0"/>
                    <w:jc w:val="center"/>
                    <w:rPr>
                      <w:color w:val="000000" w:themeColor="text1"/>
                      <w:sz w:val="18"/>
                      <w:szCs w:val="18"/>
                      <w14:textFill>
                        <w14:solidFill>
                          <w14:schemeClr w14:val="tx1"/>
                        </w14:solidFill>
                      </w14:textFill>
                    </w:rPr>
                  </w:pPr>
                </w:p>
              </w:tc>
              <w:tc>
                <w:tcPr>
                  <w:tcW w:w="1571" w:type="pct"/>
                  <w:vMerge w:val="continue"/>
                  <w:vAlign w:val="center"/>
                </w:tcPr>
                <w:p w14:paraId="3B222E1E">
                  <w:pPr>
                    <w:adjustRightInd w:val="0"/>
                    <w:snapToGrid w:val="0"/>
                    <w:jc w:val="center"/>
                    <w:rPr>
                      <w:color w:val="000000" w:themeColor="text1"/>
                      <w:sz w:val="18"/>
                      <w:szCs w:val="18"/>
                      <w14:textFill>
                        <w14:solidFill>
                          <w14:schemeClr w14:val="tx1"/>
                        </w14:solidFill>
                      </w14:textFill>
                    </w:rPr>
                  </w:pPr>
                </w:p>
              </w:tc>
              <w:tc>
                <w:tcPr>
                  <w:tcW w:w="1261" w:type="pct"/>
                  <w:shd w:val="clear" w:color="auto" w:fill="auto"/>
                  <w:vAlign w:val="center"/>
                </w:tcPr>
                <w:p w14:paraId="294FF5DD">
                  <w:pPr>
                    <w:adjustRightInd w:val="0"/>
                    <w:snapToGrid w:val="0"/>
                    <w:jc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机制砂</w:t>
                  </w:r>
                </w:p>
              </w:tc>
              <w:tc>
                <w:tcPr>
                  <w:tcW w:w="906" w:type="pct"/>
                  <w:shd w:val="clear" w:color="auto" w:fill="auto"/>
                  <w:vAlign w:val="center"/>
                </w:tcPr>
                <w:p w14:paraId="7B97E544">
                  <w:pPr>
                    <w:widowControl/>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391000</w:t>
                  </w:r>
                </w:p>
              </w:tc>
            </w:tr>
            <w:tr w14:paraId="43DA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0" w:type="pct"/>
                  <w:vMerge w:val="continue"/>
                  <w:vAlign w:val="center"/>
                </w:tcPr>
                <w:p w14:paraId="6B102A0C">
                  <w:pPr>
                    <w:adjustRightInd w:val="0"/>
                    <w:snapToGrid w:val="0"/>
                    <w:jc w:val="center"/>
                    <w:rPr>
                      <w:color w:val="000000" w:themeColor="text1"/>
                      <w:sz w:val="18"/>
                      <w:szCs w:val="18"/>
                      <w14:textFill>
                        <w14:solidFill>
                          <w14:schemeClr w14:val="tx1"/>
                        </w14:solidFill>
                      </w14:textFill>
                    </w:rPr>
                  </w:pPr>
                </w:p>
              </w:tc>
              <w:tc>
                <w:tcPr>
                  <w:tcW w:w="1571" w:type="pct"/>
                  <w:vMerge w:val="continue"/>
                  <w:vAlign w:val="center"/>
                </w:tcPr>
                <w:p w14:paraId="6629F35C">
                  <w:pPr>
                    <w:adjustRightInd w:val="0"/>
                    <w:snapToGrid w:val="0"/>
                    <w:jc w:val="center"/>
                    <w:rPr>
                      <w:color w:val="000000" w:themeColor="text1"/>
                      <w:sz w:val="18"/>
                      <w:szCs w:val="18"/>
                      <w14:textFill>
                        <w14:solidFill>
                          <w14:schemeClr w14:val="tx1"/>
                        </w14:solidFill>
                      </w14:textFill>
                    </w:rPr>
                  </w:pPr>
                </w:p>
              </w:tc>
              <w:tc>
                <w:tcPr>
                  <w:tcW w:w="1261" w:type="pct"/>
                  <w:vAlign w:val="center"/>
                </w:tcPr>
                <w:p w14:paraId="726A0AED">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弃土</w:t>
                  </w:r>
                </w:p>
              </w:tc>
              <w:tc>
                <w:tcPr>
                  <w:tcW w:w="906" w:type="pct"/>
                  <w:vAlign w:val="center"/>
                </w:tcPr>
                <w:p w14:paraId="693225A0">
                  <w:pPr>
                    <w:widowControl/>
                    <w:jc w:val="center"/>
                    <w:textAlignment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88833.6</w:t>
                  </w:r>
                </w:p>
              </w:tc>
            </w:tr>
            <w:tr w14:paraId="2FEA1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60" w:type="pct"/>
                  <w:vMerge w:val="continue"/>
                  <w:vAlign w:val="center"/>
                </w:tcPr>
                <w:p w14:paraId="287A7F0F">
                  <w:pPr>
                    <w:adjustRightInd w:val="0"/>
                    <w:snapToGrid w:val="0"/>
                    <w:jc w:val="center"/>
                    <w:rPr>
                      <w:color w:val="000000" w:themeColor="text1"/>
                      <w:sz w:val="18"/>
                      <w:szCs w:val="18"/>
                      <w14:textFill>
                        <w14:solidFill>
                          <w14:schemeClr w14:val="tx1"/>
                        </w14:solidFill>
                      </w14:textFill>
                    </w:rPr>
                  </w:pPr>
                </w:p>
              </w:tc>
              <w:tc>
                <w:tcPr>
                  <w:tcW w:w="1571" w:type="pct"/>
                  <w:vMerge w:val="continue"/>
                  <w:vAlign w:val="center"/>
                </w:tcPr>
                <w:p w14:paraId="7E69250F">
                  <w:pPr>
                    <w:adjustRightInd w:val="0"/>
                    <w:snapToGrid w:val="0"/>
                    <w:jc w:val="center"/>
                    <w:rPr>
                      <w:color w:val="000000" w:themeColor="text1"/>
                      <w:sz w:val="18"/>
                      <w:szCs w:val="18"/>
                      <w14:textFill>
                        <w14:solidFill>
                          <w14:schemeClr w14:val="tx1"/>
                        </w14:solidFill>
                      </w14:textFill>
                    </w:rPr>
                  </w:pPr>
                </w:p>
              </w:tc>
              <w:tc>
                <w:tcPr>
                  <w:tcW w:w="1261" w:type="pct"/>
                  <w:vAlign w:val="center"/>
                </w:tcPr>
                <w:p w14:paraId="22BF9CA6">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粉尘排放量</w:t>
                  </w:r>
                </w:p>
              </w:tc>
              <w:tc>
                <w:tcPr>
                  <w:tcW w:w="906" w:type="pct"/>
                  <w:vAlign w:val="center"/>
                </w:tcPr>
                <w:p w14:paraId="2BE94ADF">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10.</w:t>
                  </w:r>
                  <w:r>
                    <w:rPr>
                      <w:rFonts w:hint="eastAsia"/>
                      <w:color w:val="000000" w:themeColor="text1"/>
                      <w:kern w:val="0"/>
                      <w:sz w:val="18"/>
                      <w:szCs w:val="18"/>
                      <w:lang w:val="en-US" w:eastAsia="zh-CN" w:bidi="ar"/>
                      <w14:textFill>
                        <w14:solidFill>
                          <w14:schemeClr w14:val="tx1"/>
                        </w14:solidFill>
                      </w14:textFill>
                    </w:rPr>
                    <w:t>84</w:t>
                  </w:r>
                </w:p>
              </w:tc>
            </w:tr>
            <w:tr w14:paraId="2453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260" w:type="pct"/>
                  <w:vMerge w:val="continue"/>
                  <w:vAlign w:val="center"/>
                </w:tcPr>
                <w:p w14:paraId="42FB80B9">
                  <w:pPr>
                    <w:adjustRightInd w:val="0"/>
                    <w:snapToGrid w:val="0"/>
                    <w:jc w:val="center"/>
                    <w:rPr>
                      <w:color w:val="000000" w:themeColor="text1"/>
                      <w:sz w:val="18"/>
                      <w:szCs w:val="18"/>
                      <w14:textFill>
                        <w14:solidFill>
                          <w14:schemeClr w14:val="tx1"/>
                        </w14:solidFill>
                      </w14:textFill>
                    </w:rPr>
                  </w:pPr>
                </w:p>
              </w:tc>
              <w:tc>
                <w:tcPr>
                  <w:tcW w:w="1571" w:type="pct"/>
                  <w:vMerge w:val="continue"/>
                  <w:vAlign w:val="center"/>
                </w:tcPr>
                <w:p w14:paraId="45861884">
                  <w:pPr>
                    <w:adjustRightInd w:val="0"/>
                    <w:snapToGrid w:val="0"/>
                    <w:jc w:val="center"/>
                    <w:rPr>
                      <w:color w:val="000000" w:themeColor="text1"/>
                      <w:sz w:val="18"/>
                      <w:szCs w:val="18"/>
                      <w14:textFill>
                        <w14:solidFill>
                          <w14:schemeClr w14:val="tx1"/>
                        </w14:solidFill>
                      </w14:textFill>
                    </w:rPr>
                  </w:pPr>
                </w:p>
              </w:tc>
              <w:tc>
                <w:tcPr>
                  <w:tcW w:w="1261" w:type="pct"/>
                  <w:vAlign w:val="center"/>
                </w:tcPr>
                <w:p w14:paraId="44675B97">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淤泥泥饼</w:t>
                  </w:r>
                </w:p>
              </w:tc>
              <w:tc>
                <w:tcPr>
                  <w:tcW w:w="906" w:type="pct"/>
                  <w:shd w:val="clear" w:color="auto" w:fill="auto"/>
                  <w:vAlign w:val="center"/>
                </w:tcPr>
                <w:p w14:paraId="4C318F50">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26375.</w:t>
                  </w:r>
                  <w:r>
                    <w:rPr>
                      <w:rFonts w:hint="eastAsia"/>
                      <w:color w:val="000000" w:themeColor="text1"/>
                      <w:kern w:val="0"/>
                      <w:sz w:val="18"/>
                      <w:szCs w:val="18"/>
                      <w:lang w:val="en-US" w:eastAsia="zh-CN" w:bidi="ar"/>
                      <w14:textFill>
                        <w14:solidFill>
                          <w14:schemeClr w14:val="tx1"/>
                        </w14:solidFill>
                      </w14:textFill>
                    </w:rPr>
                    <w:t>56</w:t>
                  </w:r>
                </w:p>
              </w:tc>
            </w:tr>
            <w:tr w14:paraId="738B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93" w:type="pct"/>
                  <w:gridSpan w:val="3"/>
                  <w:vAlign w:val="center"/>
                </w:tcPr>
                <w:p w14:paraId="3FD1196F">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906" w:type="pct"/>
                  <w:vAlign w:val="center"/>
                </w:tcPr>
                <w:p w14:paraId="53C97B49">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1110420</w:t>
                  </w:r>
                </w:p>
              </w:tc>
            </w:tr>
            <w:tr w14:paraId="4D186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0" w:type="pct"/>
                  <w:gridSpan w:val="4"/>
                  <w:vAlign w:val="center"/>
                </w:tcPr>
                <w:p w14:paraId="4748C0C7">
                  <w:pPr>
                    <w:adjustRightInd w:val="0"/>
                    <w:snapToGrid w:val="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注：根据建设单位提供的资料，本项目所用花岗岩矿石自身携带有表层附着土，土壤组分占原矿总重量比例约为8%。</w:t>
                  </w:r>
                </w:p>
              </w:tc>
            </w:tr>
          </w:tbl>
          <w:p w14:paraId="3C18F01D">
            <w:pPr>
              <w:pStyle w:val="42"/>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六、项目主要生产设备</w:t>
            </w:r>
          </w:p>
          <w:p w14:paraId="23C04A19">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本项目生产设备如下表所示。</w:t>
            </w:r>
          </w:p>
          <w:p w14:paraId="22E77873">
            <w:pPr>
              <w:pStyle w:val="45"/>
              <w:rPr>
                <w:color w:val="000000" w:themeColor="text1"/>
                <w14:textFill>
                  <w14:solidFill>
                    <w14:schemeClr w14:val="tx1"/>
                  </w14:solidFill>
                </w14:textFill>
              </w:rPr>
            </w:pPr>
            <w:r>
              <w:rPr>
                <w:color w:val="000000" w:themeColor="text1"/>
                <w14:textFill>
                  <w14:solidFill>
                    <w14:schemeClr w14:val="tx1"/>
                  </w14:solidFill>
                </w14:textFill>
              </w:rPr>
              <w:t>表2-</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本项目生产设备一览表</w:t>
            </w:r>
          </w:p>
          <w:tbl>
            <w:tblPr>
              <w:tblStyle w:val="20"/>
              <w:tblW w:w="4998" w:type="pct"/>
              <w:tblInd w:w="0" w:type="dxa"/>
              <w:tblLayout w:type="autofit"/>
              <w:tblCellMar>
                <w:top w:w="0" w:type="dxa"/>
                <w:left w:w="108" w:type="dxa"/>
                <w:bottom w:w="0" w:type="dxa"/>
                <w:right w:w="108" w:type="dxa"/>
              </w:tblCellMar>
            </w:tblPr>
            <w:tblGrid>
              <w:gridCol w:w="1047"/>
              <w:gridCol w:w="3344"/>
              <w:gridCol w:w="1047"/>
              <w:gridCol w:w="1048"/>
              <w:gridCol w:w="2091"/>
            </w:tblGrid>
            <w:tr w14:paraId="373D0432">
              <w:tblPrEx>
                <w:tblCellMar>
                  <w:top w:w="0" w:type="dxa"/>
                  <w:left w:w="108" w:type="dxa"/>
                  <w:bottom w:w="0" w:type="dxa"/>
                  <w:right w:w="108" w:type="dxa"/>
                </w:tblCellMar>
              </w:tblPrEx>
              <w:trPr>
                <w:trHeight w:val="90" w:hRule="atLeast"/>
              </w:trPr>
              <w:tc>
                <w:tcPr>
                  <w:tcW w:w="610"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504A5AD">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序号</w:t>
                  </w:r>
                </w:p>
              </w:tc>
              <w:tc>
                <w:tcPr>
                  <w:tcW w:w="1949" w:type="pct"/>
                  <w:tcBorders>
                    <w:top w:val="single" w:color="000000" w:sz="4" w:space="0"/>
                    <w:left w:val="nil"/>
                    <w:bottom w:val="single" w:color="000000" w:sz="4" w:space="0"/>
                    <w:right w:val="single" w:color="000000" w:sz="4" w:space="0"/>
                  </w:tcBorders>
                  <w:shd w:val="clear" w:color="auto" w:fill="D9D9D9"/>
                  <w:vAlign w:val="center"/>
                </w:tcPr>
                <w:p w14:paraId="3E54A5C7">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设备设施名称</w:t>
                  </w:r>
                </w:p>
              </w:tc>
              <w:tc>
                <w:tcPr>
                  <w:tcW w:w="610" w:type="pct"/>
                  <w:tcBorders>
                    <w:top w:val="single" w:color="000000" w:sz="4" w:space="0"/>
                    <w:left w:val="nil"/>
                    <w:bottom w:val="single" w:color="000000" w:sz="4" w:space="0"/>
                    <w:right w:val="single" w:color="auto" w:sz="4" w:space="0"/>
                  </w:tcBorders>
                  <w:shd w:val="clear" w:color="auto" w:fill="D9D9D9"/>
                  <w:vAlign w:val="center"/>
                </w:tcPr>
                <w:p w14:paraId="5068AB84">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数量</w:t>
                  </w:r>
                </w:p>
              </w:tc>
              <w:tc>
                <w:tcPr>
                  <w:tcW w:w="611" w:type="pct"/>
                  <w:tcBorders>
                    <w:top w:val="single" w:color="auto" w:sz="4" w:space="0"/>
                    <w:left w:val="single" w:color="auto" w:sz="4" w:space="0"/>
                    <w:bottom w:val="single" w:color="auto" w:sz="4" w:space="0"/>
                    <w:right w:val="single" w:color="auto" w:sz="4" w:space="0"/>
                  </w:tcBorders>
                  <w:shd w:val="clear" w:color="auto" w:fill="D9D9D9"/>
                  <w:vAlign w:val="center"/>
                </w:tcPr>
                <w:p w14:paraId="5A88DA31">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单位</w:t>
                  </w:r>
                </w:p>
              </w:tc>
              <w:tc>
                <w:tcPr>
                  <w:tcW w:w="1218" w:type="pct"/>
                  <w:tcBorders>
                    <w:top w:val="single" w:color="auto" w:sz="4" w:space="0"/>
                    <w:left w:val="single" w:color="auto" w:sz="4" w:space="0"/>
                    <w:bottom w:val="single" w:color="auto" w:sz="4" w:space="0"/>
                    <w:right w:val="single" w:color="auto" w:sz="4" w:space="0"/>
                  </w:tcBorders>
                  <w:shd w:val="clear" w:color="auto" w:fill="D9D9D9"/>
                  <w:vAlign w:val="center"/>
                </w:tcPr>
                <w:p w14:paraId="4F277193">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型号或规格</w:t>
                  </w:r>
                </w:p>
              </w:tc>
            </w:tr>
            <w:tr w14:paraId="1F4E998F">
              <w:tblPrEx>
                <w:tblCellMar>
                  <w:top w:w="0" w:type="dxa"/>
                  <w:left w:w="108" w:type="dxa"/>
                  <w:bottom w:w="0" w:type="dxa"/>
                  <w:right w:w="108" w:type="dxa"/>
                </w:tblCellMar>
              </w:tblPrEx>
              <w:trPr>
                <w:trHeight w:val="351"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3AD6CC4E">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c>
                <w:tcPr>
                  <w:tcW w:w="1949" w:type="pct"/>
                  <w:tcBorders>
                    <w:top w:val="single" w:color="000000" w:sz="4" w:space="0"/>
                    <w:left w:val="nil"/>
                    <w:bottom w:val="single" w:color="000000" w:sz="4" w:space="0"/>
                    <w:right w:val="single" w:color="000000" w:sz="4" w:space="0"/>
                  </w:tcBorders>
                  <w:vAlign w:val="center"/>
                </w:tcPr>
                <w:p w14:paraId="5D68938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棒条振动给料机</w:t>
                  </w:r>
                </w:p>
              </w:tc>
              <w:tc>
                <w:tcPr>
                  <w:tcW w:w="610" w:type="pct"/>
                  <w:tcBorders>
                    <w:top w:val="nil"/>
                    <w:left w:val="nil"/>
                    <w:bottom w:val="single" w:color="000000" w:sz="4" w:space="0"/>
                    <w:right w:val="single" w:color="auto" w:sz="4" w:space="0"/>
                  </w:tcBorders>
                  <w:vAlign w:val="center"/>
                </w:tcPr>
                <w:p w14:paraId="0FF01E3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09C4406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48E89FF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ZWX1260</w:t>
                  </w:r>
                </w:p>
              </w:tc>
            </w:tr>
            <w:tr w14:paraId="371297D7">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2565C4F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1949" w:type="pct"/>
                  <w:tcBorders>
                    <w:top w:val="single" w:color="000000" w:sz="4" w:space="0"/>
                    <w:left w:val="nil"/>
                    <w:bottom w:val="single" w:color="000000" w:sz="4" w:space="0"/>
                    <w:right w:val="single" w:color="000000" w:sz="4" w:space="0"/>
                  </w:tcBorders>
                  <w:vAlign w:val="center"/>
                </w:tcPr>
                <w:p w14:paraId="4C41EC2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颚式破碎机</w:t>
                  </w:r>
                </w:p>
              </w:tc>
              <w:tc>
                <w:tcPr>
                  <w:tcW w:w="610" w:type="pct"/>
                  <w:tcBorders>
                    <w:top w:val="nil"/>
                    <w:left w:val="nil"/>
                    <w:bottom w:val="single" w:color="000000" w:sz="4" w:space="0"/>
                    <w:right w:val="single" w:color="auto" w:sz="4" w:space="0"/>
                  </w:tcBorders>
                  <w:vAlign w:val="center"/>
                </w:tcPr>
                <w:p w14:paraId="180E803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7F5ABB1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56C74E4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PE900x1200</w:t>
                  </w:r>
                </w:p>
              </w:tc>
            </w:tr>
            <w:tr w14:paraId="391857CF">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5F57E6B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1949" w:type="pct"/>
                  <w:tcBorders>
                    <w:top w:val="single" w:color="000000" w:sz="4" w:space="0"/>
                    <w:left w:val="nil"/>
                    <w:bottom w:val="single" w:color="000000" w:sz="4" w:space="0"/>
                    <w:right w:val="single" w:color="000000" w:sz="4" w:space="0"/>
                  </w:tcBorders>
                  <w:vAlign w:val="center"/>
                </w:tcPr>
                <w:p w14:paraId="4A3B3C5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圆锥破碎机</w:t>
                  </w:r>
                </w:p>
              </w:tc>
              <w:tc>
                <w:tcPr>
                  <w:tcW w:w="610" w:type="pct"/>
                  <w:tcBorders>
                    <w:top w:val="nil"/>
                    <w:left w:val="nil"/>
                    <w:bottom w:val="single" w:color="000000" w:sz="4" w:space="0"/>
                    <w:right w:val="single" w:color="auto" w:sz="4" w:space="0"/>
                  </w:tcBorders>
                  <w:vAlign w:val="center"/>
                </w:tcPr>
                <w:p w14:paraId="5D85EBF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75B9EB7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788C4AA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PYB1650</w:t>
                  </w:r>
                </w:p>
              </w:tc>
            </w:tr>
            <w:tr w14:paraId="2E63AE4F">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75ED7F2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1949" w:type="pct"/>
                  <w:tcBorders>
                    <w:top w:val="single" w:color="000000" w:sz="4" w:space="0"/>
                    <w:left w:val="nil"/>
                    <w:bottom w:val="single" w:color="000000" w:sz="4" w:space="0"/>
                    <w:right w:val="single" w:color="000000" w:sz="4" w:space="0"/>
                  </w:tcBorders>
                  <w:vAlign w:val="center"/>
                </w:tcPr>
                <w:p w14:paraId="33331A8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圆锥破碎机</w:t>
                  </w:r>
                </w:p>
              </w:tc>
              <w:tc>
                <w:tcPr>
                  <w:tcW w:w="610" w:type="pct"/>
                  <w:tcBorders>
                    <w:top w:val="nil"/>
                    <w:left w:val="nil"/>
                    <w:bottom w:val="single" w:color="000000" w:sz="4" w:space="0"/>
                    <w:right w:val="single" w:color="auto" w:sz="4" w:space="0"/>
                  </w:tcBorders>
                  <w:vAlign w:val="center"/>
                </w:tcPr>
                <w:p w14:paraId="4A8CE17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19B17B5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48D4FFB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HC240</w:t>
                  </w:r>
                </w:p>
              </w:tc>
            </w:tr>
            <w:tr w14:paraId="0B083137">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4122CC7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1949" w:type="pct"/>
                  <w:tcBorders>
                    <w:top w:val="single" w:color="000000" w:sz="4" w:space="0"/>
                    <w:left w:val="nil"/>
                    <w:bottom w:val="single" w:color="000000" w:sz="4" w:space="0"/>
                    <w:right w:val="single" w:color="000000" w:sz="4" w:space="0"/>
                  </w:tcBorders>
                  <w:vAlign w:val="center"/>
                </w:tcPr>
                <w:p w14:paraId="6F0ABAC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立轴破碎机</w:t>
                  </w:r>
                </w:p>
              </w:tc>
              <w:tc>
                <w:tcPr>
                  <w:tcW w:w="610" w:type="pct"/>
                  <w:tcBorders>
                    <w:top w:val="nil"/>
                    <w:left w:val="nil"/>
                    <w:bottom w:val="single" w:color="000000" w:sz="4" w:space="0"/>
                    <w:right w:val="single" w:color="auto" w:sz="4" w:space="0"/>
                  </w:tcBorders>
                  <w:vAlign w:val="center"/>
                </w:tcPr>
                <w:p w14:paraId="09AD7F4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5FF885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5C3226D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VSI-1263</w:t>
                  </w:r>
                </w:p>
              </w:tc>
            </w:tr>
            <w:tr w14:paraId="75591ED5">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5454C62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1949" w:type="pct"/>
                  <w:tcBorders>
                    <w:top w:val="single" w:color="000000" w:sz="4" w:space="0"/>
                    <w:left w:val="nil"/>
                    <w:bottom w:val="single" w:color="000000" w:sz="4" w:space="0"/>
                    <w:right w:val="single" w:color="auto" w:sz="4" w:space="0"/>
                  </w:tcBorders>
                  <w:vAlign w:val="center"/>
                </w:tcPr>
                <w:p w14:paraId="534372D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立轴制砂机</w:t>
                  </w:r>
                </w:p>
              </w:tc>
              <w:tc>
                <w:tcPr>
                  <w:tcW w:w="610" w:type="pct"/>
                  <w:tcBorders>
                    <w:top w:val="single" w:color="auto" w:sz="4" w:space="0"/>
                    <w:left w:val="single" w:color="auto" w:sz="4" w:space="0"/>
                    <w:bottom w:val="single" w:color="auto" w:sz="4" w:space="0"/>
                    <w:right w:val="single" w:color="auto" w:sz="4" w:space="0"/>
                  </w:tcBorders>
                  <w:vAlign w:val="center"/>
                </w:tcPr>
                <w:p w14:paraId="5D9A127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7AC3A0C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3DFB863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VTS-1145</w:t>
                  </w:r>
                </w:p>
              </w:tc>
            </w:tr>
            <w:tr w14:paraId="0B731A15">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7700C15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1949" w:type="pct"/>
                  <w:tcBorders>
                    <w:top w:val="single" w:color="000000" w:sz="4" w:space="0"/>
                    <w:left w:val="nil"/>
                    <w:bottom w:val="single" w:color="000000" w:sz="4" w:space="0"/>
                    <w:right w:val="single" w:color="auto" w:sz="4" w:space="0"/>
                  </w:tcBorders>
                  <w:vAlign w:val="center"/>
                </w:tcPr>
                <w:p w14:paraId="73054F0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圆振动筛</w:t>
                  </w:r>
                </w:p>
              </w:tc>
              <w:tc>
                <w:tcPr>
                  <w:tcW w:w="610" w:type="pct"/>
                  <w:tcBorders>
                    <w:top w:val="single" w:color="auto" w:sz="4" w:space="0"/>
                    <w:left w:val="single" w:color="auto" w:sz="4" w:space="0"/>
                    <w:bottom w:val="single" w:color="auto" w:sz="4" w:space="0"/>
                    <w:right w:val="single" w:color="auto" w:sz="4" w:space="0"/>
                  </w:tcBorders>
                  <w:vAlign w:val="center"/>
                </w:tcPr>
                <w:p w14:paraId="2DB519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11" w:type="pct"/>
                  <w:tcBorders>
                    <w:top w:val="single" w:color="auto" w:sz="4" w:space="0"/>
                    <w:left w:val="single" w:color="auto" w:sz="4" w:space="0"/>
                    <w:bottom w:val="single" w:color="auto" w:sz="4" w:space="0"/>
                    <w:right w:val="single" w:color="auto" w:sz="4" w:space="0"/>
                  </w:tcBorders>
                  <w:vAlign w:val="center"/>
                </w:tcPr>
                <w:p w14:paraId="179C733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67FDB76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2YKJ2570</w:t>
                  </w:r>
                </w:p>
              </w:tc>
            </w:tr>
            <w:tr w14:paraId="1F771354">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59BC5BA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1949" w:type="pct"/>
                  <w:tcBorders>
                    <w:top w:val="single" w:color="000000" w:sz="4" w:space="0"/>
                    <w:left w:val="nil"/>
                    <w:bottom w:val="single" w:color="000000" w:sz="4" w:space="0"/>
                    <w:right w:val="single" w:color="auto" w:sz="4" w:space="0"/>
                  </w:tcBorders>
                  <w:vAlign w:val="center"/>
                </w:tcPr>
                <w:p w14:paraId="2A155FE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圆振动筛</w:t>
                  </w:r>
                </w:p>
              </w:tc>
              <w:tc>
                <w:tcPr>
                  <w:tcW w:w="610" w:type="pct"/>
                  <w:tcBorders>
                    <w:top w:val="single" w:color="auto" w:sz="4" w:space="0"/>
                    <w:left w:val="single" w:color="auto" w:sz="4" w:space="0"/>
                    <w:bottom w:val="single" w:color="auto" w:sz="4" w:space="0"/>
                    <w:right w:val="single" w:color="auto" w:sz="4" w:space="0"/>
                  </w:tcBorders>
                  <w:vAlign w:val="center"/>
                </w:tcPr>
                <w:p w14:paraId="110CDDE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11" w:type="pct"/>
                  <w:tcBorders>
                    <w:top w:val="single" w:color="auto" w:sz="4" w:space="0"/>
                    <w:left w:val="single" w:color="auto" w:sz="4" w:space="0"/>
                    <w:bottom w:val="single" w:color="auto" w:sz="4" w:space="0"/>
                    <w:right w:val="single" w:color="auto" w:sz="4" w:space="0"/>
                  </w:tcBorders>
                  <w:vAlign w:val="center"/>
                </w:tcPr>
                <w:p w14:paraId="35AA07F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56FF694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4YKJ2670</w:t>
                  </w:r>
                </w:p>
              </w:tc>
            </w:tr>
            <w:tr w14:paraId="529F725E">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362D300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1949" w:type="pct"/>
                  <w:tcBorders>
                    <w:top w:val="single" w:color="000000" w:sz="4" w:space="0"/>
                    <w:left w:val="nil"/>
                    <w:bottom w:val="single" w:color="000000" w:sz="4" w:space="0"/>
                    <w:right w:val="single" w:color="auto" w:sz="4" w:space="0"/>
                  </w:tcBorders>
                  <w:vAlign w:val="center"/>
                </w:tcPr>
                <w:p w14:paraId="7E97F39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螺旋洗砂机</w:t>
                  </w:r>
                </w:p>
              </w:tc>
              <w:tc>
                <w:tcPr>
                  <w:tcW w:w="610" w:type="pct"/>
                  <w:tcBorders>
                    <w:top w:val="single" w:color="auto" w:sz="4" w:space="0"/>
                    <w:left w:val="single" w:color="auto" w:sz="4" w:space="0"/>
                    <w:bottom w:val="single" w:color="auto" w:sz="4" w:space="0"/>
                    <w:right w:val="single" w:color="auto" w:sz="4" w:space="0"/>
                  </w:tcBorders>
                  <w:vAlign w:val="center"/>
                </w:tcPr>
                <w:p w14:paraId="266A29B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11" w:type="pct"/>
                  <w:tcBorders>
                    <w:top w:val="single" w:color="auto" w:sz="4" w:space="0"/>
                    <w:left w:val="single" w:color="auto" w:sz="4" w:space="0"/>
                    <w:bottom w:val="single" w:color="auto" w:sz="4" w:space="0"/>
                    <w:right w:val="single" w:color="auto" w:sz="4" w:space="0"/>
                  </w:tcBorders>
                  <w:vAlign w:val="center"/>
                </w:tcPr>
                <w:p w14:paraId="51CF8DE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2284904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LX1580</w:t>
                  </w:r>
                </w:p>
              </w:tc>
            </w:tr>
            <w:tr w14:paraId="68F180EF">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49F36F0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1949" w:type="pct"/>
                  <w:tcBorders>
                    <w:top w:val="single" w:color="000000" w:sz="4" w:space="0"/>
                    <w:left w:val="nil"/>
                    <w:bottom w:val="single" w:color="000000" w:sz="4" w:space="0"/>
                    <w:right w:val="single" w:color="auto" w:sz="4" w:space="0"/>
                  </w:tcBorders>
                  <w:vAlign w:val="center"/>
                </w:tcPr>
                <w:p w14:paraId="1AF7CC3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洗砂细砂回收一体机</w:t>
                  </w:r>
                </w:p>
              </w:tc>
              <w:tc>
                <w:tcPr>
                  <w:tcW w:w="610" w:type="pct"/>
                  <w:tcBorders>
                    <w:top w:val="single" w:color="auto" w:sz="4" w:space="0"/>
                    <w:left w:val="single" w:color="auto" w:sz="4" w:space="0"/>
                    <w:bottom w:val="single" w:color="auto" w:sz="4" w:space="0"/>
                    <w:right w:val="single" w:color="auto" w:sz="4" w:space="0"/>
                  </w:tcBorders>
                  <w:vAlign w:val="center"/>
                </w:tcPr>
                <w:p w14:paraId="2F6338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11" w:type="pct"/>
                  <w:tcBorders>
                    <w:top w:val="single" w:color="auto" w:sz="4" w:space="0"/>
                    <w:left w:val="single" w:color="auto" w:sz="4" w:space="0"/>
                    <w:bottom w:val="single" w:color="auto" w:sz="4" w:space="0"/>
                    <w:right w:val="single" w:color="auto" w:sz="4" w:space="0"/>
                  </w:tcBorders>
                  <w:vAlign w:val="center"/>
                </w:tcPr>
                <w:p w14:paraId="0C86AE8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25E1F7F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XFS2455</w:t>
                  </w:r>
                </w:p>
              </w:tc>
            </w:tr>
            <w:tr w14:paraId="58D62DF0">
              <w:tblPrEx>
                <w:tblCellMar>
                  <w:top w:w="0" w:type="dxa"/>
                  <w:left w:w="108" w:type="dxa"/>
                  <w:bottom w:w="0" w:type="dxa"/>
                  <w:right w:w="108" w:type="dxa"/>
                </w:tblCellMar>
              </w:tblPrEx>
              <w:trPr>
                <w:trHeight w:val="408" w:hRule="atLeast"/>
              </w:trPr>
              <w:tc>
                <w:tcPr>
                  <w:tcW w:w="610" w:type="pct"/>
                  <w:tcBorders>
                    <w:top w:val="single" w:color="000000" w:sz="4" w:space="0"/>
                    <w:left w:val="single" w:color="000000" w:sz="4" w:space="0"/>
                    <w:bottom w:val="single" w:color="000000" w:sz="4" w:space="0"/>
                    <w:right w:val="single" w:color="000000" w:sz="4" w:space="0"/>
                  </w:tcBorders>
                  <w:noWrap/>
                  <w:vAlign w:val="center"/>
                </w:tcPr>
                <w:p w14:paraId="13EC4D5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1949" w:type="pct"/>
                  <w:tcBorders>
                    <w:top w:val="single" w:color="000000" w:sz="4" w:space="0"/>
                    <w:left w:val="nil"/>
                    <w:bottom w:val="single" w:color="000000" w:sz="4" w:space="0"/>
                    <w:right w:val="single" w:color="auto" w:sz="4" w:space="0"/>
                  </w:tcBorders>
                  <w:vAlign w:val="center"/>
                </w:tcPr>
                <w:p w14:paraId="6B60718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液压厢式压滤机</w:t>
                  </w:r>
                </w:p>
              </w:tc>
              <w:tc>
                <w:tcPr>
                  <w:tcW w:w="610" w:type="pct"/>
                  <w:tcBorders>
                    <w:top w:val="single" w:color="auto" w:sz="4" w:space="0"/>
                    <w:left w:val="single" w:color="auto" w:sz="4" w:space="0"/>
                    <w:bottom w:val="single" w:color="auto" w:sz="4" w:space="0"/>
                    <w:right w:val="single" w:color="auto" w:sz="4" w:space="0"/>
                  </w:tcBorders>
                  <w:vAlign w:val="center"/>
                </w:tcPr>
                <w:p w14:paraId="6DF111B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11" w:type="pct"/>
                  <w:tcBorders>
                    <w:top w:val="single" w:color="auto" w:sz="4" w:space="0"/>
                    <w:left w:val="single" w:color="auto" w:sz="4" w:space="0"/>
                    <w:bottom w:val="single" w:color="auto" w:sz="4" w:space="0"/>
                    <w:right w:val="single" w:color="auto" w:sz="4" w:space="0"/>
                  </w:tcBorders>
                  <w:vAlign w:val="center"/>
                </w:tcPr>
                <w:p w14:paraId="5441EEC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台</w:t>
                  </w:r>
                </w:p>
              </w:tc>
              <w:tc>
                <w:tcPr>
                  <w:tcW w:w="1218" w:type="pct"/>
                  <w:tcBorders>
                    <w:top w:val="single" w:color="auto" w:sz="4" w:space="0"/>
                    <w:left w:val="single" w:color="auto" w:sz="4" w:space="0"/>
                    <w:bottom w:val="single" w:color="auto" w:sz="4" w:space="0"/>
                    <w:right w:val="single" w:color="auto" w:sz="4" w:space="0"/>
                  </w:tcBorders>
                  <w:vAlign w:val="center"/>
                </w:tcPr>
                <w:p w14:paraId="00730D6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r>
          </w:tbl>
          <w:p w14:paraId="2BAD4441">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七、劳动定员与生产制度</w:t>
            </w:r>
          </w:p>
          <w:p w14:paraId="31203E6A">
            <w:pPr>
              <w:widowControl/>
              <w:adjustRightInd w:val="0"/>
              <w:snapToGrid w:val="0"/>
              <w:spacing w:line="360" w:lineRule="auto"/>
              <w:ind w:firstLine="420" w:firstLineChars="20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项目劳动定员</w:t>
            </w:r>
            <w:r>
              <w:rPr>
                <w:rFonts w:hint="eastAsia"/>
                <w:bCs/>
                <w:color w:val="000000" w:themeColor="text1"/>
                <w:szCs w:val="21"/>
                <w14:textFill>
                  <w14:solidFill>
                    <w14:schemeClr w14:val="tx1"/>
                  </w14:solidFill>
                </w14:textFill>
              </w:rPr>
              <w:t>35</w:t>
            </w:r>
            <w:r>
              <w:rPr>
                <w:bCs/>
                <w:color w:val="000000" w:themeColor="text1"/>
                <w:szCs w:val="21"/>
                <w14:textFill>
                  <w14:solidFill>
                    <w14:schemeClr w14:val="tx1"/>
                  </w14:solidFill>
                </w14:textFill>
              </w:rPr>
              <w:t>人，</w:t>
            </w:r>
            <w:r>
              <w:rPr>
                <w:rFonts w:hint="eastAsia"/>
                <w:bCs/>
                <w:color w:val="000000" w:themeColor="text1"/>
                <w:szCs w:val="21"/>
                <w14:textFill>
                  <w14:solidFill>
                    <w14:schemeClr w14:val="tx1"/>
                  </w14:solidFill>
                </w14:textFill>
              </w:rPr>
              <w:t>均在厂内食宿，厂内设有食堂及宿舍，</w:t>
            </w:r>
            <w:r>
              <w:rPr>
                <w:bCs/>
                <w:color w:val="000000" w:themeColor="text1"/>
                <w:szCs w:val="21"/>
                <w14:textFill>
                  <w14:solidFill>
                    <w14:schemeClr w14:val="tx1"/>
                  </w14:solidFill>
                </w14:textFill>
              </w:rPr>
              <w:t>每天</w:t>
            </w:r>
            <w:r>
              <w:rPr>
                <w:rFonts w:hint="eastAsia"/>
                <w:bCs/>
                <w:color w:val="000000" w:themeColor="text1"/>
                <w:szCs w:val="21"/>
                <w14:textFill>
                  <w14:solidFill>
                    <w14:schemeClr w14:val="tx1"/>
                  </w14:solidFill>
                </w14:textFill>
              </w:rPr>
              <w:t>8</w:t>
            </w:r>
            <w:r>
              <w:rPr>
                <w:bCs/>
                <w:color w:val="000000" w:themeColor="text1"/>
                <w:szCs w:val="21"/>
                <w14:textFill>
                  <w14:solidFill>
                    <w14:schemeClr w14:val="tx1"/>
                  </w14:solidFill>
                </w14:textFill>
              </w:rPr>
              <w:t>小时工作制，年工作</w:t>
            </w:r>
            <w:r>
              <w:rPr>
                <w:rFonts w:hint="eastAsia"/>
                <w:bCs/>
                <w:color w:val="000000" w:themeColor="text1"/>
                <w:szCs w:val="21"/>
                <w14:textFill>
                  <w14:solidFill>
                    <w14:schemeClr w14:val="tx1"/>
                  </w14:solidFill>
                </w14:textFill>
              </w:rPr>
              <w:t>276</w:t>
            </w:r>
            <w:r>
              <w:rPr>
                <w:bCs/>
                <w:color w:val="000000" w:themeColor="text1"/>
                <w:szCs w:val="21"/>
                <w14:textFill>
                  <w14:solidFill>
                    <w14:schemeClr w14:val="tx1"/>
                  </w14:solidFill>
                </w14:textFill>
              </w:rPr>
              <w:t>日。</w:t>
            </w:r>
          </w:p>
          <w:p w14:paraId="3D074951">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八、公用、辅助工程</w:t>
            </w:r>
          </w:p>
          <w:p w14:paraId="5B9475FA">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1、供电</w:t>
            </w:r>
          </w:p>
          <w:p w14:paraId="697ED195">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本项目主要供应设备用电、照明及办公生活用电。项目用电由市政供电，供电量可以满足生产及办公生活用电。</w:t>
            </w:r>
          </w:p>
          <w:p w14:paraId="413B3232">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2、给水</w:t>
            </w:r>
          </w:p>
          <w:p w14:paraId="170185AD">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项目用水主要为</w:t>
            </w:r>
            <w:r>
              <w:rPr>
                <w:rFonts w:hint="eastAsia"/>
                <w:color w:val="000000" w:themeColor="text1"/>
                <w14:textFill>
                  <w14:solidFill>
                    <w14:schemeClr w14:val="tx1"/>
                  </w14:solidFill>
                </w14:textFill>
              </w:rPr>
              <w:t>员工</w:t>
            </w:r>
            <w:r>
              <w:rPr>
                <w:color w:val="000000" w:themeColor="text1"/>
                <w14:textFill>
                  <w14:solidFill>
                    <w14:schemeClr w14:val="tx1"/>
                  </w14:solidFill>
                </w14:textFill>
              </w:rPr>
              <w:t>生活用水</w:t>
            </w:r>
            <w:r>
              <w:rPr>
                <w:rFonts w:hint="eastAsia"/>
                <w:color w:val="000000" w:themeColor="text1"/>
                <w14:textFill>
                  <w14:solidFill>
                    <w14:schemeClr w14:val="tx1"/>
                  </w14:solidFill>
                </w14:textFill>
              </w:rPr>
              <w:t>、车辆冲洗用水、洒水喷淋用水、生产系统用水（洒水喷淋、洗砂工序）。</w:t>
            </w:r>
            <w:r>
              <w:rPr>
                <w:color w:val="000000" w:themeColor="text1"/>
                <w14:textFill>
                  <w14:solidFill>
                    <w14:schemeClr w14:val="tx1"/>
                  </w14:solidFill>
                </w14:textFill>
              </w:rPr>
              <w:t>供水为当地市政管网供给，可满足项目的生产以及生活使用。</w:t>
            </w:r>
          </w:p>
          <w:p w14:paraId="30720BB3">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3、排水</w:t>
            </w:r>
          </w:p>
          <w:p w14:paraId="2237A14E">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生活污水进入三级化粪池/三级隔油池+一体化A/O生化装置处理后回用于周边林地灌溉；车辆冲洗废水经洗车平台沉淀池处理后回用于车辆冲洗，不外排；生产系统废水经污水池收集至浓密罐处理后回用于生产系统用水；初期雨水经雨水池收集处理后，回用于生产系统用水。</w:t>
            </w:r>
          </w:p>
          <w:p w14:paraId="4B33E78E">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本项目水平衡见图2-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w:t>
            </w:r>
          </w:p>
          <w:p w14:paraId="21471199">
            <w:pPr>
              <w:widowControl/>
              <w:spacing w:before="120" w:beforeLines="50" w:line="360" w:lineRule="auto"/>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drawing>
                <wp:inline distT="0" distB="0" distL="114300" distR="114300">
                  <wp:extent cx="5289550" cy="5786120"/>
                  <wp:effectExtent l="0" t="0" r="6350" b="5080"/>
                  <wp:docPr id="10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7"/>
                          <pic:cNvPicPr>
                            <a:picLocks noChangeAspect="1"/>
                          </pic:cNvPicPr>
                        </pic:nvPicPr>
                        <pic:blipFill>
                          <a:blip r:embed="rId21"/>
                          <a:stretch>
                            <a:fillRect/>
                          </a:stretch>
                        </pic:blipFill>
                        <pic:spPr>
                          <a:xfrm>
                            <a:off x="0" y="0"/>
                            <a:ext cx="5289550" cy="5786120"/>
                          </a:xfrm>
                          <a:prstGeom prst="rect">
                            <a:avLst/>
                          </a:prstGeom>
                          <a:noFill/>
                          <a:ln>
                            <a:noFill/>
                          </a:ln>
                        </pic:spPr>
                      </pic:pic>
                    </a:graphicData>
                  </a:graphic>
                </wp:inline>
              </w:drawing>
            </w:r>
          </w:p>
          <w:p w14:paraId="3E7ADA59">
            <w:pPr>
              <w:pStyle w:val="45"/>
              <w:rPr>
                <w:color w:val="000000" w:themeColor="text1"/>
                <w14:textFill>
                  <w14:solidFill>
                    <w14:schemeClr w14:val="tx1"/>
                  </w14:solidFill>
                </w14:textFill>
              </w:rPr>
            </w:pPr>
            <w:r>
              <w:rPr>
                <w:color w:val="000000" w:themeColor="text1"/>
                <w14:textFill>
                  <w14:solidFill>
                    <w14:schemeClr w14:val="tx1"/>
                  </w14:solidFill>
                </w14:textFill>
              </w:rPr>
              <w:t>图2-1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本项目水平衡图 单位：m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a</w:t>
            </w:r>
          </w:p>
        </w:tc>
      </w:tr>
      <w:tr w14:paraId="30952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955" w:hRule="atLeast"/>
          <w:jc w:val="center"/>
        </w:trPr>
        <w:tc>
          <w:tcPr>
            <w:tcW w:w="806" w:type="dxa"/>
            <w:vAlign w:val="center"/>
          </w:tcPr>
          <w:p w14:paraId="3BAE3F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工艺流程和产排污环节</w:t>
            </w:r>
          </w:p>
        </w:tc>
        <w:tc>
          <w:tcPr>
            <w:tcW w:w="8254" w:type="dxa"/>
          </w:tcPr>
          <w:p w14:paraId="26CF5B26">
            <w:pPr>
              <w:widowControl/>
              <w:spacing w:line="360" w:lineRule="auto"/>
              <w:ind w:firstLine="422" w:firstLineChars="20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1、施工期工程流程</w:t>
            </w:r>
          </w:p>
          <w:p w14:paraId="7BE88A75">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建设项目施工期主要包括基础工程、主体工程、设备安装等，产生的主要污染物为施工产生的扬尘、施工废水、生活废水、施工设备产生的噪声、物料运输产生的交通噪声、建筑垃圾、生活垃圾等。施工期施工工艺流程及产污环节见图2-2。</w:t>
            </w:r>
          </w:p>
          <w:p w14:paraId="2314998D">
            <w:pPr>
              <w:pStyle w:val="52"/>
              <w:ind w:firstLine="0" w:firstLineChars="0"/>
              <w:jc w:val="center"/>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drawing>
                <wp:inline distT="0" distB="0" distL="114300" distR="114300">
                  <wp:extent cx="5431790" cy="1422400"/>
                  <wp:effectExtent l="0" t="0" r="16510" b="635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22"/>
                          <a:stretch>
                            <a:fillRect/>
                          </a:stretch>
                        </pic:blipFill>
                        <pic:spPr>
                          <a:xfrm>
                            <a:off x="0" y="0"/>
                            <a:ext cx="5431790" cy="1422400"/>
                          </a:xfrm>
                          <a:prstGeom prst="rect">
                            <a:avLst/>
                          </a:prstGeom>
                          <a:noFill/>
                          <a:ln>
                            <a:noFill/>
                          </a:ln>
                        </pic:spPr>
                      </pic:pic>
                    </a:graphicData>
                  </a:graphic>
                </wp:inline>
              </w:drawing>
            </w:r>
          </w:p>
          <w:p w14:paraId="68537130">
            <w:pPr>
              <w:pStyle w:val="45"/>
              <w:rPr>
                <w:color w:val="000000" w:themeColor="text1"/>
                <w14:textFill>
                  <w14:solidFill>
                    <w14:schemeClr w14:val="tx1"/>
                  </w14:solidFill>
                </w14:textFill>
              </w:rPr>
            </w:pPr>
            <w:r>
              <w:rPr>
                <w:color w:val="000000" w:themeColor="text1"/>
                <w14:textFill>
                  <w14:solidFill>
                    <w14:schemeClr w14:val="tx1"/>
                  </w14:solidFill>
                </w14:textFill>
              </w:rPr>
              <w:t>图2-</w:t>
            </w:r>
            <w:r>
              <w:rPr>
                <w:rFonts w:hint="eastAsia"/>
                <w:color w:val="000000" w:themeColor="text1"/>
                <w14:textFill>
                  <w14:solidFill>
                    <w14:schemeClr w14:val="tx1"/>
                  </w14:solidFill>
                </w14:textFill>
              </w:rPr>
              <w:t xml:space="preserve">2 </w:t>
            </w:r>
            <w:r>
              <w:rPr>
                <w:color w:val="000000" w:themeColor="text1"/>
                <w14:textFill>
                  <w14:solidFill>
                    <w14:schemeClr w14:val="tx1"/>
                  </w14:solidFill>
                </w14:textFill>
              </w:rPr>
              <w:t>施工期施工工艺流程及产污环节</w:t>
            </w:r>
          </w:p>
          <w:p w14:paraId="642A3CC4">
            <w:pPr>
              <w:widowControl/>
              <w:spacing w:line="360" w:lineRule="auto"/>
              <w:ind w:firstLine="422" w:firstLineChars="200"/>
              <w:jc w:val="left"/>
              <w:rPr>
                <w:b/>
                <w:bCs/>
                <w:color w:val="000000" w:themeColor="text1"/>
                <w:kern w:val="0"/>
                <w:szCs w:val="21"/>
                <w:lang w:bidi="ar"/>
                <w14:textFill>
                  <w14:solidFill>
                    <w14:schemeClr w14:val="tx1"/>
                  </w14:solidFill>
                </w14:textFill>
              </w:rPr>
            </w:pPr>
            <w:r>
              <w:rPr>
                <w:rFonts w:hint="eastAsia"/>
                <w:b/>
                <w:bCs/>
                <w:color w:val="000000" w:themeColor="text1"/>
                <w:szCs w:val="21"/>
                <w14:textFill>
                  <w14:solidFill>
                    <w14:schemeClr w14:val="tx1"/>
                  </w14:solidFill>
                </w14:textFill>
              </w:rPr>
              <w:t>2、运营期</w:t>
            </w:r>
            <w:r>
              <w:rPr>
                <w:b/>
                <w:bCs/>
                <w:color w:val="000000" w:themeColor="text1"/>
                <w:szCs w:val="21"/>
                <w14:textFill>
                  <w14:solidFill>
                    <w14:schemeClr w14:val="tx1"/>
                  </w14:solidFill>
                </w14:textFill>
              </w:rPr>
              <w:t>生产</w:t>
            </w:r>
            <w:r>
              <w:rPr>
                <w:rFonts w:hint="eastAsia"/>
                <w:b/>
                <w:bCs/>
                <w:color w:val="000000" w:themeColor="text1"/>
                <w:szCs w:val="21"/>
                <w14:textFill>
                  <w14:solidFill>
                    <w14:schemeClr w14:val="tx1"/>
                  </w14:solidFill>
                </w14:textFill>
              </w:rPr>
              <w:t>工艺</w:t>
            </w:r>
            <w:r>
              <w:rPr>
                <w:b/>
                <w:bCs/>
                <w:color w:val="000000" w:themeColor="text1"/>
                <w:kern w:val="0"/>
                <w:szCs w:val="21"/>
                <w:lang w:bidi="ar"/>
                <w14:textFill>
                  <w14:solidFill>
                    <w14:schemeClr w14:val="tx1"/>
                  </w14:solidFill>
                </w14:textFill>
              </w:rPr>
              <w:t>流程</w:t>
            </w:r>
          </w:p>
          <w:p w14:paraId="436A0E7C">
            <w:pPr>
              <w:widowControl/>
              <w:spacing w:line="360" w:lineRule="auto"/>
              <w:jc w:val="center"/>
              <w:rPr>
                <w:b/>
                <w:bCs/>
                <w:color w:val="000000" w:themeColor="text1"/>
                <w:kern w:val="0"/>
                <w:szCs w:val="21"/>
                <w:lang w:bidi="ar"/>
                <w14:textFill>
                  <w14:solidFill>
                    <w14:schemeClr w14:val="tx1"/>
                  </w14:solidFill>
                </w14:textFill>
              </w:rPr>
            </w:pPr>
            <w:r>
              <w:rPr>
                <w:b/>
                <w:bCs/>
                <w:color w:val="000000" w:themeColor="text1"/>
                <w:kern w:val="0"/>
                <w:szCs w:val="21"/>
                <w14:textFill>
                  <w14:solidFill>
                    <w14:schemeClr w14:val="tx1"/>
                  </w14:solidFill>
                </w14:textFill>
              </w:rPr>
              <w:drawing>
                <wp:inline distT="0" distB="0" distL="114300" distR="114300">
                  <wp:extent cx="4930140" cy="5056505"/>
                  <wp:effectExtent l="0" t="0" r="3810" b="10795"/>
                  <wp:docPr id="5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5"/>
                          <pic:cNvPicPr>
                            <a:picLocks noChangeAspect="1"/>
                          </pic:cNvPicPr>
                        </pic:nvPicPr>
                        <pic:blipFill>
                          <a:blip r:embed="rId23"/>
                          <a:stretch>
                            <a:fillRect/>
                          </a:stretch>
                        </pic:blipFill>
                        <pic:spPr>
                          <a:xfrm>
                            <a:off x="0" y="0"/>
                            <a:ext cx="4930140" cy="5056505"/>
                          </a:xfrm>
                          <a:prstGeom prst="rect">
                            <a:avLst/>
                          </a:prstGeom>
                          <a:noFill/>
                          <a:ln>
                            <a:noFill/>
                          </a:ln>
                        </pic:spPr>
                      </pic:pic>
                    </a:graphicData>
                  </a:graphic>
                </wp:inline>
              </w:drawing>
            </w:r>
          </w:p>
          <w:p w14:paraId="56BA785F">
            <w:pPr>
              <w:keepNext/>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图2-3 工艺流程图及产排污环节</w:t>
            </w:r>
          </w:p>
          <w:p w14:paraId="46D0665D">
            <w:pPr>
              <w:pStyle w:val="52"/>
              <w:ind w:firstLine="422"/>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工艺流程简述：</w:t>
            </w:r>
          </w:p>
          <w:p w14:paraId="43F3DA2C">
            <w:pPr>
              <w:spacing w:line="360" w:lineRule="auto"/>
              <w:ind w:firstLine="420" w:firstLineChars="200"/>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1）给料：通过皮带给料机将原料从仓库的花岗岩矿石均匀地向生产线输送原料。给料后花岗岩矿石进入初级筛分工序；</w:t>
            </w:r>
          </w:p>
          <w:p w14:paraId="7D05A265">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（2）初级筛分：花岗岩原矿经给料机均匀给料后，送入振动筛进行筛分处理，分离出原矿中携带的弃土，剩余的花岗岩矿石进入后续破碎工序，筛下的弃土收集后外运处置；</w:t>
            </w:r>
          </w:p>
          <w:p w14:paraId="5C3409C8">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（3）一级破碎：通过颚式破碎机进行粗碎，一级破碎后物料进入二级破碎；</w:t>
            </w:r>
          </w:p>
          <w:p w14:paraId="536818B1">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（4）二级破碎：使用圆锥破碎机对物料进行二级破碎，二级破碎后物料进入一级筛分工序；</w:t>
            </w:r>
          </w:p>
          <w:p w14:paraId="5B8832BD">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（5）一级筛分：使用振动筛对物料进行一级筛分，粒径小于等于53mm的进入下一步制砂工序，粒径大于53mm的重新回到二级破碎工序进行破碎，粒径小于0.5mm的直接进入洗砂工序；</w:t>
            </w:r>
          </w:p>
          <w:p w14:paraId="130F60D8">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制砂：利用制砂机对一级筛分后的物料进行破碎，通过冲击破碎与粒型整形双重作用，通过高速旋转的叶轮将物料加速抛射，使物料在机内形成的撞击、研磨效果，一方面将块状物料破碎至目标粒径，另一方面对破碎后物料的棱角进行打磨，优化成品粒型与级配。</w:t>
            </w:r>
          </w:p>
          <w:p w14:paraId="5002EC53">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二级筛分：使用振动筛对制砂机出来的物料进行筛分，将物料筛分出四种不同粒径的产品，分别为三种不同粒径（20-31.5mm、10-20mm、5-10mm）的碎石及粒径为0.25~0.5mm的机制砂，碎石产品进入产品堆场，机制砂进入下一步洗砂、细砂回收工序；</w:t>
            </w:r>
          </w:p>
          <w:p w14:paraId="1B310C4A">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（8）洗砂：采用螺旋洗砂机清洗符合粒径的机制砂，通过螺旋搅动去除砂粒表面粉尘杂质，同步完成初步脱水，洗砂废水排入细砂回收工序；</w:t>
            </w:r>
          </w:p>
          <w:p w14:paraId="43B12815">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（9）细砂回收：洗砂废水经细砂回收机旋流器分离细砂，再通过配套脱水筛深度脱水得到成品细砂，尾水排入污水池进入浓密罐处理后回用。</w:t>
            </w:r>
          </w:p>
          <w:p w14:paraId="7E5B861E">
            <w:pPr>
              <w:spacing w:line="360" w:lineRule="auto"/>
              <w:ind w:firstLine="482"/>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2、产污节点</w:t>
            </w:r>
          </w:p>
          <w:p w14:paraId="18351A99">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本项目运行期主要产污节点、污染物汇总详见下表。</w:t>
            </w:r>
          </w:p>
          <w:p w14:paraId="484A100F">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表2-9 项目运营期产污节点一览表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7"/>
              <w:gridCol w:w="3299"/>
              <w:gridCol w:w="3741"/>
            </w:tblGrid>
            <w:tr w14:paraId="3AB7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shd w:val="clear" w:color="auto" w:fill="D9D9D9"/>
                  <w:vAlign w:val="center"/>
                </w:tcPr>
                <w:p w14:paraId="5C56FD4B">
                  <w:pPr>
                    <w:pStyle w:val="37"/>
                    <w:widowControl w:val="0"/>
                    <w:spacing w:line="240" w:lineRule="auto"/>
                    <w:ind w:firstLine="0"/>
                    <w:jc w:val="center"/>
                    <w:rPr>
                      <w:rFonts w:ascii="Times New Roman" w:cs="宋体"/>
                      <w:b/>
                      <w:color w:val="000000" w:themeColor="text1"/>
                      <w:sz w:val="18"/>
                      <w:szCs w:val="18"/>
                      <w14:textFill>
                        <w14:solidFill>
                          <w14:schemeClr w14:val="tx1"/>
                        </w14:solidFill>
                      </w14:textFill>
                    </w:rPr>
                  </w:pPr>
                  <w:r>
                    <w:rPr>
                      <w:rFonts w:hint="eastAsia" w:ascii="Times New Roman" w:cs="宋体"/>
                      <w:b/>
                      <w:color w:val="000000" w:themeColor="text1"/>
                      <w:sz w:val="18"/>
                      <w:szCs w:val="18"/>
                      <w14:textFill>
                        <w14:solidFill>
                          <w14:schemeClr w14:val="tx1"/>
                        </w14:solidFill>
                      </w14:textFill>
                    </w:rPr>
                    <w:t>分类</w:t>
                  </w:r>
                </w:p>
              </w:tc>
              <w:tc>
                <w:tcPr>
                  <w:tcW w:w="1925" w:type="pct"/>
                  <w:shd w:val="clear" w:color="auto" w:fill="D9D9D9"/>
                  <w:vAlign w:val="center"/>
                </w:tcPr>
                <w:p w14:paraId="10400B07">
                  <w:pPr>
                    <w:pStyle w:val="37"/>
                    <w:widowControl w:val="0"/>
                    <w:spacing w:line="240" w:lineRule="auto"/>
                    <w:ind w:firstLine="0"/>
                    <w:jc w:val="center"/>
                    <w:rPr>
                      <w:rFonts w:ascii="Times New Roman" w:cs="宋体"/>
                      <w:b/>
                      <w:color w:val="000000" w:themeColor="text1"/>
                      <w:sz w:val="18"/>
                      <w:szCs w:val="18"/>
                      <w14:textFill>
                        <w14:solidFill>
                          <w14:schemeClr w14:val="tx1"/>
                        </w14:solidFill>
                      </w14:textFill>
                    </w:rPr>
                  </w:pPr>
                  <w:r>
                    <w:rPr>
                      <w:rFonts w:hint="eastAsia" w:ascii="Times New Roman" w:cs="宋体"/>
                      <w:b/>
                      <w:color w:val="000000" w:themeColor="text1"/>
                      <w:sz w:val="18"/>
                      <w:szCs w:val="18"/>
                      <w14:textFill>
                        <w14:solidFill>
                          <w14:schemeClr w14:val="tx1"/>
                        </w14:solidFill>
                      </w14:textFill>
                    </w:rPr>
                    <w:t>工序/设备</w:t>
                  </w:r>
                </w:p>
              </w:tc>
              <w:tc>
                <w:tcPr>
                  <w:tcW w:w="2182" w:type="pct"/>
                  <w:shd w:val="clear" w:color="auto" w:fill="D9D9D9"/>
                  <w:vAlign w:val="center"/>
                </w:tcPr>
                <w:p w14:paraId="03F3CAC9">
                  <w:pPr>
                    <w:pStyle w:val="37"/>
                    <w:widowControl w:val="0"/>
                    <w:spacing w:line="240" w:lineRule="auto"/>
                    <w:ind w:firstLine="0"/>
                    <w:jc w:val="center"/>
                    <w:rPr>
                      <w:rFonts w:ascii="Times New Roman" w:cs="宋体"/>
                      <w:b/>
                      <w:color w:val="000000" w:themeColor="text1"/>
                      <w:sz w:val="18"/>
                      <w:szCs w:val="18"/>
                      <w14:textFill>
                        <w14:solidFill>
                          <w14:schemeClr w14:val="tx1"/>
                        </w14:solidFill>
                      </w14:textFill>
                    </w:rPr>
                  </w:pPr>
                  <w:r>
                    <w:rPr>
                      <w:rFonts w:hint="eastAsia" w:ascii="Times New Roman" w:cs="宋体"/>
                      <w:b/>
                      <w:color w:val="000000" w:themeColor="text1"/>
                      <w:sz w:val="18"/>
                      <w:szCs w:val="18"/>
                      <w14:textFill>
                        <w14:solidFill>
                          <w14:schemeClr w14:val="tx1"/>
                        </w14:solidFill>
                      </w14:textFill>
                    </w:rPr>
                    <w:t>主要污染物</w:t>
                  </w:r>
                </w:p>
              </w:tc>
            </w:tr>
            <w:tr w14:paraId="0768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restart"/>
                  <w:vAlign w:val="center"/>
                </w:tcPr>
                <w:p w14:paraId="232629A3">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废气</w:t>
                  </w:r>
                </w:p>
              </w:tc>
              <w:tc>
                <w:tcPr>
                  <w:tcW w:w="1925" w:type="pct"/>
                  <w:vAlign w:val="center"/>
                </w:tcPr>
                <w:p w14:paraId="0A180E89">
                  <w:pPr>
                    <w:pStyle w:val="37"/>
                    <w:widowControl w:val="0"/>
                    <w:spacing w:line="240" w:lineRule="auto"/>
                    <w:ind w:firstLine="0"/>
                    <w:jc w:val="center"/>
                    <w:rPr>
                      <w:rFonts w:ascii="Times New Roman" w:cs="宋体"/>
                      <w:bCs/>
                      <w:color w:val="000000" w:themeColor="text1"/>
                      <w:kern w:val="2"/>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车辆运输</w:t>
                  </w:r>
                </w:p>
              </w:tc>
              <w:tc>
                <w:tcPr>
                  <w:tcW w:w="2182" w:type="pct"/>
                  <w:vAlign w:val="center"/>
                </w:tcPr>
                <w:p w14:paraId="57F259B6">
                  <w:pPr>
                    <w:jc w:val="center"/>
                    <w:rPr>
                      <w:rFonts w:cs="宋体"/>
                      <w:bCs/>
                      <w:color w:val="000000" w:themeColor="text1"/>
                      <w:sz w:val="18"/>
                      <w:szCs w:val="18"/>
                      <w14:textFill>
                        <w14:solidFill>
                          <w14:schemeClr w14:val="tx1"/>
                        </w14:solidFill>
                      </w14:textFill>
                    </w:rPr>
                  </w:pPr>
                  <w:r>
                    <w:rPr>
                      <w:rFonts w:hint="eastAsia" w:cs="宋体"/>
                      <w:bCs/>
                      <w:color w:val="000000" w:themeColor="text1"/>
                      <w:sz w:val="18"/>
                      <w:szCs w:val="18"/>
                      <w14:textFill>
                        <w14:solidFill>
                          <w14:schemeClr w14:val="tx1"/>
                        </w14:solidFill>
                      </w14:textFill>
                    </w:rPr>
                    <w:t>颗粒物</w:t>
                  </w:r>
                </w:p>
              </w:tc>
            </w:tr>
            <w:tr w14:paraId="6950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4F2797FC">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3CFE70BE">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装卸</w:t>
                  </w:r>
                </w:p>
              </w:tc>
              <w:tc>
                <w:tcPr>
                  <w:tcW w:w="2182" w:type="pct"/>
                  <w:vAlign w:val="center"/>
                </w:tcPr>
                <w:p w14:paraId="08380CD5">
                  <w:pPr>
                    <w:jc w:val="center"/>
                    <w:rPr>
                      <w:rFonts w:cs="宋体"/>
                      <w:bCs/>
                      <w:color w:val="000000" w:themeColor="text1"/>
                      <w:sz w:val="18"/>
                      <w:szCs w:val="18"/>
                      <w14:textFill>
                        <w14:solidFill>
                          <w14:schemeClr w14:val="tx1"/>
                        </w14:solidFill>
                      </w14:textFill>
                    </w:rPr>
                  </w:pPr>
                  <w:r>
                    <w:rPr>
                      <w:rFonts w:hint="eastAsia" w:cs="宋体"/>
                      <w:bCs/>
                      <w:color w:val="000000" w:themeColor="text1"/>
                      <w:sz w:val="18"/>
                      <w:szCs w:val="18"/>
                      <w14:textFill>
                        <w14:solidFill>
                          <w14:schemeClr w14:val="tx1"/>
                        </w14:solidFill>
                      </w14:textFill>
                    </w:rPr>
                    <w:t>颗粒物</w:t>
                  </w:r>
                </w:p>
              </w:tc>
            </w:tr>
            <w:tr w14:paraId="47A7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6263F8DA">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shd w:val="clear" w:color="auto" w:fill="auto"/>
                  <w:vAlign w:val="center"/>
                </w:tcPr>
                <w:p w14:paraId="304E9CE3">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破碎、筛分</w:t>
                  </w:r>
                </w:p>
              </w:tc>
              <w:tc>
                <w:tcPr>
                  <w:tcW w:w="2182" w:type="pct"/>
                  <w:shd w:val="clear" w:color="auto" w:fill="auto"/>
                  <w:vAlign w:val="center"/>
                </w:tcPr>
                <w:p w14:paraId="52E57433">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颗粒物</w:t>
                  </w:r>
                </w:p>
              </w:tc>
            </w:tr>
            <w:tr w14:paraId="4546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5BA81562">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shd w:val="clear" w:color="auto" w:fill="auto"/>
                  <w:vAlign w:val="center"/>
                </w:tcPr>
                <w:p w14:paraId="737C4D5D">
                  <w:pPr>
                    <w:pStyle w:val="37"/>
                    <w:widowControl w:val="0"/>
                    <w:spacing w:line="240" w:lineRule="auto"/>
                    <w:ind w:firstLine="0"/>
                    <w:jc w:val="center"/>
                    <w:rPr>
                      <w:rFonts w:hint="eastAsia" w:ascii="Times New Roman" w:eastAsia="宋体" w:cs="宋体"/>
                      <w:bCs/>
                      <w:color w:val="000000" w:themeColor="text1"/>
                      <w:sz w:val="18"/>
                      <w:szCs w:val="18"/>
                      <w:lang w:val="en-US" w:eastAsia="zh-CN"/>
                      <w14:textFill>
                        <w14:solidFill>
                          <w14:schemeClr w14:val="tx1"/>
                        </w14:solidFill>
                      </w14:textFill>
                    </w:rPr>
                  </w:pPr>
                  <w:r>
                    <w:rPr>
                      <w:rFonts w:hint="eastAsia" w:ascii="Times New Roman" w:cs="宋体"/>
                      <w:bCs/>
                      <w:color w:val="000000" w:themeColor="text1"/>
                      <w:sz w:val="18"/>
                      <w:szCs w:val="18"/>
                      <w:lang w:val="en-US" w:eastAsia="zh-CN"/>
                      <w14:textFill>
                        <w14:solidFill>
                          <w14:schemeClr w14:val="tx1"/>
                        </w14:solidFill>
                      </w14:textFill>
                    </w:rPr>
                    <w:t>堆场</w:t>
                  </w:r>
                </w:p>
              </w:tc>
              <w:tc>
                <w:tcPr>
                  <w:tcW w:w="2182" w:type="pct"/>
                  <w:shd w:val="clear" w:color="auto" w:fill="auto"/>
                  <w:vAlign w:val="center"/>
                </w:tcPr>
                <w:p w14:paraId="7ED7A310">
                  <w:pPr>
                    <w:pStyle w:val="37"/>
                    <w:widowControl w:val="0"/>
                    <w:spacing w:line="240" w:lineRule="auto"/>
                    <w:ind w:firstLine="0"/>
                    <w:jc w:val="center"/>
                    <w:rPr>
                      <w:rFonts w:hint="eastAsia" w:ascii="Times New Roman" w:eastAsia="宋体" w:cs="宋体"/>
                      <w:bCs/>
                      <w:color w:val="000000" w:themeColor="text1"/>
                      <w:sz w:val="18"/>
                      <w:szCs w:val="18"/>
                      <w:lang w:val="en-US" w:eastAsia="zh-CN"/>
                      <w14:textFill>
                        <w14:solidFill>
                          <w14:schemeClr w14:val="tx1"/>
                        </w14:solidFill>
                      </w14:textFill>
                    </w:rPr>
                  </w:pPr>
                  <w:r>
                    <w:rPr>
                      <w:rFonts w:hint="eastAsia" w:ascii="Times New Roman" w:cs="宋体"/>
                      <w:bCs/>
                      <w:color w:val="000000" w:themeColor="text1"/>
                      <w:sz w:val="18"/>
                      <w:szCs w:val="18"/>
                      <w:lang w:val="en-US" w:eastAsia="zh-CN"/>
                      <w14:textFill>
                        <w14:solidFill>
                          <w14:schemeClr w14:val="tx1"/>
                        </w14:solidFill>
                      </w14:textFill>
                    </w:rPr>
                    <w:t>颗粒物</w:t>
                  </w:r>
                </w:p>
              </w:tc>
            </w:tr>
            <w:tr w14:paraId="0E9B2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09C63C3D">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220F734F">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食堂</w:t>
                  </w:r>
                </w:p>
              </w:tc>
              <w:tc>
                <w:tcPr>
                  <w:tcW w:w="2182" w:type="pct"/>
                  <w:vAlign w:val="center"/>
                </w:tcPr>
                <w:p w14:paraId="45C76C86">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油烟</w:t>
                  </w:r>
                </w:p>
              </w:tc>
            </w:tr>
            <w:tr w14:paraId="29E5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restart"/>
                  <w:vAlign w:val="center"/>
                </w:tcPr>
                <w:p w14:paraId="72397C4C">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废水</w:t>
                  </w:r>
                </w:p>
              </w:tc>
              <w:tc>
                <w:tcPr>
                  <w:tcW w:w="1925" w:type="pct"/>
                  <w:vAlign w:val="center"/>
                </w:tcPr>
                <w:p w14:paraId="2262537E">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生产系统废水</w:t>
                  </w:r>
                </w:p>
              </w:tc>
              <w:tc>
                <w:tcPr>
                  <w:tcW w:w="2182" w:type="pct"/>
                  <w:vAlign w:val="center"/>
                </w:tcPr>
                <w:p w14:paraId="3129C132">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SS</w:t>
                  </w:r>
                </w:p>
              </w:tc>
            </w:tr>
            <w:tr w14:paraId="651B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91" w:type="pct"/>
                  <w:vMerge w:val="continue"/>
                  <w:vAlign w:val="center"/>
                </w:tcPr>
                <w:p w14:paraId="617BE7E8">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697C963B">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车辆冲洗废水</w:t>
                  </w:r>
                </w:p>
              </w:tc>
              <w:tc>
                <w:tcPr>
                  <w:tcW w:w="2182" w:type="pct"/>
                  <w:vAlign w:val="center"/>
                </w:tcPr>
                <w:p w14:paraId="6B9C454D">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SS、石油类</w:t>
                  </w:r>
                </w:p>
              </w:tc>
            </w:tr>
            <w:tr w14:paraId="3CAF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891" w:type="pct"/>
                  <w:vMerge w:val="continue"/>
                  <w:vAlign w:val="center"/>
                </w:tcPr>
                <w:p w14:paraId="6A73F4B0">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7D7EF394">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初期雨水</w:t>
                  </w:r>
                </w:p>
              </w:tc>
              <w:tc>
                <w:tcPr>
                  <w:tcW w:w="2182" w:type="pct"/>
                  <w:vAlign w:val="center"/>
                </w:tcPr>
                <w:p w14:paraId="0A536756">
                  <w:pPr>
                    <w:pStyle w:val="37"/>
                    <w:widowControl w:val="0"/>
                    <w:spacing w:line="240" w:lineRule="auto"/>
                    <w:ind w:firstLine="0"/>
                    <w:jc w:val="center"/>
                    <w:rPr>
                      <w:rFonts w:ascii="Times New Roman" w:cs="宋体"/>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SS</w:t>
                  </w:r>
                </w:p>
              </w:tc>
            </w:tr>
            <w:tr w14:paraId="3D02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91" w:type="pct"/>
                  <w:vMerge w:val="continue"/>
                  <w:vAlign w:val="center"/>
                </w:tcPr>
                <w:p w14:paraId="45B2135D">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5B9DA96E">
                  <w:pPr>
                    <w:pStyle w:val="37"/>
                    <w:widowControl w:val="0"/>
                    <w:spacing w:line="240" w:lineRule="auto"/>
                    <w:ind w:firstLine="0"/>
                    <w:jc w:val="center"/>
                    <w:rPr>
                      <w:rFonts w:ascii="Times New Roman"/>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生活污水</w:t>
                  </w:r>
                </w:p>
              </w:tc>
              <w:tc>
                <w:tcPr>
                  <w:tcW w:w="2182" w:type="pct"/>
                  <w:vAlign w:val="center"/>
                </w:tcPr>
                <w:p w14:paraId="4A79C836">
                  <w:pPr>
                    <w:pStyle w:val="37"/>
                    <w:widowControl w:val="0"/>
                    <w:spacing w:line="240" w:lineRule="auto"/>
                    <w:ind w:firstLine="0"/>
                    <w:jc w:val="center"/>
                    <w:rPr>
                      <w:rFonts w:ascii="Times New Roman" w:cs="宋体"/>
                      <w:color w:val="000000" w:themeColor="text1"/>
                      <w:sz w:val="18"/>
                      <w:szCs w:val="18"/>
                      <w14:textFill>
                        <w14:solidFill>
                          <w14:schemeClr w14:val="tx1"/>
                        </w14:solidFill>
                      </w14:textFill>
                    </w:rPr>
                  </w:pPr>
                  <w:r>
                    <w:rPr>
                      <w:rFonts w:hint="eastAsia" w:ascii="Times New Roman" w:cs="宋体"/>
                      <w:color w:val="000000" w:themeColor="text1"/>
                      <w:sz w:val="18"/>
                      <w:szCs w:val="18"/>
                      <w14:textFill>
                        <w14:solidFill>
                          <w14:schemeClr w14:val="tx1"/>
                        </w14:solidFill>
                      </w14:textFill>
                    </w:rPr>
                    <w:t>COD、BOD</w:t>
                  </w:r>
                  <w:r>
                    <w:rPr>
                      <w:rFonts w:hint="eastAsia" w:ascii="Times New Roman" w:cs="宋体"/>
                      <w:color w:val="000000" w:themeColor="text1"/>
                      <w:sz w:val="18"/>
                      <w:szCs w:val="18"/>
                      <w:vertAlign w:val="subscript"/>
                      <w14:textFill>
                        <w14:solidFill>
                          <w14:schemeClr w14:val="tx1"/>
                        </w14:solidFill>
                      </w14:textFill>
                    </w:rPr>
                    <w:t>5</w:t>
                  </w:r>
                  <w:r>
                    <w:rPr>
                      <w:rFonts w:hint="eastAsia" w:ascii="Times New Roman" w:cs="宋体"/>
                      <w:color w:val="000000" w:themeColor="text1"/>
                      <w:sz w:val="18"/>
                      <w:szCs w:val="18"/>
                      <w14:textFill>
                        <w14:solidFill>
                          <w14:schemeClr w14:val="tx1"/>
                        </w14:solidFill>
                      </w14:textFill>
                    </w:rPr>
                    <w:t>、NH</w:t>
                  </w:r>
                  <w:r>
                    <w:rPr>
                      <w:rFonts w:hint="eastAsia" w:ascii="Times New Roman" w:cs="宋体"/>
                      <w:color w:val="000000" w:themeColor="text1"/>
                      <w:sz w:val="18"/>
                      <w:szCs w:val="18"/>
                      <w:vertAlign w:val="subscript"/>
                      <w14:textFill>
                        <w14:solidFill>
                          <w14:schemeClr w14:val="tx1"/>
                        </w14:solidFill>
                      </w14:textFill>
                    </w:rPr>
                    <w:t>3</w:t>
                  </w:r>
                  <w:r>
                    <w:rPr>
                      <w:rFonts w:hint="eastAsia" w:ascii="Times New Roman" w:cs="宋体"/>
                      <w:color w:val="000000" w:themeColor="text1"/>
                      <w:sz w:val="18"/>
                      <w:szCs w:val="18"/>
                      <w14:textFill>
                        <w14:solidFill>
                          <w14:schemeClr w14:val="tx1"/>
                        </w14:solidFill>
                      </w14:textFill>
                    </w:rPr>
                    <w:t>-N、SS</w:t>
                  </w:r>
                  <w:r>
                    <w:rPr>
                      <w:rFonts w:hint="eastAsia" w:ascii="Times New Roman" w:cs="宋体"/>
                      <w:bCs/>
                      <w:color w:val="000000" w:themeColor="text1"/>
                      <w:sz w:val="18"/>
                      <w:szCs w:val="18"/>
                      <w14:textFill>
                        <w14:solidFill>
                          <w14:schemeClr w14:val="tx1"/>
                        </w14:solidFill>
                      </w14:textFill>
                    </w:rPr>
                    <w:t>、动植物油</w:t>
                  </w:r>
                </w:p>
              </w:tc>
            </w:tr>
            <w:tr w14:paraId="5913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Align w:val="center"/>
                </w:tcPr>
                <w:p w14:paraId="29809B43">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噪声</w:t>
                  </w:r>
                </w:p>
              </w:tc>
              <w:tc>
                <w:tcPr>
                  <w:tcW w:w="1925" w:type="pct"/>
                  <w:vAlign w:val="center"/>
                </w:tcPr>
                <w:p w14:paraId="45D11DE6">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设备噪声</w:t>
                  </w:r>
                </w:p>
              </w:tc>
              <w:tc>
                <w:tcPr>
                  <w:tcW w:w="2182" w:type="pct"/>
                  <w:vAlign w:val="center"/>
                </w:tcPr>
                <w:p w14:paraId="0274E21E">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噪声</w:t>
                  </w:r>
                </w:p>
              </w:tc>
            </w:tr>
            <w:tr w14:paraId="6928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restart"/>
                  <w:vAlign w:val="center"/>
                </w:tcPr>
                <w:p w14:paraId="518031EA">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固体废物</w:t>
                  </w:r>
                </w:p>
              </w:tc>
              <w:tc>
                <w:tcPr>
                  <w:tcW w:w="1925" w:type="pct"/>
                  <w:vAlign w:val="center"/>
                </w:tcPr>
                <w:p w14:paraId="3E07C376">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原料筛分</w:t>
                  </w:r>
                </w:p>
              </w:tc>
              <w:tc>
                <w:tcPr>
                  <w:tcW w:w="2182" w:type="pct"/>
                  <w:vAlign w:val="center"/>
                </w:tcPr>
                <w:p w14:paraId="4AE25D75">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弃土</w:t>
                  </w:r>
                </w:p>
              </w:tc>
            </w:tr>
            <w:tr w14:paraId="7541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891" w:type="pct"/>
                  <w:vMerge w:val="continue"/>
                  <w:vAlign w:val="center"/>
                </w:tcPr>
                <w:p w14:paraId="4704EA44">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229C1C0E">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厢式压滤机</w:t>
                  </w:r>
                </w:p>
              </w:tc>
              <w:tc>
                <w:tcPr>
                  <w:tcW w:w="2182" w:type="pct"/>
                  <w:vAlign w:val="center"/>
                </w:tcPr>
                <w:p w14:paraId="59ED0765">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ascii="Times New Roman" w:cs="宋体"/>
                      <w:bCs/>
                      <w:color w:val="000000" w:themeColor="text1"/>
                      <w:sz w:val="18"/>
                      <w:szCs w:val="18"/>
                      <w14:textFill>
                        <w14:solidFill>
                          <w14:schemeClr w14:val="tx1"/>
                        </w14:solidFill>
                      </w14:textFill>
                    </w:rPr>
                    <w:t>淤泥泥饼</w:t>
                  </w:r>
                  <w:r>
                    <w:rPr>
                      <w:rFonts w:hint="eastAsia" w:ascii="Times New Roman" w:cs="宋体"/>
                      <w:bCs/>
                      <w:color w:val="000000" w:themeColor="text1"/>
                      <w:sz w:val="18"/>
                      <w:szCs w:val="18"/>
                      <w:lang w:eastAsia="zh-CN"/>
                      <w14:textFill>
                        <w14:solidFill>
                          <w14:schemeClr w14:val="tx1"/>
                        </w14:solidFill>
                      </w14:textFill>
                    </w:rPr>
                    <w:t>（</w:t>
                  </w:r>
                  <w:r>
                    <w:rPr>
                      <w:rFonts w:hint="eastAsia" w:ascii="Times New Roman" w:cs="宋体"/>
                      <w:bCs/>
                      <w:color w:val="000000" w:themeColor="text1"/>
                      <w:sz w:val="18"/>
                      <w:szCs w:val="18"/>
                      <w:lang w:val="en-US" w:eastAsia="zh-CN"/>
                      <w14:textFill>
                        <w14:solidFill>
                          <w14:schemeClr w14:val="tx1"/>
                        </w14:solidFill>
                      </w14:textFill>
                    </w:rPr>
                    <w:t>含水60%</w:t>
                  </w:r>
                  <w:r>
                    <w:rPr>
                      <w:rFonts w:hint="eastAsia" w:ascii="Times New Roman" w:cs="宋体"/>
                      <w:bCs/>
                      <w:color w:val="000000" w:themeColor="text1"/>
                      <w:sz w:val="18"/>
                      <w:szCs w:val="18"/>
                      <w:lang w:eastAsia="zh-CN"/>
                      <w14:textFill>
                        <w14:solidFill>
                          <w14:schemeClr w14:val="tx1"/>
                        </w14:solidFill>
                      </w14:textFill>
                    </w:rPr>
                    <w:t>）</w:t>
                  </w:r>
                </w:p>
              </w:tc>
            </w:tr>
            <w:tr w14:paraId="1388D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891" w:type="pct"/>
                  <w:vMerge w:val="continue"/>
                  <w:vAlign w:val="center"/>
                </w:tcPr>
                <w:p w14:paraId="724BEC49">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65B49EA2">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生活垃圾</w:t>
                  </w:r>
                </w:p>
              </w:tc>
              <w:tc>
                <w:tcPr>
                  <w:tcW w:w="2182" w:type="pct"/>
                  <w:vAlign w:val="center"/>
                </w:tcPr>
                <w:p w14:paraId="5D369F44">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生活垃圾</w:t>
                  </w:r>
                </w:p>
              </w:tc>
            </w:tr>
            <w:tr w14:paraId="6D06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5E7B939B">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711F7653">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食堂</w:t>
                  </w:r>
                </w:p>
              </w:tc>
              <w:tc>
                <w:tcPr>
                  <w:tcW w:w="2182" w:type="pct"/>
                  <w:vAlign w:val="center"/>
                </w:tcPr>
                <w:p w14:paraId="4D9C2635">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餐厨垃圾及废油脂</w:t>
                  </w:r>
                </w:p>
              </w:tc>
            </w:tr>
            <w:tr w14:paraId="7414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91" w:type="pct"/>
                  <w:vMerge w:val="continue"/>
                  <w:vAlign w:val="center"/>
                </w:tcPr>
                <w:p w14:paraId="5027556C">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p>
              </w:tc>
              <w:tc>
                <w:tcPr>
                  <w:tcW w:w="1925" w:type="pct"/>
                  <w:vAlign w:val="center"/>
                </w:tcPr>
                <w:p w14:paraId="4B21E790">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设备维护</w:t>
                  </w:r>
                </w:p>
              </w:tc>
              <w:tc>
                <w:tcPr>
                  <w:tcW w:w="2182" w:type="pct"/>
                  <w:vAlign w:val="center"/>
                </w:tcPr>
                <w:p w14:paraId="6EBD6D3B">
                  <w:pPr>
                    <w:pStyle w:val="37"/>
                    <w:widowControl w:val="0"/>
                    <w:spacing w:line="240" w:lineRule="auto"/>
                    <w:ind w:firstLine="0"/>
                    <w:jc w:val="center"/>
                    <w:rPr>
                      <w:rFonts w:ascii="Times New Roman" w:cs="宋体"/>
                      <w:bCs/>
                      <w:color w:val="000000" w:themeColor="text1"/>
                      <w:sz w:val="18"/>
                      <w:szCs w:val="18"/>
                      <w14:textFill>
                        <w14:solidFill>
                          <w14:schemeClr w14:val="tx1"/>
                        </w14:solidFill>
                      </w14:textFill>
                    </w:rPr>
                  </w:pPr>
                  <w:r>
                    <w:rPr>
                      <w:rFonts w:hint="eastAsia" w:ascii="Times New Roman" w:cs="宋体"/>
                      <w:bCs/>
                      <w:color w:val="000000" w:themeColor="text1"/>
                      <w:sz w:val="18"/>
                      <w:szCs w:val="18"/>
                      <w14:textFill>
                        <w14:solidFill>
                          <w14:schemeClr w14:val="tx1"/>
                        </w14:solidFill>
                      </w14:textFill>
                    </w:rPr>
                    <w:t>废机油、废含油手套及抹布、废油桶</w:t>
                  </w:r>
                </w:p>
              </w:tc>
            </w:tr>
          </w:tbl>
          <w:p w14:paraId="7DF92205">
            <w:pPr>
              <w:pStyle w:val="14"/>
              <w:ind w:firstLine="210"/>
              <w:rPr>
                <w:color w:val="000000" w:themeColor="text1"/>
                <w:szCs w:val="21"/>
                <w14:textFill>
                  <w14:solidFill>
                    <w14:schemeClr w14:val="tx1"/>
                  </w14:solidFill>
                </w14:textFill>
              </w:rPr>
            </w:pPr>
          </w:p>
        </w:tc>
      </w:tr>
    </w:tbl>
    <w:p w14:paraId="6519F314">
      <w:pPr>
        <w:pStyle w:val="18"/>
        <w:jc w:val="center"/>
        <w:rPr>
          <w:rFonts w:ascii="Times New Roman" w:hAnsi="Times New Roman" w:eastAsia="黑体"/>
          <w:snapToGrid w:val="0"/>
          <w:color w:val="000000" w:themeColor="text1"/>
          <w:sz w:val="30"/>
          <w:szCs w:val="30"/>
          <w14:textFill>
            <w14:solidFill>
              <w14:schemeClr w14:val="tx1"/>
            </w14:solidFill>
          </w14:textFill>
        </w:rPr>
        <w:sectPr>
          <w:pgSz w:w="11905" w:h="16838"/>
          <w:pgMar w:top="1587" w:right="1417" w:bottom="1587" w:left="1417" w:header="850" w:footer="1077" w:gutter="0"/>
          <w:cols w:space="720" w:num="1"/>
          <w:docGrid w:linePitch="312" w:charSpace="0"/>
        </w:sectPr>
      </w:pP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14:paraId="5C51EB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50" w:hRule="atLeast"/>
          <w:jc w:val="center"/>
        </w:trPr>
        <w:tc>
          <w:tcPr>
            <w:tcW w:w="823" w:type="dxa"/>
            <w:vAlign w:val="center"/>
          </w:tcPr>
          <w:p w14:paraId="2F8F3755">
            <w:pPr>
              <w:pStyle w:val="18"/>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kern w:val="2"/>
                <w:sz w:val="21"/>
                <w:szCs w:val="21"/>
                <w14:textFill>
                  <w14:solidFill>
                    <w14:schemeClr w14:val="tx1"/>
                  </w14:solidFill>
                </w14:textFill>
              </w:rPr>
              <w:t>与项目有关的原有环境污染问题</w:t>
            </w:r>
          </w:p>
        </w:tc>
        <w:tc>
          <w:tcPr>
            <w:tcW w:w="8161" w:type="dxa"/>
            <w:vAlign w:val="center"/>
          </w:tcPr>
          <w:p w14:paraId="244A9564">
            <w:pPr>
              <w:pStyle w:val="45"/>
              <w:ind w:firstLine="420" w:firstLineChars="200"/>
              <w:jc w:val="both"/>
              <w:rPr>
                <w:color w:val="000000" w:themeColor="text1"/>
                <w14:textFill>
                  <w14:solidFill>
                    <w14:schemeClr w14:val="tx1"/>
                  </w14:solidFill>
                </w14:textFill>
              </w:rPr>
            </w:pPr>
            <w:r>
              <w:rPr>
                <w:rFonts w:hint="eastAsia"/>
                <w:b w:val="0"/>
                <w:bCs/>
                <w:color w:val="000000" w:themeColor="text1"/>
                <w:sz w:val="21"/>
                <w14:textFill>
                  <w14:solidFill>
                    <w14:schemeClr w14:val="tx1"/>
                  </w14:solidFill>
                </w14:textFill>
              </w:rPr>
              <w:t>根据现场踏勘</w:t>
            </w:r>
            <w:r>
              <w:rPr>
                <w:b w:val="0"/>
                <w:bCs/>
                <w:color w:val="000000" w:themeColor="text1"/>
                <w:sz w:val="21"/>
                <w14:textFill>
                  <w14:solidFill>
                    <w14:schemeClr w14:val="tx1"/>
                  </w14:solidFill>
                </w14:textFill>
              </w:rPr>
              <w:t>，</w:t>
            </w:r>
            <w:r>
              <w:rPr>
                <w:rFonts w:hint="eastAsia"/>
                <w:b w:val="0"/>
                <w:bCs/>
                <w:color w:val="000000" w:themeColor="text1"/>
                <w:sz w:val="21"/>
                <w14:textFill>
                  <w14:solidFill>
                    <w14:schemeClr w14:val="tx1"/>
                  </w14:solidFill>
                </w14:textFill>
              </w:rPr>
              <w:t>本</w:t>
            </w:r>
            <w:r>
              <w:rPr>
                <w:b w:val="0"/>
                <w:bCs/>
                <w:color w:val="000000" w:themeColor="text1"/>
                <w:sz w:val="21"/>
                <w14:textFill>
                  <w14:solidFill>
                    <w14:schemeClr w14:val="tx1"/>
                  </w14:solidFill>
                </w14:textFill>
              </w:rPr>
              <w:t>项目范围</w:t>
            </w:r>
            <w:r>
              <w:rPr>
                <w:rFonts w:hint="eastAsia"/>
                <w:b w:val="0"/>
                <w:bCs/>
                <w:color w:val="000000" w:themeColor="text1"/>
                <w:sz w:val="21"/>
                <w14:textFill>
                  <w14:solidFill>
                    <w14:schemeClr w14:val="tx1"/>
                  </w14:solidFill>
                </w14:textFill>
              </w:rPr>
              <w:t>主要</w:t>
            </w:r>
            <w:r>
              <w:rPr>
                <w:b w:val="0"/>
                <w:bCs/>
                <w:color w:val="000000" w:themeColor="text1"/>
                <w:sz w:val="21"/>
                <w14:textFill>
                  <w14:solidFill>
                    <w14:schemeClr w14:val="tx1"/>
                  </w14:solidFill>
                </w14:textFill>
              </w:rPr>
              <w:t>以荒地为主</w:t>
            </w:r>
            <w:r>
              <w:rPr>
                <w:rFonts w:hint="eastAsia"/>
                <w:b w:val="0"/>
                <w:bCs/>
                <w:color w:val="000000" w:themeColor="text1"/>
                <w:sz w:val="21"/>
                <w14:textFill>
                  <w14:solidFill>
                    <w14:schemeClr w14:val="tx1"/>
                  </w14:solidFill>
                </w14:textFill>
              </w:rPr>
              <w:t>，</w:t>
            </w:r>
            <w:r>
              <w:rPr>
                <w:b w:val="0"/>
                <w:bCs/>
                <w:color w:val="000000" w:themeColor="text1"/>
                <w:sz w:val="21"/>
                <w14:textFill>
                  <w14:solidFill>
                    <w14:schemeClr w14:val="tx1"/>
                  </w14:solidFill>
                </w14:textFill>
              </w:rPr>
              <w:t>本项目为新建</w:t>
            </w:r>
            <w:r>
              <w:rPr>
                <w:rFonts w:hint="eastAsia"/>
                <w:b w:val="0"/>
                <w:bCs/>
                <w:color w:val="000000" w:themeColor="text1"/>
                <w:sz w:val="21"/>
                <w:lang w:val="en-US" w:eastAsia="zh-CN"/>
                <w14:textFill>
                  <w14:solidFill>
                    <w14:schemeClr w14:val="tx1"/>
                  </w14:solidFill>
                </w14:textFill>
              </w:rPr>
              <w:t>碎石、</w:t>
            </w:r>
            <w:r>
              <w:rPr>
                <w:b w:val="0"/>
                <w:bCs/>
                <w:color w:val="000000" w:themeColor="text1"/>
                <w:sz w:val="21"/>
                <w14:textFill>
                  <w14:solidFill>
                    <w14:schemeClr w14:val="tx1"/>
                  </w14:solidFill>
                </w14:textFill>
              </w:rPr>
              <w:t>机制砂生产项目，不存在与本项目有关的原有环境污染问题。</w:t>
            </w:r>
          </w:p>
        </w:tc>
      </w:tr>
    </w:tbl>
    <w:p w14:paraId="4DB812FC">
      <w:pPr>
        <w:pStyle w:val="18"/>
        <w:jc w:val="both"/>
        <w:rPr>
          <w:rFonts w:ascii="Times New Roman" w:hAnsi="Times New Roman"/>
          <w:b/>
          <w:bCs/>
          <w:color w:val="000000" w:themeColor="text1"/>
          <w:sz w:val="21"/>
          <w:szCs w:val="21"/>
          <w14:textFill>
            <w14:solidFill>
              <w14:schemeClr w14:val="tx1"/>
            </w14:solidFill>
          </w14:textFill>
        </w:rPr>
        <w:sectPr>
          <w:pgSz w:w="11905" w:h="16838"/>
          <w:pgMar w:top="1587" w:right="1417" w:bottom="1587" w:left="1417" w:header="850" w:footer="1077" w:gutter="0"/>
          <w:cols w:space="720" w:num="1"/>
          <w:docGrid w:linePitch="312" w:charSpace="0"/>
        </w:sectPr>
      </w:pPr>
    </w:p>
    <w:p w14:paraId="29BD2E22">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7" w:name="_Toc24948"/>
      <w:r>
        <w:rPr>
          <w:rFonts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bookmarkEnd w:id="17"/>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1"/>
      </w:tblGrid>
      <w:tr w14:paraId="12CEDB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8" w:hRule="atLeast"/>
          <w:jc w:val="center"/>
        </w:trPr>
        <w:tc>
          <w:tcPr>
            <w:tcW w:w="414" w:type="dxa"/>
            <w:vAlign w:val="center"/>
          </w:tcPr>
          <w:p w14:paraId="599F86F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14:paraId="580ACAC3">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31118AC9">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14:paraId="090602B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873" w:type="dxa"/>
          </w:tcPr>
          <w:p w14:paraId="46A3A53D">
            <w:pPr>
              <w:adjustRightInd w:val="0"/>
              <w:snapToGrid w:val="0"/>
              <w:spacing w:before="120" w:beforeLines="50"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一、环境空气质量现状</w:t>
            </w:r>
          </w:p>
          <w:p w14:paraId="0F06DED1">
            <w:pPr>
              <w:autoSpaceDE w:val="0"/>
              <w:autoSpaceDN w:val="0"/>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本项目建设地点位于</w:t>
            </w:r>
            <w:r>
              <w:rPr>
                <w:rFonts w:hint="eastAsia"/>
                <w:color w:val="000000" w:themeColor="text1"/>
                <w:szCs w:val="21"/>
                <w14:textFill>
                  <w14:solidFill>
                    <w14:schemeClr w14:val="tx1"/>
                  </w14:solidFill>
                </w14:textFill>
              </w:rPr>
              <w:t>湛江市廉江市营仔镇福山村高墩角经济合作社</w:t>
            </w:r>
            <w:r>
              <w:rPr>
                <w:color w:val="000000" w:themeColor="text1"/>
                <w:szCs w:val="21"/>
                <w14:textFill>
                  <w14:solidFill>
                    <w14:schemeClr w14:val="tx1"/>
                  </w14:solidFill>
                </w14:textFill>
              </w:rPr>
              <w:t>，项目所在区域为环境空气质量二类区，执行国家</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环境空气质量标准</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(GB3095-2012)及2018年修改单中二级标准。</w:t>
            </w:r>
          </w:p>
          <w:p w14:paraId="159EC09C">
            <w:pPr>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（1）项目所在区域达标区判定</w:t>
            </w:r>
          </w:p>
          <w:p w14:paraId="064FDB7F">
            <w:pPr>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本评价依据《湛江市生态环境质量年报简报（20</w:t>
            </w:r>
            <w:r>
              <w:rPr>
                <w:rFonts w:hint="eastAsia"/>
                <w:color w:val="000000" w:themeColor="text1"/>
                <w:szCs w:val="21"/>
                <w14:textFill>
                  <w14:solidFill>
                    <w14:schemeClr w14:val="tx1"/>
                  </w14:solidFill>
                </w14:textFill>
              </w:rPr>
              <w:t>24</w:t>
            </w:r>
            <w:r>
              <w:rPr>
                <w:color w:val="000000" w:themeColor="text1"/>
                <w:szCs w:val="21"/>
                <w14:textFill>
                  <w14:solidFill>
                    <w14:schemeClr w14:val="tx1"/>
                  </w14:solidFill>
                </w14:textFill>
              </w:rPr>
              <w:t>年）》中环境空气质量常规因子指标数据作为评价依据，项目所在区域各环境空气污染物现状浓度值</w:t>
            </w:r>
            <w:r>
              <w:rPr>
                <w:color w:val="000000" w:themeColor="text1"/>
                <w:kern w:val="0"/>
                <w:szCs w:val="21"/>
                <w:lang w:bidi="ar"/>
                <w14:textFill>
                  <w14:solidFill>
                    <w14:schemeClr w14:val="tx1"/>
                  </w14:solidFill>
                </w14:textFill>
              </w:rPr>
              <w:t>满足《环境空气质量标准》（GB3095-2012）及其修改单</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生态环境部公告2018年第29号</w:t>
            </w:r>
            <w:r>
              <w:rPr>
                <w:rFonts w:hint="eastAsia" w:ascii="宋体" w:hAnsi="宋体"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二级标准要求，本项目所在区域属于达标区。</w:t>
            </w:r>
            <w:r>
              <w:rPr>
                <w:color w:val="000000" w:themeColor="text1"/>
                <w:szCs w:val="21"/>
                <w14:textFill>
                  <w14:solidFill>
                    <w14:schemeClr w14:val="tx1"/>
                  </w14:solidFill>
                </w14:textFill>
              </w:rPr>
              <w:t>具体数值见表3-1。</w:t>
            </w:r>
          </w:p>
          <w:p w14:paraId="40A43ACE">
            <w:pPr>
              <w:pStyle w:val="45"/>
              <w:rPr>
                <w:color w:val="000000" w:themeColor="text1"/>
                <w14:textFill>
                  <w14:solidFill>
                    <w14:schemeClr w14:val="tx1"/>
                  </w14:solidFill>
                </w14:textFill>
              </w:rPr>
            </w:pPr>
            <w:r>
              <w:rPr>
                <w:color w:val="000000" w:themeColor="text1"/>
                <w14:textFill>
                  <w14:solidFill>
                    <w14:schemeClr w14:val="tx1"/>
                  </w14:solidFill>
                </w14:textFill>
              </w:rPr>
              <w:t>表3-1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年</w:t>
            </w:r>
            <w:r>
              <w:rPr>
                <w:rFonts w:hint="eastAsia"/>
                <w:color w:val="000000" w:themeColor="text1"/>
                <w14:textFill>
                  <w14:solidFill>
                    <w14:schemeClr w14:val="tx1"/>
                  </w14:solidFill>
                </w14:textFill>
              </w:rPr>
              <w:t>湛江市环境空气质量现状评价表</w:t>
            </w:r>
          </w:p>
          <w:tbl>
            <w:tblPr>
              <w:tblStyle w:val="4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91"/>
              <w:gridCol w:w="4078"/>
              <w:gridCol w:w="844"/>
              <w:gridCol w:w="636"/>
              <w:gridCol w:w="844"/>
              <w:gridCol w:w="844"/>
            </w:tblGrid>
            <w:tr w14:paraId="7D46E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805" w:type="pct"/>
                  <w:shd w:val="clear" w:color="auto" w:fill="D9D9D9"/>
                  <w:vAlign w:val="center"/>
                </w:tcPr>
                <w:p w14:paraId="7770B5FE">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污染物</w:t>
                  </w:r>
                </w:p>
              </w:tc>
              <w:tc>
                <w:tcPr>
                  <w:tcW w:w="2359" w:type="pct"/>
                  <w:shd w:val="clear" w:color="auto" w:fill="D9D9D9"/>
                  <w:vAlign w:val="center"/>
                </w:tcPr>
                <w:p w14:paraId="3A02C437">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年评价指标</w:t>
                  </w:r>
                </w:p>
              </w:tc>
              <w:tc>
                <w:tcPr>
                  <w:tcW w:w="488" w:type="pct"/>
                  <w:shd w:val="clear" w:color="auto" w:fill="D9D9D9"/>
                  <w:vAlign w:val="center"/>
                </w:tcPr>
                <w:p w14:paraId="172E3E09">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现状浓度</w:t>
                  </w:r>
                </w:p>
              </w:tc>
              <w:tc>
                <w:tcPr>
                  <w:tcW w:w="368" w:type="pct"/>
                  <w:shd w:val="clear" w:color="auto" w:fill="D9D9D9"/>
                  <w:vAlign w:val="center"/>
                </w:tcPr>
                <w:p w14:paraId="640EA0C1">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标准值</w:t>
                  </w:r>
                </w:p>
              </w:tc>
              <w:tc>
                <w:tcPr>
                  <w:tcW w:w="488" w:type="pct"/>
                  <w:shd w:val="clear" w:color="auto" w:fill="D9D9D9"/>
                  <w:vAlign w:val="center"/>
                </w:tcPr>
                <w:p w14:paraId="203A02E0">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占标率%</w:t>
                  </w:r>
                </w:p>
              </w:tc>
              <w:tc>
                <w:tcPr>
                  <w:tcW w:w="488" w:type="pct"/>
                  <w:shd w:val="clear" w:color="auto" w:fill="D9D9D9"/>
                  <w:vAlign w:val="center"/>
                </w:tcPr>
                <w:p w14:paraId="6C8D2164">
                  <w:pPr>
                    <w:pStyle w:val="46"/>
                    <w:autoSpaceDE w:val="0"/>
                    <w:autoSpaceDN w:val="0"/>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tc>
            </w:tr>
            <w:tr w14:paraId="4C4DC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805" w:type="pct"/>
                  <w:vAlign w:val="center"/>
                </w:tcPr>
                <w:p w14:paraId="242247B6">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（ug/m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5225D347">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488" w:type="pct"/>
                  <w:vAlign w:val="center"/>
                </w:tcPr>
                <w:p w14:paraId="1027338C">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368" w:type="pct"/>
                  <w:vAlign w:val="center"/>
                </w:tcPr>
                <w:p w14:paraId="4AF132CA">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60</w:t>
                  </w:r>
                </w:p>
              </w:tc>
              <w:tc>
                <w:tcPr>
                  <w:tcW w:w="488" w:type="pct"/>
                  <w:vAlign w:val="center"/>
                </w:tcPr>
                <w:p w14:paraId="22363A50">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488" w:type="pct"/>
                  <w:vAlign w:val="center"/>
                </w:tcPr>
                <w:p w14:paraId="1567DB1E">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7F70F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805" w:type="pct"/>
                  <w:vAlign w:val="center"/>
                </w:tcPr>
                <w:p w14:paraId="6019D95C">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NO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（ug/m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5AB49ACD">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488" w:type="pct"/>
                  <w:vAlign w:val="center"/>
                </w:tcPr>
                <w:p w14:paraId="5DA39864">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368" w:type="pct"/>
                  <w:vAlign w:val="center"/>
                </w:tcPr>
                <w:p w14:paraId="681A2013">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40</w:t>
                  </w:r>
                </w:p>
              </w:tc>
              <w:tc>
                <w:tcPr>
                  <w:tcW w:w="488" w:type="pct"/>
                  <w:vAlign w:val="center"/>
                </w:tcPr>
                <w:p w14:paraId="4D4D5A62">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30</w:t>
                  </w:r>
                </w:p>
              </w:tc>
              <w:tc>
                <w:tcPr>
                  <w:tcW w:w="488" w:type="pct"/>
                  <w:vAlign w:val="center"/>
                </w:tcPr>
                <w:p w14:paraId="2B914781">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1B0A8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05" w:type="pct"/>
                  <w:vAlign w:val="center"/>
                </w:tcPr>
                <w:p w14:paraId="2C563DFF">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10</w:t>
                  </w:r>
                  <w:r>
                    <w:rPr>
                      <w:color w:val="000000" w:themeColor="text1"/>
                      <w14:textFill>
                        <w14:solidFill>
                          <w14:schemeClr w14:val="tx1"/>
                        </w14:solidFill>
                      </w14:textFill>
                    </w:rPr>
                    <w:t>（ug/m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03951D9B">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488" w:type="pct"/>
                  <w:vAlign w:val="center"/>
                </w:tcPr>
                <w:p w14:paraId="0A9D7F1B">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33</w:t>
                  </w:r>
                </w:p>
              </w:tc>
              <w:tc>
                <w:tcPr>
                  <w:tcW w:w="368" w:type="pct"/>
                  <w:vAlign w:val="center"/>
                </w:tcPr>
                <w:p w14:paraId="5721E056">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70</w:t>
                  </w:r>
                </w:p>
              </w:tc>
              <w:tc>
                <w:tcPr>
                  <w:tcW w:w="488" w:type="pct"/>
                  <w:vAlign w:val="center"/>
                </w:tcPr>
                <w:p w14:paraId="49A81F8E">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47.1</w:t>
                  </w:r>
                </w:p>
              </w:tc>
              <w:tc>
                <w:tcPr>
                  <w:tcW w:w="488" w:type="pct"/>
                  <w:vAlign w:val="center"/>
                </w:tcPr>
                <w:p w14:paraId="51CF5C08">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2F022F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805" w:type="pct"/>
                  <w:vAlign w:val="center"/>
                </w:tcPr>
                <w:p w14:paraId="7E538BB3">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PM</w:t>
                  </w:r>
                  <w:r>
                    <w:rPr>
                      <w:color w:val="000000" w:themeColor="text1"/>
                      <w:vertAlign w:val="subscript"/>
                      <w14:textFill>
                        <w14:solidFill>
                          <w14:schemeClr w14:val="tx1"/>
                        </w14:solidFill>
                      </w14:textFill>
                    </w:rPr>
                    <w:t>2.5</w:t>
                  </w:r>
                  <w:r>
                    <w:rPr>
                      <w:color w:val="000000" w:themeColor="text1"/>
                      <w14:textFill>
                        <w14:solidFill>
                          <w14:schemeClr w14:val="tx1"/>
                        </w14:solidFill>
                      </w14:textFill>
                    </w:rPr>
                    <w:t>（ug/m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66234304">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年平均质量浓度</w:t>
                  </w:r>
                </w:p>
              </w:tc>
              <w:tc>
                <w:tcPr>
                  <w:tcW w:w="488" w:type="pct"/>
                  <w:vAlign w:val="center"/>
                </w:tcPr>
                <w:p w14:paraId="71CEED5B">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21</w:t>
                  </w:r>
                </w:p>
              </w:tc>
              <w:tc>
                <w:tcPr>
                  <w:tcW w:w="368" w:type="pct"/>
                  <w:vAlign w:val="center"/>
                </w:tcPr>
                <w:p w14:paraId="2A74B465">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35</w:t>
                  </w:r>
                </w:p>
              </w:tc>
              <w:tc>
                <w:tcPr>
                  <w:tcW w:w="488" w:type="pct"/>
                  <w:vAlign w:val="center"/>
                </w:tcPr>
                <w:p w14:paraId="5A3955BD">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488" w:type="pct"/>
                  <w:vAlign w:val="center"/>
                </w:tcPr>
                <w:p w14:paraId="649B25B3">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6A2C60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 w:hRule="atLeast"/>
              </w:trPr>
              <w:tc>
                <w:tcPr>
                  <w:tcW w:w="805" w:type="pct"/>
                  <w:vAlign w:val="center"/>
                </w:tcPr>
                <w:p w14:paraId="01E14110">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CO（ug/m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3989B098">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日均值第95百分位数质量浓度</w:t>
                  </w:r>
                </w:p>
              </w:tc>
              <w:tc>
                <w:tcPr>
                  <w:tcW w:w="488" w:type="pct"/>
                  <w:vAlign w:val="center"/>
                </w:tcPr>
                <w:p w14:paraId="72489062">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0.8</w:t>
                  </w:r>
                </w:p>
              </w:tc>
              <w:tc>
                <w:tcPr>
                  <w:tcW w:w="368" w:type="pct"/>
                  <w:vAlign w:val="center"/>
                </w:tcPr>
                <w:p w14:paraId="64D7F649">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4</w:t>
                  </w:r>
                </w:p>
              </w:tc>
              <w:tc>
                <w:tcPr>
                  <w:tcW w:w="488" w:type="pct"/>
                  <w:vAlign w:val="center"/>
                </w:tcPr>
                <w:p w14:paraId="4C1043EF">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20</w:t>
                  </w:r>
                </w:p>
              </w:tc>
              <w:tc>
                <w:tcPr>
                  <w:tcW w:w="488" w:type="pct"/>
                  <w:vAlign w:val="center"/>
                </w:tcPr>
                <w:p w14:paraId="270AF381">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72E298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8" w:hRule="atLeast"/>
              </w:trPr>
              <w:tc>
                <w:tcPr>
                  <w:tcW w:w="805" w:type="pct"/>
                  <w:vAlign w:val="center"/>
                </w:tcPr>
                <w:p w14:paraId="438D3004">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（ug/m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p>
              </w:tc>
              <w:tc>
                <w:tcPr>
                  <w:tcW w:w="2359" w:type="pct"/>
                  <w:vAlign w:val="center"/>
                </w:tcPr>
                <w:p w14:paraId="1A77DD9A">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日最大8小时均值第90百分位数质量浓度</w:t>
                  </w:r>
                </w:p>
              </w:tc>
              <w:tc>
                <w:tcPr>
                  <w:tcW w:w="488" w:type="pct"/>
                  <w:vAlign w:val="center"/>
                </w:tcPr>
                <w:p w14:paraId="037D0FC0">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134</w:t>
                  </w:r>
                </w:p>
              </w:tc>
              <w:tc>
                <w:tcPr>
                  <w:tcW w:w="368" w:type="pct"/>
                  <w:vAlign w:val="center"/>
                </w:tcPr>
                <w:p w14:paraId="6FD1F211">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160</w:t>
                  </w:r>
                </w:p>
              </w:tc>
              <w:tc>
                <w:tcPr>
                  <w:tcW w:w="488" w:type="pct"/>
                  <w:vAlign w:val="center"/>
                </w:tcPr>
                <w:p w14:paraId="644074A7">
                  <w:pPr>
                    <w:pStyle w:val="46"/>
                    <w:autoSpaceDE w:val="0"/>
                    <w:autoSpaceDN w:val="0"/>
                    <w:rPr>
                      <w:color w:val="000000" w:themeColor="text1"/>
                      <w14:textFill>
                        <w14:solidFill>
                          <w14:schemeClr w14:val="tx1"/>
                        </w14:solidFill>
                      </w14:textFill>
                    </w:rPr>
                  </w:pPr>
                  <w:r>
                    <w:rPr>
                      <w:rFonts w:hint="eastAsia"/>
                      <w:color w:val="000000" w:themeColor="text1"/>
                      <w14:textFill>
                        <w14:solidFill>
                          <w14:schemeClr w14:val="tx1"/>
                        </w14:solidFill>
                      </w14:textFill>
                    </w:rPr>
                    <w:t>83.8</w:t>
                  </w:r>
                </w:p>
              </w:tc>
              <w:tc>
                <w:tcPr>
                  <w:tcW w:w="488" w:type="pct"/>
                  <w:vAlign w:val="center"/>
                </w:tcPr>
                <w:p w14:paraId="17C81BE3">
                  <w:pPr>
                    <w:pStyle w:val="46"/>
                    <w:autoSpaceDE w:val="0"/>
                    <w:autoSpaceDN w:val="0"/>
                    <w:rPr>
                      <w:color w:val="000000" w:themeColor="text1"/>
                      <w14:textFill>
                        <w14:solidFill>
                          <w14:schemeClr w14:val="tx1"/>
                        </w14:solidFill>
                      </w14:textFill>
                    </w:rPr>
                  </w:pPr>
                  <w:r>
                    <w:rPr>
                      <w:color w:val="000000" w:themeColor="text1"/>
                      <w14:textFill>
                        <w14:solidFill>
                          <w14:schemeClr w14:val="tx1"/>
                        </w14:solidFill>
                      </w14:textFill>
                    </w:rPr>
                    <w:t>达标</w:t>
                  </w:r>
                </w:p>
              </w:tc>
            </w:tr>
          </w:tbl>
          <w:p w14:paraId="7A031ED4">
            <w:pPr>
              <w:tabs>
                <w:tab w:val="left" w:pos="1152"/>
              </w:tabs>
              <w:overflowPunct w:val="0"/>
              <w:autoSpaceDE w:val="0"/>
              <w:autoSpaceDN w:val="0"/>
              <w:adjustRightInd w:val="0"/>
              <w:spacing w:before="120" w:beforeLines="50" w:line="360" w:lineRule="auto"/>
              <w:ind w:firstLine="422" w:firstLineChars="200"/>
              <w:textAlignment w:val="baseline"/>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（2）特征污染物环境质量现状</w:t>
            </w:r>
          </w:p>
          <w:p w14:paraId="64C2A17A">
            <w:pPr>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本项目主要的大气污染物为颗粒物</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TSP</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。根据《建设项目环境影响报告表编制技术指南(污染影响类)》</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试行</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排放国家、地方环境空气质标准中有标准限值要求的特征污染物时，引用建设项目周边5千米范围内近3年的现有监测数据，无相关数据的选择当季主导风向下风向1个点位补充不少于3天的监测数据。”。其中，TSP属于国家环境空气质量标准中有标准限值要求的常规污染物。</w:t>
            </w:r>
          </w:p>
          <w:p w14:paraId="19B9A5E8">
            <w:pPr>
              <w:snapToGrid w:val="0"/>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次大气环境质量现状调查引用《廉江市长荣建筑材料有限公司年生产18万吨机制砂项目环境质量现状报告》中的监测数据（报告编号：LN（气）2025072301），监测单位为广东绿能检测技术有限公司，监测时间为2025年7月26日~7月28日，监测点“上木头塘村”位于本项目西南面约3659m，符合《建设项目环境影响报告表编制指南（污染影响类）（试行）》可引用建设项目周边5千米范围内近3年的现有监测数据要求。</w:t>
            </w:r>
          </w:p>
          <w:p w14:paraId="021E6DEE">
            <w:pPr>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本项目其他污染物补充监测点位基本信息见表3-2，污染物环境质量现状</w:t>
            </w:r>
            <w:r>
              <w:rPr>
                <w:rFonts w:hint="eastAsia"/>
                <w:color w:val="000000" w:themeColor="text1"/>
                <w:szCs w:val="21"/>
                <w14:textFill>
                  <w14:solidFill>
                    <w14:schemeClr w14:val="tx1"/>
                  </w14:solidFill>
                </w14:textFill>
              </w:rPr>
              <w:t>补充</w:t>
            </w:r>
            <w:r>
              <w:rPr>
                <w:color w:val="000000" w:themeColor="text1"/>
                <w:szCs w:val="21"/>
                <w14:textFill>
                  <w14:solidFill>
                    <w14:schemeClr w14:val="tx1"/>
                  </w14:solidFill>
                </w14:textFill>
              </w:rPr>
              <w:t>监测结果见表3-3，</w:t>
            </w:r>
            <w:r>
              <w:rPr>
                <w:rFonts w:hint="eastAsia"/>
                <w:color w:val="000000" w:themeColor="text1"/>
                <w:szCs w:val="21"/>
                <w14:textFill>
                  <w14:solidFill>
                    <w14:schemeClr w14:val="tx1"/>
                  </w14:solidFill>
                </w14:textFill>
              </w:rPr>
              <w:t>与引用大气监测点距离图见附图11，</w:t>
            </w:r>
            <w:r>
              <w:rPr>
                <w:color w:val="000000" w:themeColor="text1"/>
                <w:szCs w:val="21"/>
                <w14:textFill>
                  <w14:solidFill>
                    <w14:schemeClr w14:val="tx1"/>
                  </w14:solidFill>
                </w14:textFill>
              </w:rPr>
              <w:t>大气环境现状监测报告见附件</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w:t>
            </w:r>
          </w:p>
          <w:p w14:paraId="646C0339">
            <w:pPr>
              <w:autoSpaceDE w:val="0"/>
              <w:autoSpaceDN w:val="0"/>
              <w:snapToGrid w:val="0"/>
              <w:spacing w:line="360" w:lineRule="auto"/>
              <w:jc w:val="center"/>
              <w:rPr>
                <w:rFonts w:cs="Calibri"/>
                <w:b/>
                <w:color w:val="000000" w:themeColor="text1"/>
                <w:kern w:val="0"/>
                <w:sz w:val="18"/>
                <w:szCs w:val="21"/>
                <w14:textFill>
                  <w14:solidFill>
                    <w14:schemeClr w14:val="tx1"/>
                  </w14:solidFill>
                </w14:textFill>
              </w:rPr>
            </w:pPr>
            <w:r>
              <w:rPr>
                <w:rFonts w:hint="eastAsia" w:cs="Calibri"/>
                <w:b/>
                <w:color w:val="000000" w:themeColor="text1"/>
                <w:kern w:val="0"/>
                <w:sz w:val="18"/>
                <w:szCs w:val="21"/>
                <w14:textFill>
                  <w14:solidFill>
                    <w14:schemeClr w14:val="tx1"/>
                  </w14:solidFill>
                </w14:textFill>
              </w:rPr>
              <w:t>表3-2 其他污染物补充监测点位基本信息</w:t>
            </w:r>
          </w:p>
          <w:tbl>
            <w:tblPr>
              <w:tblStyle w:val="20"/>
              <w:tblW w:w="4998" w:type="pct"/>
              <w:tblInd w:w="0" w:type="dxa"/>
              <w:tblLayout w:type="autofit"/>
              <w:tblCellMar>
                <w:top w:w="0" w:type="dxa"/>
                <w:left w:w="108" w:type="dxa"/>
                <w:bottom w:w="0" w:type="dxa"/>
                <w:right w:w="108" w:type="dxa"/>
              </w:tblCellMar>
            </w:tblPr>
            <w:tblGrid>
              <w:gridCol w:w="1371"/>
              <w:gridCol w:w="1148"/>
              <w:gridCol w:w="2691"/>
              <w:gridCol w:w="1593"/>
              <w:gridCol w:w="1839"/>
            </w:tblGrid>
            <w:tr w14:paraId="7824EF2F">
              <w:tblPrEx>
                <w:tblCellMar>
                  <w:top w:w="0" w:type="dxa"/>
                  <w:left w:w="108" w:type="dxa"/>
                  <w:bottom w:w="0" w:type="dxa"/>
                  <w:right w:w="108" w:type="dxa"/>
                </w:tblCellMar>
              </w:tblPrEx>
              <w:trPr>
                <w:trHeight w:val="312" w:hRule="atLeast"/>
              </w:trPr>
              <w:tc>
                <w:tcPr>
                  <w:tcW w:w="793"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EC491A8">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监测点位置</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6148C61">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监测因子</w:t>
                  </w:r>
                </w:p>
              </w:tc>
              <w:tc>
                <w:tcPr>
                  <w:tcW w:w="1556"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0D5A67D7">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监测时段</w:t>
                  </w:r>
                </w:p>
              </w:tc>
              <w:tc>
                <w:tcPr>
                  <w:tcW w:w="921"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604E6DA8">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相对厂址方位</w:t>
                  </w:r>
                </w:p>
              </w:tc>
              <w:tc>
                <w:tcPr>
                  <w:tcW w:w="1063"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3BD1BBF8">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相对厂界距离/m</w:t>
                  </w:r>
                </w:p>
              </w:tc>
            </w:tr>
            <w:tr w14:paraId="0CEE69DE">
              <w:tblPrEx>
                <w:tblCellMar>
                  <w:top w:w="0" w:type="dxa"/>
                  <w:left w:w="108" w:type="dxa"/>
                  <w:bottom w:w="0" w:type="dxa"/>
                  <w:right w:w="108" w:type="dxa"/>
                </w:tblCellMar>
              </w:tblPrEx>
              <w:trPr>
                <w:trHeight w:val="370" w:hRule="atLeast"/>
              </w:trPr>
              <w:tc>
                <w:tcPr>
                  <w:tcW w:w="7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8D2F7">
                  <w:pPr>
                    <w:adjustRightInd w:val="0"/>
                    <w:snapToGrid w:val="0"/>
                    <w:jc w:val="center"/>
                    <w:rPr>
                      <w:bCs/>
                      <w:color w:val="000000" w:themeColor="text1"/>
                      <w:sz w:val="18"/>
                      <w:szCs w:val="18"/>
                      <w14:textFill>
                        <w14:solidFill>
                          <w14:schemeClr w14:val="tx1"/>
                        </w14:solidFill>
                      </w14:textFill>
                    </w:rPr>
                  </w:pP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20EFE">
                  <w:pPr>
                    <w:adjustRightInd w:val="0"/>
                    <w:snapToGrid w:val="0"/>
                    <w:jc w:val="center"/>
                    <w:rPr>
                      <w:bCs/>
                      <w:color w:val="000000" w:themeColor="text1"/>
                      <w:sz w:val="18"/>
                      <w:szCs w:val="18"/>
                      <w14:textFill>
                        <w14:solidFill>
                          <w14:schemeClr w14:val="tx1"/>
                        </w14:solidFill>
                      </w14:textFill>
                    </w:rPr>
                  </w:pPr>
                </w:p>
              </w:tc>
              <w:tc>
                <w:tcPr>
                  <w:tcW w:w="155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60821">
                  <w:pPr>
                    <w:adjustRightInd w:val="0"/>
                    <w:snapToGrid w:val="0"/>
                    <w:jc w:val="center"/>
                    <w:rPr>
                      <w:bCs/>
                      <w:color w:val="000000" w:themeColor="text1"/>
                      <w:sz w:val="18"/>
                      <w:szCs w:val="18"/>
                      <w14:textFill>
                        <w14:solidFill>
                          <w14:schemeClr w14:val="tx1"/>
                        </w14:solidFill>
                      </w14:textFill>
                    </w:rPr>
                  </w:pPr>
                </w:p>
              </w:tc>
              <w:tc>
                <w:tcPr>
                  <w:tcW w:w="9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2BC5F">
                  <w:pPr>
                    <w:adjustRightInd w:val="0"/>
                    <w:snapToGrid w:val="0"/>
                    <w:jc w:val="center"/>
                    <w:rPr>
                      <w:bCs/>
                      <w:color w:val="000000" w:themeColor="text1"/>
                      <w:sz w:val="18"/>
                      <w:szCs w:val="18"/>
                      <w14:textFill>
                        <w14:solidFill>
                          <w14:schemeClr w14:val="tx1"/>
                        </w14:solidFill>
                      </w14:textFill>
                    </w:rPr>
                  </w:pPr>
                </w:p>
              </w:tc>
              <w:tc>
                <w:tcPr>
                  <w:tcW w:w="10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14EF1">
                  <w:pPr>
                    <w:adjustRightInd w:val="0"/>
                    <w:snapToGrid w:val="0"/>
                    <w:jc w:val="center"/>
                    <w:rPr>
                      <w:bCs/>
                      <w:color w:val="000000" w:themeColor="text1"/>
                      <w:sz w:val="18"/>
                      <w:szCs w:val="18"/>
                      <w14:textFill>
                        <w14:solidFill>
                          <w14:schemeClr w14:val="tx1"/>
                        </w14:solidFill>
                      </w14:textFill>
                    </w:rPr>
                  </w:pPr>
                </w:p>
              </w:tc>
            </w:tr>
            <w:tr w14:paraId="25BB11B5">
              <w:tblPrEx>
                <w:tblCellMar>
                  <w:top w:w="0" w:type="dxa"/>
                  <w:left w:w="108" w:type="dxa"/>
                  <w:bottom w:w="0" w:type="dxa"/>
                  <w:right w:w="108" w:type="dxa"/>
                </w:tblCellMar>
              </w:tblPrEx>
              <w:trPr>
                <w:trHeight w:val="485" w:hRule="atLeast"/>
              </w:trPr>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015D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上木塘村</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352D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TSP</w:t>
                  </w:r>
                </w:p>
              </w:tc>
              <w:tc>
                <w:tcPr>
                  <w:tcW w:w="15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DEB9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2025年7月26日～28日</w:t>
                  </w:r>
                </w:p>
              </w:tc>
              <w:tc>
                <w:tcPr>
                  <w:tcW w:w="9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4698F">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西南面</w:t>
                  </w:r>
                </w:p>
              </w:tc>
              <w:tc>
                <w:tcPr>
                  <w:tcW w:w="10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25B0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3659</w:t>
                  </w:r>
                </w:p>
              </w:tc>
            </w:tr>
          </w:tbl>
          <w:p w14:paraId="14A31164">
            <w:pPr>
              <w:autoSpaceDE w:val="0"/>
              <w:autoSpaceDN w:val="0"/>
              <w:snapToGrid w:val="0"/>
              <w:spacing w:line="360" w:lineRule="auto"/>
              <w:jc w:val="center"/>
              <w:rPr>
                <w:rFonts w:cs="Calibri"/>
                <w:b/>
                <w:color w:val="000000" w:themeColor="text1"/>
                <w:kern w:val="0"/>
                <w:sz w:val="18"/>
                <w:szCs w:val="21"/>
                <w14:textFill>
                  <w14:solidFill>
                    <w14:schemeClr w14:val="tx1"/>
                  </w14:solidFill>
                </w14:textFill>
              </w:rPr>
            </w:pPr>
            <w:r>
              <w:rPr>
                <w:rFonts w:hint="eastAsia" w:cs="Calibri"/>
                <w:b/>
                <w:color w:val="000000" w:themeColor="text1"/>
                <w:kern w:val="0"/>
                <w:sz w:val="18"/>
                <w:szCs w:val="21"/>
                <w14:textFill>
                  <w14:solidFill>
                    <w14:schemeClr w14:val="tx1"/>
                  </w14:solidFill>
                </w14:textFill>
              </w:rPr>
              <w:t>表3-3 其他污染物环境质量现状监测结果表</w:t>
            </w:r>
          </w:p>
          <w:tbl>
            <w:tblPr>
              <w:tblStyle w:val="20"/>
              <w:tblW w:w="0" w:type="auto"/>
              <w:tblInd w:w="0" w:type="dxa"/>
              <w:tblLayout w:type="autofit"/>
              <w:tblCellMar>
                <w:top w:w="0" w:type="dxa"/>
                <w:left w:w="108" w:type="dxa"/>
                <w:bottom w:w="0" w:type="dxa"/>
                <w:right w:w="108" w:type="dxa"/>
              </w:tblCellMar>
            </w:tblPr>
            <w:tblGrid>
              <w:gridCol w:w="837"/>
              <w:gridCol w:w="715"/>
              <w:gridCol w:w="838"/>
              <w:gridCol w:w="1422"/>
              <w:gridCol w:w="1730"/>
              <w:gridCol w:w="1303"/>
              <w:gridCol w:w="957"/>
              <w:gridCol w:w="838"/>
            </w:tblGrid>
            <w:tr w14:paraId="6F3F625A">
              <w:tblPrEx>
                <w:tblCellMar>
                  <w:top w:w="0" w:type="dxa"/>
                  <w:left w:w="108" w:type="dxa"/>
                  <w:bottom w:w="0" w:type="dxa"/>
                  <w:right w:w="108" w:type="dxa"/>
                </w:tblCellMar>
              </w:tblPrEx>
              <w:trPr>
                <w:trHeight w:val="312"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4EDEEB7D">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监测点位</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8FD0329">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污染物</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D6F132F">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平均时间</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93FE35E">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评价标准(mg/m</w:t>
                  </w:r>
                  <w:r>
                    <w:rPr>
                      <w:rFonts w:hint="eastAsia"/>
                      <w:b/>
                      <w:color w:val="000000" w:themeColor="text1"/>
                      <w:sz w:val="18"/>
                      <w:szCs w:val="18"/>
                      <w:vertAlign w:val="superscript"/>
                      <w14:textFill>
                        <w14:solidFill>
                          <w14:schemeClr w14:val="tx1"/>
                        </w14:solidFill>
                      </w14:textFill>
                    </w:rPr>
                    <w:t>3</w:t>
                  </w:r>
                  <w:r>
                    <w:rPr>
                      <w:rFonts w:hint="eastAsia"/>
                      <w:b/>
                      <w:color w:val="000000" w:themeColor="text1"/>
                      <w:sz w:val="18"/>
                      <w:szCs w:val="18"/>
                      <w14:textFill>
                        <w14:solidFill>
                          <w14:schemeClr w14:val="tx1"/>
                        </w14:solidFill>
                      </w14:textFill>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3025934">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监测浓度范围(ug/m</w:t>
                  </w:r>
                  <w:r>
                    <w:rPr>
                      <w:rFonts w:hint="eastAsia"/>
                      <w:b/>
                      <w:color w:val="000000" w:themeColor="text1"/>
                      <w:sz w:val="18"/>
                      <w:szCs w:val="18"/>
                      <w:vertAlign w:val="superscript"/>
                      <w14:textFill>
                        <w14:solidFill>
                          <w14:schemeClr w14:val="tx1"/>
                        </w14:solidFill>
                      </w14:textFill>
                    </w:rPr>
                    <w:t>3</w:t>
                  </w:r>
                  <w:r>
                    <w:rPr>
                      <w:rFonts w:hint="eastAsia"/>
                      <w:b/>
                      <w:color w:val="000000" w:themeColor="text1"/>
                      <w:sz w:val="18"/>
                      <w:szCs w:val="18"/>
                      <w14:textFill>
                        <w14:solidFill>
                          <w14:schemeClr w14:val="tx1"/>
                        </w14:solidFill>
                      </w14:textFill>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C24E160">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最大浓度占标率</w:t>
                  </w:r>
                  <w:r>
                    <w:rPr>
                      <w:rFonts w:hint="eastAsia"/>
                      <w:b/>
                      <w:color w:val="000000" w:themeColor="text1"/>
                      <w:sz w:val="18"/>
                      <w:szCs w:val="18"/>
                      <w14:textFill>
                        <w14:solidFill>
                          <w14:schemeClr w14:val="tx1"/>
                        </w14:solidFill>
                      </w14:textFill>
                    </w:rPr>
                    <w:br w:type="textWrapping"/>
                  </w:r>
                  <w:r>
                    <w:rPr>
                      <w:rFonts w:hint="eastAsia"/>
                      <w:b/>
                      <w:color w:val="000000" w:themeColor="text1"/>
                      <w:sz w:val="18"/>
                      <w:szCs w:val="18"/>
                      <w14:textFill>
                        <w14:solidFill>
                          <w14:schemeClr w14:val="tx1"/>
                        </w14:solidFill>
                      </w14:textFill>
                    </w:rPr>
                    <w:t>(%)</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0DE716A4">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超标率(%(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55C413B">
                  <w:pPr>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达标情况</w:t>
                  </w:r>
                </w:p>
              </w:tc>
            </w:tr>
            <w:tr w14:paraId="269E7F25">
              <w:tblPrEx>
                <w:tblCellMar>
                  <w:top w:w="0" w:type="dxa"/>
                  <w:left w:w="108" w:type="dxa"/>
                  <w:bottom w:w="0" w:type="dxa"/>
                  <w:right w:w="108" w:type="dxa"/>
                </w:tblCellMar>
              </w:tblPrEx>
              <w:trPr>
                <w:trHeight w:val="31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D0284">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extDirection w:val="tbRlV"/>
                  <w:vAlign w:val="center"/>
                </w:tcPr>
                <w:p w14:paraId="21466A7B">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FB326">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870B3">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87033">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0520F5">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E14F8">
                  <w:pPr>
                    <w:adjustRightInd w:val="0"/>
                    <w:snapToGrid w:val="0"/>
                    <w:jc w:val="center"/>
                    <w:rPr>
                      <w:bCs/>
                      <w:color w:val="000000" w:themeColor="text1"/>
                      <w:sz w:val="18"/>
                      <w:szCs w:val="18"/>
                      <w14:textFill>
                        <w14:solidFill>
                          <w14:schemeClr w14:val="tx1"/>
                        </w14:solidFill>
                      </w14:textFill>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75041">
                  <w:pPr>
                    <w:adjustRightInd w:val="0"/>
                    <w:snapToGrid w:val="0"/>
                    <w:jc w:val="center"/>
                    <w:rPr>
                      <w:bCs/>
                      <w:color w:val="000000" w:themeColor="text1"/>
                      <w:sz w:val="18"/>
                      <w:szCs w:val="18"/>
                      <w14:textFill>
                        <w14:solidFill>
                          <w14:schemeClr w14:val="tx1"/>
                        </w14:solidFill>
                      </w14:textFill>
                    </w:rPr>
                  </w:pPr>
                </w:p>
              </w:tc>
            </w:tr>
            <w:tr w14:paraId="7E13408B">
              <w:tblPrEx>
                <w:tblCellMar>
                  <w:top w:w="0" w:type="dxa"/>
                  <w:left w:w="108" w:type="dxa"/>
                  <w:bottom w:w="0" w:type="dxa"/>
                  <w:right w:w="108" w:type="dxa"/>
                </w:tblCellMar>
              </w:tblPrEx>
              <w:trPr>
                <w:trHeight w:val="5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806464">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上木塘村</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9821C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TSP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5493C8">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日均值</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B613E2">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258FBB">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0.153~0.157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07CF7A">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52.3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AF4D4C">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350526">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达标</w:t>
                  </w:r>
                </w:p>
              </w:tc>
            </w:tr>
          </w:tbl>
          <w:p w14:paraId="43A0081C">
            <w:pPr>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由上表可知，本项目大气环境现状评价范围内特征污染物TSP的日平均浓度可达到《环境空气质量标准》（GB3095-2012）及其修改单中二级限值要求。</w:t>
            </w:r>
          </w:p>
          <w:p w14:paraId="6D63FE80">
            <w:pPr>
              <w:tabs>
                <w:tab w:val="left" w:pos="1152"/>
              </w:tabs>
              <w:overflowPunct w:val="0"/>
              <w:autoSpaceDE w:val="0"/>
              <w:autoSpaceDN w:val="0"/>
              <w:adjustRightInd w:val="0"/>
              <w:spacing w:line="360" w:lineRule="auto"/>
              <w:ind w:firstLine="422" w:firstLineChars="200"/>
              <w:textAlignment w:val="baseline"/>
              <w:rPr>
                <w:b/>
                <w:bCs/>
                <w:color w:val="000000" w:themeColor="text1"/>
                <w:kern w:val="0"/>
                <w:szCs w:val="21"/>
                <w:u w:val="single"/>
                <w14:textFill>
                  <w14:solidFill>
                    <w14:schemeClr w14:val="tx1"/>
                  </w14:solidFill>
                </w14:textFill>
              </w:rPr>
            </w:pPr>
            <w:r>
              <w:rPr>
                <w:b/>
                <w:bCs/>
                <w:color w:val="000000" w:themeColor="text1"/>
                <w:kern w:val="0"/>
                <w:szCs w:val="21"/>
                <w14:textFill>
                  <w14:solidFill>
                    <w14:schemeClr w14:val="tx1"/>
                  </w14:solidFill>
                </w14:textFill>
              </w:rPr>
              <w:t>二、地表水环境质量现状</w:t>
            </w:r>
          </w:p>
          <w:p w14:paraId="302756A8">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项目附近地表水体为</w:t>
            </w:r>
            <w:r>
              <w:rPr>
                <w:rFonts w:hint="eastAsia"/>
                <w:color w:val="000000" w:themeColor="text1"/>
                <w14:textFill>
                  <w14:solidFill>
                    <w14:schemeClr w14:val="tx1"/>
                  </w14:solidFill>
                </w14:textFill>
              </w:rPr>
              <w:t>龙潭河</w:t>
            </w:r>
            <w:r>
              <w:rPr>
                <w:color w:val="000000" w:themeColor="text1"/>
                <w14:textFill>
                  <w14:solidFill>
                    <w14:schemeClr w14:val="tx1"/>
                  </w14:solidFill>
                </w14:textFill>
              </w:rPr>
              <w:t>，位于本项目</w:t>
            </w:r>
            <w:r>
              <w:rPr>
                <w:rFonts w:hint="eastAsia"/>
                <w:color w:val="000000" w:themeColor="text1"/>
                <w14:textFill>
                  <w14:solidFill>
                    <w14:schemeClr w14:val="tx1"/>
                  </w14:solidFill>
                </w14:textFill>
              </w:rPr>
              <w:t>西南</w:t>
            </w:r>
            <w:r>
              <w:rPr>
                <w:color w:val="000000" w:themeColor="text1"/>
                <w14:textFill>
                  <w14:solidFill>
                    <w14:schemeClr w14:val="tx1"/>
                  </w14:solidFill>
                </w14:textFill>
              </w:rPr>
              <w:t>厂界约</w:t>
            </w:r>
            <w:r>
              <w:rPr>
                <w:rFonts w:hint="eastAsia"/>
                <w:color w:val="000000" w:themeColor="text1"/>
                <w14:textFill>
                  <w14:solidFill>
                    <w14:schemeClr w14:val="tx1"/>
                  </w14:solidFill>
                </w14:textFill>
              </w:rPr>
              <w:t>648m</w:t>
            </w:r>
            <w:r>
              <w:rPr>
                <w:color w:val="000000" w:themeColor="text1"/>
                <w14:textFill>
                  <w14:solidFill>
                    <w14:schemeClr w14:val="tx1"/>
                  </w14:solidFill>
                </w14:textFill>
              </w:rPr>
              <w:t>处。经查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关于印发&lt;广东省地表水环境功能区划&gt;的通知</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(粤环(2011)14号)、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湛江市人民政府关于同意湛江市级水功能区划的批复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(湛府函(2016)168号)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未对</w:t>
            </w:r>
            <w:r>
              <w:rPr>
                <w:rFonts w:hint="eastAsia"/>
                <w:color w:val="000000" w:themeColor="text1"/>
                <w14:textFill>
                  <w14:solidFill>
                    <w14:schemeClr w14:val="tx1"/>
                  </w14:solidFill>
                </w14:textFill>
              </w:rPr>
              <w:t>龙潭河</w:t>
            </w:r>
            <w:r>
              <w:rPr>
                <w:color w:val="000000" w:themeColor="text1"/>
                <w14:textFill>
                  <w14:solidFill>
                    <w14:schemeClr w14:val="tx1"/>
                  </w14:solidFill>
                </w14:textFill>
              </w:rPr>
              <w:t>划定功能级别，龙潭河最终汇入九洲江。根据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广东省地表水环境功能区划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(粤环(2011)14号)，九洲江功能现状为工农渔混，其廉江和江桥武陵河入江口至营仔镇和安铺镇两处入海口的水质现状和水质目标均为I</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I类。</w:t>
            </w:r>
          </w:p>
          <w:p w14:paraId="70344312">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关于同意实施广东省地表水环境功能区划的批复</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粤府函(2011)29号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各水体未列出的上游及支流的水体环境质量控制目标，以保证主流的环境质量控制目标为最低要求，原则上与汇入干流的环境质量控制目标要求不能相差一个级别</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，龙潭河参考执行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地表水环境质量标准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(GB3838-2002)I</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I类标准。</w:t>
            </w:r>
          </w:p>
          <w:p w14:paraId="1FFDF3CA">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为了解九洲江的水环境现状，引用2025年12月廉江市国考地表水水质月报(http://www.lianjiang.gov.cn/qtlm/yqlj/ljzfbm/ljshjbhj/gsgg/gsgg/content/post_2135734.html)，九洲江水质情况如下</w:t>
            </w:r>
            <w:r>
              <w:rPr>
                <w:rFonts w:hint="eastAsia"/>
                <w:color w:val="000000" w:themeColor="text1"/>
                <w14:textFill>
                  <w14:solidFill>
                    <w14:schemeClr w14:val="tx1"/>
                  </w14:solidFill>
                </w14:textFill>
              </w:rPr>
              <w:t>：</w:t>
            </w:r>
          </w:p>
          <w:p w14:paraId="6C7E55BC">
            <w:pPr>
              <w:autoSpaceDE w:val="0"/>
              <w:autoSpaceDN w:val="0"/>
              <w:adjustRightInd w:val="0"/>
              <w:snapToGrid w:val="0"/>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834130" cy="2695575"/>
                  <wp:effectExtent l="0" t="0" r="13970" b="9525"/>
                  <wp:docPr id="5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descr="IMG_256"/>
                          <pic:cNvPicPr>
                            <a:picLocks noChangeAspect="1"/>
                          </pic:cNvPicPr>
                        </pic:nvPicPr>
                        <pic:blipFill>
                          <a:blip r:embed="rId24"/>
                          <a:stretch>
                            <a:fillRect/>
                          </a:stretch>
                        </pic:blipFill>
                        <pic:spPr>
                          <a:xfrm>
                            <a:off x="0" y="0"/>
                            <a:ext cx="3834130" cy="2695575"/>
                          </a:xfrm>
                          <a:prstGeom prst="rect">
                            <a:avLst/>
                          </a:prstGeom>
                          <a:noFill/>
                          <a:ln w="9525">
                            <a:noFill/>
                          </a:ln>
                        </pic:spPr>
                      </pic:pic>
                    </a:graphicData>
                  </a:graphic>
                </wp:inline>
              </w:drawing>
            </w:r>
          </w:p>
          <w:p w14:paraId="45AC06D5">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图3-1 地表水环境现状图</w:t>
            </w:r>
          </w:p>
          <w:p w14:paraId="738EE4D4">
            <w:pPr>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以上结果表明，九洲江营仔断面水质状况达到III类水质标准，九洲江水质良好。</w:t>
            </w:r>
          </w:p>
          <w:p w14:paraId="4BED95D9">
            <w:pPr>
              <w:spacing w:line="360" w:lineRule="auto"/>
              <w:ind w:firstLine="422" w:firstLineChars="200"/>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三、声环境现状</w:t>
            </w:r>
          </w:p>
          <w:p w14:paraId="749A70FB">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厂界外周边50m范围内不存在声环境保护目标，因此不进行声环境质量现状监测。</w:t>
            </w:r>
          </w:p>
          <w:p w14:paraId="63ED5481">
            <w:pPr>
              <w:adjustRightInd w:val="0"/>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四、地下水、土壤环境现状</w:t>
            </w:r>
          </w:p>
          <w:p w14:paraId="22CFB481">
            <w:pPr>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w:t>
            </w:r>
            <w:r>
              <w:rPr>
                <w:color w:val="000000" w:themeColor="text1"/>
                <w:kern w:val="0"/>
                <w:szCs w:val="21"/>
                <w:lang w:bidi="ar"/>
                <w14:textFill>
                  <w14:solidFill>
                    <w14:schemeClr w14:val="tx1"/>
                  </w14:solidFill>
                </w14:textFill>
              </w:rPr>
              <w:t>生活污水进入</w:t>
            </w:r>
            <w:r>
              <w:rPr>
                <w:rFonts w:hint="eastAsia"/>
                <w:color w:val="000000" w:themeColor="text1"/>
                <w:kern w:val="0"/>
                <w:szCs w:val="21"/>
                <w:lang w:bidi="ar"/>
                <w14:textFill>
                  <w14:solidFill>
                    <w14:schemeClr w14:val="tx1"/>
                  </w14:solidFill>
                </w14:textFill>
              </w:rPr>
              <w:t>三级化粪池/三级隔油池+一体化A/O生化装置</w:t>
            </w:r>
            <w:r>
              <w:rPr>
                <w:color w:val="000000" w:themeColor="text1"/>
                <w:kern w:val="0"/>
                <w:szCs w:val="21"/>
                <w:lang w:bidi="ar"/>
                <w14:textFill>
                  <w14:solidFill>
                    <w14:schemeClr w14:val="tx1"/>
                  </w14:solidFill>
                </w14:textFill>
              </w:rPr>
              <w:t>处理</w:t>
            </w:r>
            <w:r>
              <w:rPr>
                <w:rFonts w:hint="eastAsia"/>
                <w:color w:val="000000" w:themeColor="text1"/>
                <w:kern w:val="0"/>
                <w:szCs w:val="21"/>
                <w:lang w:bidi="ar"/>
                <w14:textFill>
                  <w14:solidFill>
                    <w14:schemeClr w14:val="tx1"/>
                  </w14:solidFill>
                </w14:textFill>
              </w:rPr>
              <w:t>后用于厂区周边林地灌溉；车辆冲洗废水经洗车平台沉淀池处理后回用于车辆冲洗，不外排；生产系统废水经污水池收集至浓密罐处理后回用于生产系统用水；初期雨水经雨水池收集处理后回用于生产系统用水，不外排</w:t>
            </w:r>
            <w:r>
              <w:rPr>
                <w:rFonts w:hint="eastAsia"/>
                <w:color w:val="000000" w:themeColor="text1"/>
                <w:kern w:val="0"/>
                <w:szCs w:val="21"/>
                <w14:textFill>
                  <w14:solidFill>
                    <w14:schemeClr w14:val="tx1"/>
                  </w14:solidFill>
                </w14:textFill>
              </w:rPr>
              <w:t>。且本项目厂区内采用地面硬体化作为防渗措施，不涉及重金属，不存在对土壤、地下水环境产生污染的途径，无需开展地下水、土壤现状调查。</w:t>
            </w:r>
          </w:p>
          <w:p w14:paraId="154C71F6">
            <w:pPr>
              <w:adjustRightInd w:val="0"/>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五、生态环境质量现状</w:t>
            </w:r>
          </w:p>
          <w:p w14:paraId="30BCAD94">
            <w:pPr>
              <w:adjustRightInd w:val="0"/>
              <w:snapToGrid w:val="0"/>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用地范围内不涉及自然保护区、风景名胜区、世界文化和自然遗产地、饮用水水源保护区和其他需要特殊保护的区域，因此，本项目不开展生态环境现状调查。</w:t>
            </w:r>
          </w:p>
          <w:p w14:paraId="515BDDFB">
            <w:pPr>
              <w:adjustRightInd w:val="0"/>
              <w:snapToGrid w:val="0"/>
              <w:spacing w:line="360" w:lineRule="auto"/>
              <w:ind w:firstLine="422" w:firstLineChars="200"/>
              <w:jc w:val="left"/>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六、电磁辐射</w:t>
            </w:r>
          </w:p>
          <w:p w14:paraId="4C5FD082">
            <w:pPr>
              <w:adjustRightInd w:val="0"/>
              <w:snapToGrid w:val="0"/>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项目不属于新建或改建、扩建广播电台、差转台、电视塔台、卫星地球上行站、雷达等电磁辐射类项目，无需对电磁辐射现状开展监测与评价。</w:t>
            </w:r>
          </w:p>
        </w:tc>
      </w:tr>
      <w:tr w14:paraId="30C507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414" w:type="dxa"/>
            <w:vAlign w:val="center"/>
          </w:tcPr>
          <w:p w14:paraId="24C3BF8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14:paraId="04979854">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14:paraId="46BB92C6">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873" w:type="dxa"/>
            <w:vAlign w:val="center"/>
          </w:tcPr>
          <w:p w14:paraId="24FAA1FA">
            <w:pPr>
              <w:numPr>
                <w:ilvl w:val="0"/>
                <w:numId w:val="3"/>
              </w:num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大气环境</w:t>
            </w:r>
          </w:p>
          <w:p w14:paraId="3E24CAD0">
            <w:pPr>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确保本项目所在区域环境空气质量不因本项目的建设而下降，符合《环境空气质量标准》（GB3095-2012）及其修改单二级标准。本项目厂界外500m范围内大气环境敏感点情况如下表</w:t>
            </w:r>
            <w:r>
              <w:rPr>
                <w:rFonts w:hint="eastAsia"/>
                <w:color w:val="000000" w:themeColor="text1"/>
                <w:kern w:val="0"/>
                <w:szCs w:val="21"/>
                <w14:textFill>
                  <w14:solidFill>
                    <w14:schemeClr w14:val="tx1"/>
                  </w14:solidFill>
                </w14:textFill>
              </w:rPr>
              <w:t>3-4</w:t>
            </w:r>
            <w:r>
              <w:rPr>
                <w:color w:val="000000" w:themeColor="text1"/>
                <w:kern w:val="0"/>
                <w:szCs w:val="21"/>
                <w14:textFill>
                  <w14:solidFill>
                    <w14:schemeClr w14:val="tx1"/>
                  </w14:solidFill>
                </w14:textFill>
              </w:rPr>
              <w:t>所示，敏感点分布图详见附图6。</w:t>
            </w:r>
          </w:p>
          <w:p w14:paraId="248562FC">
            <w:pPr>
              <w:pStyle w:val="45"/>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 xml:space="preserve"> 大气环境保护目标一览表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116"/>
              <w:gridCol w:w="546"/>
              <w:gridCol w:w="546"/>
              <w:gridCol w:w="756"/>
              <w:gridCol w:w="939"/>
              <w:gridCol w:w="1476"/>
              <w:gridCol w:w="1301"/>
              <w:gridCol w:w="1301"/>
            </w:tblGrid>
            <w:tr w14:paraId="5F867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shd w:val="clear" w:color="auto" w:fill="D9D9D9"/>
                  <w:vAlign w:val="center"/>
                </w:tcPr>
                <w:p w14:paraId="2C3313B9">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序号</w:t>
                  </w:r>
                </w:p>
              </w:tc>
              <w:tc>
                <w:tcPr>
                  <w:tcW w:w="0" w:type="auto"/>
                  <w:vMerge w:val="restart"/>
                  <w:shd w:val="clear" w:color="auto" w:fill="D9D9D9"/>
                  <w:vAlign w:val="center"/>
                </w:tcPr>
                <w:p w14:paraId="3E886032">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名称</w:t>
                  </w:r>
                </w:p>
              </w:tc>
              <w:tc>
                <w:tcPr>
                  <w:tcW w:w="0" w:type="auto"/>
                  <w:gridSpan w:val="2"/>
                  <w:shd w:val="clear" w:color="auto" w:fill="D9D9D9"/>
                  <w:vAlign w:val="center"/>
                </w:tcPr>
                <w:p w14:paraId="10DF3CA7">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坐标/m</w:t>
                  </w:r>
                </w:p>
              </w:tc>
              <w:tc>
                <w:tcPr>
                  <w:tcW w:w="0" w:type="auto"/>
                  <w:vMerge w:val="restart"/>
                  <w:shd w:val="clear" w:color="auto" w:fill="D9D9D9"/>
                  <w:vAlign w:val="center"/>
                </w:tcPr>
                <w:p w14:paraId="5F268804">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保护</w:t>
                  </w:r>
                </w:p>
                <w:p w14:paraId="643CE7E1">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对象</w:t>
                  </w:r>
                </w:p>
              </w:tc>
              <w:tc>
                <w:tcPr>
                  <w:tcW w:w="0" w:type="auto"/>
                  <w:vMerge w:val="restart"/>
                  <w:shd w:val="clear" w:color="auto" w:fill="D9D9D9"/>
                  <w:vAlign w:val="center"/>
                </w:tcPr>
                <w:p w14:paraId="0F988832">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保护内容</w:t>
                  </w:r>
                </w:p>
              </w:tc>
              <w:tc>
                <w:tcPr>
                  <w:tcW w:w="0" w:type="auto"/>
                  <w:vMerge w:val="restart"/>
                  <w:shd w:val="clear" w:color="auto" w:fill="D9D9D9"/>
                  <w:vAlign w:val="center"/>
                </w:tcPr>
                <w:p w14:paraId="69AD9764">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环境功能区划</w:t>
                  </w:r>
                </w:p>
              </w:tc>
              <w:tc>
                <w:tcPr>
                  <w:tcW w:w="0" w:type="auto"/>
                  <w:vMerge w:val="restart"/>
                  <w:shd w:val="clear" w:color="auto" w:fill="D9D9D9"/>
                  <w:vAlign w:val="center"/>
                </w:tcPr>
                <w:p w14:paraId="4395BE21">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相对厂址方位</w:t>
                  </w:r>
                </w:p>
              </w:tc>
              <w:tc>
                <w:tcPr>
                  <w:tcW w:w="0" w:type="auto"/>
                  <w:vMerge w:val="restart"/>
                  <w:shd w:val="clear" w:color="auto" w:fill="D9D9D9"/>
                  <w:vAlign w:val="center"/>
                </w:tcPr>
                <w:p w14:paraId="62ABD9EB">
                  <w:pPr>
                    <w:snapToGrid w:val="0"/>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相对厂界距离</w:t>
                  </w:r>
                </w:p>
                <w:p w14:paraId="75D3F5B8">
                  <w:pPr>
                    <w:snapToGri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（m）</w:t>
                  </w:r>
                </w:p>
              </w:tc>
            </w:tr>
            <w:tr w14:paraId="535E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shd w:val="clear" w:color="auto" w:fill="auto"/>
                  <w:vAlign w:val="center"/>
                </w:tcPr>
                <w:p w14:paraId="4563CAB7">
                  <w:pPr>
                    <w:snapToGrid w:val="0"/>
                    <w:jc w:val="center"/>
                    <w:rPr>
                      <w:b/>
                      <w:bCs/>
                      <w:color w:val="000000" w:themeColor="text1"/>
                      <w:sz w:val="18"/>
                      <w:szCs w:val="18"/>
                      <w14:textFill>
                        <w14:solidFill>
                          <w14:schemeClr w14:val="tx1"/>
                        </w14:solidFill>
                      </w14:textFill>
                    </w:rPr>
                  </w:pPr>
                </w:p>
              </w:tc>
              <w:tc>
                <w:tcPr>
                  <w:tcW w:w="0" w:type="auto"/>
                  <w:vMerge w:val="continue"/>
                  <w:shd w:val="clear" w:color="auto" w:fill="auto"/>
                  <w:vAlign w:val="center"/>
                </w:tcPr>
                <w:p w14:paraId="2064A480">
                  <w:pPr>
                    <w:snapToGrid w:val="0"/>
                    <w:jc w:val="center"/>
                    <w:rPr>
                      <w:b/>
                      <w:bCs/>
                      <w:color w:val="000000" w:themeColor="text1"/>
                      <w:sz w:val="18"/>
                      <w:szCs w:val="18"/>
                      <w14:textFill>
                        <w14:solidFill>
                          <w14:schemeClr w14:val="tx1"/>
                        </w14:solidFill>
                      </w14:textFill>
                    </w:rPr>
                  </w:pPr>
                </w:p>
              </w:tc>
              <w:tc>
                <w:tcPr>
                  <w:tcW w:w="0" w:type="auto"/>
                  <w:shd w:val="clear" w:color="auto" w:fill="D9D9D9"/>
                  <w:vAlign w:val="center"/>
                </w:tcPr>
                <w:p w14:paraId="50078A0E">
                  <w:pPr>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X</w:t>
                  </w:r>
                </w:p>
              </w:tc>
              <w:tc>
                <w:tcPr>
                  <w:tcW w:w="0" w:type="auto"/>
                  <w:shd w:val="clear" w:color="auto" w:fill="D9D9D9"/>
                  <w:vAlign w:val="center"/>
                </w:tcPr>
                <w:p w14:paraId="4C4826D5">
                  <w:pPr>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Y</w:t>
                  </w:r>
                </w:p>
              </w:tc>
              <w:tc>
                <w:tcPr>
                  <w:tcW w:w="0" w:type="auto"/>
                  <w:vMerge w:val="continue"/>
                  <w:vAlign w:val="center"/>
                </w:tcPr>
                <w:p w14:paraId="07069ADD">
                  <w:pPr>
                    <w:snapToGrid w:val="0"/>
                    <w:jc w:val="center"/>
                    <w:rPr>
                      <w:color w:val="000000" w:themeColor="text1"/>
                      <w:sz w:val="18"/>
                      <w:szCs w:val="18"/>
                      <w14:textFill>
                        <w14:solidFill>
                          <w14:schemeClr w14:val="tx1"/>
                        </w14:solidFill>
                      </w14:textFill>
                    </w:rPr>
                  </w:pPr>
                </w:p>
              </w:tc>
              <w:tc>
                <w:tcPr>
                  <w:tcW w:w="0" w:type="auto"/>
                  <w:vMerge w:val="continue"/>
                  <w:vAlign w:val="center"/>
                </w:tcPr>
                <w:p w14:paraId="236FCFD4">
                  <w:pPr>
                    <w:snapToGrid w:val="0"/>
                    <w:jc w:val="center"/>
                    <w:rPr>
                      <w:color w:val="000000" w:themeColor="text1"/>
                      <w:sz w:val="18"/>
                      <w:szCs w:val="18"/>
                      <w14:textFill>
                        <w14:solidFill>
                          <w14:schemeClr w14:val="tx1"/>
                        </w14:solidFill>
                      </w14:textFill>
                    </w:rPr>
                  </w:pPr>
                </w:p>
              </w:tc>
              <w:tc>
                <w:tcPr>
                  <w:tcW w:w="0" w:type="auto"/>
                  <w:vMerge w:val="continue"/>
                  <w:vAlign w:val="center"/>
                </w:tcPr>
                <w:p w14:paraId="1384ACB1">
                  <w:pPr>
                    <w:snapToGrid w:val="0"/>
                    <w:jc w:val="center"/>
                    <w:rPr>
                      <w:color w:val="000000" w:themeColor="text1"/>
                      <w:sz w:val="18"/>
                      <w:szCs w:val="18"/>
                      <w14:textFill>
                        <w14:solidFill>
                          <w14:schemeClr w14:val="tx1"/>
                        </w14:solidFill>
                      </w14:textFill>
                    </w:rPr>
                  </w:pPr>
                </w:p>
              </w:tc>
              <w:tc>
                <w:tcPr>
                  <w:tcW w:w="0" w:type="auto"/>
                  <w:vMerge w:val="continue"/>
                  <w:vAlign w:val="center"/>
                </w:tcPr>
                <w:p w14:paraId="63E1D060">
                  <w:pPr>
                    <w:snapToGrid w:val="0"/>
                    <w:jc w:val="center"/>
                    <w:rPr>
                      <w:color w:val="000000" w:themeColor="text1"/>
                      <w:sz w:val="18"/>
                      <w:szCs w:val="18"/>
                      <w14:textFill>
                        <w14:solidFill>
                          <w14:schemeClr w14:val="tx1"/>
                        </w14:solidFill>
                      </w14:textFill>
                    </w:rPr>
                  </w:pPr>
                </w:p>
              </w:tc>
              <w:tc>
                <w:tcPr>
                  <w:tcW w:w="0" w:type="auto"/>
                  <w:vMerge w:val="continue"/>
                  <w:vAlign w:val="center"/>
                </w:tcPr>
                <w:p w14:paraId="6903D70D">
                  <w:pPr>
                    <w:snapToGrid w:val="0"/>
                    <w:jc w:val="center"/>
                    <w:rPr>
                      <w:color w:val="000000" w:themeColor="text1"/>
                      <w:sz w:val="18"/>
                      <w:szCs w:val="18"/>
                      <w14:textFill>
                        <w14:solidFill>
                          <w14:schemeClr w14:val="tx1"/>
                        </w14:solidFill>
                      </w14:textFill>
                    </w:rPr>
                  </w:pPr>
                </w:p>
              </w:tc>
            </w:tr>
            <w:tr w14:paraId="36141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restart"/>
                  <w:vAlign w:val="center"/>
                </w:tcPr>
                <w:p w14:paraId="5971787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0" w:type="auto"/>
                  <w:vAlign w:val="center"/>
                </w:tcPr>
                <w:p w14:paraId="71276F27">
                  <w:pPr>
                    <w:jc w:val="center"/>
                    <w:rPr>
                      <w:color w:val="000000" w:themeColor="text1"/>
                      <w:sz w:val="18"/>
                      <w:szCs w:val="18"/>
                      <w:lang w:eastAsia="en-US"/>
                      <w14:textFill>
                        <w14:solidFill>
                          <w14:schemeClr w14:val="tx1"/>
                        </w14:solidFill>
                      </w14:textFill>
                    </w:rPr>
                  </w:pPr>
                  <w:r>
                    <w:rPr>
                      <w:rFonts w:hint="eastAsia"/>
                      <w:color w:val="000000" w:themeColor="text1"/>
                      <w:sz w:val="18"/>
                      <w:szCs w:val="18"/>
                      <w14:textFill>
                        <w14:solidFill>
                          <w14:schemeClr w14:val="tx1"/>
                        </w14:solidFill>
                      </w14:textFill>
                    </w:rPr>
                    <w:t>西埇1</w:t>
                  </w:r>
                </w:p>
              </w:tc>
              <w:tc>
                <w:tcPr>
                  <w:tcW w:w="0" w:type="auto"/>
                  <w:vAlign w:val="center"/>
                </w:tcPr>
                <w:p w14:paraId="10E02A06">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319</w:t>
                  </w:r>
                </w:p>
              </w:tc>
              <w:tc>
                <w:tcPr>
                  <w:tcW w:w="0" w:type="auto"/>
                  <w:vAlign w:val="center"/>
                </w:tcPr>
                <w:p w14:paraId="02B8EF97">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-228</w:t>
                  </w:r>
                </w:p>
              </w:tc>
              <w:tc>
                <w:tcPr>
                  <w:tcW w:w="0" w:type="auto"/>
                  <w:vAlign w:val="center"/>
                </w:tcPr>
                <w:p w14:paraId="0BCC2B4E">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居民区</w:t>
                  </w:r>
                </w:p>
              </w:tc>
              <w:tc>
                <w:tcPr>
                  <w:tcW w:w="0" w:type="auto"/>
                  <w:vAlign w:val="center"/>
                </w:tcPr>
                <w:p w14:paraId="32A612B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约230人</w:t>
                  </w:r>
                </w:p>
              </w:tc>
              <w:tc>
                <w:tcPr>
                  <w:tcW w:w="0" w:type="auto"/>
                  <w:vAlign w:val="center"/>
                </w:tcPr>
                <w:p w14:paraId="282832D0">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大气环境二类区</w:t>
                  </w:r>
                </w:p>
              </w:tc>
              <w:tc>
                <w:tcPr>
                  <w:tcW w:w="0" w:type="auto"/>
                  <w:vAlign w:val="center"/>
                </w:tcPr>
                <w:p w14:paraId="29321F5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东南</w:t>
                  </w:r>
                </w:p>
              </w:tc>
              <w:tc>
                <w:tcPr>
                  <w:tcW w:w="0" w:type="auto"/>
                  <w:vAlign w:val="center"/>
                </w:tcPr>
                <w:p w14:paraId="02E8BFD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227</w:t>
                  </w:r>
                </w:p>
              </w:tc>
            </w:tr>
            <w:tr w14:paraId="711D5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Merge w:val="continue"/>
                  <w:vAlign w:val="center"/>
                </w:tcPr>
                <w:p w14:paraId="3BA46D1F">
                  <w:pPr>
                    <w:jc w:val="center"/>
                    <w:rPr>
                      <w:color w:val="000000" w:themeColor="text1"/>
                      <w:sz w:val="18"/>
                      <w:szCs w:val="18"/>
                      <w14:textFill>
                        <w14:solidFill>
                          <w14:schemeClr w14:val="tx1"/>
                        </w14:solidFill>
                      </w14:textFill>
                    </w:rPr>
                  </w:pPr>
                </w:p>
              </w:tc>
              <w:tc>
                <w:tcPr>
                  <w:tcW w:w="0" w:type="auto"/>
                  <w:vAlign w:val="center"/>
                </w:tcPr>
                <w:p w14:paraId="2DFB151B">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西埇2</w:t>
                  </w:r>
                </w:p>
              </w:tc>
              <w:tc>
                <w:tcPr>
                  <w:tcW w:w="0" w:type="auto"/>
                  <w:vAlign w:val="center"/>
                </w:tcPr>
                <w:p w14:paraId="1465744B">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230</w:t>
                  </w:r>
                </w:p>
              </w:tc>
              <w:tc>
                <w:tcPr>
                  <w:tcW w:w="0" w:type="auto"/>
                  <w:vAlign w:val="center"/>
                </w:tcPr>
                <w:p w14:paraId="132B1FAA">
                  <w:pPr>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-427</w:t>
                  </w:r>
                </w:p>
              </w:tc>
              <w:tc>
                <w:tcPr>
                  <w:tcW w:w="0" w:type="auto"/>
                  <w:shd w:val="clear" w:color="auto" w:fill="auto"/>
                  <w:vAlign w:val="center"/>
                </w:tcPr>
                <w:p w14:paraId="786A7BFF">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居民区</w:t>
                  </w:r>
                </w:p>
              </w:tc>
              <w:tc>
                <w:tcPr>
                  <w:tcW w:w="0" w:type="auto"/>
                  <w:shd w:val="clear" w:color="auto" w:fill="auto"/>
                  <w:vAlign w:val="center"/>
                </w:tcPr>
                <w:p w14:paraId="2823CB2B">
                  <w:pPr>
                    <w:jc w:val="center"/>
                    <w:rPr>
                      <w:color w:val="000000" w:themeColor="text1"/>
                      <w:sz w:val="18"/>
                      <w:szCs w:val="18"/>
                      <w:lang w:eastAsia="en-US"/>
                      <w14:textFill>
                        <w14:solidFill>
                          <w14:schemeClr w14:val="tx1"/>
                        </w14:solidFill>
                      </w14:textFill>
                    </w:rPr>
                  </w:pPr>
                  <w:r>
                    <w:rPr>
                      <w:rFonts w:hint="eastAsia"/>
                      <w:color w:val="000000" w:themeColor="text1"/>
                      <w:sz w:val="18"/>
                      <w:szCs w:val="18"/>
                      <w14:textFill>
                        <w14:solidFill>
                          <w14:schemeClr w14:val="tx1"/>
                        </w14:solidFill>
                      </w14:textFill>
                    </w:rPr>
                    <w:t>约40人</w:t>
                  </w:r>
                </w:p>
              </w:tc>
              <w:tc>
                <w:tcPr>
                  <w:tcW w:w="0" w:type="auto"/>
                  <w:shd w:val="clear" w:color="auto" w:fill="auto"/>
                  <w:vAlign w:val="center"/>
                </w:tcPr>
                <w:p w14:paraId="0035E8E5">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大气环境二类区</w:t>
                  </w:r>
                </w:p>
              </w:tc>
              <w:tc>
                <w:tcPr>
                  <w:tcW w:w="0" w:type="auto"/>
                  <w:vAlign w:val="center"/>
                </w:tcPr>
                <w:p w14:paraId="2F345C7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东南</w:t>
                  </w:r>
                </w:p>
              </w:tc>
              <w:tc>
                <w:tcPr>
                  <w:tcW w:w="0" w:type="auto"/>
                  <w:vAlign w:val="center"/>
                </w:tcPr>
                <w:p w14:paraId="06CC9283">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262</w:t>
                  </w:r>
                </w:p>
              </w:tc>
            </w:tr>
            <w:tr w14:paraId="184A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0D1754E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0" w:type="auto"/>
                  <w:vAlign w:val="center"/>
                </w:tcPr>
                <w:p w14:paraId="5320A13E">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高墩角</w:t>
                  </w:r>
                </w:p>
              </w:tc>
              <w:tc>
                <w:tcPr>
                  <w:tcW w:w="0" w:type="auto"/>
                  <w:vAlign w:val="center"/>
                </w:tcPr>
                <w:p w14:paraId="25D6AF6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-259</w:t>
                  </w:r>
                </w:p>
              </w:tc>
              <w:tc>
                <w:tcPr>
                  <w:tcW w:w="0" w:type="auto"/>
                  <w:vAlign w:val="center"/>
                </w:tcPr>
                <w:p w14:paraId="3812C64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-503</w:t>
                  </w:r>
                </w:p>
              </w:tc>
              <w:tc>
                <w:tcPr>
                  <w:tcW w:w="0" w:type="auto"/>
                  <w:vAlign w:val="center"/>
                </w:tcPr>
                <w:p w14:paraId="434D4173">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居民区</w:t>
                  </w:r>
                </w:p>
              </w:tc>
              <w:tc>
                <w:tcPr>
                  <w:tcW w:w="0" w:type="auto"/>
                  <w:vAlign w:val="center"/>
                </w:tcPr>
                <w:p w14:paraId="05D4A056">
                  <w:pPr>
                    <w:jc w:val="center"/>
                    <w:rPr>
                      <w:color w:val="000000" w:themeColor="text1"/>
                      <w:sz w:val="18"/>
                      <w:szCs w:val="18"/>
                      <w:lang w:eastAsia="en-US"/>
                      <w14:textFill>
                        <w14:solidFill>
                          <w14:schemeClr w14:val="tx1"/>
                        </w14:solidFill>
                      </w14:textFill>
                    </w:rPr>
                  </w:pPr>
                  <w:r>
                    <w:rPr>
                      <w:rFonts w:hint="eastAsia"/>
                      <w:color w:val="000000" w:themeColor="text1"/>
                      <w:sz w:val="18"/>
                      <w:szCs w:val="18"/>
                      <w14:textFill>
                        <w14:solidFill>
                          <w14:schemeClr w14:val="tx1"/>
                        </w14:solidFill>
                      </w14:textFill>
                    </w:rPr>
                    <w:t>约125人</w:t>
                  </w:r>
                </w:p>
              </w:tc>
              <w:tc>
                <w:tcPr>
                  <w:tcW w:w="0" w:type="auto"/>
                  <w:vAlign w:val="center"/>
                </w:tcPr>
                <w:p w14:paraId="4917C8A0">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大气环境二类区</w:t>
                  </w:r>
                </w:p>
              </w:tc>
              <w:tc>
                <w:tcPr>
                  <w:tcW w:w="0" w:type="auto"/>
                  <w:vAlign w:val="center"/>
                </w:tcPr>
                <w:p w14:paraId="3078839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西南</w:t>
                  </w:r>
                </w:p>
              </w:tc>
              <w:tc>
                <w:tcPr>
                  <w:tcW w:w="0" w:type="auto"/>
                  <w:vAlign w:val="center"/>
                </w:tcPr>
                <w:p w14:paraId="1A5DB737">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465</w:t>
                  </w:r>
                </w:p>
              </w:tc>
            </w:tr>
            <w:tr w14:paraId="39EEE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7A5D941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0" w:type="auto"/>
                  <w:vAlign w:val="center"/>
                </w:tcPr>
                <w:p w14:paraId="7307B3F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福祉村民居</w:t>
                  </w:r>
                </w:p>
              </w:tc>
              <w:tc>
                <w:tcPr>
                  <w:tcW w:w="0" w:type="auto"/>
                  <w:vAlign w:val="center"/>
                </w:tcPr>
                <w:p w14:paraId="0990C53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416</w:t>
                  </w:r>
                </w:p>
              </w:tc>
              <w:tc>
                <w:tcPr>
                  <w:tcW w:w="0" w:type="auto"/>
                  <w:vAlign w:val="center"/>
                </w:tcPr>
                <w:p w14:paraId="11EA431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471</w:t>
                  </w:r>
                </w:p>
              </w:tc>
              <w:tc>
                <w:tcPr>
                  <w:tcW w:w="0" w:type="auto"/>
                  <w:shd w:val="clear" w:color="auto" w:fill="auto"/>
                  <w:vAlign w:val="center"/>
                </w:tcPr>
                <w:p w14:paraId="631BC195">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居民区</w:t>
                  </w:r>
                </w:p>
              </w:tc>
              <w:tc>
                <w:tcPr>
                  <w:tcW w:w="0" w:type="auto"/>
                  <w:shd w:val="clear" w:color="auto" w:fill="auto"/>
                  <w:vAlign w:val="center"/>
                </w:tcPr>
                <w:p w14:paraId="3ADE6C3D">
                  <w:pPr>
                    <w:jc w:val="center"/>
                    <w:rPr>
                      <w:color w:val="000000" w:themeColor="text1"/>
                      <w:sz w:val="18"/>
                      <w:szCs w:val="18"/>
                      <w:lang w:eastAsia="en-US"/>
                      <w14:textFill>
                        <w14:solidFill>
                          <w14:schemeClr w14:val="tx1"/>
                        </w14:solidFill>
                      </w14:textFill>
                    </w:rPr>
                  </w:pPr>
                  <w:r>
                    <w:rPr>
                      <w:rFonts w:hint="eastAsia"/>
                      <w:color w:val="000000" w:themeColor="text1"/>
                      <w:sz w:val="18"/>
                      <w:szCs w:val="18"/>
                      <w14:textFill>
                        <w14:solidFill>
                          <w14:schemeClr w14:val="tx1"/>
                        </w14:solidFill>
                      </w14:textFill>
                    </w:rPr>
                    <w:t>约20人</w:t>
                  </w:r>
                </w:p>
              </w:tc>
              <w:tc>
                <w:tcPr>
                  <w:tcW w:w="0" w:type="auto"/>
                  <w:shd w:val="clear" w:color="auto" w:fill="auto"/>
                  <w:vAlign w:val="center"/>
                </w:tcPr>
                <w:p w14:paraId="01EB2459">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大气环境二类区</w:t>
                  </w:r>
                </w:p>
              </w:tc>
              <w:tc>
                <w:tcPr>
                  <w:tcW w:w="0" w:type="auto"/>
                  <w:shd w:val="clear" w:color="auto" w:fill="auto"/>
                  <w:vAlign w:val="center"/>
                </w:tcPr>
                <w:p w14:paraId="34DE290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东北</w:t>
                  </w:r>
                </w:p>
              </w:tc>
              <w:tc>
                <w:tcPr>
                  <w:tcW w:w="0" w:type="auto"/>
                  <w:shd w:val="clear" w:color="auto" w:fill="auto"/>
                  <w:vAlign w:val="center"/>
                </w:tcPr>
                <w:p w14:paraId="49D98C7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481</w:t>
                  </w:r>
                </w:p>
              </w:tc>
            </w:tr>
            <w:tr w14:paraId="014D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center"/>
                </w:tcPr>
                <w:p w14:paraId="1D93FF5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c>
                <w:tcPr>
                  <w:tcW w:w="0" w:type="auto"/>
                  <w:vAlign w:val="center"/>
                </w:tcPr>
                <w:p w14:paraId="51B81B7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屋背埇民居</w:t>
                  </w:r>
                </w:p>
              </w:tc>
              <w:tc>
                <w:tcPr>
                  <w:tcW w:w="0" w:type="auto"/>
                  <w:vAlign w:val="center"/>
                </w:tcPr>
                <w:p w14:paraId="1F02F3D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-520</w:t>
                  </w:r>
                </w:p>
              </w:tc>
              <w:tc>
                <w:tcPr>
                  <w:tcW w:w="0" w:type="auto"/>
                  <w:vAlign w:val="center"/>
                </w:tcPr>
                <w:p w14:paraId="4F51FEE9">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419</w:t>
                  </w:r>
                </w:p>
              </w:tc>
              <w:tc>
                <w:tcPr>
                  <w:tcW w:w="0" w:type="auto"/>
                  <w:shd w:val="clear" w:color="auto" w:fill="auto"/>
                  <w:vAlign w:val="center"/>
                </w:tcPr>
                <w:p w14:paraId="17AD0F22">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居民区</w:t>
                  </w:r>
                </w:p>
              </w:tc>
              <w:tc>
                <w:tcPr>
                  <w:tcW w:w="0" w:type="auto"/>
                  <w:shd w:val="clear" w:color="auto" w:fill="auto"/>
                  <w:vAlign w:val="center"/>
                </w:tcPr>
                <w:p w14:paraId="652A40B3">
                  <w:pPr>
                    <w:jc w:val="center"/>
                    <w:rPr>
                      <w:color w:val="000000" w:themeColor="text1"/>
                      <w:sz w:val="18"/>
                      <w:szCs w:val="18"/>
                      <w:lang w:eastAsia="en-US"/>
                      <w14:textFill>
                        <w14:solidFill>
                          <w14:schemeClr w14:val="tx1"/>
                        </w14:solidFill>
                      </w14:textFill>
                    </w:rPr>
                  </w:pPr>
                  <w:r>
                    <w:rPr>
                      <w:rFonts w:hint="eastAsia"/>
                      <w:color w:val="000000" w:themeColor="text1"/>
                      <w:sz w:val="18"/>
                      <w:szCs w:val="18"/>
                      <w14:textFill>
                        <w14:solidFill>
                          <w14:schemeClr w14:val="tx1"/>
                        </w14:solidFill>
                      </w14:textFill>
                    </w:rPr>
                    <w:t>约25人</w:t>
                  </w:r>
                </w:p>
              </w:tc>
              <w:tc>
                <w:tcPr>
                  <w:tcW w:w="0" w:type="auto"/>
                  <w:shd w:val="clear" w:color="auto" w:fill="auto"/>
                  <w:vAlign w:val="center"/>
                </w:tcPr>
                <w:p w14:paraId="2100F975">
                  <w:pPr>
                    <w:jc w:val="center"/>
                    <w:rPr>
                      <w:color w:val="000000" w:themeColor="text1"/>
                      <w:sz w:val="18"/>
                      <w:szCs w:val="18"/>
                      <w:lang w:eastAsia="en-US"/>
                      <w14:textFill>
                        <w14:solidFill>
                          <w14:schemeClr w14:val="tx1"/>
                        </w14:solidFill>
                      </w14:textFill>
                    </w:rPr>
                  </w:pPr>
                  <w:r>
                    <w:rPr>
                      <w:color w:val="000000" w:themeColor="text1"/>
                      <w:sz w:val="18"/>
                      <w:szCs w:val="18"/>
                      <w14:textFill>
                        <w14:solidFill>
                          <w14:schemeClr w14:val="tx1"/>
                        </w14:solidFill>
                      </w14:textFill>
                    </w:rPr>
                    <w:t>大气环境二类区</w:t>
                  </w:r>
                </w:p>
              </w:tc>
              <w:tc>
                <w:tcPr>
                  <w:tcW w:w="0" w:type="auto"/>
                  <w:shd w:val="clear" w:color="auto" w:fill="auto"/>
                  <w:vAlign w:val="center"/>
                </w:tcPr>
                <w:p w14:paraId="3D6EBC9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西北</w:t>
                  </w:r>
                </w:p>
              </w:tc>
              <w:tc>
                <w:tcPr>
                  <w:tcW w:w="0" w:type="auto"/>
                  <w:shd w:val="clear" w:color="auto" w:fill="auto"/>
                  <w:vAlign w:val="center"/>
                </w:tcPr>
                <w:p w14:paraId="5C45EACF">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500</w:t>
                  </w:r>
                </w:p>
              </w:tc>
            </w:tr>
            <w:tr w14:paraId="792A2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gridSpan w:val="9"/>
                  <w:vAlign w:val="center"/>
                </w:tcPr>
                <w:p w14:paraId="25B057EF">
                  <w:pPr>
                    <w:snapToGrid w:val="0"/>
                    <w:jc w:val="left"/>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注：设本项目所在位置中心坐标为原点（0</w:t>
                  </w:r>
                  <w:r>
                    <w:rPr>
                      <w:rFonts w:hint="eastAsia" w:ascii="宋体" w:hAnsi="宋体" w:cs="宋体"/>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0），周围敏感点坐标取距离项目最近的位置。</w:t>
                  </w:r>
                </w:p>
              </w:tc>
            </w:tr>
          </w:tbl>
          <w:p w14:paraId="6252AF60">
            <w:pPr>
              <w:numPr>
                <w:ilvl w:val="0"/>
                <w:numId w:val="3"/>
              </w:num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声环境</w:t>
            </w:r>
          </w:p>
          <w:p w14:paraId="191ED4F6">
            <w:pPr>
              <w:spacing w:line="360" w:lineRule="auto"/>
              <w:ind w:left="420" w:left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厂界外50米范围内无声环境保护目标。</w:t>
            </w:r>
          </w:p>
          <w:p w14:paraId="4EDCA819">
            <w:pPr>
              <w:numPr>
                <w:ilvl w:val="0"/>
                <w:numId w:val="3"/>
              </w:num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地下水环境</w:t>
            </w:r>
          </w:p>
          <w:p w14:paraId="0229B2E8">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厂界外500米范围内无地下水集中式饮用水水源和热水、矿泉水、温泉等特殊地下水资源。</w:t>
            </w:r>
          </w:p>
          <w:p w14:paraId="14C1305F">
            <w:pPr>
              <w:numPr>
                <w:ilvl w:val="0"/>
                <w:numId w:val="3"/>
              </w:num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生态环境</w:t>
            </w:r>
          </w:p>
          <w:p w14:paraId="526967EE">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本项目位于</w:t>
            </w:r>
            <w:r>
              <w:rPr>
                <w:rFonts w:hint="eastAsia"/>
                <w:color w:val="000000" w:themeColor="text1"/>
                <w:szCs w:val="21"/>
                <w14:textFill>
                  <w14:solidFill>
                    <w14:schemeClr w14:val="tx1"/>
                  </w14:solidFill>
                </w14:textFill>
              </w:rPr>
              <w:t>湛江市廉江市营仔镇福山村高墩角经济合作社</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项目所在地范围内无</w:t>
            </w:r>
            <w:r>
              <w:rPr>
                <w:color w:val="000000" w:themeColor="text1"/>
                <w:szCs w:val="21"/>
                <w14:textFill>
                  <w14:solidFill>
                    <w14:schemeClr w14:val="tx1"/>
                  </w14:solidFill>
                </w14:textFill>
              </w:rPr>
              <w:t>生态</w:t>
            </w:r>
            <w:r>
              <w:rPr>
                <w:rFonts w:hint="eastAsia"/>
                <w:color w:val="000000" w:themeColor="text1"/>
                <w:szCs w:val="21"/>
                <w14:textFill>
                  <w14:solidFill>
                    <w14:schemeClr w14:val="tx1"/>
                  </w14:solidFill>
                </w14:textFill>
              </w:rPr>
              <w:t>环境</w:t>
            </w:r>
            <w:r>
              <w:rPr>
                <w:color w:val="000000" w:themeColor="text1"/>
                <w:szCs w:val="21"/>
                <w14:textFill>
                  <w14:solidFill>
                    <w14:schemeClr w14:val="tx1"/>
                  </w14:solidFill>
                </w14:textFill>
              </w:rPr>
              <w:t>保护目标。</w:t>
            </w:r>
          </w:p>
        </w:tc>
      </w:tr>
      <w:tr w14:paraId="690FB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14" w:type="dxa"/>
            <w:tcMar>
              <w:left w:w="28" w:type="dxa"/>
              <w:right w:w="28" w:type="dxa"/>
            </w:tcMar>
            <w:vAlign w:val="center"/>
          </w:tcPr>
          <w:p w14:paraId="11CC043B">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污染物排放控</w:t>
            </w:r>
          </w:p>
          <w:p w14:paraId="5ACAF578">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制标准</w:t>
            </w:r>
          </w:p>
        </w:tc>
        <w:tc>
          <w:tcPr>
            <w:tcW w:w="8873" w:type="dxa"/>
            <w:vAlign w:val="center"/>
          </w:tcPr>
          <w:p w14:paraId="3737D29D">
            <w:pPr>
              <w:pStyle w:val="42"/>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1、大气污染物排放标准</w:t>
            </w:r>
          </w:p>
          <w:p w14:paraId="73979897">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（1）颗粒物</w:t>
            </w:r>
          </w:p>
          <w:p w14:paraId="19C5C49B">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本项目厂界</w:t>
            </w:r>
            <w:r>
              <w:rPr>
                <w:color w:val="000000" w:themeColor="text1"/>
                <w14:textFill>
                  <w14:solidFill>
                    <w14:schemeClr w14:val="tx1"/>
                  </w14:solidFill>
                </w14:textFill>
              </w:rPr>
              <w:t>颗粒物执行广东省《大气污染物排放限值》（DB 44/27-2001）中第二时段无组织排放监控浓度限值。</w:t>
            </w:r>
          </w:p>
          <w:p w14:paraId="53142993">
            <w:pPr>
              <w:pStyle w:val="45"/>
              <w:rPr>
                <w:color w:val="000000" w:themeColor="text1"/>
                <w:lang w:val="ru-RU"/>
                <w14:textFill>
                  <w14:solidFill>
                    <w14:schemeClr w14:val="tx1"/>
                  </w14:solidFill>
                </w14:textFill>
              </w:rPr>
            </w:pPr>
            <w:r>
              <w:rPr>
                <w:color w:val="000000" w:themeColor="text1"/>
                <w:lang w:val="ru-RU"/>
                <w14:textFill>
                  <w14:solidFill>
                    <w14:schemeClr w14:val="tx1"/>
                  </w14:solidFill>
                </w14:textFill>
              </w:rPr>
              <w:t>表3-</w:t>
            </w:r>
            <w:r>
              <w:rPr>
                <w:rFonts w:hint="eastAsia"/>
                <w:color w:val="000000" w:themeColor="text1"/>
                <w14:textFill>
                  <w14:solidFill>
                    <w14:schemeClr w14:val="tx1"/>
                  </w14:solidFill>
                </w14:textFill>
              </w:rPr>
              <w:t>5</w:t>
            </w:r>
            <w:r>
              <w:rPr>
                <w:color w:val="000000" w:themeColor="text1"/>
                <w:lang w:val="ru-RU"/>
                <w14:textFill>
                  <w14:solidFill>
                    <w14:schemeClr w14:val="tx1"/>
                  </w14:solidFill>
                </w14:textFill>
              </w:rPr>
              <w:t xml:space="preserve"> </w:t>
            </w:r>
            <w:r>
              <w:rPr>
                <w:rFonts w:hint="eastAsia"/>
                <w:color w:val="000000" w:themeColor="text1"/>
                <w:lang w:val="ru-RU"/>
                <w14:textFill>
                  <w14:solidFill>
                    <w14:schemeClr w14:val="tx1"/>
                  </w14:solidFill>
                </w14:textFill>
              </w:rPr>
              <w:t>本项目大气污染物排放标准限值</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957"/>
              <w:gridCol w:w="3240"/>
              <w:gridCol w:w="4435"/>
            </w:tblGrid>
            <w:tr w14:paraId="3453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shd w:val="clear" w:color="auto" w:fill="D9D9D9"/>
                  <w:vAlign w:val="center"/>
                </w:tcPr>
                <w:p w14:paraId="478BE03E">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污染因子</w:t>
                  </w:r>
                </w:p>
              </w:tc>
              <w:tc>
                <w:tcPr>
                  <w:tcW w:w="1876" w:type="pct"/>
                  <w:shd w:val="clear" w:color="auto" w:fill="D9D9D9"/>
                  <w:vAlign w:val="center"/>
                </w:tcPr>
                <w:p w14:paraId="5C267D51">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无组织排放监控浓度限值（mg/m</w:t>
                  </w:r>
                  <w:r>
                    <w:rPr>
                      <w:rFonts w:hint="eastAsia" w:cs="Calibri"/>
                      <w:b/>
                      <w:color w:val="000000" w:themeColor="text1"/>
                      <w:kern w:val="0"/>
                      <w:sz w:val="18"/>
                      <w:szCs w:val="18"/>
                      <w:vertAlign w:val="superscript"/>
                      <w14:textFill>
                        <w14:solidFill>
                          <w14:schemeClr w14:val="tx1"/>
                        </w14:solidFill>
                      </w14:textFill>
                    </w:rPr>
                    <w:t>3</w:t>
                  </w:r>
                  <w:r>
                    <w:rPr>
                      <w:rFonts w:hint="eastAsia" w:cs="Calibri"/>
                      <w:b/>
                      <w:color w:val="000000" w:themeColor="text1"/>
                      <w:kern w:val="0"/>
                      <w:sz w:val="18"/>
                      <w:szCs w:val="18"/>
                      <w14:textFill>
                        <w14:solidFill>
                          <w14:schemeClr w14:val="tx1"/>
                        </w14:solidFill>
                      </w14:textFill>
                    </w:rPr>
                    <w:t>）</w:t>
                  </w:r>
                </w:p>
              </w:tc>
              <w:tc>
                <w:tcPr>
                  <w:tcW w:w="2568" w:type="pct"/>
                  <w:shd w:val="clear" w:color="auto" w:fill="D9D9D9"/>
                  <w:vAlign w:val="center"/>
                </w:tcPr>
                <w:p w14:paraId="4BA2819D">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执行标准</w:t>
                  </w:r>
                </w:p>
              </w:tc>
            </w:tr>
            <w:tr w14:paraId="25D6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vAlign w:val="center"/>
                </w:tcPr>
                <w:p w14:paraId="78F8065A">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颗粒物</w:t>
                  </w:r>
                </w:p>
              </w:tc>
              <w:tc>
                <w:tcPr>
                  <w:tcW w:w="1876" w:type="pct"/>
                  <w:vAlign w:val="center"/>
                </w:tcPr>
                <w:p w14:paraId="5E18B4F0">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1</w:t>
                  </w:r>
                  <w:r>
                    <w:rPr>
                      <w:rStyle w:val="27"/>
                      <w:rFonts w:hint="eastAsia"/>
                      <w:color w:val="000000" w:themeColor="text1"/>
                      <w:kern w:val="0"/>
                      <w14:textFill>
                        <w14:solidFill>
                          <w14:schemeClr w14:val="tx1"/>
                        </w14:solidFill>
                      </w14:textFill>
                    </w:rPr>
                    <w:t>.0</w:t>
                  </w:r>
                </w:p>
              </w:tc>
              <w:tc>
                <w:tcPr>
                  <w:tcW w:w="2568" w:type="pct"/>
                  <w:vAlign w:val="center"/>
                </w:tcPr>
                <w:p w14:paraId="74E239F8">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广东省《大气污染物排放限值》（DB44/27-2001）</w:t>
                  </w:r>
                </w:p>
              </w:tc>
            </w:tr>
          </w:tbl>
          <w:p w14:paraId="3DF6A727">
            <w:pPr>
              <w:adjustRightInd w:val="0"/>
              <w:snapToGrid w:val="0"/>
              <w:spacing w:line="360" w:lineRule="auto"/>
              <w:ind w:firstLine="420" w:firstLineChars="200"/>
              <w:jc w:val="left"/>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（2）食堂油烟</w:t>
            </w:r>
          </w:p>
          <w:p w14:paraId="3A776A1F">
            <w:pPr>
              <w:autoSpaceDE w:val="0"/>
              <w:autoSpaceDN w:val="0"/>
              <w:adjustRightInd w:val="0"/>
              <w:snapToGrid w:val="0"/>
              <w:spacing w:line="360" w:lineRule="auto"/>
              <w:ind w:firstLine="420" w:firstLineChars="200"/>
              <w:rPr>
                <w:rStyle w:val="27"/>
                <w:color w:val="000000" w:themeColor="text1"/>
                <w:kern w:val="0"/>
                <w14:textFill>
                  <w14:solidFill>
                    <w14:schemeClr w14:val="tx1"/>
                  </w14:solidFill>
                </w14:textFill>
              </w:rPr>
            </w:pPr>
            <w:r>
              <w:rPr>
                <w:color w:val="000000" w:themeColor="text1"/>
                <w:kern w:val="0"/>
                <w:szCs w:val="21"/>
                <w14:textFill>
                  <w14:solidFill>
                    <w14:schemeClr w14:val="tx1"/>
                  </w14:solidFill>
                </w14:textFill>
              </w:rPr>
              <w:t>项目食堂油烟执行《饮食业油烟排放标准（试行）》（GB18483-2001）</w:t>
            </w:r>
            <w:r>
              <w:rPr>
                <w:rFonts w:hint="eastAsia"/>
                <w:color w:val="000000" w:themeColor="text1"/>
                <w:kern w:val="0"/>
                <w:szCs w:val="21"/>
                <w14:textFill>
                  <w14:solidFill>
                    <w14:schemeClr w14:val="tx1"/>
                  </w14:solidFill>
                </w14:textFill>
              </w:rPr>
              <w:t>中</w:t>
            </w:r>
            <w:r>
              <w:rPr>
                <w:color w:val="000000" w:themeColor="text1"/>
                <w:kern w:val="0"/>
                <w:szCs w:val="21"/>
                <w14:textFill>
                  <w14:solidFill>
                    <w14:schemeClr w14:val="tx1"/>
                  </w14:solidFill>
                </w14:textFill>
              </w:rPr>
              <w:t>型规模标准，即最高允许排放浓度为2.0mg/m</w:t>
            </w:r>
            <w:r>
              <w:rPr>
                <w:color w:val="000000" w:themeColor="text1"/>
                <w:kern w:val="0"/>
                <w:szCs w:val="21"/>
                <w:vertAlign w:val="superscript"/>
                <w14:textFill>
                  <w14:solidFill>
                    <w14:schemeClr w14:val="tx1"/>
                  </w14:solidFill>
                </w14:textFill>
              </w:rPr>
              <w:t>3</w:t>
            </w:r>
            <w:r>
              <w:rPr>
                <w:rStyle w:val="27"/>
                <w:rFonts w:hint="eastAsia"/>
                <w:color w:val="000000" w:themeColor="text1"/>
                <w:kern w:val="0"/>
                <w14:textFill>
                  <w14:solidFill>
                    <w14:schemeClr w14:val="tx1"/>
                  </w14:solidFill>
                </w14:textFill>
              </w:rPr>
              <w:t>，净化设施最低去除效率为75%。</w:t>
            </w:r>
          </w:p>
          <w:p w14:paraId="049BB63F">
            <w:pPr>
              <w:autoSpaceDE w:val="0"/>
              <w:autoSpaceDN w:val="0"/>
              <w:adjustRightInd w:val="0"/>
              <w:snapToGrid w:val="0"/>
              <w:spacing w:line="360" w:lineRule="auto"/>
              <w:ind w:firstLine="420" w:firstLineChars="200"/>
              <w:rPr>
                <w:rStyle w:val="27"/>
                <w:color w:val="000000" w:themeColor="text1"/>
                <w:kern w:val="0"/>
                <w14:textFill>
                  <w14:solidFill>
                    <w14:schemeClr w14:val="tx1"/>
                  </w14:solidFill>
                </w14:textFill>
              </w:rPr>
            </w:pPr>
            <w:r>
              <w:rPr>
                <w:rStyle w:val="27"/>
                <w:rFonts w:hint="eastAsia"/>
                <w:color w:val="000000" w:themeColor="text1"/>
                <w:kern w:val="0"/>
                <w14:textFill>
                  <w14:solidFill>
                    <w14:schemeClr w14:val="tx1"/>
                  </w14:solidFill>
                </w14:textFill>
              </w:rPr>
              <w:t>（3）运输车辆尾气</w:t>
            </w:r>
          </w:p>
          <w:p w14:paraId="6B7598CD">
            <w:pPr>
              <w:autoSpaceDE w:val="0"/>
              <w:autoSpaceDN w:val="0"/>
              <w:adjustRightInd w:val="0"/>
              <w:snapToGrid w:val="0"/>
              <w:spacing w:line="360" w:lineRule="auto"/>
              <w:ind w:firstLine="420" w:firstLineChars="200"/>
              <w:rPr>
                <w:rStyle w:val="27"/>
                <w:color w:val="000000" w:themeColor="text1"/>
                <w:kern w:val="0"/>
                <w14:textFill>
                  <w14:solidFill>
                    <w14:schemeClr w14:val="tx1"/>
                  </w14:solidFill>
                </w14:textFill>
              </w:rPr>
            </w:pPr>
            <w:r>
              <w:rPr>
                <w:rStyle w:val="27"/>
                <w:color w:val="000000" w:themeColor="text1"/>
                <w:kern w:val="0"/>
                <w14:textFill>
                  <w14:solidFill>
                    <w14:schemeClr w14:val="tx1"/>
                  </w14:solidFill>
                </w14:textFill>
              </w:rPr>
              <w:t>本项目运输车辆尾气（CO、NOx、</w:t>
            </w:r>
            <w:r>
              <w:rPr>
                <w:rStyle w:val="27"/>
                <w:rFonts w:hint="eastAsia"/>
                <w:color w:val="000000" w:themeColor="text1"/>
                <w:kern w:val="0"/>
                <w14:textFill>
                  <w14:solidFill>
                    <w14:schemeClr w14:val="tx1"/>
                  </w14:solidFill>
                </w14:textFill>
              </w:rPr>
              <w:t>T</w:t>
            </w:r>
            <w:r>
              <w:rPr>
                <w:rStyle w:val="27"/>
                <w:color w:val="000000" w:themeColor="text1"/>
                <w:kern w:val="0"/>
                <w14:textFill>
                  <w14:solidFill>
                    <w14:schemeClr w14:val="tx1"/>
                  </w14:solidFill>
                </w14:textFill>
              </w:rPr>
              <w:t>HC）无组织排放执行广东省地方标准《大气污染物排放限值》（DB 44/27-2001）第二时段无组织排放监控浓度限值的要求；</w:t>
            </w:r>
          </w:p>
          <w:p w14:paraId="1E3141F2">
            <w:pPr>
              <w:pStyle w:val="45"/>
              <w:rPr>
                <w:color w:val="000000" w:themeColor="text1"/>
                <w:lang w:val="ru-RU"/>
                <w14:textFill>
                  <w14:solidFill>
                    <w14:schemeClr w14:val="tx1"/>
                  </w14:solidFill>
                </w14:textFill>
              </w:rPr>
            </w:pPr>
            <w:r>
              <w:rPr>
                <w:color w:val="000000" w:themeColor="text1"/>
                <w:lang w:val="ru-RU"/>
                <w14:textFill>
                  <w14:solidFill>
                    <w14:schemeClr w14:val="tx1"/>
                  </w14:solidFill>
                </w14:textFill>
              </w:rPr>
              <w:t>表3-</w:t>
            </w:r>
            <w:r>
              <w:rPr>
                <w:rFonts w:hint="eastAsia"/>
                <w:color w:val="000000" w:themeColor="text1"/>
                <w14:textFill>
                  <w14:solidFill>
                    <w14:schemeClr w14:val="tx1"/>
                  </w14:solidFill>
                </w14:textFill>
              </w:rPr>
              <w:t>6</w:t>
            </w:r>
            <w:r>
              <w:rPr>
                <w:color w:val="000000" w:themeColor="text1"/>
                <w:lang w:val="ru-RU"/>
                <w14:textFill>
                  <w14:solidFill>
                    <w14:schemeClr w14:val="tx1"/>
                  </w14:solidFill>
                </w14:textFill>
              </w:rPr>
              <w:t xml:space="preserve"> </w:t>
            </w:r>
            <w:r>
              <w:rPr>
                <w:rFonts w:hint="eastAsia"/>
                <w:color w:val="000000" w:themeColor="text1"/>
                <w:lang w:val="ru-RU"/>
                <w14:textFill>
                  <w14:solidFill>
                    <w14:schemeClr w14:val="tx1"/>
                  </w14:solidFill>
                </w14:textFill>
              </w:rPr>
              <w:t>本项目大气污染物排放标准限值</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957"/>
              <w:gridCol w:w="3240"/>
              <w:gridCol w:w="4435"/>
            </w:tblGrid>
            <w:tr w14:paraId="5B1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shd w:val="clear" w:color="auto" w:fill="D9D9D9"/>
                  <w:vAlign w:val="center"/>
                </w:tcPr>
                <w:p w14:paraId="2B03DE32">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污染因子</w:t>
                  </w:r>
                </w:p>
              </w:tc>
              <w:tc>
                <w:tcPr>
                  <w:tcW w:w="1876" w:type="pct"/>
                  <w:shd w:val="clear" w:color="auto" w:fill="D9D9D9"/>
                  <w:vAlign w:val="center"/>
                </w:tcPr>
                <w:p w14:paraId="3563BDD8">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无组织排放监控浓度限值（mg/m</w:t>
                  </w:r>
                  <w:r>
                    <w:rPr>
                      <w:rFonts w:hint="eastAsia" w:cs="Calibri"/>
                      <w:b/>
                      <w:color w:val="000000" w:themeColor="text1"/>
                      <w:kern w:val="0"/>
                      <w:sz w:val="18"/>
                      <w:szCs w:val="18"/>
                      <w:vertAlign w:val="superscript"/>
                      <w14:textFill>
                        <w14:solidFill>
                          <w14:schemeClr w14:val="tx1"/>
                        </w14:solidFill>
                      </w14:textFill>
                    </w:rPr>
                    <w:t>3</w:t>
                  </w:r>
                  <w:r>
                    <w:rPr>
                      <w:rFonts w:hint="eastAsia" w:cs="Calibri"/>
                      <w:b/>
                      <w:color w:val="000000" w:themeColor="text1"/>
                      <w:kern w:val="0"/>
                      <w:sz w:val="18"/>
                      <w:szCs w:val="18"/>
                      <w14:textFill>
                        <w14:solidFill>
                          <w14:schemeClr w14:val="tx1"/>
                        </w14:solidFill>
                      </w14:textFill>
                    </w:rPr>
                    <w:t>）</w:t>
                  </w:r>
                </w:p>
              </w:tc>
              <w:tc>
                <w:tcPr>
                  <w:tcW w:w="2568" w:type="pct"/>
                  <w:shd w:val="clear" w:color="auto" w:fill="D9D9D9"/>
                  <w:vAlign w:val="center"/>
                </w:tcPr>
                <w:p w14:paraId="3B5F5A7A">
                  <w:pPr>
                    <w:snapToGrid w:val="0"/>
                    <w:jc w:val="center"/>
                    <w:rPr>
                      <w:rFonts w:cs="Calibri"/>
                      <w:b/>
                      <w:color w:val="000000" w:themeColor="text1"/>
                      <w:kern w:val="0"/>
                      <w:sz w:val="18"/>
                      <w:szCs w:val="18"/>
                      <w14:textFill>
                        <w14:solidFill>
                          <w14:schemeClr w14:val="tx1"/>
                        </w14:solidFill>
                      </w14:textFill>
                    </w:rPr>
                  </w:pPr>
                  <w:r>
                    <w:rPr>
                      <w:rFonts w:hint="eastAsia" w:cs="Calibri"/>
                      <w:b/>
                      <w:color w:val="000000" w:themeColor="text1"/>
                      <w:kern w:val="0"/>
                      <w:sz w:val="18"/>
                      <w:szCs w:val="18"/>
                      <w14:textFill>
                        <w14:solidFill>
                          <w14:schemeClr w14:val="tx1"/>
                        </w14:solidFill>
                      </w14:textFill>
                    </w:rPr>
                    <w:t>执行标准</w:t>
                  </w:r>
                </w:p>
              </w:tc>
            </w:tr>
            <w:tr w14:paraId="24B4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vAlign w:val="center"/>
                </w:tcPr>
                <w:p w14:paraId="7A6A7326">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CO</w:t>
                  </w:r>
                </w:p>
              </w:tc>
              <w:tc>
                <w:tcPr>
                  <w:tcW w:w="1876" w:type="pct"/>
                  <w:vAlign w:val="center"/>
                </w:tcPr>
                <w:p w14:paraId="576FC3E9">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8.0</w:t>
                  </w:r>
                </w:p>
              </w:tc>
              <w:tc>
                <w:tcPr>
                  <w:tcW w:w="2568" w:type="pct"/>
                  <w:vMerge w:val="restart"/>
                  <w:vAlign w:val="center"/>
                </w:tcPr>
                <w:p w14:paraId="2294D71D">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广东省《大气污染物排放限值》（DB44/27-2001）</w:t>
                  </w:r>
                </w:p>
              </w:tc>
            </w:tr>
            <w:tr w14:paraId="4A60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vAlign w:val="center"/>
                </w:tcPr>
                <w:p w14:paraId="231E4CC2">
                  <w:pPr>
                    <w:snapToGrid w:val="0"/>
                    <w:jc w:val="center"/>
                    <w:rPr>
                      <w:rFonts w:cs="Calibri"/>
                      <w:color w:val="000000" w:themeColor="text1"/>
                      <w:kern w:val="0"/>
                      <w:sz w:val="18"/>
                      <w:szCs w:val="18"/>
                      <w:vertAlign w:val="subscript"/>
                      <w14:textFill>
                        <w14:solidFill>
                          <w14:schemeClr w14:val="tx1"/>
                        </w14:solidFill>
                      </w14:textFill>
                    </w:rPr>
                  </w:pPr>
                  <w:r>
                    <w:rPr>
                      <w:rFonts w:hint="eastAsia" w:cs="Calibri"/>
                      <w:color w:val="000000" w:themeColor="text1"/>
                      <w:kern w:val="0"/>
                      <w:sz w:val="18"/>
                      <w:szCs w:val="18"/>
                      <w14:textFill>
                        <w14:solidFill>
                          <w14:schemeClr w14:val="tx1"/>
                        </w14:solidFill>
                      </w14:textFill>
                    </w:rPr>
                    <w:t>NO</w:t>
                  </w:r>
                  <w:r>
                    <w:rPr>
                      <w:rFonts w:hint="eastAsia" w:cs="Calibri"/>
                      <w:color w:val="000000" w:themeColor="text1"/>
                      <w:kern w:val="0"/>
                      <w:sz w:val="18"/>
                      <w:szCs w:val="18"/>
                      <w:vertAlign w:val="subscript"/>
                      <w14:textFill>
                        <w14:solidFill>
                          <w14:schemeClr w14:val="tx1"/>
                        </w14:solidFill>
                      </w14:textFill>
                    </w:rPr>
                    <w:t>X</w:t>
                  </w:r>
                </w:p>
              </w:tc>
              <w:tc>
                <w:tcPr>
                  <w:tcW w:w="1876" w:type="pct"/>
                  <w:vAlign w:val="center"/>
                </w:tcPr>
                <w:p w14:paraId="5557641C">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0.12</w:t>
                  </w:r>
                </w:p>
              </w:tc>
              <w:tc>
                <w:tcPr>
                  <w:tcW w:w="2568" w:type="pct"/>
                  <w:vMerge w:val="continue"/>
                  <w:vAlign w:val="center"/>
                </w:tcPr>
                <w:p w14:paraId="60DFF645">
                  <w:pPr>
                    <w:snapToGrid w:val="0"/>
                    <w:jc w:val="center"/>
                    <w:rPr>
                      <w:rFonts w:cs="Calibri"/>
                      <w:color w:val="000000" w:themeColor="text1"/>
                      <w:kern w:val="0"/>
                      <w:sz w:val="18"/>
                      <w:szCs w:val="18"/>
                      <w14:textFill>
                        <w14:solidFill>
                          <w14:schemeClr w14:val="tx1"/>
                        </w14:solidFill>
                      </w14:textFill>
                    </w:rPr>
                  </w:pPr>
                </w:p>
              </w:tc>
            </w:tr>
            <w:tr w14:paraId="4C51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40" w:hRule="atLeast"/>
              </w:trPr>
              <w:tc>
                <w:tcPr>
                  <w:tcW w:w="554" w:type="pct"/>
                  <w:vAlign w:val="center"/>
                </w:tcPr>
                <w:p w14:paraId="349C2BE3">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THC</w:t>
                  </w:r>
                </w:p>
              </w:tc>
              <w:tc>
                <w:tcPr>
                  <w:tcW w:w="1876" w:type="pct"/>
                  <w:vAlign w:val="center"/>
                </w:tcPr>
                <w:p w14:paraId="6AE5527C">
                  <w:pPr>
                    <w:snapToGrid w:val="0"/>
                    <w:jc w:val="center"/>
                    <w:rPr>
                      <w:rFonts w:cs="Calibri"/>
                      <w:color w:val="000000" w:themeColor="text1"/>
                      <w:kern w:val="0"/>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4.0</w:t>
                  </w:r>
                </w:p>
              </w:tc>
              <w:tc>
                <w:tcPr>
                  <w:tcW w:w="2568" w:type="pct"/>
                  <w:vMerge w:val="continue"/>
                  <w:vAlign w:val="center"/>
                </w:tcPr>
                <w:p w14:paraId="23EAA54C">
                  <w:pPr>
                    <w:snapToGrid w:val="0"/>
                    <w:jc w:val="center"/>
                    <w:rPr>
                      <w:rFonts w:cs="Calibri"/>
                      <w:color w:val="000000" w:themeColor="text1"/>
                      <w:kern w:val="0"/>
                      <w:sz w:val="18"/>
                      <w:szCs w:val="18"/>
                      <w14:textFill>
                        <w14:solidFill>
                          <w14:schemeClr w14:val="tx1"/>
                        </w14:solidFill>
                      </w14:textFill>
                    </w:rPr>
                  </w:pPr>
                </w:p>
              </w:tc>
            </w:tr>
          </w:tbl>
          <w:p w14:paraId="122EF0C5">
            <w:pPr>
              <w:adjustRightInd w:val="0"/>
              <w:snapToGrid w:val="0"/>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2、废水排放标准</w:t>
            </w:r>
          </w:p>
          <w:p w14:paraId="2DD77050">
            <w:pPr>
              <w:widowControl/>
              <w:spacing w:line="360" w:lineRule="auto"/>
              <w:ind w:firstLine="420" w:firstLineChars="200"/>
              <w:jc w:val="left"/>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项目车辆冲洗废水经洗车平台沉淀池处理后回用于车辆冲洗，不外排；生产系统废水与初期雨水经沉淀处理后回用于生产系统，不外排；厂区洒水喷淋抑尘自然蒸发，不外排。</w:t>
            </w:r>
          </w:p>
          <w:p w14:paraId="3CFC7020">
            <w:pPr>
              <w:widowControl/>
              <w:spacing w:line="360" w:lineRule="auto"/>
              <w:ind w:firstLine="420" w:firstLineChars="200"/>
              <w:rPr>
                <w:color w:val="000000" w:themeColor="text1"/>
                <w:kern w:val="0"/>
                <w:szCs w:val="21"/>
                <w:lang w:bidi="ar"/>
                <w14:textFill>
                  <w14:solidFill>
                    <w14:schemeClr w14:val="tx1"/>
                  </w14:solidFill>
                </w14:textFill>
              </w:rPr>
            </w:pPr>
            <w:r>
              <w:rPr>
                <w:rFonts w:hint="eastAsia"/>
                <w:color w:val="000000" w:themeColor="text1"/>
                <w:kern w:val="0"/>
                <w:szCs w:val="21"/>
                <w:lang w:bidi="ar"/>
                <w14:textFill>
                  <w14:solidFill>
                    <w14:schemeClr w14:val="tx1"/>
                  </w14:solidFill>
                </w14:textFill>
              </w:rPr>
              <w:t>生活污水经三级化粪池/三级隔油池+一体化A/O生化装置处理后达到《农田灌溉水质标准》(GB5084-2021)旱作标准用于厂区周边林地灌溉。具体标准详见表3-7。</w:t>
            </w:r>
          </w:p>
          <w:p w14:paraId="3B6644E8">
            <w:pPr>
              <w:pStyle w:val="45"/>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 xml:space="preserve">-7 </w:t>
            </w:r>
            <w:r>
              <w:rPr>
                <w:color w:val="000000" w:themeColor="text1"/>
                <w14:textFill>
                  <w14:solidFill>
                    <w14:schemeClr w14:val="tx1"/>
                  </w14:solidFill>
                </w14:textFill>
              </w:rPr>
              <w:t>《农田灌溉水质标准》</w:t>
            </w:r>
            <w:r>
              <w:rPr>
                <w:rFonts w:hint="eastAsia"/>
                <w:color w:val="000000" w:themeColor="text1"/>
                <w14:textFill>
                  <w14:solidFill>
                    <w14:schemeClr w14:val="tx1"/>
                  </w14:solidFill>
                </w14:textFill>
              </w:rPr>
              <w:t xml:space="preserve">摘录 </w:t>
            </w:r>
            <w:r>
              <w:rPr>
                <w:color w:val="000000" w:themeColor="text1"/>
                <w14:textFill>
                  <w14:solidFill>
                    <w14:schemeClr w14:val="tx1"/>
                  </w14:solidFill>
                </w14:textFill>
              </w:rPr>
              <w:t>（单位：mg/L，pH 除外）</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1"/>
              <w:gridCol w:w="914"/>
              <w:gridCol w:w="796"/>
              <w:gridCol w:w="743"/>
              <w:gridCol w:w="720"/>
              <w:gridCol w:w="624"/>
              <w:gridCol w:w="624"/>
            </w:tblGrid>
            <w:tr w14:paraId="7B2F0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8" w:type="pct"/>
                  <w:shd w:val="clear" w:color="auto" w:fill="D9D9D9"/>
                  <w:vAlign w:val="center"/>
                </w:tcPr>
                <w:p w14:paraId="5D6E447B">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标准名称</w:t>
                  </w:r>
                </w:p>
              </w:tc>
              <w:tc>
                <w:tcPr>
                  <w:tcW w:w="529" w:type="pct"/>
                  <w:shd w:val="clear" w:color="auto" w:fill="D9D9D9"/>
                  <w:vAlign w:val="center"/>
                </w:tcPr>
                <w:p w14:paraId="6A461878">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pH</w:t>
                  </w:r>
                </w:p>
              </w:tc>
              <w:tc>
                <w:tcPr>
                  <w:tcW w:w="461" w:type="pct"/>
                  <w:shd w:val="clear" w:color="auto" w:fill="D9D9D9"/>
                  <w:vAlign w:val="center"/>
                </w:tcPr>
                <w:p w14:paraId="1E25A21E">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COD</w:t>
                  </w:r>
                  <w:r>
                    <w:rPr>
                      <w:b/>
                      <w:bCs/>
                      <w:color w:val="000000" w:themeColor="text1"/>
                      <w:vertAlign w:val="subscript"/>
                      <w14:textFill>
                        <w14:solidFill>
                          <w14:schemeClr w14:val="tx1"/>
                        </w14:solidFill>
                      </w14:textFill>
                    </w:rPr>
                    <w:t>Cr</w:t>
                  </w:r>
                </w:p>
              </w:tc>
              <w:tc>
                <w:tcPr>
                  <w:tcW w:w="430" w:type="pct"/>
                  <w:shd w:val="clear" w:color="auto" w:fill="D9D9D9"/>
                  <w:vAlign w:val="center"/>
                </w:tcPr>
                <w:p w14:paraId="24C9094E">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BOD</w:t>
                  </w:r>
                  <w:r>
                    <w:rPr>
                      <w:b/>
                      <w:bCs/>
                      <w:color w:val="000000" w:themeColor="text1"/>
                      <w:vertAlign w:val="subscript"/>
                      <w14:textFill>
                        <w14:solidFill>
                          <w14:schemeClr w14:val="tx1"/>
                        </w14:solidFill>
                      </w14:textFill>
                    </w:rPr>
                    <w:t>5</w:t>
                  </w:r>
                </w:p>
              </w:tc>
              <w:tc>
                <w:tcPr>
                  <w:tcW w:w="417" w:type="pct"/>
                  <w:shd w:val="clear" w:color="auto" w:fill="D9D9D9"/>
                  <w:vAlign w:val="center"/>
                </w:tcPr>
                <w:p w14:paraId="4F76B5D9">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SS</w:t>
                  </w:r>
                </w:p>
              </w:tc>
              <w:tc>
                <w:tcPr>
                  <w:tcW w:w="361" w:type="pct"/>
                  <w:shd w:val="clear" w:color="auto" w:fill="D9D9D9"/>
                  <w:vAlign w:val="center"/>
                </w:tcPr>
                <w:p w14:paraId="182B2EBC">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氨氮</w:t>
                  </w:r>
                </w:p>
              </w:tc>
              <w:tc>
                <w:tcPr>
                  <w:tcW w:w="361" w:type="pct"/>
                  <w:shd w:val="clear" w:color="auto" w:fill="D9D9D9"/>
                  <w:vAlign w:val="center"/>
                </w:tcPr>
                <w:p w14:paraId="6A84442A">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动植物油</w:t>
                  </w:r>
                </w:p>
              </w:tc>
            </w:tr>
            <w:tr w14:paraId="1BA93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38" w:type="pct"/>
                  <w:vAlign w:val="center"/>
                </w:tcPr>
                <w:p w14:paraId="38AF8AF2">
                  <w:pPr>
                    <w:pStyle w:val="44"/>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《农田灌溉水质标准》(GB5084-2021)旱作标准</w:t>
                  </w:r>
                </w:p>
              </w:tc>
              <w:tc>
                <w:tcPr>
                  <w:tcW w:w="529" w:type="pct"/>
                  <w:vAlign w:val="center"/>
                </w:tcPr>
                <w:p w14:paraId="417232B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5.5～8.5</w:t>
                  </w:r>
                </w:p>
              </w:tc>
              <w:tc>
                <w:tcPr>
                  <w:tcW w:w="461" w:type="pct"/>
                  <w:vAlign w:val="center"/>
                </w:tcPr>
                <w:p w14:paraId="55107749">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≤200</w:t>
                  </w:r>
                </w:p>
              </w:tc>
              <w:tc>
                <w:tcPr>
                  <w:tcW w:w="430" w:type="pct"/>
                  <w:vAlign w:val="center"/>
                </w:tcPr>
                <w:p w14:paraId="73BD1F6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≤100</w:t>
                  </w:r>
                </w:p>
              </w:tc>
              <w:tc>
                <w:tcPr>
                  <w:tcW w:w="417" w:type="pct"/>
                  <w:vAlign w:val="center"/>
                </w:tcPr>
                <w:p w14:paraId="396BBF1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≤100</w:t>
                  </w:r>
                </w:p>
              </w:tc>
              <w:tc>
                <w:tcPr>
                  <w:tcW w:w="361" w:type="pct"/>
                  <w:vAlign w:val="center"/>
                </w:tcPr>
                <w:p w14:paraId="758EA035">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c>
                <w:tcPr>
                  <w:tcW w:w="361" w:type="pct"/>
                  <w:vAlign w:val="center"/>
                </w:tcPr>
                <w:p w14:paraId="4481CB3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w:t>
                  </w:r>
                </w:p>
              </w:tc>
            </w:tr>
          </w:tbl>
          <w:p w14:paraId="037F4B27">
            <w:pPr>
              <w:snapToGrid w:val="0"/>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3、噪声排放标准</w:t>
            </w:r>
          </w:p>
          <w:p w14:paraId="4572CED7">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湛江市县(市)声环境功能区划</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(湛江市生态环境局2022.12.19)，本项目所在区域没有纳入声环境功能区划。根据</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声环境功能区划分技术规范</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(GB/T15190-2014)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2类声环境功能区</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以商业金融、集市贸易为主要功能，或者居住、商业、工业混杂，需要维护住宅安静的区域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，本项目所在区域周边以农村及工业混合地区为主，参考执行</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声环境质量标准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(GB3096-2008)2类声环境功能区标准。</w:t>
            </w:r>
          </w:p>
          <w:p w14:paraId="6075E65F">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施工期噪声执行《建筑施工噪声排放标准》（</w:t>
            </w:r>
            <w:r>
              <w:rPr>
                <w:color w:val="000000" w:themeColor="text1"/>
                <w14:textFill>
                  <w14:solidFill>
                    <w14:schemeClr w14:val="tx1"/>
                  </w14:solidFill>
                </w14:textFill>
              </w:rPr>
              <w:t>GB12523-20</w:t>
            </w:r>
            <w:r>
              <w:rPr>
                <w:rFonts w:hint="eastAsia"/>
                <w:color w:val="000000" w:themeColor="text1"/>
                <w14:textFill>
                  <w14:solidFill>
                    <w14:schemeClr w14:val="tx1"/>
                  </w14:solidFill>
                </w14:textFill>
              </w:rPr>
              <w:t>25）中的相关标准（昼间</w:t>
            </w:r>
            <w:r>
              <w:rPr>
                <w:color w:val="000000" w:themeColor="text1"/>
                <w14:textFill>
                  <w14:solidFill>
                    <w14:schemeClr w14:val="tx1"/>
                  </w14:solidFill>
                </w14:textFill>
              </w:rPr>
              <w:t>≤70dB(A)</w:t>
            </w:r>
            <w:r>
              <w:rPr>
                <w:rFonts w:hint="eastAsia"/>
                <w:color w:val="000000" w:themeColor="text1"/>
                <w14:textFill>
                  <w14:solidFill>
                    <w14:schemeClr w14:val="tx1"/>
                  </w14:solidFill>
                </w14:textFill>
              </w:rPr>
              <w:t>，夜间</w:t>
            </w:r>
            <w:r>
              <w:rPr>
                <w:color w:val="000000" w:themeColor="text1"/>
                <w14:textFill>
                  <w14:solidFill>
                    <w14:schemeClr w14:val="tx1"/>
                  </w14:solidFill>
                </w14:textFill>
              </w:rPr>
              <w:t>≤55dB(A)</w:t>
            </w:r>
            <w:r>
              <w:rPr>
                <w:rFonts w:hint="eastAsia"/>
                <w:color w:val="000000" w:themeColor="text1"/>
                <w14:textFill>
                  <w14:solidFill>
                    <w14:schemeClr w14:val="tx1"/>
                  </w14:solidFill>
                </w14:textFill>
              </w:rPr>
              <w:t>）；运营期厂界噪声执行《工业企业厂界环境噪声排放标准》（</w:t>
            </w:r>
            <w:r>
              <w:rPr>
                <w:color w:val="000000" w:themeColor="text1"/>
                <w14:textFill>
                  <w14:solidFill>
                    <w14:schemeClr w14:val="tx1"/>
                  </w14:solidFill>
                </w14:textFill>
              </w:rPr>
              <w:t>GB12348-2008</w:t>
            </w:r>
            <w:r>
              <w:rPr>
                <w:rFonts w:hint="eastAsia"/>
                <w:color w:val="000000" w:themeColor="text1"/>
                <w14:textFill>
                  <w14:solidFill>
                    <w14:schemeClr w14:val="tx1"/>
                  </w14:solidFill>
                </w14:textFill>
              </w:rPr>
              <w:t>）中的</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类标准（昼间</w:t>
            </w:r>
            <w:r>
              <w:rPr>
                <w:color w:val="000000" w:themeColor="text1"/>
                <w14:textFill>
                  <w14:solidFill>
                    <w14:schemeClr w14:val="tx1"/>
                  </w14:solidFill>
                </w14:textFill>
              </w:rPr>
              <w:t>≤60dB(A)</w:t>
            </w:r>
            <w:r>
              <w:rPr>
                <w:rFonts w:hint="eastAsia"/>
                <w:color w:val="000000" w:themeColor="text1"/>
                <w14:textFill>
                  <w14:solidFill>
                    <w14:schemeClr w14:val="tx1"/>
                  </w14:solidFill>
                </w14:textFill>
              </w:rPr>
              <w:t>，夜间</w:t>
            </w:r>
            <w:r>
              <w:rPr>
                <w:color w:val="000000" w:themeColor="text1"/>
                <w14:textFill>
                  <w14:solidFill>
                    <w14:schemeClr w14:val="tx1"/>
                  </w14:solidFill>
                </w14:textFill>
              </w:rPr>
              <w:t>≤50dB(A)</w:t>
            </w:r>
            <w:r>
              <w:rPr>
                <w:rFonts w:hint="eastAsia"/>
                <w:color w:val="000000" w:themeColor="text1"/>
                <w14:textFill>
                  <w14:solidFill>
                    <w14:schemeClr w14:val="tx1"/>
                  </w14:solidFill>
                </w14:textFill>
              </w:rPr>
              <w:t>）。</w:t>
            </w:r>
          </w:p>
          <w:p w14:paraId="2613A34E">
            <w:pPr>
              <w:pStyle w:val="45"/>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运营期</w:t>
            </w:r>
            <w:r>
              <w:rPr>
                <w:color w:val="000000" w:themeColor="text1"/>
                <w14:textFill>
                  <w14:solidFill>
                    <w14:schemeClr w14:val="tx1"/>
                  </w14:solidFill>
                </w14:textFill>
              </w:rPr>
              <w:t>厂界环境噪声排放标准</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单位：Leq dB(A)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2"/>
              <w:gridCol w:w="1770"/>
              <w:gridCol w:w="1770"/>
            </w:tblGrid>
            <w:tr w14:paraId="68F1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9" w:type="pct"/>
                  <w:shd w:val="clear" w:color="auto" w:fill="D9D9D9"/>
                  <w:vAlign w:val="center"/>
                </w:tcPr>
                <w:p w14:paraId="5A6CA42D">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声环境功能区类别</w:t>
                  </w:r>
                </w:p>
              </w:tc>
              <w:tc>
                <w:tcPr>
                  <w:tcW w:w="1025" w:type="pct"/>
                  <w:shd w:val="clear" w:color="auto" w:fill="D9D9D9"/>
                  <w:vAlign w:val="center"/>
                </w:tcPr>
                <w:p w14:paraId="14E33F12">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昼间</w:t>
                  </w:r>
                </w:p>
              </w:tc>
              <w:tc>
                <w:tcPr>
                  <w:tcW w:w="1025" w:type="pct"/>
                  <w:shd w:val="clear" w:color="auto" w:fill="D9D9D9"/>
                  <w:vAlign w:val="center"/>
                </w:tcPr>
                <w:p w14:paraId="6CF75E84">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夜间</w:t>
                  </w:r>
                </w:p>
              </w:tc>
            </w:tr>
            <w:tr w14:paraId="2A92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49" w:type="pct"/>
                  <w:vAlign w:val="center"/>
                </w:tcPr>
                <w:p w14:paraId="23D18BB6">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2类</w:t>
                  </w:r>
                </w:p>
              </w:tc>
              <w:tc>
                <w:tcPr>
                  <w:tcW w:w="1025" w:type="pct"/>
                  <w:vAlign w:val="center"/>
                </w:tcPr>
                <w:p w14:paraId="38E992B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60</w:t>
                  </w:r>
                </w:p>
              </w:tc>
              <w:tc>
                <w:tcPr>
                  <w:tcW w:w="1025" w:type="pct"/>
                  <w:vAlign w:val="center"/>
                </w:tcPr>
                <w:p w14:paraId="73AF63C1">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50</w:t>
                  </w:r>
                </w:p>
              </w:tc>
            </w:tr>
          </w:tbl>
          <w:p w14:paraId="5D44AD7C">
            <w:pPr>
              <w:snapToGrid w:val="0"/>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4、固体废物</w:t>
            </w:r>
          </w:p>
          <w:p w14:paraId="2EC04650">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固体废物管理应遵照《中华人民共和国固体废物污染环境防治法》和《广东省固体废物污染环境防治条例》执行，一般固废</w:t>
            </w:r>
            <w:r>
              <w:rPr>
                <w:rFonts w:hint="eastAsia"/>
                <w:color w:val="000000" w:themeColor="text1"/>
                <w:szCs w:val="21"/>
                <w14:textFill>
                  <w14:solidFill>
                    <w14:schemeClr w14:val="tx1"/>
                  </w14:solidFill>
                </w14:textFill>
              </w:rPr>
              <w:t>暂存场所要做好防风、防雨、防渗等相关</w:t>
            </w:r>
            <w:r>
              <w:rPr>
                <w:color w:val="000000" w:themeColor="text1"/>
                <w:szCs w:val="21"/>
                <w14:textFill>
                  <w14:solidFill>
                    <w14:schemeClr w14:val="tx1"/>
                  </w14:solidFill>
                </w14:textFill>
              </w:rPr>
              <w:t>要求</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危险废物</w:t>
            </w:r>
            <w:r>
              <w:rPr>
                <w:rFonts w:hint="eastAsia"/>
                <w:color w:val="000000" w:themeColor="text1"/>
                <w:szCs w:val="21"/>
                <w14:textFill>
                  <w14:solidFill>
                    <w14:schemeClr w14:val="tx1"/>
                  </w14:solidFill>
                </w14:textFill>
              </w:rPr>
              <w:t>暂存场所需满足</w:t>
            </w:r>
            <w:r>
              <w:rPr>
                <w:color w:val="000000" w:themeColor="text1"/>
                <w:szCs w:val="21"/>
                <w14:textFill>
                  <w14:solidFill>
                    <w14:schemeClr w14:val="tx1"/>
                  </w14:solidFill>
                </w14:textFill>
              </w:rPr>
              <w:t>《危险废物贮存污染控制标准》（GB18597-2023）</w:t>
            </w:r>
            <w:r>
              <w:rPr>
                <w:rFonts w:hint="eastAsia"/>
                <w:color w:val="000000" w:themeColor="text1"/>
                <w:szCs w:val="21"/>
                <w14:textFill>
                  <w14:solidFill>
                    <w14:schemeClr w14:val="tx1"/>
                  </w14:solidFill>
                </w14:textFill>
              </w:rPr>
              <w:t>相关要求</w:t>
            </w:r>
            <w:r>
              <w:rPr>
                <w:color w:val="000000" w:themeColor="text1"/>
                <w:szCs w:val="21"/>
                <w14:textFill>
                  <w14:solidFill>
                    <w14:schemeClr w14:val="tx1"/>
                  </w14:solidFill>
                </w14:textFill>
              </w:rPr>
              <w:t>。</w:t>
            </w:r>
          </w:p>
          <w:p w14:paraId="215643DB">
            <w:pPr>
              <w:spacing w:line="360" w:lineRule="auto"/>
              <w:ind w:firstLine="420" w:firstLineChars="200"/>
              <w:rPr>
                <w:color w:val="000000" w:themeColor="text1"/>
                <w:szCs w:val="21"/>
                <w14:textFill>
                  <w14:solidFill>
                    <w14:schemeClr w14:val="tx1"/>
                  </w14:solidFill>
                </w14:textFill>
              </w:rPr>
            </w:pPr>
          </w:p>
          <w:p w14:paraId="0575E567">
            <w:pPr>
              <w:spacing w:line="360" w:lineRule="auto"/>
              <w:ind w:firstLine="420" w:firstLineChars="200"/>
              <w:rPr>
                <w:color w:val="000000" w:themeColor="text1"/>
                <w:szCs w:val="21"/>
                <w14:textFill>
                  <w14:solidFill>
                    <w14:schemeClr w14:val="tx1"/>
                  </w14:solidFill>
                </w14:textFill>
              </w:rPr>
            </w:pPr>
          </w:p>
          <w:p w14:paraId="4F4C791A">
            <w:pPr>
              <w:spacing w:line="360" w:lineRule="auto"/>
              <w:ind w:firstLine="420" w:firstLineChars="200"/>
              <w:rPr>
                <w:color w:val="000000" w:themeColor="text1"/>
                <w:szCs w:val="21"/>
                <w14:textFill>
                  <w14:solidFill>
                    <w14:schemeClr w14:val="tx1"/>
                  </w14:solidFill>
                </w14:textFill>
              </w:rPr>
            </w:pPr>
          </w:p>
          <w:p w14:paraId="3AD418CC">
            <w:pPr>
              <w:spacing w:line="360" w:lineRule="auto"/>
              <w:ind w:firstLine="420" w:firstLineChars="200"/>
              <w:rPr>
                <w:color w:val="000000" w:themeColor="text1"/>
                <w:szCs w:val="21"/>
                <w14:textFill>
                  <w14:solidFill>
                    <w14:schemeClr w14:val="tx1"/>
                  </w14:solidFill>
                </w14:textFill>
              </w:rPr>
            </w:pPr>
          </w:p>
          <w:p w14:paraId="493C16AE">
            <w:pPr>
              <w:spacing w:line="360" w:lineRule="auto"/>
              <w:ind w:firstLine="420" w:firstLineChars="200"/>
              <w:rPr>
                <w:color w:val="000000" w:themeColor="text1"/>
                <w:szCs w:val="21"/>
                <w14:textFill>
                  <w14:solidFill>
                    <w14:schemeClr w14:val="tx1"/>
                  </w14:solidFill>
                </w14:textFill>
              </w:rPr>
            </w:pPr>
          </w:p>
          <w:p w14:paraId="2C52B94E">
            <w:pPr>
              <w:spacing w:line="360" w:lineRule="auto"/>
              <w:ind w:firstLine="420" w:firstLineChars="200"/>
              <w:rPr>
                <w:color w:val="000000" w:themeColor="text1"/>
                <w:szCs w:val="21"/>
                <w14:textFill>
                  <w14:solidFill>
                    <w14:schemeClr w14:val="tx1"/>
                  </w14:solidFill>
                </w14:textFill>
              </w:rPr>
            </w:pPr>
          </w:p>
          <w:p w14:paraId="22947F1B">
            <w:pPr>
              <w:spacing w:line="360" w:lineRule="auto"/>
              <w:ind w:firstLine="420" w:firstLineChars="200"/>
              <w:rPr>
                <w:color w:val="000000" w:themeColor="text1"/>
                <w:szCs w:val="21"/>
                <w14:textFill>
                  <w14:solidFill>
                    <w14:schemeClr w14:val="tx1"/>
                  </w14:solidFill>
                </w14:textFill>
              </w:rPr>
            </w:pPr>
          </w:p>
          <w:p w14:paraId="768DA37C">
            <w:pPr>
              <w:spacing w:line="360" w:lineRule="auto"/>
              <w:ind w:firstLine="420" w:firstLineChars="200"/>
              <w:rPr>
                <w:color w:val="000000" w:themeColor="text1"/>
                <w:szCs w:val="21"/>
                <w14:textFill>
                  <w14:solidFill>
                    <w14:schemeClr w14:val="tx1"/>
                  </w14:solidFill>
                </w14:textFill>
              </w:rPr>
            </w:pPr>
          </w:p>
          <w:p w14:paraId="1C8B2D64">
            <w:pPr>
              <w:spacing w:line="360" w:lineRule="auto"/>
              <w:ind w:firstLine="420" w:firstLineChars="200"/>
              <w:rPr>
                <w:color w:val="000000" w:themeColor="text1"/>
                <w:szCs w:val="21"/>
                <w14:textFill>
                  <w14:solidFill>
                    <w14:schemeClr w14:val="tx1"/>
                  </w14:solidFill>
                </w14:textFill>
              </w:rPr>
            </w:pPr>
          </w:p>
          <w:p w14:paraId="381DF050">
            <w:pPr>
              <w:spacing w:line="360" w:lineRule="auto"/>
              <w:ind w:firstLine="420" w:firstLineChars="200"/>
              <w:rPr>
                <w:color w:val="000000" w:themeColor="text1"/>
                <w:szCs w:val="21"/>
                <w14:textFill>
                  <w14:solidFill>
                    <w14:schemeClr w14:val="tx1"/>
                  </w14:solidFill>
                </w14:textFill>
              </w:rPr>
            </w:pPr>
          </w:p>
          <w:p w14:paraId="57D86483">
            <w:pPr>
              <w:spacing w:line="360" w:lineRule="auto"/>
              <w:ind w:firstLine="420" w:firstLineChars="200"/>
              <w:rPr>
                <w:color w:val="000000" w:themeColor="text1"/>
                <w:szCs w:val="21"/>
                <w14:textFill>
                  <w14:solidFill>
                    <w14:schemeClr w14:val="tx1"/>
                  </w14:solidFill>
                </w14:textFill>
              </w:rPr>
            </w:pPr>
          </w:p>
          <w:p w14:paraId="181945C3">
            <w:pPr>
              <w:spacing w:line="360" w:lineRule="auto"/>
              <w:ind w:firstLine="420" w:firstLineChars="200"/>
              <w:rPr>
                <w:color w:val="000000" w:themeColor="text1"/>
                <w:szCs w:val="21"/>
                <w14:textFill>
                  <w14:solidFill>
                    <w14:schemeClr w14:val="tx1"/>
                  </w14:solidFill>
                </w14:textFill>
              </w:rPr>
            </w:pPr>
          </w:p>
          <w:p w14:paraId="133771C4">
            <w:pPr>
              <w:spacing w:line="360" w:lineRule="auto"/>
              <w:ind w:firstLine="420" w:firstLineChars="200"/>
              <w:rPr>
                <w:color w:val="000000" w:themeColor="text1"/>
                <w:szCs w:val="21"/>
                <w14:textFill>
                  <w14:solidFill>
                    <w14:schemeClr w14:val="tx1"/>
                  </w14:solidFill>
                </w14:textFill>
              </w:rPr>
            </w:pPr>
          </w:p>
          <w:p w14:paraId="5218480E">
            <w:pPr>
              <w:spacing w:line="360" w:lineRule="auto"/>
              <w:ind w:firstLine="420" w:firstLineChars="200"/>
              <w:rPr>
                <w:color w:val="000000" w:themeColor="text1"/>
                <w:szCs w:val="21"/>
                <w14:textFill>
                  <w14:solidFill>
                    <w14:schemeClr w14:val="tx1"/>
                  </w14:solidFill>
                </w14:textFill>
              </w:rPr>
            </w:pPr>
          </w:p>
          <w:p w14:paraId="56F51A33">
            <w:pPr>
              <w:spacing w:line="360" w:lineRule="auto"/>
              <w:ind w:firstLine="420" w:firstLineChars="200"/>
              <w:rPr>
                <w:color w:val="000000" w:themeColor="text1"/>
                <w:szCs w:val="21"/>
                <w14:textFill>
                  <w14:solidFill>
                    <w14:schemeClr w14:val="tx1"/>
                  </w14:solidFill>
                </w14:textFill>
              </w:rPr>
            </w:pPr>
          </w:p>
          <w:p w14:paraId="1910DF65">
            <w:pPr>
              <w:spacing w:line="360" w:lineRule="auto"/>
              <w:ind w:firstLine="420" w:firstLineChars="200"/>
              <w:rPr>
                <w:color w:val="000000" w:themeColor="text1"/>
                <w:szCs w:val="21"/>
                <w14:textFill>
                  <w14:solidFill>
                    <w14:schemeClr w14:val="tx1"/>
                  </w14:solidFill>
                </w14:textFill>
              </w:rPr>
            </w:pPr>
          </w:p>
          <w:p w14:paraId="79FA1E34">
            <w:pPr>
              <w:spacing w:line="360" w:lineRule="auto"/>
              <w:ind w:firstLine="420" w:firstLineChars="200"/>
              <w:rPr>
                <w:color w:val="000000" w:themeColor="text1"/>
                <w:szCs w:val="21"/>
                <w14:textFill>
                  <w14:solidFill>
                    <w14:schemeClr w14:val="tx1"/>
                  </w14:solidFill>
                </w14:textFill>
              </w:rPr>
            </w:pPr>
          </w:p>
          <w:p w14:paraId="577DE6E1">
            <w:pPr>
              <w:spacing w:line="360" w:lineRule="auto"/>
              <w:ind w:firstLine="420" w:firstLineChars="200"/>
              <w:rPr>
                <w:color w:val="000000" w:themeColor="text1"/>
                <w:szCs w:val="21"/>
                <w14:textFill>
                  <w14:solidFill>
                    <w14:schemeClr w14:val="tx1"/>
                  </w14:solidFill>
                </w14:textFill>
              </w:rPr>
            </w:pPr>
          </w:p>
          <w:p w14:paraId="1A5B5237">
            <w:pPr>
              <w:spacing w:line="360" w:lineRule="auto"/>
              <w:ind w:firstLine="420" w:firstLineChars="200"/>
              <w:rPr>
                <w:color w:val="000000" w:themeColor="text1"/>
                <w:szCs w:val="21"/>
                <w14:textFill>
                  <w14:solidFill>
                    <w14:schemeClr w14:val="tx1"/>
                  </w14:solidFill>
                </w14:textFill>
              </w:rPr>
            </w:pPr>
          </w:p>
          <w:p w14:paraId="598EF425">
            <w:pPr>
              <w:spacing w:line="360" w:lineRule="auto"/>
              <w:ind w:firstLine="420" w:firstLineChars="200"/>
              <w:rPr>
                <w:color w:val="000000" w:themeColor="text1"/>
                <w:szCs w:val="21"/>
                <w14:textFill>
                  <w14:solidFill>
                    <w14:schemeClr w14:val="tx1"/>
                  </w14:solidFill>
                </w14:textFill>
              </w:rPr>
            </w:pPr>
          </w:p>
          <w:p w14:paraId="4F99983B">
            <w:pPr>
              <w:spacing w:line="360" w:lineRule="auto"/>
              <w:ind w:firstLine="420" w:firstLineChars="200"/>
              <w:rPr>
                <w:color w:val="000000" w:themeColor="text1"/>
                <w:szCs w:val="21"/>
                <w14:textFill>
                  <w14:solidFill>
                    <w14:schemeClr w14:val="tx1"/>
                  </w14:solidFill>
                </w14:textFill>
              </w:rPr>
            </w:pPr>
          </w:p>
          <w:p w14:paraId="4AED95EA">
            <w:pPr>
              <w:spacing w:line="360" w:lineRule="auto"/>
              <w:ind w:firstLine="420" w:firstLineChars="200"/>
              <w:rPr>
                <w:color w:val="000000" w:themeColor="text1"/>
                <w:szCs w:val="21"/>
                <w14:textFill>
                  <w14:solidFill>
                    <w14:schemeClr w14:val="tx1"/>
                  </w14:solidFill>
                </w14:textFill>
              </w:rPr>
            </w:pPr>
          </w:p>
          <w:p w14:paraId="4B4F47A4">
            <w:pPr>
              <w:spacing w:line="360" w:lineRule="auto"/>
              <w:ind w:firstLine="420" w:firstLineChars="200"/>
              <w:rPr>
                <w:color w:val="000000" w:themeColor="text1"/>
                <w:szCs w:val="21"/>
                <w14:textFill>
                  <w14:solidFill>
                    <w14:schemeClr w14:val="tx1"/>
                  </w14:solidFill>
                </w14:textFill>
              </w:rPr>
            </w:pPr>
          </w:p>
          <w:p w14:paraId="16EE66C7">
            <w:pPr>
              <w:spacing w:line="360" w:lineRule="auto"/>
              <w:ind w:firstLine="420" w:firstLineChars="200"/>
              <w:rPr>
                <w:color w:val="000000" w:themeColor="text1"/>
                <w:szCs w:val="21"/>
                <w14:textFill>
                  <w14:solidFill>
                    <w14:schemeClr w14:val="tx1"/>
                  </w14:solidFill>
                </w14:textFill>
              </w:rPr>
            </w:pPr>
          </w:p>
          <w:p w14:paraId="52E9A946">
            <w:pPr>
              <w:spacing w:line="360" w:lineRule="auto"/>
              <w:rPr>
                <w:color w:val="000000" w:themeColor="text1"/>
                <w:szCs w:val="21"/>
                <w14:textFill>
                  <w14:solidFill>
                    <w14:schemeClr w14:val="tx1"/>
                  </w14:solidFill>
                </w14:textFill>
              </w:rPr>
            </w:pPr>
          </w:p>
        </w:tc>
      </w:tr>
      <w:tr w14:paraId="51C5F4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1" w:hRule="atLeast"/>
          <w:jc w:val="center"/>
        </w:trPr>
        <w:tc>
          <w:tcPr>
            <w:tcW w:w="414" w:type="dxa"/>
            <w:vAlign w:val="center"/>
          </w:tcPr>
          <w:p w14:paraId="1B3DBA2C">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总量</w:t>
            </w:r>
          </w:p>
          <w:p w14:paraId="2A1BF0A5">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控制</w:t>
            </w:r>
          </w:p>
          <w:p w14:paraId="0CEBA86F">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指标</w:t>
            </w:r>
          </w:p>
        </w:tc>
        <w:tc>
          <w:tcPr>
            <w:tcW w:w="8873" w:type="dxa"/>
            <w:vAlign w:val="center"/>
          </w:tcPr>
          <w:p w14:paraId="47A97088">
            <w:pPr>
              <w:spacing w:before="120" w:beforeLines="50"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由于本项目车辆冲洗废水、生产系统废水、初期雨水循环使用，不外排；生活污水经三级化粪池/三级隔油池+一体化A/O生化装置处理后用于周边林地灌溉，不外排；因此本报告建议不分配COD</w:t>
            </w:r>
            <w:r>
              <w:rPr>
                <w:rFonts w:hint="eastAsia"/>
                <w:color w:val="000000" w:themeColor="text1"/>
                <w:szCs w:val="21"/>
                <w:vertAlign w:val="subscript"/>
                <w14:textFill>
                  <w14:solidFill>
                    <w14:schemeClr w14:val="tx1"/>
                  </w14:solidFill>
                </w14:textFill>
              </w:rPr>
              <w:t>Cr</w:t>
            </w:r>
            <w:r>
              <w:rPr>
                <w:rFonts w:hint="eastAsia"/>
                <w:color w:val="000000" w:themeColor="text1"/>
                <w:szCs w:val="21"/>
                <w14:textFill>
                  <w14:solidFill>
                    <w14:schemeClr w14:val="tx1"/>
                  </w14:solidFill>
                </w14:textFill>
              </w:rPr>
              <w:t>、NH</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-N总量控制指标。</w:t>
            </w:r>
          </w:p>
          <w:p w14:paraId="4A4EF2D0">
            <w:pPr>
              <w:pStyle w:val="14"/>
              <w:spacing w:before="0" w:after="0" w:line="360" w:lineRule="auto"/>
              <w:ind w:right="0" w:firstLineChars="20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本项目大气污染物主要为颗粒物，</w:t>
            </w:r>
            <w:r>
              <w:rPr>
                <w:rFonts w:hint="eastAsia"/>
                <w:color w:val="000000" w:themeColor="text1"/>
                <w:szCs w:val="21"/>
                <w:lang w:val="en-US" w:eastAsia="zh-CN"/>
                <w14:textFill>
                  <w14:solidFill>
                    <w14:schemeClr w14:val="tx1"/>
                  </w14:solidFill>
                </w14:textFill>
              </w:rPr>
              <w:t>均为无组织排放，年排放量为10.84t/a，本环评建议颗粒物总量控制指标为10.84t/a，</w:t>
            </w:r>
            <w:r>
              <w:rPr>
                <w:rFonts w:hint="eastAsia"/>
                <w:color w:val="000000" w:themeColor="text1"/>
                <w:szCs w:val="21"/>
                <w:lang w:eastAsia="zh-CN"/>
                <w14:textFill>
                  <w14:solidFill>
                    <w14:schemeClr w14:val="tx1"/>
                  </w14:solidFill>
                </w14:textFill>
              </w:rPr>
              <w:t>根据地方生态环境主管部门管控要求，颗粒物无需</w:t>
            </w:r>
            <w:r>
              <w:rPr>
                <w:rFonts w:hint="eastAsia"/>
                <w:color w:val="000000" w:themeColor="text1"/>
                <w:szCs w:val="21"/>
                <w:lang w:val="en-US" w:eastAsia="zh-CN"/>
                <w14:textFill>
                  <w14:solidFill>
                    <w14:schemeClr w14:val="tx1"/>
                  </w14:solidFill>
                </w14:textFill>
              </w:rPr>
              <w:t>总量替代</w:t>
            </w:r>
            <w:r>
              <w:rPr>
                <w:rFonts w:hint="eastAsia"/>
                <w:color w:val="000000" w:themeColor="text1"/>
                <w:szCs w:val="21"/>
                <w:lang w:eastAsia="zh-CN"/>
                <w14:textFill>
                  <w14:solidFill>
                    <w14:schemeClr w14:val="tx1"/>
                  </w14:solidFill>
                </w14:textFill>
              </w:rPr>
              <w:t>。</w:t>
            </w:r>
          </w:p>
        </w:tc>
      </w:tr>
    </w:tbl>
    <w:p w14:paraId="32418B4C">
      <w:pPr>
        <w:pStyle w:val="18"/>
        <w:jc w:val="center"/>
        <w:outlineLvl w:val="0"/>
        <w:rPr>
          <w:rFonts w:ascii="Times New Roman" w:hAnsi="Times New Roman" w:eastAsia="黑体"/>
          <w:snapToGrid w:val="0"/>
          <w:color w:val="000000" w:themeColor="text1"/>
          <w:sz w:val="36"/>
          <w:szCs w:val="36"/>
          <w14:textFill>
            <w14:solidFill>
              <w14:schemeClr w14:val="tx1"/>
            </w14:solidFill>
          </w14:textFill>
        </w:rPr>
        <w:sectPr>
          <w:pgSz w:w="11905" w:h="16838"/>
          <w:pgMar w:top="1587" w:right="1417" w:bottom="1587" w:left="1417" w:header="850" w:footer="1077" w:gutter="0"/>
          <w:cols w:space="720" w:num="1"/>
          <w:docGrid w:linePitch="312" w:charSpace="0"/>
        </w:sectPr>
      </w:pPr>
    </w:p>
    <w:p w14:paraId="1789B050">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8" w:name="_Toc10124"/>
      <w:r>
        <w:rPr>
          <w:rFonts w:ascii="Times New Roman" w:hAnsi="Times New Roman" w:eastAsia="黑体"/>
          <w:snapToGrid w:val="0"/>
          <w:color w:val="000000" w:themeColor="text1"/>
          <w:sz w:val="30"/>
          <w:szCs w:val="30"/>
          <w14:textFill>
            <w14:solidFill>
              <w14:schemeClr w14:val="tx1"/>
            </w14:solidFill>
          </w14:textFill>
        </w:rPr>
        <w:t>四、主要环境影响和保护措施</w:t>
      </w:r>
      <w:bookmarkEnd w:id="18"/>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5"/>
        <w:gridCol w:w="13495"/>
      </w:tblGrid>
      <w:tr w14:paraId="65DE34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0" w:type="auto"/>
            <w:tcMar>
              <w:left w:w="28" w:type="dxa"/>
              <w:right w:w="28" w:type="dxa"/>
            </w:tcMar>
            <w:vAlign w:val="center"/>
          </w:tcPr>
          <w:p w14:paraId="183DAE67">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施工</w:t>
            </w:r>
          </w:p>
          <w:p w14:paraId="115867E2">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期环</w:t>
            </w:r>
          </w:p>
          <w:p w14:paraId="07960100">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境保</w:t>
            </w:r>
          </w:p>
          <w:p w14:paraId="20B123CF">
            <w:pPr>
              <w:pStyle w:val="18"/>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护措</w:t>
            </w:r>
          </w:p>
          <w:p w14:paraId="46B788A0">
            <w:pPr>
              <w:pStyle w:val="18"/>
              <w:adjustRightInd w:val="0"/>
              <w:snapToGrid w:val="0"/>
              <w:spacing w:before="0" w:beforeAutospacing="0" w:after="0" w:afterAutospacing="0"/>
              <w:jc w:val="center"/>
              <w:rPr>
                <w:rFonts w:ascii="Times New Roman" w:hAnsi="Times New Roman"/>
                <w:bCs/>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w:t>
            </w:r>
          </w:p>
        </w:tc>
        <w:tc>
          <w:tcPr>
            <w:tcW w:w="0" w:type="auto"/>
            <w:vAlign w:val="center"/>
          </w:tcPr>
          <w:p w14:paraId="0A014675">
            <w:pPr>
              <w:widowControl/>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本项目位于湛江市廉江市营仔镇福山村高墩角经济合作社，施工期主要污染涉及废气、废水、噪声及固体废物；项目施工期污染随施工期结束而消失，施工期污染影响在可接受范围内。</w:t>
            </w:r>
          </w:p>
          <w:p w14:paraId="6DF8B24B">
            <w:pPr>
              <w:pStyle w:val="45"/>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表4- 1 施工期污染防治措施一览表</w:t>
            </w:r>
          </w:p>
          <w:tbl>
            <w:tblPr>
              <w:tblStyle w:val="41"/>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49"/>
              <w:gridCol w:w="1712"/>
              <w:gridCol w:w="11008"/>
            </w:tblGrid>
            <w:tr w14:paraId="07A1B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07" w:type="pct"/>
                  <w:shd w:val="clear" w:color="auto" w:fill="D9D9D9"/>
                  <w:vAlign w:val="center"/>
                </w:tcPr>
                <w:p w14:paraId="78DCE57F">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类别</w:t>
                  </w:r>
                </w:p>
              </w:tc>
              <w:tc>
                <w:tcPr>
                  <w:tcW w:w="645" w:type="pct"/>
                  <w:shd w:val="clear" w:color="auto" w:fill="D9D9D9"/>
                  <w:vAlign w:val="center"/>
                </w:tcPr>
                <w:p w14:paraId="4D5D3BE3">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施工期主要污染物</w:t>
                  </w:r>
                </w:p>
              </w:tc>
              <w:tc>
                <w:tcPr>
                  <w:tcW w:w="4147" w:type="pct"/>
                  <w:shd w:val="clear" w:color="auto" w:fill="D9D9D9"/>
                  <w:vAlign w:val="center"/>
                </w:tcPr>
                <w:p w14:paraId="0CCF4BF5">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主要防治措施</w:t>
                  </w:r>
                </w:p>
              </w:tc>
            </w:tr>
            <w:tr w14:paraId="2AA30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07" w:type="pct"/>
                  <w:vMerge w:val="restart"/>
                  <w:tcBorders>
                    <w:bottom w:val="nil"/>
                  </w:tcBorders>
                  <w:vAlign w:val="center"/>
                </w:tcPr>
                <w:p w14:paraId="62E9631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废气</w:t>
                  </w:r>
                </w:p>
              </w:tc>
              <w:tc>
                <w:tcPr>
                  <w:tcW w:w="645" w:type="pct"/>
                  <w:vAlign w:val="center"/>
                </w:tcPr>
                <w:p w14:paraId="2E8B0A7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施工扬尘</w:t>
                  </w:r>
                </w:p>
              </w:tc>
              <w:tc>
                <w:tcPr>
                  <w:tcW w:w="4147" w:type="pct"/>
                  <w:vAlign w:val="center"/>
                </w:tcPr>
                <w:p w14:paraId="271DA8BD">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①实行全封闭施工，要求施工现场设置围挡并定期洒水，使施工期的扬尘污染控制在一定范围内，尽量减少对周围环境的影响。</w:t>
                  </w:r>
                </w:p>
                <w:p w14:paraId="37DF19E7">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②运土及建筑材料车辆应按规定配置防洒装备，装载不宜过满，保证运输过程中不散落；并规划好运输车辆的运行路线与时间，尽量避免在交通集中区等敏感区行驶；要求施工便道硬化、出入道路硬化。</w:t>
                  </w:r>
                </w:p>
                <w:p w14:paraId="04F17216">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③针对施工原材料扬尘，要求工地对物料进行篷盖；</w:t>
                  </w:r>
                </w:p>
                <w:p w14:paraId="3DB26E30">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④开挖过程中，应洒水使作业保持一定的湿度，对施工场地内松散、干涸的表土，应该经常洒水防治粉尘，洒水对小范围施工裸土自然扬尘有明显的抑制效果；</w:t>
                  </w:r>
                </w:p>
                <w:p w14:paraId="013A0A1F">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⑤进出车辆运输扬尘需根据情况采用喷洗或冲洗的方法，将车身及车轮上剩余的泥土冲干净。</w:t>
                  </w:r>
                </w:p>
              </w:tc>
            </w:tr>
            <w:tr w14:paraId="7C9B2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07" w:type="pct"/>
                  <w:vMerge w:val="continue"/>
                  <w:tcBorders>
                    <w:top w:val="nil"/>
                  </w:tcBorders>
                  <w:vAlign w:val="center"/>
                </w:tcPr>
                <w:p w14:paraId="4ABEC7B8">
                  <w:pPr>
                    <w:pStyle w:val="46"/>
                    <w:rPr>
                      <w:color w:val="000000" w:themeColor="text1"/>
                      <w14:textFill>
                        <w14:solidFill>
                          <w14:schemeClr w14:val="tx1"/>
                        </w14:solidFill>
                      </w14:textFill>
                    </w:rPr>
                  </w:pPr>
                </w:p>
              </w:tc>
              <w:tc>
                <w:tcPr>
                  <w:tcW w:w="645" w:type="pct"/>
                  <w:vAlign w:val="center"/>
                </w:tcPr>
                <w:p w14:paraId="1400BD6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施工机械尾气和运输车辆尾气</w:t>
                  </w:r>
                </w:p>
              </w:tc>
              <w:tc>
                <w:tcPr>
                  <w:tcW w:w="4147" w:type="pct"/>
                  <w:vAlign w:val="center"/>
                </w:tcPr>
                <w:p w14:paraId="7B6F6C5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监督机械设备和运输车辆采用符合国家标准的燃料。</w:t>
                  </w:r>
                </w:p>
              </w:tc>
            </w:tr>
            <w:tr w14:paraId="2C212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07" w:type="pct"/>
                  <w:vMerge w:val="restart"/>
                  <w:vAlign w:val="center"/>
                </w:tcPr>
                <w:p w14:paraId="68194CA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废水</w:t>
                  </w:r>
                </w:p>
              </w:tc>
              <w:tc>
                <w:tcPr>
                  <w:tcW w:w="645" w:type="pct"/>
                  <w:vAlign w:val="center"/>
                </w:tcPr>
                <w:p w14:paraId="2D9EC12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施工人员生活污水</w:t>
                  </w:r>
                </w:p>
              </w:tc>
              <w:tc>
                <w:tcPr>
                  <w:tcW w:w="4147" w:type="pct"/>
                  <w:vAlign w:val="center"/>
                </w:tcPr>
                <w:p w14:paraId="3E64627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依托项目区域内现有的临时办公室，生活污水经三级化粪池/三级隔油池+一体化A/O生化装置处理后回用于厂区周边林地灌溉。</w:t>
                  </w:r>
                </w:p>
              </w:tc>
            </w:tr>
            <w:tr w14:paraId="13405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07" w:type="pct"/>
                  <w:vMerge w:val="continue"/>
                  <w:vAlign w:val="center"/>
                </w:tcPr>
                <w:p w14:paraId="0FC033E0">
                  <w:pPr>
                    <w:pStyle w:val="46"/>
                    <w:rPr>
                      <w:color w:val="000000" w:themeColor="text1"/>
                      <w14:textFill>
                        <w14:solidFill>
                          <w14:schemeClr w14:val="tx1"/>
                        </w14:solidFill>
                      </w14:textFill>
                    </w:rPr>
                  </w:pPr>
                </w:p>
              </w:tc>
              <w:tc>
                <w:tcPr>
                  <w:tcW w:w="645" w:type="pct"/>
                  <w:vAlign w:val="center"/>
                </w:tcPr>
                <w:p w14:paraId="5B92E0D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施工废水</w:t>
                  </w:r>
                </w:p>
              </w:tc>
              <w:tc>
                <w:tcPr>
                  <w:tcW w:w="4147" w:type="pct"/>
                  <w:vAlign w:val="center"/>
                </w:tcPr>
                <w:p w14:paraId="2CC817A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设置沉淀池沉淀后回用于场地抑尘等环节，严禁废水直接排入周边河涌。</w:t>
                  </w:r>
                </w:p>
              </w:tc>
            </w:tr>
            <w:tr w14:paraId="49311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07" w:type="pct"/>
                  <w:vMerge w:val="continue"/>
                  <w:vAlign w:val="center"/>
                </w:tcPr>
                <w:p w14:paraId="421E25AC">
                  <w:pPr>
                    <w:pStyle w:val="46"/>
                    <w:rPr>
                      <w:color w:val="000000" w:themeColor="text1"/>
                      <w14:textFill>
                        <w14:solidFill>
                          <w14:schemeClr w14:val="tx1"/>
                        </w14:solidFill>
                      </w14:textFill>
                    </w:rPr>
                  </w:pPr>
                </w:p>
              </w:tc>
              <w:tc>
                <w:tcPr>
                  <w:tcW w:w="645" w:type="pct"/>
                  <w:vAlign w:val="center"/>
                </w:tcPr>
                <w:p w14:paraId="4BC8DD2E">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初期雨水</w:t>
                  </w:r>
                </w:p>
              </w:tc>
              <w:tc>
                <w:tcPr>
                  <w:tcW w:w="4147" w:type="pct"/>
                  <w:vAlign w:val="center"/>
                </w:tcPr>
                <w:p w14:paraId="2F3814C0">
                  <w:pPr>
                    <w:pStyle w:val="4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通过集水沟的收集和沉淀池的沉淀作用，回用于施工场地降尘喷洒等。</w:t>
                  </w:r>
                </w:p>
              </w:tc>
            </w:tr>
            <w:tr w14:paraId="21BE3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07" w:type="pct"/>
                  <w:vMerge w:val="restart"/>
                  <w:tcBorders>
                    <w:bottom w:val="nil"/>
                  </w:tcBorders>
                  <w:vAlign w:val="center"/>
                </w:tcPr>
                <w:p w14:paraId="27733FA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固体废物</w:t>
                  </w:r>
                </w:p>
              </w:tc>
              <w:tc>
                <w:tcPr>
                  <w:tcW w:w="645" w:type="pct"/>
                  <w:vAlign w:val="center"/>
                </w:tcPr>
                <w:p w14:paraId="0B5D00F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建筑垃圾、土石方</w:t>
                  </w:r>
                </w:p>
              </w:tc>
              <w:tc>
                <w:tcPr>
                  <w:tcW w:w="4147" w:type="pct"/>
                  <w:vAlign w:val="center"/>
                </w:tcPr>
                <w:p w14:paraId="09FBF3A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按照相关要求进行合理处置，及时清运，不得长期露天堆放，不得随意丢弃。</w:t>
                  </w:r>
                </w:p>
              </w:tc>
            </w:tr>
            <w:tr w14:paraId="02F22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207" w:type="pct"/>
                  <w:vMerge w:val="continue"/>
                  <w:tcBorders>
                    <w:top w:val="nil"/>
                  </w:tcBorders>
                  <w:vAlign w:val="center"/>
                </w:tcPr>
                <w:p w14:paraId="1A084EC3">
                  <w:pPr>
                    <w:pStyle w:val="46"/>
                    <w:rPr>
                      <w:color w:val="000000" w:themeColor="text1"/>
                      <w14:textFill>
                        <w14:solidFill>
                          <w14:schemeClr w14:val="tx1"/>
                        </w14:solidFill>
                      </w14:textFill>
                    </w:rPr>
                  </w:pPr>
                </w:p>
              </w:tc>
              <w:tc>
                <w:tcPr>
                  <w:tcW w:w="645" w:type="pct"/>
                  <w:vAlign w:val="center"/>
                </w:tcPr>
                <w:p w14:paraId="4BC23FE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施工人员生活垃圾</w:t>
                  </w:r>
                </w:p>
              </w:tc>
              <w:tc>
                <w:tcPr>
                  <w:tcW w:w="4147" w:type="pct"/>
                  <w:vAlign w:val="center"/>
                </w:tcPr>
                <w:p w14:paraId="761AF33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分类收集交环卫部门清运处理。</w:t>
                  </w:r>
                </w:p>
              </w:tc>
            </w:tr>
            <w:tr w14:paraId="07F2D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207" w:type="pct"/>
                  <w:vAlign w:val="center"/>
                </w:tcPr>
                <w:p w14:paraId="2000C8C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噪声</w:t>
                  </w:r>
                </w:p>
              </w:tc>
              <w:tc>
                <w:tcPr>
                  <w:tcW w:w="645" w:type="pct"/>
                  <w:vAlign w:val="center"/>
                </w:tcPr>
                <w:p w14:paraId="5922FDE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机械噪声、运输噪声</w:t>
                  </w:r>
                </w:p>
              </w:tc>
              <w:tc>
                <w:tcPr>
                  <w:tcW w:w="4147" w:type="pct"/>
                  <w:vAlign w:val="center"/>
                </w:tcPr>
                <w:p w14:paraId="2E72F9E2">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①施工机械应尽量选用低噪声设备，挖掘机、运输卡车等机械的进气、排气口设置消声器，加强设备的维护和保养，振动大的设备应配备减振装置。</w:t>
                  </w:r>
                </w:p>
                <w:p w14:paraId="0BE915B7">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②做好施工机械与运输车辆的保养，使其保持良好的运行状态，运输车辆在经过居民点时，应限速行车，并不得鸣笛。</w:t>
                  </w:r>
                </w:p>
              </w:tc>
            </w:tr>
            <w:tr w14:paraId="52A22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852" w:type="pct"/>
                  <w:gridSpan w:val="2"/>
                  <w:vAlign w:val="center"/>
                </w:tcPr>
                <w:p w14:paraId="09A188F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生态环境</w:t>
                  </w:r>
                </w:p>
              </w:tc>
              <w:tc>
                <w:tcPr>
                  <w:tcW w:w="4147" w:type="pct"/>
                  <w:vAlign w:val="center"/>
                </w:tcPr>
                <w:p w14:paraId="1511457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项目用地范围内不含生态环境保护目标，施工过程应做好相应的污染防治措施，禁止占用基本农田，禁止随意倾倒废水和建筑垃圾，控制施工活动范围，减少水土流失。</w:t>
                  </w:r>
                </w:p>
              </w:tc>
            </w:tr>
            <w:tr w14:paraId="5199C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52" w:type="pct"/>
                  <w:gridSpan w:val="2"/>
                  <w:vAlign w:val="center"/>
                </w:tcPr>
                <w:p w14:paraId="3234871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水土保持</w:t>
                  </w:r>
                </w:p>
              </w:tc>
              <w:tc>
                <w:tcPr>
                  <w:tcW w:w="4147" w:type="pct"/>
                  <w:vAlign w:val="center"/>
                </w:tcPr>
                <w:p w14:paraId="24308BE7">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①尽量避免雨天施工作业，遇大雨天气应对开挖的裸露地面进行苫盖。</w:t>
                  </w:r>
                </w:p>
                <w:p w14:paraId="7573D603">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②工程施工中做好土石方平衡工作，开挖的土方尽量作为施工场地平整回填之用；建设产生的弃土在回填后多余部分及时运走；</w:t>
                  </w:r>
                </w:p>
                <w:p w14:paraId="77E61AA9">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③施工场地应注意土方的合理堆置，尽量避免流入水体。</w:t>
                  </w:r>
                </w:p>
              </w:tc>
            </w:tr>
            <w:tr w14:paraId="17CC6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852" w:type="pct"/>
                  <w:gridSpan w:val="2"/>
                  <w:tcBorders>
                    <w:bottom w:val="single" w:color="000000" w:sz="6" w:space="0"/>
                  </w:tcBorders>
                  <w:shd w:val="clear" w:color="auto" w:fill="auto"/>
                  <w:vAlign w:val="center"/>
                </w:tcPr>
                <w:p w14:paraId="12DC94BB">
                  <w:pPr>
                    <w:pStyle w:val="46"/>
                    <w:rPr>
                      <w:color w:val="000000" w:themeColor="text1"/>
                      <w:lang w:eastAsia="en-US"/>
                      <w14:textFill>
                        <w14:solidFill>
                          <w14:schemeClr w14:val="tx1"/>
                        </w14:solidFill>
                      </w14:textFill>
                    </w:rPr>
                  </w:pPr>
                  <w:r>
                    <w:rPr>
                      <w:color w:val="000000" w:themeColor="text1"/>
                      <w14:textFill>
                        <w14:solidFill>
                          <w14:schemeClr w14:val="tx1"/>
                        </w14:solidFill>
                      </w14:textFill>
                    </w:rPr>
                    <w:t>其他</w:t>
                  </w:r>
                </w:p>
              </w:tc>
              <w:tc>
                <w:tcPr>
                  <w:tcW w:w="4147" w:type="pct"/>
                  <w:tcBorders>
                    <w:bottom w:val="single" w:color="000000" w:sz="6" w:space="0"/>
                  </w:tcBorders>
                  <w:shd w:val="clear" w:color="auto" w:fill="auto"/>
                  <w:vAlign w:val="center"/>
                </w:tcPr>
                <w:p w14:paraId="33427698">
                  <w:pPr>
                    <w:pStyle w:val="46"/>
                    <w:rPr>
                      <w:color w:val="000000" w:themeColor="text1"/>
                      <w14:textFill>
                        <w14:solidFill>
                          <w14:schemeClr w14:val="tx1"/>
                        </w14:solidFill>
                      </w14:textFill>
                    </w:rPr>
                  </w:pPr>
                  <w:r>
                    <w:rPr>
                      <w:color w:val="000000" w:themeColor="text1"/>
                      <w14:textFill>
                        <w14:solidFill>
                          <w14:schemeClr w14:val="tx1"/>
                        </w14:solidFill>
                      </w14:textFill>
                    </w:rPr>
                    <w:t>施工期间严格按照相关标准和法律法规妥善处理施工期的环境污染问题，采取相关有效的控制和管理措施。</w:t>
                  </w:r>
                </w:p>
              </w:tc>
            </w:tr>
          </w:tbl>
          <w:p w14:paraId="16EEE545">
            <w:pPr>
              <w:pStyle w:val="45"/>
              <w:jc w:val="both"/>
              <w:rPr>
                <w:color w:val="000000" w:themeColor="text1"/>
                <w14:textFill>
                  <w14:solidFill>
                    <w14:schemeClr w14:val="tx1"/>
                  </w14:solidFill>
                </w14:textFill>
              </w:rPr>
            </w:pPr>
          </w:p>
        </w:tc>
      </w:tr>
      <w:tr w14:paraId="57A785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3" w:hRule="atLeast"/>
          <w:jc w:val="center"/>
        </w:trPr>
        <w:tc>
          <w:tcPr>
            <w:tcW w:w="0" w:type="auto"/>
            <w:tcMar>
              <w:left w:w="28" w:type="dxa"/>
              <w:right w:w="28" w:type="dxa"/>
            </w:tcMar>
            <w:vAlign w:val="center"/>
          </w:tcPr>
          <w:p w14:paraId="188561D8">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500762BA">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46634972">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6A05660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6C278BDB">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442D39AF">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0" w:type="auto"/>
          </w:tcPr>
          <w:p w14:paraId="160AC26C">
            <w:pPr>
              <w:adjustRightInd w:val="0"/>
              <w:snapToGrid w:val="0"/>
              <w:spacing w:before="120" w:beforeLines="50"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一、大气环境影响分析</w:t>
            </w:r>
          </w:p>
          <w:p w14:paraId="35D16687">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1、污染物产生情况</w:t>
            </w:r>
          </w:p>
          <w:p w14:paraId="3D5712D9">
            <w:pPr>
              <w:pStyle w:val="18"/>
              <w:spacing w:before="0" w:beforeAutospacing="0" w:after="0" w:afterAutospacing="0" w:line="360" w:lineRule="auto"/>
              <w:ind w:firstLine="420" w:firstLineChars="200"/>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本项目主要的</w:t>
            </w:r>
            <w:r>
              <w:rPr>
                <w:rFonts w:hint="eastAsia" w:ascii="Times New Roman" w:hAnsi="Times New Roman"/>
                <w:color w:val="000000" w:themeColor="text1"/>
                <w:kern w:val="2"/>
                <w:sz w:val="21"/>
                <w:szCs w:val="21"/>
                <w14:textFill>
                  <w14:solidFill>
                    <w14:schemeClr w14:val="tx1"/>
                  </w14:solidFill>
                </w14:textFill>
              </w:rPr>
              <w:t>废气</w:t>
            </w:r>
            <w:r>
              <w:rPr>
                <w:rFonts w:ascii="Times New Roman" w:hAnsi="Times New Roman"/>
                <w:color w:val="000000" w:themeColor="text1"/>
                <w:kern w:val="2"/>
                <w:sz w:val="21"/>
                <w:szCs w:val="21"/>
                <w14:textFill>
                  <w14:solidFill>
                    <w14:schemeClr w14:val="tx1"/>
                  </w14:solidFill>
                </w14:textFill>
              </w:rPr>
              <w:t>为</w:t>
            </w:r>
            <w:r>
              <w:rPr>
                <w:rFonts w:hint="eastAsia" w:ascii="Times New Roman" w:hAnsi="Times New Roman" w:cs="宋体"/>
                <w:color w:val="000000" w:themeColor="text1"/>
                <w:sz w:val="21"/>
                <w:szCs w:val="21"/>
                <w14:textFill>
                  <w14:solidFill>
                    <w14:schemeClr w14:val="tx1"/>
                  </w14:solidFill>
                </w14:textFill>
              </w:rPr>
              <w:t>汽车运输扬尘，</w:t>
            </w:r>
            <w:r>
              <w:rPr>
                <w:rFonts w:hint="eastAsia" w:ascii="Times New Roman" w:hAnsi="Times New Roman"/>
                <w:color w:val="000000" w:themeColor="text1"/>
                <w:kern w:val="2"/>
                <w:sz w:val="21"/>
                <w:szCs w:val="21"/>
                <w14:textFill>
                  <w14:solidFill>
                    <w14:schemeClr w14:val="tx1"/>
                  </w14:solidFill>
                </w14:textFill>
              </w:rPr>
              <w:t>装卸扬尘</w:t>
            </w:r>
            <w:r>
              <w:rPr>
                <w:rFonts w:hint="eastAsia" w:cs="宋体"/>
                <w:color w:val="000000" w:themeColor="text1"/>
                <w:sz w:val="21"/>
                <w:szCs w:val="21"/>
                <w14:textFill>
                  <w14:solidFill>
                    <w14:schemeClr w14:val="tx1"/>
                  </w14:solidFill>
                </w14:textFill>
              </w:rPr>
              <w:t>，破碎、筛分工序产生的粉尘、食堂产生的油烟</w:t>
            </w:r>
            <w:r>
              <w:rPr>
                <w:rFonts w:hint="eastAsia" w:cs="宋体"/>
                <w:color w:val="000000" w:themeColor="text1"/>
                <w:sz w:val="21"/>
                <w:szCs w:val="21"/>
                <w:lang w:eastAsia="zh-CN"/>
                <w14:textFill>
                  <w14:solidFill>
                    <w14:schemeClr w14:val="tx1"/>
                  </w14:solidFill>
                </w14:textFill>
              </w:rPr>
              <w:t>；</w:t>
            </w:r>
            <w:r>
              <w:rPr>
                <w:rFonts w:hint="eastAsia" w:cs="宋体"/>
                <w:color w:val="000000" w:themeColor="text1"/>
                <w:sz w:val="21"/>
                <w:szCs w:val="21"/>
                <w14:textFill>
                  <w14:solidFill>
                    <w14:schemeClr w14:val="tx1"/>
                  </w14:solidFill>
                </w14:textFill>
              </w:rPr>
              <w:t>原料、产品在生产线中使用</w:t>
            </w:r>
            <w:r>
              <w:rPr>
                <w:rFonts w:hint="eastAsia" w:cs="宋体"/>
                <w:color w:val="000000" w:themeColor="text1"/>
                <w:sz w:val="21"/>
                <w:szCs w:val="21"/>
                <w:lang w:val="en-US" w:eastAsia="zh-CN"/>
                <w14:textFill>
                  <w14:solidFill>
                    <w14:schemeClr w14:val="tx1"/>
                  </w14:solidFill>
                </w14:textFill>
              </w:rPr>
              <w:t>全封闭</w:t>
            </w:r>
            <w:r>
              <w:rPr>
                <w:rFonts w:hint="eastAsia" w:cs="宋体"/>
                <w:color w:val="000000" w:themeColor="text1"/>
                <w:sz w:val="21"/>
                <w:szCs w:val="21"/>
                <w14:textFill>
                  <w14:solidFill>
                    <w14:schemeClr w14:val="tx1"/>
                  </w14:solidFill>
                </w14:textFill>
              </w:rPr>
              <w:t>皮带输送系统进行输送，物料通过传送带输送受到的扰动很小且</w:t>
            </w:r>
            <w:r>
              <w:rPr>
                <w:rFonts w:hint="eastAsia" w:cs="宋体"/>
                <w:color w:val="000000" w:themeColor="text1"/>
                <w:sz w:val="21"/>
                <w:szCs w:val="21"/>
                <w:lang w:val="en-US" w:eastAsia="zh-CN"/>
                <w14:textFill>
                  <w14:solidFill>
                    <w14:schemeClr w14:val="tx1"/>
                  </w14:solidFill>
                </w14:textFill>
              </w:rPr>
              <w:t>属于全封闭</w:t>
            </w:r>
            <w:r>
              <w:rPr>
                <w:rFonts w:hint="eastAsia" w:cs="宋体"/>
                <w:color w:val="000000" w:themeColor="text1"/>
                <w:sz w:val="21"/>
                <w:szCs w:val="21"/>
                <w14:textFill>
                  <w14:solidFill>
                    <w14:schemeClr w14:val="tx1"/>
                  </w14:solidFill>
                </w14:textFill>
              </w:rPr>
              <w:t>，</w:t>
            </w:r>
            <w:r>
              <w:rPr>
                <w:rFonts w:hint="eastAsia" w:cs="宋体"/>
                <w:color w:val="000000" w:themeColor="text1"/>
                <w:sz w:val="21"/>
                <w:szCs w:val="21"/>
                <w:lang w:val="en-US" w:eastAsia="zh-CN"/>
                <w14:textFill>
                  <w14:solidFill>
                    <w14:schemeClr w14:val="tx1"/>
                  </w14:solidFill>
                </w14:textFill>
              </w:rPr>
              <w:t>基本不会产生粉尘，物料输送粉尘</w:t>
            </w:r>
            <w:r>
              <w:rPr>
                <w:rFonts w:hint="eastAsia" w:cs="宋体"/>
                <w:color w:val="000000" w:themeColor="text1"/>
                <w:sz w:val="21"/>
                <w:szCs w:val="21"/>
                <w14:textFill>
                  <w14:solidFill>
                    <w14:schemeClr w14:val="tx1"/>
                  </w14:solidFill>
                </w14:textFill>
              </w:rPr>
              <w:t>可忽略不计。</w:t>
            </w:r>
          </w:p>
          <w:p w14:paraId="507AE573">
            <w:pPr>
              <w:spacing w:line="360" w:lineRule="auto"/>
              <w:ind w:firstLine="422" w:firstLineChars="20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（1）</w:t>
            </w:r>
            <w:r>
              <w:rPr>
                <w:rFonts w:hint="eastAsia" w:cs="宋体"/>
                <w:b/>
                <w:bCs/>
                <w:color w:val="000000" w:themeColor="text1"/>
                <w:kern w:val="0"/>
                <w:szCs w:val="21"/>
                <w14:textFill>
                  <w14:solidFill>
                    <w14:schemeClr w14:val="tx1"/>
                  </w14:solidFill>
                </w14:textFill>
              </w:rPr>
              <w:t>汽车运输扬尘</w:t>
            </w:r>
          </w:p>
          <w:p w14:paraId="15C145B8">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原料及成品均采用汽车运输，由于车辆会遗撒少量的物料在厂区道路上，汽车运输过程所产生的扬尘以颗粒物表征</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选用《无组织排放源常用分析与估算方法》（西北铀矿地质第31卷第二期，李亚军）中汽车在有散状物料的道路上行驶，选用上海港环境保护中心和武汉水运工程学院提出的经验公式估算，经验公式为：</w:t>
            </w:r>
          </w:p>
          <w:p w14:paraId="329C6EA0">
            <w:pPr>
              <w:spacing w:line="360" w:lineRule="auto"/>
              <w:jc w:val="center"/>
              <w:rPr>
                <w:color w:val="000000" w:themeColor="text1"/>
                <w:szCs w:val="21"/>
                <w14:textFill>
                  <w14:solidFill>
                    <w14:schemeClr w14:val="tx1"/>
                  </w14:solidFill>
                </w14:textFill>
              </w:rPr>
            </w:pPr>
            <w:r>
              <w:rPr>
                <w:color w:val="000000" w:themeColor="text1"/>
                <w:position w:val="-24"/>
                <w:szCs w:val="21"/>
                <w14:textFill>
                  <w14:solidFill>
                    <w14:schemeClr w14:val="tx1"/>
                  </w14:solidFill>
                </w14:textFill>
              </w:rPr>
              <w:object>
                <v:shape id="_x0000_i1025" o:spt="75" type="#_x0000_t75" style="height:37.2pt;width:228.6pt;" o:ole="t" filled="f" o:preferrelative="t" stroked="f" coordsize="21600,21600">
                  <v:path/>
                  <v:fill on="f" focussize="0,0"/>
                  <v:stroke on="f"/>
                  <v:imagedata r:id="rId26" o:title=""/>
                  <o:lock v:ext="edit" aspectratio="t"/>
                  <w10:wrap type="none"/>
                  <w10:anchorlock/>
                </v:shape>
                <o:OLEObject Type="Embed" ProgID="Equation.KSEE3" ShapeID="_x0000_i1025" DrawAspect="Content" ObjectID="_1468075725" r:id="rId25">
                  <o:LockedField>false</o:LockedField>
                </o:OLEObject>
              </w:object>
            </w:r>
          </w:p>
          <w:p w14:paraId="364CAE3E">
            <w:pPr>
              <w:pStyle w:val="9"/>
              <w:spacing w:after="0" w:line="360" w:lineRule="auto"/>
              <w:ind w:firstLine="420" w:firstLineChars="2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式中：</w:t>
            </w:r>
            <w:r>
              <w:rPr>
                <w:rFonts w:hint="eastAsia" w:cs="宋体"/>
                <w:i/>
                <w:iCs/>
                <w:color w:val="000000" w:themeColor="text1"/>
                <w:sz w:val="21"/>
                <w:szCs w:val="21"/>
                <w14:textFill>
                  <w14:solidFill>
                    <w14:schemeClr w14:val="tx1"/>
                  </w14:solidFill>
                </w14:textFill>
              </w:rPr>
              <w:t>Q</w:t>
            </w:r>
            <w:r>
              <w:rPr>
                <w:rFonts w:hint="eastAsia" w:cs="宋体"/>
                <w:color w:val="000000" w:themeColor="text1"/>
                <w:sz w:val="21"/>
                <w:szCs w:val="21"/>
                <w14:textFill>
                  <w14:solidFill>
                    <w14:schemeClr w14:val="tx1"/>
                  </w14:solidFill>
                </w14:textFill>
              </w:rPr>
              <w:t>——汽车行驶的起尘量，kg/辆；</w:t>
            </w:r>
          </w:p>
          <w:p w14:paraId="36C54A41">
            <w:pPr>
              <w:pStyle w:val="9"/>
              <w:spacing w:before="20" w:after="0" w:line="360" w:lineRule="auto"/>
              <w:ind w:firstLine="1050" w:firstLineChars="500"/>
              <w:rPr>
                <w:rFonts w:cs="宋体"/>
                <w:color w:val="000000" w:themeColor="text1"/>
                <w:sz w:val="21"/>
                <w:szCs w:val="21"/>
                <w14:textFill>
                  <w14:solidFill>
                    <w14:schemeClr w14:val="tx1"/>
                  </w14:solidFill>
                </w14:textFill>
              </w:rPr>
            </w:pPr>
            <w:r>
              <w:rPr>
                <w:rFonts w:hint="eastAsia" w:cs="宋体"/>
                <w:i/>
                <w:iCs/>
                <w:color w:val="000000" w:themeColor="text1"/>
                <w:sz w:val="21"/>
                <w:szCs w:val="21"/>
                <w14:textFill>
                  <w14:solidFill>
                    <w14:schemeClr w14:val="tx1"/>
                  </w14:solidFill>
                </w14:textFill>
              </w:rPr>
              <w:t>V</w:t>
            </w:r>
            <w:r>
              <w:rPr>
                <w:rFonts w:hint="eastAsia" w:cs="宋体"/>
                <w:color w:val="000000" w:themeColor="text1"/>
                <w:sz w:val="21"/>
                <w:szCs w:val="21"/>
                <w14:textFill>
                  <w14:solidFill>
                    <w14:schemeClr w14:val="tx1"/>
                  </w14:solidFill>
                </w14:textFill>
              </w:rPr>
              <w:t>——汽车行驶速度，km/h，</w:t>
            </w:r>
            <w:r>
              <w:rPr>
                <w:rFonts w:cs="宋体"/>
                <w:color w:val="000000" w:themeColor="text1"/>
                <w:sz w:val="21"/>
                <w:szCs w:val="21"/>
                <w14:textFill>
                  <w14:solidFill>
                    <w14:schemeClr w14:val="tx1"/>
                  </w14:solidFill>
                </w14:textFill>
              </w:rPr>
              <w:t>10km/h</w:t>
            </w:r>
            <w:r>
              <w:rPr>
                <w:rFonts w:hint="eastAsia" w:cs="宋体"/>
                <w:color w:val="000000" w:themeColor="text1"/>
                <w:sz w:val="21"/>
                <w:szCs w:val="21"/>
                <w14:textFill>
                  <w14:solidFill>
                    <w14:schemeClr w14:val="tx1"/>
                  </w14:solidFill>
                </w14:textFill>
              </w:rPr>
              <w:t>；</w:t>
            </w:r>
          </w:p>
          <w:p w14:paraId="49BE6F43">
            <w:pPr>
              <w:pStyle w:val="9"/>
              <w:spacing w:before="20" w:after="0" w:line="360" w:lineRule="auto"/>
              <w:ind w:firstLine="1050" w:firstLineChars="500"/>
              <w:rPr>
                <w:rFonts w:cs="宋体"/>
                <w:color w:val="000000" w:themeColor="text1"/>
                <w:sz w:val="21"/>
                <w:szCs w:val="21"/>
                <w14:textFill>
                  <w14:solidFill>
                    <w14:schemeClr w14:val="tx1"/>
                  </w14:solidFill>
                </w14:textFill>
              </w:rPr>
            </w:pPr>
            <w:r>
              <w:rPr>
                <w:rFonts w:hint="eastAsia" w:cs="宋体"/>
                <w:color w:val="000000" w:themeColor="text1"/>
                <w:sz w:val="21"/>
                <w:szCs w:val="21"/>
                <w14:textFill>
                  <w14:solidFill>
                    <w14:schemeClr w14:val="tx1"/>
                  </w14:solidFill>
                </w14:textFill>
              </w:rPr>
              <w:t>M——汽车载重量，t，满载按35t，空载按10t；</w:t>
            </w:r>
          </w:p>
          <w:p w14:paraId="29BF3A67">
            <w:pPr>
              <w:pStyle w:val="9"/>
              <w:spacing w:before="20" w:after="0" w:line="360" w:lineRule="auto"/>
              <w:ind w:firstLine="1050" w:firstLineChars="500"/>
              <w:rPr>
                <w:rFonts w:cs="宋体"/>
                <w:color w:val="000000" w:themeColor="text1"/>
                <w:sz w:val="21"/>
                <w:szCs w:val="21"/>
                <w14:textFill>
                  <w14:solidFill>
                    <w14:schemeClr w14:val="tx1"/>
                  </w14:solidFill>
                </w14:textFill>
              </w:rPr>
            </w:pPr>
            <w:r>
              <w:rPr>
                <w:rFonts w:hint="eastAsia" w:cs="宋体"/>
                <w:i/>
                <w:iCs/>
                <w:color w:val="000000" w:themeColor="text1"/>
                <w:sz w:val="21"/>
                <w:szCs w:val="21"/>
                <w14:textFill>
                  <w14:solidFill>
                    <w14:schemeClr w14:val="tx1"/>
                  </w14:solidFill>
                </w14:textFill>
              </w:rPr>
              <w:t>P</w:t>
            </w:r>
            <w:r>
              <w:rPr>
                <w:rFonts w:hint="eastAsia" w:cs="宋体"/>
                <w:color w:val="000000" w:themeColor="text1"/>
                <w:sz w:val="21"/>
                <w:szCs w:val="21"/>
                <w14:textFill>
                  <w14:solidFill>
                    <w14:schemeClr w14:val="tx1"/>
                  </w14:solidFill>
                </w14:textFill>
              </w:rPr>
              <w:t>——道路表面物料量，kg/m</w:t>
            </w:r>
            <w:r>
              <w:rPr>
                <w:rFonts w:hint="eastAsia" w:cs="宋体"/>
                <w:color w:val="000000" w:themeColor="text1"/>
                <w:sz w:val="21"/>
                <w:szCs w:val="21"/>
                <w:vertAlign w:val="superscript"/>
                <w14:textFill>
                  <w14:solidFill>
                    <w14:schemeClr w14:val="tx1"/>
                  </w14:solidFill>
                </w14:textFill>
              </w:rPr>
              <w:t>2</w:t>
            </w:r>
            <w:r>
              <w:rPr>
                <w:rFonts w:hint="eastAsia" w:cs="宋体"/>
                <w:color w:val="000000" w:themeColor="text1"/>
                <w:sz w:val="21"/>
                <w:szCs w:val="21"/>
                <w14:textFill>
                  <w14:solidFill>
                    <w14:schemeClr w14:val="tx1"/>
                  </w14:solidFill>
                </w14:textFill>
              </w:rPr>
              <w:t>，取0.1kg/m</w:t>
            </w:r>
            <w:r>
              <w:rPr>
                <w:rFonts w:hint="eastAsia" w:cs="宋体"/>
                <w:color w:val="000000" w:themeColor="text1"/>
                <w:sz w:val="21"/>
                <w:szCs w:val="21"/>
                <w:vertAlign w:val="superscript"/>
                <w14:textFill>
                  <w14:solidFill>
                    <w14:schemeClr w14:val="tx1"/>
                  </w14:solidFill>
                </w14:textFill>
              </w:rPr>
              <w:t>2</w:t>
            </w:r>
            <w:r>
              <w:rPr>
                <w:rFonts w:hint="eastAsia" w:cs="宋体"/>
                <w:color w:val="000000" w:themeColor="text1"/>
                <w:sz w:val="21"/>
                <w:szCs w:val="21"/>
                <w14:textFill>
                  <w14:solidFill>
                    <w14:schemeClr w14:val="tx1"/>
                  </w14:solidFill>
                </w14:textFill>
              </w:rPr>
              <w:t>；</w:t>
            </w:r>
          </w:p>
          <w:p w14:paraId="28304BD3">
            <w:pPr>
              <w:spacing w:line="360" w:lineRule="auto"/>
              <w:ind w:firstLine="1050" w:firstLineChars="500"/>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L——道路长度，km</w:t>
            </w:r>
            <w:r>
              <w:rPr>
                <w:rFonts w:hint="eastAsia"/>
                <w:color w:val="000000" w:themeColor="text1"/>
                <w:szCs w:val="21"/>
                <w14:textFill>
                  <w14:solidFill>
                    <w14:schemeClr w14:val="tx1"/>
                  </w14:solidFill>
                </w14:textFill>
              </w:rPr>
              <w:t>。</w:t>
            </w:r>
          </w:p>
          <w:p w14:paraId="5FD99F4A">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 xml:space="preserve"> 汽车运输扬尘量核算表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376"/>
              <w:gridCol w:w="1377"/>
              <w:gridCol w:w="2181"/>
              <w:gridCol w:w="1377"/>
              <w:gridCol w:w="2181"/>
              <w:gridCol w:w="1478"/>
              <w:gridCol w:w="1658"/>
            </w:tblGrid>
            <w:tr w14:paraId="05267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shd w:val="clear" w:color="auto" w:fill="D9D9D9"/>
                  <w:vAlign w:val="center"/>
                </w:tcPr>
                <w:p w14:paraId="3AC0B838">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物料名称</w:t>
                  </w:r>
                </w:p>
              </w:tc>
              <w:tc>
                <w:tcPr>
                  <w:tcW w:w="519" w:type="pct"/>
                  <w:shd w:val="clear" w:color="auto" w:fill="D9D9D9"/>
                  <w:vAlign w:val="center"/>
                </w:tcPr>
                <w:p w14:paraId="0E680A1F">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行驶速度</w:t>
                  </w:r>
                </w:p>
              </w:tc>
              <w:tc>
                <w:tcPr>
                  <w:tcW w:w="519" w:type="pct"/>
                  <w:shd w:val="clear" w:color="auto" w:fill="D9D9D9"/>
                  <w:vAlign w:val="center"/>
                </w:tcPr>
                <w:p w14:paraId="48590F91">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汽车载重</w:t>
                  </w:r>
                </w:p>
              </w:tc>
              <w:tc>
                <w:tcPr>
                  <w:tcW w:w="822" w:type="pct"/>
                  <w:shd w:val="clear" w:color="auto" w:fill="D9D9D9"/>
                  <w:vAlign w:val="center"/>
                </w:tcPr>
                <w:p w14:paraId="1BB71262">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道路表面粉尘量</w:t>
                  </w:r>
                </w:p>
              </w:tc>
              <w:tc>
                <w:tcPr>
                  <w:tcW w:w="519" w:type="pct"/>
                  <w:shd w:val="clear" w:color="auto" w:fill="D9D9D9"/>
                  <w:vAlign w:val="center"/>
                </w:tcPr>
                <w:p w14:paraId="5948F1DF">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运输距离</w:t>
                  </w:r>
                </w:p>
              </w:tc>
              <w:tc>
                <w:tcPr>
                  <w:tcW w:w="822" w:type="pct"/>
                  <w:shd w:val="clear" w:color="auto" w:fill="D9D9D9"/>
                  <w:vAlign w:val="center"/>
                </w:tcPr>
                <w:p w14:paraId="5E73E1A9">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汽车行驶扬尘量</w:t>
                  </w:r>
                </w:p>
              </w:tc>
              <w:tc>
                <w:tcPr>
                  <w:tcW w:w="554" w:type="pct"/>
                  <w:shd w:val="clear" w:color="auto" w:fill="D9D9D9"/>
                  <w:vAlign w:val="center"/>
                </w:tcPr>
                <w:p w14:paraId="1EA4EE95">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运输次数</w:t>
                  </w:r>
                </w:p>
                <w:p w14:paraId="386189F8">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（次/年）</w:t>
                  </w:r>
                </w:p>
              </w:tc>
              <w:tc>
                <w:tcPr>
                  <w:tcW w:w="624" w:type="pct"/>
                  <w:shd w:val="clear" w:color="auto" w:fill="D9D9D9"/>
                  <w:vAlign w:val="center"/>
                </w:tcPr>
                <w:p w14:paraId="10F6BFA5">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扬尘产生量</w:t>
                  </w:r>
                </w:p>
                <w:p w14:paraId="6522DA88">
                  <w:pPr>
                    <w:pStyle w:val="44"/>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（t/a）</w:t>
                  </w:r>
                </w:p>
              </w:tc>
            </w:tr>
            <w:tr w14:paraId="52FD1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17" w:type="pct"/>
                  <w:vAlign w:val="center"/>
                </w:tcPr>
                <w:p w14:paraId="30000720">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花岗岩矿石</w:t>
                  </w:r>
                </w:p>
              </w:tc>
              <w:tc>
                <w:tcPr>
                  <w:tcW w:w="519" w:type="pct"/>
                  <w:vAlign w:val="center"/>
                </w:tcPr>
                <w:p w14:paraId="0C1E3111">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10km/h</w:t>
                  </w:r>
                </w:p>
              </w:tc>
              <w:tc>
                <w:tcPr>
                  <w:tcW w:w="519" w:type="pct"/>
                  <w:vAlign w:val="center"/>
                </w:tcPr>
                <w:p w14:paraId="7D4D15D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5</w:t>
                  </w:r>
                  <w:r>
                    <w:rPr>
                      <w:color w:val="000000" w:themeColor="text1"/>
                      <w14:textFill>
                        <w14:solidFill>
                          <w14:schemeClr w14:val="tx1"/>
                        </w14:solidFill>
                      </w14:textFill>
                    </w:rPr>
                    <w:t>t</w:t>
                  </w:r>
                </w:p>
              </w:tc>
              <w:tc>
                <w:tcPr>
                  <w:tcW w:w="822" w:type="pct"/>
                  <w:vAlign w:val="center"/>
                </w:tcPr>
                <w:p w14:paraId="114CC470">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0.1kg/m</w:t>
                  </w:r>
                  <w:r>
                    <w:rPr>
                      <w:color w:val="000000" w:themeColor="text1"/>
                      <w:vertAlign w:val="superscript"/>
                      <w14:textFill>
                        <w14:solidFill>
                          <w14:schemeClr w14:val="tx1"/>
                        </w14:solidFill>
                      </w14:textFill>
                    </w:rPr>
                    <w:t>2</w:t>
                  </w:r>
                </w:p>
              </w:tc>
              <w:tc>
                <w:tcPr>
                  <w:tcW w:w="519" w:type="pct"/>
                  <w:vAlign w:val="center"/>
                </w:tcPr>
                <w:p w14:paraId="4918A79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0.15km</w:t>
                  </w:r>
                </w:p>
              </w:tc>
              <w:tc>
                <w:tcPr>
                  <w:tcW w:w="822" w:type="pct"/>
                  <w:vAlign w:val="center"/>
                </w:tcPr>
                <w:p w14:paraId="51E35BAC">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214</w:t>
                  </w:r>
                  <w:r>
                    <w:rPr>
                      <w:rFonts w:hint="default"/>
                      <w:color w:val="000000" w:themeColor="text1"/>
                      <w14:textFill>
                        <w14:solidFill>
                          <w14:schemeClr w14:val="tx1"/>
                        </w14:solidFill>
                      </w14:textFill>
                    </w:rPr>
                    <w:t>kg/</w:t>
                  </w:r>
                  <w:r>
                    <w:rPr>
                      <w:color w:val="000000" w:themeColor="text1"/>
                      <w14:textFill>
                        <w14:solidFill>
                          <w14:schemeClr w14:val="tx1"/>
                        </w14:solidFill>
                      </w14:textFill>
                    </w:rPr>
                    <w:t>辆</w:t>
                  </w:r>
                </w:p>
              </w:tc>
              <w:tc>
                <w:tcPr>
                  <w:tcW w:w="554" w:type="pct"/>
                  <w:vAlign w:val="center"/>
                </w:tcPr>
                <w:p w14:paraId="1A40B851">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44640</w:t>
                  </w:r>
                </w:p>
              </w:tc>
              <w:tc>
                <w:tcPr>
                  <w:tcW w:w="624" w:type="pct"/>
                  <w:vAlign w:val="center"/>
                </w:tcPr>
                <w:p w14:paraId="3FEBC54E">
                  <w:pPr>
                    <w:widowControl/>
                    <w:jc w:val="center"/>
                    <w:textAlignment w:val="center"/>
                    <w:rPr>
                      <w:rFonts w:hint="default" w:eastAsia="宋体"/>
                      <w:color w:val="000000" w:themeColor="text1"/>
                      <w:lang w:val="en-US" w:eastAsia="zh-CN"/>
                      <w14:textFill>
                        <w14:solidFill>
                          <w14:schemeClr w14:val="tx1"/>
                        </w14:solidFill>
                      </w14:textFill>
                    </w:rPr>
                  </w:pPr>
                  <w:r>
                    <w:rPr>
                      <w:color w:val="000000" w:themeColor="text1"/>
                      <w:kern w:val="0"/>
                      <w:sz w:val="18"/>
                      <w:szCs w:val="18"/>
                      <w:lang w:bidi="ar"/>
                      <w14:textFill>
                        <w14:solidFill>
                          <w14:schemeClr w14:val="tx1"/>
                        </w14:solidFill>
                      </w14:textFill>
                    </w:rPr>
                    <w:t>0.</w:t>
                  </w:r>
                  <w:r>
                    <w:rPr>
                      <w:rFonts w:hint="eastAsia"/>
                      <w:color w:val="000000" w:themeColor="text1"/>
                      <w:kern w:val="0"/>
                      <w:sz w:val="18"/>
                      <w:szCs w:val="18"/>
                      <w:lang w:val="en-US" w:eastAsia="zh-CN" w:bidi="ar"/>
                      <w14:textFill>
                        <w14:solidFill>
                          <w14:schemeClr w14:val="tx1"/>
                        </w14:solidFill>
                      </w14:textFill>
                    </w:rPr>
                    <w:t>955</w:t>
                  </w:r>
                </w:p>
              </w:tc>
            </w:tr>
            <w:tr w14:paraId="37D9A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17" w:type="pct"/>
                  <w:shd w:val="clear" w:color="auto" w:fill="auto"/>
                  <w:vAlign w:val="center"/>
                </w:tcPr>
                <w:p w14:paraId="1111145C">
                  <w:pPr>
                    <w:pStyle w:val="44"/>
                    <w:rPr>
                      <w:rFonts w:hint="default" w:ascii="Times New Roman" w:hAnsi="Times New Roman" w:eastAsia="宋体" w:cs="Times New Roman"/>
                      <w:color w:val="000000" w:themeColor="text1"/>
                      <w:kern w:val="0"/>
                      <w:sz w:val="18"/>
                      <w:szCs w:val="21"/>
                      <w:lang w:val="en-US" w:eastAsia="zh-CN" w:bidi="ar-SA"/>
                      <w14:textFill>
                        <w14:solidFill>
                          <w14:schemeClr w14:val="tx1"/>
                        </w14:solidFill>
                      </w14:textFill>
                    </w:rPr>
                  </w:pPr>
                  <w:r>
                    <w:rPr>
                      <w:color w:val="000000" w:themeColor="text1"/>
                      <w14:textFill>
                        <w14:solidFill>
                          <w14:schemeClr w14:val="tx1"/>
                        </w14:solidFill>
                      </w14:textFill>
                    </w:rPr>
                    <w:t>碎石</w:t>
                  </w:r>
                </w:p>
              </w:tc>
              <w:tc>
                <w:tcPr>
                  <w:tcW w:w="519" w:type="pct"/>
                  <w:shd w:val="clear" w:color="auto" w:fill="auto"/>
                  <w:vAlign w:val="center"/>
                </w:tcPr>
                <w:p w14:paraId="16E8F15D">
                  <w:pPr>
                    <w:pStyle w:val="44"/>
                    <w:rPr>
                      <w:rFonts w:hint="default" w:ascii="Times New Roman" w:hAnsi="Times New Roman" w:eastAsia="宋体" w:cs="Times New Roman"/>
                      <w:color w:val="000000" w:themeColor="text1"/>
                      <w:kern w:val="0"/>
                      <w:sz w:val="18"/>
                      <w:szCs w:val="21"/>
                      <w:lang w:val="en-US" w:eastAsia="zh-CN" w:bidi="ar-SA"/>
                      <w14:textFill>
                        <w14:solidFill>
                          <w14:schemeClr w14:val="tx1"/>
                        </w14:solidFill>
                      </w14:textFill>
                    </w:rPr>
                  </w:pPr>
                  <w:r>
                    <w:rPr>
                      <w:color w:val="000000" w:themeColor="text1"/>
                      <w14:textFill>
                        <w14:solidFill>
                          <w14:schemeClr w14:val="tx1"/>
                        </w14:solidFill>
                      </w14:textFill>
                    </w:rPr>
                    <w:t>10km/h</w:t>
                  </w:r>
                </w:p>
              </w:tc>
              <w:tc>
                <w:tcPr>
                  <w:tcW w:w="519" w:type="pct"/>
                  <w:shd w:val="clear" w:color="auto" w:fill="auto"/>
                  <w:vAlign w:val="center"/>
                </w:tcPr>
                <w:p w14:paraId="4E298732">
                  <w:pPr>
                    <w:pStyle w:val="46"/>
                    <w:rPr>
                      <w:rFonts w:ascii="Times New Roman" w:hAnsi="Times New Roman" w:eastAsia="宋体" w:cs="Times New Roman"/>
                      <w:color w:val="000000" w:themeColor="text1"/>
                      <w:kern w:val="2"/>
                      <w:sz w:val="18"/>
                      <w:szCs w:val="24"/>
                      <w:lang w:val="en-US" w:eastAsia="zh-CN" w:bidi="ar-SA"/>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t</w:t>
                  </w:r>
                </w:p>
              </w:tc>
              <w:tc>
                <w:tcPr>
                  <w:tcW w:w="822" w:type="pct"/>
                  <w:shd w:val="clear" w:color="auto" w:fill="auto"/>
                  <w:vAlign w:val="center"/>
                </w:tcPr>
                <w:p w14:paraId="0C4C778E">
                  <w:pPr>
                    <w:pStyle w:val="44"/>
                    <w:rPr>
                      <w:rFonts w:hint="default" w:ascii="Times New Roman" w:hAnsi="Times New Roman" w:eastAsia="宋体" w:cs="Times New Roman"/>
                      <w:color w:val="000000" w:themeColor="text1"/>
                      <w:kern w:val="0"/>
                      <w:sz w:val="18"/>
                      <w:szCs w:val="21"/>
                      <w:lang w:val="en-US" w:eastAsia="zh-CN" w:bidi="ar-SA"/>
                      <w14:textFill>
                        <w14:solidFill>
                          <w14:schemeClr w14:val="tx1"/>
                        </w14:solidFill>
                      </w14:textFill>
                    </w:rPr>
                  </w:pPr>
                  <w:r>
                    <w:rPr>
                      <w:color w:val="000000" w:themeColor="text1"/>
                      <w14:textFill>
                        <w14:solidFill>
                          <w14:schemeClr w14:val="tx1"/>
                        </w14:solidFill>
                      </w14:textFill>
                    </w:rPr>
                    <w:t>0.1kg/m</w:t>
                  </w:r>
                  <w:r>
                    <w:rPr>
                      <w:color w:val="000000" w:themeColor="text1"/>
                      <w:vertAlign w:val="superscript"/>
                      <w14:textFill>
                        <w14:solidFill>
                          <w14:schemeClr w14:val="tx1"/>
                        </w14:solidFill>
                      </w14:textFill>
                    </w:rPr>
                    <w:t>2</w:t>
                  </w:r>
                </w:p>
              </w:tc>
              <w:tc>
                <w:tcPr>
                  <w:tcW w:w="519" w:type="pct"/>
                  <w:shd w:val="clear" w:color="auto" w:fill="auto"/>
                  <w:vAlign w:val="center"/>
                </w:tcPr>
                <w:p w14:paraId="3705E0AA">
                  <w:pPr>
                    <w:pStyle w:val="44"/>
                    <w:rPr>
                      <w:rFonts w:hint="default" w:ascii="Times New Roman" w:hAnsi="Times New Roman" w:eastAsia="宋体" w:cs="Times New Roman"/>
                      <w:color w:val="000000" w:themeColor="text1"/>
                      <w:kern w:val="0"/>
                      <w:sz w:val="18"/>
                      <w:szCs w:val="21"/>
                      <w:lang w:val="en-US" w:eastAsia="zh-CN" w:bidi="ar-SA"/>
                      <w14:textFill>
                        <w14:solidFill>
                          <w14:schemeClr w14:val="tx1"/>
                        </w14:solidFill>
                      </w14:textFill>
                    </w:rPr>
                  </w:pPr>
                  <w:r>
                    <w:rPr>
                      <w:color w:val="000000" w:themeColor="text1"/>
                      <w14:textFill>
                        <w14:solidFill>
                          <w14:schemeClr w14:val="tx1"/>
                        </w14:solidFill>
                      </w14:textFill>
                    </w:rPr>
                    <w:t>0.15km</w:t>
                  </w:r>
                </w:p>
              </w:tc>
              <w:tc>
                <w:tcPr>
                  <w:tcW w:w="822" w:type="pct"/>
                  <w:shd w:val="clear" w:color="auto" w:fill="auto"/>
                  <w:vAlign w:val="center"/>
                </w:tcPr>
                <w:p w14:paraId="514BDDCA">
                  <w:pPr>
                    <w:pStyle w:val="44"/>
                    <w:rPr>
                      <w:rFonts w:hint="default" w:ascii="Times New Roman" w:hAnsi="Times New Roman" w:eastAsia="宋体" w:cs="Times New Roman"/>
                      <w:color w:val="000000" w:themeColor="text1"/>
                      <w:kern w:val="0"/>
                      <w:sz w:val="18"/>
                      <w:szCs w:val="21"/>
                      <w:lang w:val="en-US" w:eastAsia="zh-CN" w:bidi="ar-SA"/>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214</w:t>
                  </w:r>
                  <w:r>
                    <w:rPr>
                      <w:color w:val="000000" w:themeColor="text1"/>
                      <w14:textFill>
                        <w14:solidFill>
                          <w14:schemeClr w14:val="tx1"/>
                        </w14:solidFill>
                      </w14:textFill>
                    </w:rPr>
                    <w:t>kg/辆</w:t>
                  </w:r>
                </w:p>
              </w:tc>
              <w:tc>
                <w:tcPr>
                  <w:tcW w:w="554" w:type="pct"/>
                  <w:shd w:val="clear" w:color="auto" w:fill="auto"/>
                  <w:vAlign w:val="center"/>
                </w:tcPr>
                <w:p w14:paraId="3DC3D3A6">
                  <w:pPr>
                    <w:widowControl/>
                    <w:jc w:val="center"/>
                    <w:textAlignment w:val="center"/>
                    <w:rPr>
                      <w:rFonts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25440</w:t>
                  </w:r>
                </w:p>
              </w:tc>
              <w:tc>
                <w:tcPr>
                  <w:tcW w:w="624" w:type="pct"/>
                  <w:shd w:val="clear" w:color="auto" w:fill="auto"/>
                  <w:vAlign w:val="center"/>
                </w:tcPr>
                <w:p w14:paraId="2BAA3520">
                  <w:pPr>
                    <w:widowControl/>
                    <w:jc w:val="center"/>
                    <w:textAlignment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0.</w:t>
                  </w:r>
                  <w:r>
                    <w:rPr>
                      <w:rFonts w:hint="eastAsia"/>
                      <w:color w:val="000000" w:themeColor="text1"/>
                      <w:kern w:val="0"/>
                      <w:sz w:val="18"/>
                      <w:szCs w:val="18"/>
                      <w:lang w:bidi="ar"/>
                      <w14:textFill>
                        <w14:solidFill>
                          <w14:schemeClr w14:val="tx1"/>
                        </w14:solidFill>
                      </w14:textFill>
                    </w:rPr>
                    <w:t>5</w:t>
                  </w:r>
                  <w:r>
                    <w:rPr>
                      <w:rFonts w:hint="eastAsia"/>
                      <w:color w:val="000000" w:themeColor="text1"/>
                      <w:kern w:val="0"/>
                      <w:sz w:val="18"/>
                      <w:szCs w:val="18"/>
                      <w:lang w:val="en-US" w:eastAsia="zh-CN" w:bidi="ar"/>
                      <w14:textFill>
                        <w14:solidFill>
                          <w14:schemeClr w14:val="tx1"/>
                        </w14:solidFill>
                      </w14:textFill>
                    </w:rPr>
                    <w:t>44</w:t>
                  </w:r>
                </w:p>
              </w:tc>
            </w:tr>
            <w:tr w14:paraId="0E7A0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pct"/>
                  <w:vAlign w:val="center"/>
                </w:tcPr>
                <w:p w14:paraId="5398188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机制砂</w:t>
                  </w:r>
                </w:p>
              </w:tc>
              <w:tc>
                <w:tcPr>
                  <w:tcW w:w="519" w:type="pct"/>
                  <w:vAlign w:val="center"/>
                </w:tcPr>
                <w:p w14:paraId="0CF2CAB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10km/h</w:t>
                  </w:r>
                </w:p>
              </w:tc>
              <w:tc>
                <w:tcPr>
                  <w:tcW w:w="519" w:type="pct"/>
                  <w:vAlign w:val="center"/>
                </w:tcPr>
                <w:p w14:paraId="5958959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t</w:t>
                  </w:r>
                </w:p>
              </w:tc>
              <w:tc>
                <w:tcPr>
                  <w:tcW w:w="822" w:type="pct"/>
                  <w:vAlign w:val="center"/>
                </w:tcPr>
                <w:p w14:paraId="3670A9E3">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0.1kg/m</w:t>
                  </w:r>
                  <w:r>
                    <w:rPr>
                      <w:color w:val="000000" w:themeColor="text1"/>
                      <w:vertAlign w:val="superscript"/>
                      <w14:textFill>
                        <w14:solidFill>
                          <w14:schemeClr w14:val="tx1"/>
                        </w14:solidFill>
                      </w14:textFill>
                    </w:rPr>
                    <w:t>2</w:t>
                  </w:r>
                </w:p>
              </w:tc>
              <w:tc>
                <w:tcPr>
                  <w:tcW w:w="519" w:type="pct"/>
                  <w:vAlign w:val="center"/>
                </w:tcPr>
                <w:p w14:paraId="1B323AFD">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0.15km</w:t>
                  </w:r>
                </w:p>
              </w:tc>
              <w:tc>
                <w:tcPr>
                  <w:tcW w:w="822" w:type="pct"/>
                  <w:vAlign w:val="center"/>
                </w:tcPr>
                <w:p w14:paraId="710DC75C">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214</w:t>
                  </w:r>
                  <w:r>
                    <w:rPr>
                      <w:rFonts w:hint="default"/>
                      <w:color w:val="000000" w:themeColor="text1"/>
                      <w14:textFill>
                        <w14:solidFill>
                          <w14:schemeClr w14:val="tx1"/>
                        </w14:solidFill>
                      </w14:textFill>
                    </w:rPr>
                    <w:t>kg/</w:t>
                  </w:r>
                  <w:r>
                    <w:rPr>
                      <w:color w:val="000000" w:themeColor="text1"/>
                      <w14:textFill>
                        <w14:solidFill>
                          <w14:schemeClr w14:val="tx1"/>
                        </w14:solidFill>
                      </w14:textFill>
                    </w:rPr>
                    <w:t>辆</w:t>
                  </w:r>
                </w:p>
              </w:tc>
              <w:tc>
                <w:tcPr>
                  <w:tcW w:w="554" w:type="pct"/>
                  <w:vAlign w:val="center"/>
                </w:tcPr>
                <w:p w14:paraId="38A61141">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17000</w:t>
                  </w:r>
                </w:p>
              </w:tc>
              <w:tc>
                <w:tcPr>
                  <w:tcW w:w="624" w:type="pct"/>
                  <w:vAlign w:val="center"/>
                </w:tcPr>
                <w:p w14:paraId="55F0B5C4">
                  <w:pPr>
                    <w:widowControl/>
                    <w:jc w:val="center"/>
                    <w:textAlignment w:val="center"/>
                    <w:rPr>
                      <w:rFonts w:hint="default" w:eastAsia="宋体"/>
                      <w:color w:val="000000" w:themeColor="text1"/>
                      <w:lang w:val="en-US" w:eastAsia="zh-CN"/>
                      <w14:textFill>
                        <w14:solidFill>
                          <w14:schemeClr w14:val="tx1"/>
                        </w14:solidFill>
                      </w14:textFill>
                    </w:rPr>
                  </w:pPr>
                  <w:r>
                    <w:rPr>
                      <w:color w:val="000000" w:themeColor="text1"/>
                      <w:kern w:val="0"/>
                      <w:sz w:val="18"/>
                      <w:szCs w:val="18"/>
                      <w:lang w:bidi="ar"/>
                      <w14:textFill>
                        <w14:solidFill>
                          <w14:schemeClr w14:val="tx1"/>
                        </w14:solidFill>
                      </w14:textFill>
                    </w:rPr>
                    <w:t>0.</w:t>
                  </w:r>
                  <w:r>
                    <w:rPr>
                      <w:rFonts w:hint="eastAsia"/>
                      <w:color w:val="000000" w:themeColor="text1"/>
                      <w:kern w:val="0"/>
                      <w:sz w:val="18"/>
                      <w:szCs w:val="18"/>
                      <w:lang w:val="en-US" w:eastAsia="zh-CN" w:bidi="ar"/>
                      <w14:textFill>
                        <w14:solidFill>
                          <w14:schemeClr w14:val="tx1"/>
                        </w14:solidFill>
                      </w14:textFill>
                    </w:rPr>
                    <w:t>364</w:t>
                  </w:r>
                </w:p>
              </w:tc>
            </w:tr>
            <w:tr w14:paraId="08E46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617" w:type="pct"/>
                  <w:vAlign w:val="center"/>
                </w:tcPr>
                <w:p w14:paraId="15D2E31F">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空车</w:t>
                  </w:r>
                </w:p>
              </w:tc>
              <w:tc>
                <w:tcPr>
                  <w:tcW w:w="519" w:type="pct"/>
                  <w:vAlign w:val="center"/>
                </w:tcPr>
                <w:p w14:paraId="28951B72">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10km/h</w:t>
                  </w:r>
                </w:p>
              </w:tc>
              <w:tc>
                <w:tcPr>
                  <w:tcW w:w="519" w:type="pct"/>
                  <w:vAlign w:val="center"/>
                </w:tcPr>
                <w:p w14:paraId="272B0A0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10t</w:t>
                  </w:r>
                </w:p>
              </w:tc>
              <w:tc>
                <w:tcPr>
                  <w:tcW w:w="822" w:type="pct"/>
                  <w:vAlign w:val="center"/>
                </w:tcPr>
                <w:p w14:paraId="721CA68A">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0.1kg/m</w:t>
                  </w:r>
                  <w:r>
                    <w:rPr>
                      <w:color w:val="000000" w:themeColor="text1"/>
                      <w:vertAlign w:val="superscript"/>
                      <w14:textFill>
                        <w14:solidFill>
                          <w14:schemeClr w14:val="tx1"/>
                        </w14:solidFill>
                      </w14:textFill>
                    </w:rPr>
                    <w:t>2</w:t>
                  </w:r>
                </w:p>
              </w:tc>
              <w:tc>
                <w:tcPr>
                  <w:tcW w:w="519" w:type="pct"/>
                  <w:vAlign w:val="center"/>
                </w:tcPr>
                <w:p w14:paraId="087CD548">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0.15km</w:t>
                  </w:r>
                </w:p>
              </w:tc>
              <w:tc>
                <w:tcPr>
                  <w:tcW w:w="822" w:type="pct"/>
                  <w:vAlign w:val="center"/>
                </w:tcPr>
                <w:p w14:paraId="6E709AE2">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0.00737kg/辆</w:t>
                  </w:r>
                </w:p>
              </w:tc>
              <w:tc>
                <w:tcPr>
                  <w:tcW w:w="554" w:type="pct"/>
                  <w:vAlign w:val="center"/>
                </w:tcPr>
                <w:p w14:paraId="0E3CA3B7">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87080</w:t>
                  </w:r>
                </w:p>
              </w:tc>
              <w:tc>
                <w:tcPr>
                  <w:tcW w:w="624" w:type="pct"/>
                  <w:vAlign w:val="center"/>
                </w:tcPr>
                <w:p w14:paraId="4EA78D9D">
                  <w:pPr>
                    <w:widowControl/>
                    <w:jc w:val="center"/>
                    <w:textAlignment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0.642</w:t>
                  </w:r>
                </w:p>
              </w:tc>
            </w:tr>
            <w:tr w14:paraId="45DB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5" w:type="pct"/>
                  <w:gridSpan w:val="7"/>
                  <w:vAlign w:val="center"/>
                </w:tcPr>
                <w:p w14:paraId="6140CC2E">
                  <w:pPr>
                    <w:pStyle w:val="44"/>
                    <w:rPr>
                      <w:rFonts w:hint="default"/>
                      <w:color w:val="000000" w:themeColor="text1"/>
                      <w14:textFill>
                        <w14:solidFill>
                          <w14:schemeClr w14:val="tx1"/>
                        </w14:solidFill>
                      </w14:textFill>
                    </w:rPr>
                  </w:pPr>
                  <w:r>
                    <w:rPr>
                      <w:color w:val="000000" w:themeColor="text1"/>
                      <w14:textFill>
                        <w14:solidFill>
                          <w14:schemeClr w14:val="tx1"/>
                        </w14:solidFill>
                      </w14:textFill>
                    </w:rPr>
                    <w:t>合计</w:t>
                  </w:r>
                </w:p>
              </w:tc>
              <w:tc>
                <w:tcPr>
                  <w:tcW w:w="624" w:type="pct"/>
                  <w:vAlign w:val="center"/>
                </w:tcPr>
                <w:p w14:paraId="0DE5D9A7">
                  <w:pPr>
                    <w:widowControl/>
                    <w:jc w:val="center"/>
                    <w:textAlignment w:val="center"/>
                    <w:rPr>
                      <w:rFonts w:hint="default" w:eastAsia="宋体"/>
                      <w:color w:val="000000" w:themeColor="text1"/>
                      <w:lang w:val="en-US" w:eastAsia="zh-CN"/>
                      <w14:textFill>
                        <w14:solidFill>
                          <w14:schemeClr w14:val="tx1"/>
                        </w14:solidFill>
                      </w14:textFill>
                    </w:rPr>
                  </w:pPr>
                  <w:r>
                    <w:rPr>
                      <w:rFonts w:hint="eastAsia"/>
                      <w:color w:val="000000" w:themeColor="text1"/>
                      <w:kern w:val="0"/>
                      <w:sz w:val="18"/>
                      <w:szCs w:val="18"/>
                      <w:lang w:bidi="ar"/>
                      <w14:textFill>
                        <w14:solidFill>
                          <w14:schemeClr w14:val="tx1"/>
                        </w14:solidFill>
                      </w14:textFill>
                    </w:rPr>
                    <w:t>2.</w:t>
                  </w:r>
                  <w:r>
                    <w:rPr>
                      <w:rFonts w:hint="eastAsia"/>
                      <w:color w:val="000000" w:themeColor="text1"/>
                      <w:kern w:val="0"/>
                      <w:sz w:val="18"/>
                      <w:szCs w:val="18"/>
                      <w:lang w:val="en-US" w:eastAsia="zh-CN" w:bidi="ar"/>
                      <w14:textFill>
                        <w14:solidFill>
                          <w14:schemeClr w14:val="tx1"/>
                        </w14:solidFill>
                      </w14:textFill>
                    </w:rPr>
                    <w:t>505</w:t>
                  </w:r>
                </w:p>
              </w:tc>
            </w:tr>
            <w:tr w14:paraId="7BB1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5000" w:type="pct"/>
                  <w:gridSpan w:val="8"/>
                  <w:vAlign w:val="center"/>
                </w:tcPr>
                <w:p w14:paraId="5D36AC6F">
                  <w:pPr>
                    <w:pStyle w:val="44"/>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备注：满载按35t，空载按10t，则每次运输量为25t；</w:t>
                  </w:r>
                </w:p>
                <w:p w14:paraId="51958516">
                  <w:pPr>
                    <w:pStyle w:val="44"/>
                    <w:jc w:val="both"/>
                    <w:rPr>
                      <w:color w:val="000000" w:themeColor="text1"/>
                      <w14:textFill>
                        <w14:solidFill>
                          <w14:schemeClr w14:val="tx1"/>
                        </w14:solidFill>
                      </w14:textFill>
                    </w:rPr>
                  </w:pPr>
                  <w:r>
                    <w:rPr>
                      <w:color w:val="000000" w:themeColor="text1"/>
                      <w14:textFill>
                        <w14:solidFill>
                          <w14:schemeClr w14:val="tx1"/>
                        </w14:solidFill>
                      </w14:textFill>
                    </w:rPr>
                    <w:t>花岗岩矿石运输次数为1116000吨/年÷25吨/次=44640次/年；</w:t>
                  </w:r>
                </w:p>
                <w:p w14:paraId="1DB42E14">
                  <w:pPr>
                    <w:pStyle w:val="44"/>
                    <w:jc w:val="both"/>
                    <w:rPr>
                      <w:rFonts w:hint="default"/>
                      <w:color w:val="000000" w:themeColor="text1"/>
                      <w14:textFill>
                        <w14:solidFill>
                          <w14:schemeClr w14:val="tx1"/>
                        </w14:solidFill>
                      </w14:textFill>
                    </w:rPr>
                  </w:pPr>
                  <w:r>
                    <w:rPr>
                      <w:color w:val="000000" w:themeColor="text1"/>
                      <w14:textFill>
                        <w14:solidFill>
                          <w14:schemeClr w14:val="tx1"/>
                        </w14:solidFill>
                      </w14:textFill>
                    </w:rPr>
                    <w:t>碎石运输次数为636000吨</w:t>
                  </w:r>
                  <w:r>
                    <w:rPr>
                      <w:rFonts w:hint="default"/>
                      <w:color w:val="000000" w:themeColor="text1"/>
                      <w14:textFill>
                        <w14:solidFill>
                          <w14:schemeClr w14:val="tx1"/>
                        </w14:solidFill>
                      </w14:textFill>
                    </w:rPr>
                    <w:t>/</w:t>
                  </w:r>
                  <w:r>
                    <w:rPr>
                      <w:color w:val="000000" w:themeColor="text1"/>
                      <w14:textFill>
                        <w14:solidFill>
                          <w14:schemeClr w14:val="tx1"/>
                        </w14:solidFill>
                      </w14:textFill>
                    </w:rPr>
                    <w:t>年</w:t>
                  </w:r>
                  <w:r>
                    <w:rPr>
                      <w:rFonts w:hint="default"/>
                      <w:color w:val="000000" w:themeColor="text1"/>
                      <w14:textFill>
                        <w14:solidFill>
                          <w14:schemeClr w14:val="tx1"/>
                        </w14:solidFill>
                      </w14:textFill>
                    </w:rPr>
                    <w:t>÷</w:t>
                  </w:r>
                  <w:r>
                    <w:rPr>
                      <w:color w:val="000000" w:themeColor="text1"/>
                      <w14:textFill>
                        <w14:solidFill>
                          <w14:schemeClr w14:val="tx1"/>
                        </w14:solidFill>
                      </w14:textFill>
                    </w:rPr>
                    <w:t>25吨</w:t>
                  </w:r>
                  <w:r>
                    <w:rPr>
                      <w:rFonts w:hint="default"/>
                      <w:color w:val="000000" w:themeColor="text1"/>
                      <w14:textFill>
                        <w14:solidFill>
                          <w14:schemeClr w14:val="tx1"/>
                        </w14:solidFill>
                      </w14:textFill>
                    </w:rPr>
                    <w:t>/</w:t>
                  </w:r>
                  <w:r>
                    <w:rPr>
                      <w:color w:val="000000" w:themeColor="text1"/>
                      <w14:textFill>
                        <w14:solidFill>
                          <w14:schemeClr w14:val="tx1"/>
                        </w14:solidFill>
                      </w14:textFill>
                    </w:rPr>
                    <w:t>次=25440次</w:t>
                  </w:r>
                  <w:r>
                    <w:rPr>
                      <w:rFonts w:hint="default"/>
                      <w:color w:val="000000" w:themeColor="text1"/>
                      <w14:textFill>
                        <w14:solidFill>
                          <w14:schemeClr w14:val="tx1"/>
                        </w14:solidFill>
                      </w14:textFill>
                    </w:rPr>
                    <w:t>/</w:t>
                  </w:r>
                  <w:r>
                    <w:rPr>
                      <w:color w:val="000000" w:themeColor="text1"/>
                      <w14:textFill>
                        <w14:solidFill>
                          <w14:schemeClr w14:val="tx1"/>
                        </w14:solidFill>
                      </w14:textFill>
                    </w:rPr>
                    <w:t>年；</w:t>
                  </w:r>
                </w:p>
                <w:p w14:paraId="1C68D535">
                  <w:pPr>
                    <w:pStyle w:val="44"/>
                    <w:jc w:val="both"/>
                    <w:rPr>
                      <w:rFonts w:hint="default" w:ascii="宋体" w:hAnsi="宋体" w:cs="宋体"/>
                      <w:color w:val="000000" w:themeColor="text1"/>
                      <w14:textFill>
                        <w14:solidFill>
                          <w14:schemeClr w14:val="tx1"/>
                        </w14:solidFill>
                      </w14:textFill>
                    </w:rPr>
                  </w:pPr>
                  <w:r>
                    <w:rPr>
                      <w:color w:val="000000" w:themeColor="text1"/>
                      <w14:textFill>
                        <w14:solidFill>
                          <w14:schemeClr w14:val="tx1"/>
                        </w14:solidFill>
                      </w14:textFill>
                    </w:rPr>
                    <w:t>机制砂运输次数为425000吨/年÷25吨/次=17000次/年；</w:t>
                  </w:r>
                </w:p>
              </w:tc>
            </w:tr>
          </w:tbl>
          <w:p w14:paraId="6B1FEE4F">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根据公式及参数，计算得到各类物料汽车运输扬尘量</w:t>
            </w:r>
            <w:r>
              <w:rPr>
                <w:color w:val="000000" w:themeColor="text1"/>
                <w14:textFill>
                  <w14:solidFill>
                    <w14:schemeClr w14:val="tx1"/>
                  </w14:solidFill>
                </w14:textFill>
              </w:rPr>
              <w:t>Q</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00737</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0.0</w:t>
            </w:r>
            <w:r>
              <w:rPr>
                <w:rFonts w:hint="eastAsia"/>
                <w:color w:val="000000" w:themeColor="text1"/>
                <w:lang w:val="en-US" w:eastAsia="zh-CN"/>
                <w14:textFill>
                  <w14:solidFill>
                    <w14:schemeClr w14:val="tx1"/>
                  </w14:solidFill>
                </w14:textFill>
              </w:rPr>
              <w:t>214</w:t>
            </w:r>
            <w:r>
              <w:rPr>
                <w:color w:val="000000" w:themeColor="text1"/>
                <w14:textFill>
                  <w14:solidFill>
                    <w14:schemeClr w14:val="tx1"/>
                  </w14:solidFill>
                </w14:textFill>
              </w:rPr>
              <w:t>kg/km</w:t>
            </w:r>
            <w:r>
              <w:rPr>
                <w:rFonts w:hint="eastAsia"/>
                <w:color w:val="000000" w:themeColor="text1"/>
                <w14:textFill>
                  <w14:solidFill>
                    <w14:schemeClr w14:val="tx1"/>
                  </w14:solidFill>
                </w14:textFill>
              </w:rPr>
              <w:t>-辆，综合计算出汽车运输扬尘产生量为</w:t>
            </w:r>
            <w:r>
              <w:rPr>
                <w:rFonts w:hint="eastAsia"/>
                <w:color w:val="000000" w:themeColor="text1"/>
                <w:lang w:val="en-US" w:eastAsia="zh-CN"/>
                <w14:textFill>
                  <w14:solidFill>
                    <w14:schemeClr w14:val="tx1"/>
                  </w14:solidFill>
                </w14:textFill>
              </w:rPr>
              <w:t>2.505</w:t>
            </w:r>
            <w:r>
              <w:rPr>
                <w:rFonts w:hint="eastAsia"/>
                <w:color w:val="000000" w:themeColor="text1"/>
                <w14:textFill>
                  <w14:solidFill>
                    <w14:schemeClr w14:val="tx1"/>
                  </w14:solidFill>
                </w14:textFill>
              </w:rPr>
              <w:t>t/a。</w:t>
            </w:r>
          </w:p>
          <w:p w14:paraId="430642B6">
            <w:pPr>
              <w:pStyle w:val="42"/>
              <w:ind w:firstLine="420"/>
              <w:rPr>
                <w:rStyle w:val="43"/>
                <w:color w:val="000000" w:themeColor="text1"/>
                <w14:textFill>
                  <w14:solidFill>
                    <w14:schemeClr w14:val="tx1"/>
                  </w14:solidFill>
                </w14:textFill>
              </w:rPr>
            </w:pPr>
            <w:r>
              <w:rPr>
                <w:rFonts w:hint="eastAsia"/>
                <w:color w:val="000000" w:themeColor="text1"/>
                <w14:textFill>
                  <w14:solidFill>
                    <w14:schemeClr w14:val="tx1"/>
                  </w14:solidFill>
                </w14:textFill>
              </w:rPr>
              <w:t>保持路面清洁是减少运</w:t>
            </w:r>
            <w:r>
              <w:rPr>
                <w:rStyle w:val="43"/>
                <w:rFonts w:hint="eastAsia"/>
                <w:color w:val="000000" w:themeColor="text1"/>
                <w14:textFill>
                  <w14:solidFill>
                    <w14:schemeClr w14:val="tx1"/>
                  </w14:solidFill>
                </w14:textFill>
              </w:rPr>
              <w:t>输道路扬尘最有效的手段，建设单位拟对道路进行硬化，设置车辆冲洗平台，加强车辆管理，如运输车辆限速、物料加盖，根据《排放源统计调查产排污核算方法和系数手册-附1工业源-附表2固体物料堆存颗粒物产排污核算系数手册》附录4，该类除尘处理效率可达到78</w:t>
            </w:r>
            <w:r>
              <w:rPr>
                <w:rStyle w:val="43"/>
                <w:color w:val="000000" w:themeColor="text1"/>
                <w14:textFill>
                  <w14:solidFill>
                    <w14:schemeClr w14:val="tx1"/>
                  </w14:solidFill>
                </w14:textFill>
              </w:rPr>
              <w:t>%</w:t>
            </w:r>
            <w:r>
              <w:rPr>
                <w:rStyle w:val="43"/>
                <w:rFonts w:hint="eastAsia"/>
                <w:color w:val="000000" w:themeColor="text1"/>
                <w14:textFill>
                  <w14:solidFill>
                    <w14:schemeClr w14:val="tx1"/>
                  </w14:solidFill>
                </w14:textFill>
              </w:rPr>
              <w:t>以上，则项目汽车运输扬尘</w:t>
            </w:r>
            <w:r>
              <w:rPr>
                <w:rStyle w:val="43"/>
                <w:rFonts w:hint="eastAsia"/>
                <w:color w:val="000000" w:themeColor="text1"/>
                <w:lang w:val="en-US" w:eastAsia="zh-CN"/>
                <w14:textFill>
                  <w14:solidFill>
                    <w14:schemeClr w14:val="tx1"/>
                  </w14:solidFill>
                </w14:textFill>
              </w:rPr>
              <w:t>无组织排放量为2.505t/a×（1-78%）=</w:t>
            </w:r>
            <w:r>
              <w:rPr>
                <w:rStyle w:val="43"/>
                <w:rFonts w:hint="eastAsia"/>
                <w:color w:val="000000" w:themeColor="text1"/>
                <w14:textFill>
                  <w14:solidFill>
                    <w14:schemeClr w14:val="tx1"/>
                  </w14:solidFill>
                </w14:textFill>
              </w:rPr>
              <w:t>0.5</w:t>
            </w:r>
            <w:r>
              <w:rPr>
                <w:rStyle w:val="43"/>
                <w:rFonts w:hint="eastAsia"/>
                <w:color w:val="000000" w:themeColor="text1"/>
                <w:lang w:val="en-US" w:eastAsia="zh-CN"/>
                <w14:textFill>
                  <w14:solidFill>
                    <w14:schemeClr w14:val="tx1"/>
                  </w14:solidFill>
                </w14:textFill>
              </w:rPr>
              <w:t>5</w:t>
            </w:r>
            <w:r>
              <w:rPr>
                <w:rStyle w:val="43"/>
                <w:rFonts w:hint="eastAsia"/>
                <w:color w:val="000000" w:themeColor="text1"/>
                <w14:textFill>
                  <w14:solidFill>
                    <w14:schemeClr w14:val="tx1"/>
                  </w14:solidFill>
                </w14:textFill>
              </w:rPr>
              <w:t>1</w:t>
            </w:r>
            <w:r>
              <w:rPr>
                <w:rStyle w:val="43"/>
                <w:color w:val="000000" w:themeColor="text1"/>
                <w14:textFill>
                  <w14:solidFill>
                    <w14:schemeClr w14:val="tx1"/>
                  </w14:solidFill>
                </w14:textFill>
              </w:rPr>
              <w:t>t/a</w:t>
            </w:r>
            <w:r>
              <w:rPr>
                <w:rStyle w:val="43"/>
                <w:rFonts w:hint="eastAsia"/>
                <w:color w:val="000000" w:themeColor="text1"/>
                <w14:textFill>
                  <w14:solidFill>
                    <w14:schemeClr w14:val="tx1"/>
                  </w14:solidFill>
                </w14:textFill>
              </w:rPr>
              <w:t>。</w:t>
            </w:r>
          </w:p>
          <w:p w14:paraId="623A1D40">
            <w:pPr>
              <w:pStyle w:val="42"/>
              <w:ind w:firstLine="422"/>
              <w:rPr>
                <w:rStyle w:val="43"/>
                <w:b/>
                <w:bCs/>
                <w:color w:val="000000" w:themeColor="text1"/>
                <w14:textFill>
                  <w14:solidFill>
                    <w14:schemeClr w14:val="tx1"/>
                  </w14:solidFill>
                </w14:textFill>
              </w:rPr>
            </w:pPr>
            <w:r>
              <w:rPr>
                <w:rStyle w:val="43"/>
                <w:rFonts w:hint="eastAsia"/>
                <w:b/>
                <w:bCs/>
                <w:color w:val="000000" w:themeColor="text1"/>
                <w14:textFill>
                  <w14:solidFill>
                    <w14:schemeClr w14:val="tx1"/>
                  </w14:solidFill>
                </w14:textFill>
              </w:rPr>
              <w:t>（2）装卸扬尘</w:t>
            </w:r>
          </w:p>
          <w:p w14:paraId="6A8117FC">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装</w:t>
            </w:r>
            <w:r>
              <w:rPr>
                <w:color w:val="000000" w:themeColor="text1"/>
                <w14:textFill>
                  <w14:solidFill>
                    <w14:schemeClr w14:val="tx1"/>
                  </w14:solidFill>
                </w14:textFill>
              </w:rPr>
              <w:t>卸作业包括了装车和卸车，本项目产品</w:t>
            </w:r>
            <w:r>
              <w:rPr>
                <w:rFonts w:hint="eastAsia"/>
                <w:color w:val="000000" w:themeColor="text1"/>
                <w14:textFill>
                  <w14:solidFill>
                    <w14:schemeClr w14:val="tx1"/>
                  </w14:solidFill>
                </w14:textFill>
              </w:rPr>
              <w:t>生产过程经过喷淋加湿</w:t>
            </w:r>
            <w:r>
              <w:rPr>
                <w:color w:val="000000" w:themeColor="text1"/>
                <w14:textFill>
                  <w14:solidFill>
                    <w14:schemeClr w14:val="tx1"/>
                  </w14:solidFill>
                </w14:textFill>
              </w:rPr>
              <w:t>，含水率较高且砂粒表面浮尘少，因此</w:t>
            </w:r>
            <w:r>
              <w:rPr>
                <w:rFonts w:hint="eastAsia"/>
                <w:color w:val="000000" w:themeColor="text1"/>
                <w14:textFill>
                  <w14:solidFill>
                    <w14:schemeClr w14:val="tx1"/>
                  </w14:solidFill>
                </w14:textFill>
              </w:rPr>
              <w:t>产品</w:t>
            </w:r>
            <w:r>
              <w:rPr>
                <w:color w:val="000000" w:themeColor="text1"/>
                <w14:textFill>
                  <w14:solidFill>
                    <w14:schemeClr w14:val="tx1"/>
                  </w14:solidFill>
                </w14:textFill>
              </w:rPr>
              <w:t>装车时基本不产生粉尘。</w:t>
            </w:r>
          </w:p>
          <w:p w14:paraId="7582026C">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本项目原料进场后直接卸入入料斗，原料</w:t>
            </w:r>
            <w:r>
              <w:rPr>
                <w:color w:val="000000" w:themeColor="text1"/>
                <w14:textFill>
                  <w14:solidFill>
                    <w14:schemeClr w14:val="tx1"/>
                  </w14:solidFill>
                </w14:textFill>
              </w:rPr>
              <w:t>卸载过程由于卸料落差较大，卸料过程中各物料相互碰撞，且</w:t>
            </w:r>
            <w:r>
              <w:rPr>
                <w:rFonts w:hint="eastAsia"/>
                <w:color w:val="000000" w:themeColor="text1"/>
                <w14:textFill>
                  <w14:solidFill>
                    <w14:schemeClr w14:val="tx1"/>
                  </w14:solidFill>
                </w14:textFill>
              </w:rPr>
              <w:t>原料</w:t>
            </w:r>
            <w:r>
              <w:rPr>
                <w:color w:val="000000" w:themeColor="text1"/>
                <w14:textFill>
                  <w14:solidFill>
                    <w14:schemeClr w14:val="tx1"/>
                  </w14:solidFill>
                </w14:textFill>
              </w:rPr>
              <w:t>表面附着较多泥土，会产生一些粉尘，在卸车过程中产生的粉尘</w:t>
            </w:r>
            <w:r>
              <w:rPr>
                <w:rFonts w:hint="eastAsia"/>
                <w:color w:val="000000" w:themeColor="text1"/>
                <w14:textFill>
                  <w14:solidFill>
                    <w14:schemeClr w14:val="tx1"/>
                  </w14:solidFill>
                </w14:textFill>
              </w:rPr>
              <w:t>可参考</w:t>
            </w:r>
            <w:r>
              <w:rPr>
                <w:color w:val="000000" w:themeColor="text1"/>
                <w14:textFill>
                  <w14:solidFill>
                    <w14:schemeClr w14:val="tx1"/>
                  </w14:solidFill>
                </w14:textFill>
              </w:rPr>
              <w:t>《无组织排放源常用分析与估算方法》</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西北铀矿地质2005年10月第21卷第2期，李亚军编</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提出的经验公式估算：</w:t>
            </w:r>
          </w:p>
          <w:p w14:paraId="17A3EE4F">
            <w:pPr>
              <w:pStyle w:val="42"/>
              <w:ind w:firstLine="420"/>
              <w:jc w:val="center"/>
              <w:rPr>
                <w:color w:val="000000" w:themeColor="text1"/>
                <w14:textFill>
                  <w14:solidFill>
                    <w14:schemeClr w14:val="tx1"/>
                  </w14:solidFill>
                </w14:textFill>
              </w:rPr>
            </w:pPr>
            <w:r>
              <w:rPr>
                <w:color w:val="000000" w:themeColor="text1"/>
                <w:position w:val="-24"/>
                <w14:textFill>
                  <w14:solidFill>
                    <w14:schemeClr w14:val="tx1"/>
                  </w14:solidFill>
                </w14:textFill>
              </w:rPr>
              <w:object>
                <v:shape id="_x0000_i1026" o:spt="75" type="#_x0000_t75" style="height:31.2pt;width:70.2pt;" o:ole="t" filled="f" o:preferrelative="t" stroked="f" coordsize="21600,21600">
                  <v:path/>
                  <v:fill on="f" focussize="0,0"/>
                  <v:stroke on="f"/>
                  <v:imagedata r:id="rId28" o:title=""/>
                  <o:lock v:ext="edit" aspectratio="t"/>
                  <w10:wrap type="none"/>
                  <w10:anchorlock/>
                </v:shape>
                <o:OLEObject Type="Embed" ProgID="Equation.KSEE3" ShapeID="_x0000_i1026" DrawAspect="Content" ObjectID="_1468075726" r:id="rId27">
                  <o:LockedField>false</o:LockedField>
                </o:OLEObject>
              </w:object>
            </w:r>
          </w:p>
          <w:p w14:paraId="06FA16F5">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式</w:t>
            </w:r>
            <w:r>
              <w:rPr>
                <w:color w:val="000000" w:themeColor="text1"/>
                <w14:textFill>
                  <w14:solidFill>
                    <w14:schemeClr w14:val="tx1"/>
                  </w14:solidFill>
                </w14:textFill>
              </w:rPr>
              <w:t>中：Q——自卸汽车卸料起尘量，g/次；</w:t>
            </w:r>
          </w:p>
          <w:p w14:paraId="434F68B4">
            <w:pPr>
              <w:pStyle w:val="42"/>
              <w:ind w:firstLine="1050" w:firstLineChars="500"/>
              <w:rPr>
                <w:color w:val="000000" w:themeColor="text1"/>
                <w14:textFill>
                  <w14:solidFill>
                    <w14:schemeClr w14:val="tx1"/>
                  </w14:solidFill>
                </w14:textFill>
              </w:rPr>
            </w:pPr>
            <w:r>
              <w:rPr>
                <w:color w:val="000000" w:themeColor="text1"/>
                <w14:textFill>
                  <w14:solidFill>
                    <w14:schemeClr w14:val="tx1"/>
                  </w14:solidFill>
                </w14:textFill>
              </w:rPr>
              <w:t>u——平均风速，m/s；（按</w:t>
            </w:r>
            <w:r>
              <w:rPr>
                <w:rFonts w:hint="eastAsia"/>
                <w:color w:val="000000" w:themeColor="text1"/>
                <w14:textFill>
                  <w14:solidFill>
                    <w14:schemeClr w14:val="tx1"/>
                  </w14:solidFill>
                </w14:textFill>
              </w:rPr>
              <w:t>廉江市</w:t>
            </w:r>
            <w:r>
              <w:rPr>
                <w:color w:val="000000" w:themeColor="text1"/>
                <w14:textFill>
                  <w14:solidFill>
                    <w14:schemeClr w14:val="tx1"/>
                  </w14:solidFill>
                </w14:textFill>
              </w:rPr>
              <w:t>近年平均风速取值为</w:t>
            </w:r>
            <w:r>
              <w:rPr>
                <w:rFonts w:hint="eastAsia"/>
                <w:color w:val="000000" w:themeColor="text1"/>
                <w14:textFill>
                  <w14:solidFill>
                    <w14:schemeClr w14:val="tx1"/>
                  </w14:solidFill>
                </w14:textFill>
              </w:rPr>
              <w:t>3.2</w:t>
            </w:r>
            <w:r>
              <w:rPr>
                <w:color w:val="000000" w:themeColor="text1"/>
                <w14:textFill>
                  <w14:solidFill>
                    <w14:schemeClr w14:val="tx1"/>
                  </w14:solidFill>
                </w14:textFill>
              </w:rPr>
              <w:t>m/s）；</w:t>
            </w:r>
          </w:p>
          <w:p w14:paraId="5870A7F7">
            <w:pPr>
              <w:pStyle w:val="42"/>
              <w:ind w:firstLine="1050" w:firstLineChars="500"/>
              <w:rPr>
                <w:color w:val="000000" w:themeColor="text1"/>
                <w14:textFill>
                  <w14:solidFill>
                    <w14:schemeClr w14:val="tx1"/>
                  </w14:solidFill>
                </w14:textFill>
              </w:rPr>
            </w:pPr>
            <w:r>
              <w:rPr>
                <w:color w:val="000000" w:themeColor="text1"/>
                <w14:textFill>
                  <w14:solidFill>
                    <w14:schemeClr w14:val="tx1"/>
                  </w14:solidFill>
                </w14:textFill>
              </w:rPr>
              <w:t>M——汽车卸料量，t。（取值</w:t>
            </w:r>
            <w:r>
              <w:rPr>
                <w:rFonts w:hint="eastAsia"/>
                <w:color w:val="000000" w:themeColor="text1"/>
                <w14:textFill>
                  <w14:solidFill>
                    <w14:schemeClr w14:val="tx1"/>
                  </w14:solidFill>
                </w14:textFill>
              </w:rPr>
              <w:t>25</w:t>
            </w:r>
            <w:r>
              <w:rPr>
                <w:color w:val="000000" w:themeColor="text1"/>
                <w14:textFill>
                  <w14:solidFill>
                    <w14:schemeClr w14:val="tx1"/>
                  </w14:solidFill>
                </w14:textFill>
              </w:rPr>
              <w:t>t）；</w:t>
            </w:r>
          </w:p>
          <w:p w14:paraId="74E8A21E">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通过计算得：Q=</w:t>
            </w:r>
            <w:r>
              <w:rPr>
                <w:rFonts w:hint="eastAsia"/>
                <w:color w:val="000000" w:themeColor="text1"/>
                <w14:textFill>
                  <w14:solidFill>
                    <w14:schemeClr w14:val="tx1"/>
                  </w14:solidFill>
                </w14:textFill>
              </w:rPr>
              <w:t>13.042</w:t>
            </w:r>
            <w:r>
              <w:rPr>
                <w:color w:val="000000" w:themeColor="text1"/>
                <w14:textFill>
                  <w14:solidFill>
                    <w14:schemeClr w14:val="tx1"/>
                  </w14:solidFill>
                </w14:textFill>
              </w:rPr>
              <w:t>g/次。</w:t>
            </w:r>
          </w:p>
          <w:p w14:paraId="1BA04E9D">
            <w:pPr>
              <w:pStyle w:val="42"/>
              <w:ind w:firstLine="420"/>
              <w:rPr>
                <w:color w:val="000000" w:themeColor="text1"/>
                <w:highlight w:val="yellow"/>
                <w14:textFill>
                  <w14:solidFill>
                    <w14:schemeClr w14:val="tx1"/>
                  </w14:solidFill>
                </w14:textFill>
              </w:rPr>
            </w:pPr>
            <w:r>
              <w:rPr>
                <w:color w:val="000000" w:themeColor="text1"/>
                <w14:textFill>
                  <w14:solidFill>
                    <w14:schemeClr w14:val="tx1"/>
                  </w14:solidFill>
                </w14:textFill>
              </w:rPr>
              <w:t>本项目</w:t>
            </w:r>
            <w:r>
              <w:rPr>
                <w:rFonts w:hint="eastAsia"/>
                <w:color w:val="000000" w:themeColor="text1"/>
                <w14:textFill>
                  <w14:solidFill>
                    <w14:schemeClr w14:val="tx1"/>
                  </w14:solidFill>
                </w14:textFill>
              </w:rPr>
              <w:t>装载车辆约为25t自卸车，原料（花岗岩矿石）总运输次数为44640次/年，</w:t>
            </w:r>
            <w:r>
              <w:rPr>
                <w:color w:val="000000" w:themeColor="text1"/>
                <w14:textFill>
                  <w14:solidFill>
                    <w14:schemeClr w14:val="tx1"/>
                  </w14:solidFill>
                </w14:textFill>
              </w:rPr>
              <w:t>因此本项目自卸汽车卸料起尘量为0.</w:t>
            </w:r>
            <w:r>
              <w:rPr>
                <w:rFonts w:hint="eastAsia"/>
                <w:color w:val="000000" w:themeColor="text1"/>
                <w14:textFill>
                  <w14:solidFill>
                    <w14:schemeClr w14:val="tx1"/>
                  </w14:solidFill>
                </w14:textFill>
              </w:rPr>
              <w:t>582</w:t>
            </w:r>
            <w:r>
              <w:rPr>
                <w:color w:val="000000" w:themeColor="text1"/>
                <w14:textFill>
                  <w14:solidFill>
                    <w14:schemeClr w14:val="tx1"/>
                  </w14:solidFill>
                </w14:textFill>
              </w:rPr>
              <w:t>t/a。</w:t>
            </w:r>
          </w:p>
          <w:p w14:paraId="6FF49E4C">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建</w:t>
            </w:r>
            <w:r>
              <w:rPr>
                <w:color w:val="000000" w:themeColor="text1"/>
                <w14:textFill>
                  <w14:solidFill>
                    <w14:schemeClr w14:val="tx1"/>
                  </w14:solidFill>
                </w14:textFill>
              </w:rPr>
              <w:t>设单位采取洒水降尘措施，同时</w:t>
            </w:r>
            <w:r>
              <w:rPr>
                <w:rFonts w:hint="eastAsia"/>
                <w:color w:val="000000" w:themeColor="text1"/>
                <w:lang w:val="en-US" w:eastAsia="zh-CN"/>
                <w14:textFill>
                  <w14:solidFill>
                    <w14:schemeClr w14:val="tx1"/>
                  </w14:solidFill>
                </w14:textFill>
              </w:rPr>
              <w:t>在入料斗周围设置围档</w:t>
            </w:r>
            <w:r>
              <w:rPr>
                <w:color w:val="000000" w:themeColor="text1"/>
                <w14:textFill>
                  <w14:solidFill>
                    <w14:schemeClr w14:val="tx1"/>
                  </w14:solidFill>
                </w14:textFill>
              </w:rPr>
              <w:t>。根据《排放源统计调查产排污核算方法和系数手册-</w:t>
            </w:r>
            <w:r>
              <w:rPr>
                <w:rFonts w:hint="eastAsia"/>
                <w:color w:val="000000" w:themeColor="text1"/>
                <w14:textFill>
                  <w14:solidFill>
                    <w14:schemeClr w14:val="tx1"/>
                  </w14:solidFill>
                </w14:textFill>
              </w:rPr>
              <w:t>附1工业源-附表2</w:t>
            </w:r>
            <w:r>
              <w:rPr>
                <w:color w:val="000000" w:themeColor="text1"/>
                <w14:textFill>
                  <w14:solidFill>
                    <w14:schemeClr w14:val="tx1"/>
                  </w14:solidFill>
                </w14:textFill>
              </w:rPr>
              <w:t>固体物料堆存颗粒物产排污核算系数手册》附录4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洒水的控制效率取74%，</w:t>
            </w:r>
            <w:r>
              <w:rPr>
                <w:rFonts w:hint="eastAsia"/>
                <w:color w:val="000000" w:themeColor="text1"/>
                <w14:textFill>
                  <w14:solidFill>
                    <w14:schemeClr w14:val="tx1"/>
                  </w14:solidFill>
                </w14:textFill>
              </w:rPr>
              <w:t>围档的控制效率为60%；结合本项目实际情况控制效率取80%，</w:t>
            </w:r>
            <w:r>
              <w:rPr>
                <w:color w:val="000000" w:themeColor="text1"/>
                <w14:textFill>
                  <w14:solidFill>
                    <w14:schemeClr w14:val="tx1"/>
                  </w14:solidFill>
                </w14:textFill>
              </w:rPr>
              <w:t>则装卸料粉尘无组织排放量为</w:t>
            </w:r>
            <w:r>
              <w:rPr>
                <w:rFonts w:hint="eastAsia"/>
                <w:color w:val="000000" w:themeColor="text1"/>
                <w:lang w:val="en-US" w:eastAsia="zh-CN"/>
                <w14:textFill>
                  <w14:solidFill>
                    <w14:schemeClr w14:val="tx1"/>
                  </w14:solidFill>
                </w14:textFill>
              </w:rPr>
              <w:t>0.582t/a×（1-80%）=</w:t>
            </w:r>
            <w:r>
              <w:rPr>
                <w:color w:val="000000" w:themeColor="text1"/>
                <w14:textFill>
                  <w14:solidFill>
                    <w14:schemeClr w14:val="tx1"/>
                  </w14:solidFill>
                </w14:textFill>
              </w:rPr>
              <w:t>0.</w:t>
            </w:r>
            <w:r>
              <w:rPr>
                <w:rFonts w:hint="eastAsia"/>
                <w:color w:val="000000" w:themeColor="text1"/>
                <w14:textFill>
                  <w14:solidFill>
                    <w14:schemeClr w14:val="tx1"/>
                  </w14:solidFill>
                </w14:textFill>
              </w:rPr>
              <w:t>116</w:t>
            </w:r>
            <w:r>
              <w:rPr>
                <w:color w:val="000000" w:themeColor="text1"/>
                <w14:textFill>
                  <w14:solidFill>
                    <w14:schemeClr w14:val="tx1"/>
                  </w14:solidFill>
                </w14:textFill>
              </w:rPr>
              <w:t>t/a。</w:t>
            </w:r>
          </w:p>
          <w:p w14:paraId="1669AB78">
            <w:pPr>
              <w:keepNext/>
              <w:spacing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表4-3 装卸颗粒物控制措施效率参数一览表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2"/>
              <w:gridCol w:w="5572"/>
            </w:tblGrid>
            <w:tr w14:paraId="272A9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shd w:val="clear" w:color="auto" w:fill="D9D9D9"/>
                  <w:vAlign w:val="center"/>
                </w:tcPr>
                <w:p w14:paraId="6EE3D6C2">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控制措施</w:t>
                  </w:r>
                </w:p>
              </w:tc>
              <w:tc>
                <w:tcPr>
                  <w:tcW w:w="2100" w:type="pct"/>
                  <w:shd w:val="clear" w:color="auto" w:fill="D9D9D9"/>
                  <w:vAlign w:val="center"/>
                </w:tcPr>
                <w:p w14:paraId="35B2CB36">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控制效率</w:t>
                  </w:r>
                </w:p>
              </w:tc>
            </w:tr>
            <w:tr w14:paraId="48C1E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290E6937">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洒水</w:t>
                  </w:r>
                </w:p>
              </w:tc>
              <w:tc>
                <w:tcPr>
                  <w:tcW w:w="2100" w:type="pct"/>
                  <w:vAlign w:val="center"/>
                </w:tcPr>
                <w:p w14:paraId="28E733FB">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74%</w:t>
                  </w:r>
                </w:p>
              </w:tc>
            </w:tr>
            <w:tr w14:paraId="33B22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518388A8">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围栏</w:t>
                  </w:r>
                </w:p>
              </w:tc>
              <w:tc>
                <w:tcPr>
                  <w:tcW w:w="2100" w:type="pct"/>
                  <w:vAlign w:val="center"/>
                </w:tcPr>
                <w:p w14:paraId="3E1E83C7">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60%</w:t>
                  </w:r>
                </w:p>
              </w:tc>
            </w:tr>
            <w:tr w14:paraId="253EA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49F29090">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综合处理效率</w:t>
                  </w:r>
                </w:p>
              </w:tc>
              <w:tc>
                <w:tcPr>
                  <w:tcW w:w="2100" w:type="pct"/>
                  <w:vAlign w:val="center"/>
                </w:tcPr>
                <w:p w14:paraId="79A0B4A2">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80%</w:t>
                  </w:r>
                </w:p>
              </w:tc>
            </w:tr>
          </w:tbl>
          <w:p w14:paraId="6E971C74">
            <w:pPr>
              <w:pStyle w:val="14"/>
              <w:spacing w:before="0" w:after="0" w:line="360" w:lineRule="auto"/>
              <w:ind w:right="0" w:firstLine="422" w:firstLineChars="200"/>
              <w:rPr>
                <w:rFonts w:cs="宋体"/>
                <w:b/>
                <w:bCs/>
                <w:color w:val="000000" w:themeColor="text1"/>
                <w:szCs w:val="21"/>
                <w14:textFill>
                  <w14:solidFill>
                    <w14:schemeClr w14:val="tx1"/>
                  </w14:solidFill>
                </w14:textFill>
              </w:rPr>
            </w:pPr>
            <w:r>
              <w:rPr>
                <w:rFonts w:hint="eastAsia" w:cs="宋体"/>
                <w:b/>
                <w:bCs/>
                <w:color w:val="000000" w:themeColor="text1"/>
                <w:szCs w:val="21"/>
                <w14:textFill>
                  <w14:solidFill>
                    <w14:schemeClr w14:val="tx1"/>
                  </w14:solidFill>
                </w14:textFill>
              </w:rPr>
              <w:t>（3）破碎和筛分粉尘</w:t>
            </w:r>
          </w:p>
          <w:p w14:paraId="362B807B">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项目采用鄂式破碎机、圆锥破碎机进行一级破碎、二级破碎，采用制砂机进行细碎，筛分主要振动筛分，此环节产生的破碎和筛分粉尘废气以颗粒物表征，参照</w:t>
            </w:r>
            <w:r>
              <w:rPr>
                <w:rFonts w:hint="eastAsia"/>
                <w:color w:val="000000" w:themeColor="text1"/>
                <w:szCs w:val="21"/>
                <w14:textFill>
                  <w14:solidFill>
                    <w14:schemeClr w14:val="tx1"/>
                  </w14:solidFill>
                </w14:textFill>
              </w:rPr>
              <w:t>《排放源统计调查产排污核算方法和系数手册》中“3039其他建筑材料制造行业系数手册”里“岩石、矿石、建筑固体废弃物、尾矿等”的破碎筛分工艺颗粒物的产生系数为1.89千克/吨-产品。因此，本项目产品年产量为106.1万吨，则破碎筛分的废气颗粒物的产生量为2005.29t/a。</w:t>
            </w:r>
          </w:p>
          <w:p w14:paraId="3DECCFB7">
            <w:pPr>
              <w:pStyle w:val="42"/>
              <w:ind w:firstLine="420"/>
              <w:rPr>
                <w:color w:val="000000" w:themeColor="text1"/>
                <w:kern w:val="2"/>
                <w14:textFill>
                  <w14:solidFill>
                    <w14:schemeClr w14:val="tx1"/>
                  </w14:solidFill>
                </w14:textFill>
              </w:rPr>
            </w:pPr>
            <w:r>
              <w:rPr>
                <w:rFonts w:hint="eastAsia"/>
                <w:color w:val="000000" w:themeColor="text1"/>
                <w:kern w:val="2"/>
                <w14:textFill>
                  <w14:solidFill>
                    <w14:schemeClr w14:val="tx1"/>
                  </w14:solidFill>
                </w14:textFill>
              </w:rPr>
              <w:t>建设单位</w:t>
            </w:r>
            <w:r>
              <w:rPr>
                <w:rFonts w:hint="eastAsia"/>
                <w:color w:val="000000" w:themeColor="text1"/>
                <w:kern w:val="2"/>
                <w:lang w:val="en-US" w:eastAsia="zh-CN"/>
                <w14:textFill>
                  <w14:solidFill>
                    <w14:schemeClr w14:val="tx1"/>
                  </w14:solidFill>
                </w14:textFill>
              </w:rPr>
              <w:t>拟</w:t>
            </w:r>
            <w:r>
              <w:rPr>
                <w:rFonts w:hint="eastAsia"/>
                <w:color w:val="000000" w:themeColor="text1"/>
                <w:kern w:val="2"/>
                <w14:textFill>
                  <w14:solidFill>
                    <w14:schemeClr w14:val="tx1"/>
                  </w14:solidFill>
                </w14:textFill>
              </w:rPr>
              <w:t>在原料进入破碎机前进行</w:t>
            </w:r>
            <w:r>
              <w:rPr>
                <w:rFonts w:hint="eastAsia"/>
                <w:color w:val="000000" w:themeColor="text1"/>
                <w:kern w:val="2"/>
                <w:lang w:val="en-US" w:eastAsia="zh-CN"/>
                <w14:textFill>
                  <w14:solidFill>
                    <w14:schemeClr w14:val="tx1"/>
                  </w14:solidFill>
                </w14:textFill>
              </w:rPr>
              <w:t>喷淋</w:t>
            </w:r>
            <w:r>
              <w:rPr>
                <w:rFonts w:hint="eastAsia"/>
                <w:color w:val="000000" w:themeColor="text1"/>
                <w:kern w:val="2"/>
                <w14:textFill>
                  <w14:solidFill>
                    <w14:schemeClr w14:val="tx1"/>
                  </w14:solidFill>
                </w14:textFill>
              </w:rPr>
              <w:t>洒水处理</w:t>
            </w:r>
            <w:r>
              <w:rPr>
                <w:rFonts w:hint="eastAsia"/>
                <w:color w:val="000000" w:themeColor="text1"/>
                <w:kern w:val="2"/>
                <w:lang w:eastAsia="zh-CN"/>
                <w14:textFill>
                  <w14:solidFill>
                    <w14:schemeClr w14:val="tx1"/>
                  </w14:solidFill>
                </w14:textFill>
              </w:rPr>
              <w:t>，</w:t>
            </w:r>
            <w:r>
              <w:rPr>
                <w:rFonts w:hint="eastAsia"/>
                <w:color w:val="000000" w:themeColor="text1"/>
                <w:kern w:val="2"/>
                <w14:textFill>
                  <w14:solidFill>
                    <w14:schemeClr w14:val="tx1"/>
                  </w14:solidFill>
                </w14:textFill>
              </w:rPr>
              <w:t>在振动筛等筛分设备周围设置围挡</w:t>
            </w:r>
            <w:r>
              <w:rPr>
                <w:rFonts w:hint="eastAsia"/>
                <w:color w:val="000000" w:themeColor="text1"/>
                <w:kern w:val="2"/>
                <w:lang w:eastAsia="zh-CN"/>
                <w14:textFill>
                  <w14:solidFill>
                    <w14:schemeClr w14:val="tx1"/>
                  </w14:solidFill>
                </w14:textFill>
              </w:rPr>
              <w:t>，</w:t>
            </w:r>
            <w:r>
              <w:rPr>
                <w:rFonts w:hint="eastAsia"/>
                <w:color w:val="000000" w:themeColor="text1"/>
                <w:kern w:val="2"/>
                <w14:textFill>
                  <w14:solidFill>
                    <w14:schemeClr w14:val="tx1"/>
                  </w14:solidFill>
                </w14:textFill>
              </w:rPr>
              <w:t>在破碎、筛分设备上方设置喷雾降尘器进一步抑制破碎和筛分粉尘的产生。参考行业产排污系数手册并结合本项目实际情况，处理效率如下表所示。</w:t>
            </w:r>
          </w:p>
          <w:p w14:paraId="40E981F0">
            <w:pPr>
              <w:keepNext/>
              <w:spacing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表4-4 破碎筛分颗粒物控制措施效率参数一览表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2"/>
              <w:gridCol w:w="5572"/>
            </w:tblGrid>
            <w:tr w14:paraId="5362B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99" w:type="pct"/>
                  <w:shd w:val="clear" w:color="auto" w:fill="D9D9D9"/>
                  <w:vAlign w:val="center"/>
                </w:tcPr>
                <w:p w14:paraId="592AA196">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控制措施</w:t>
                  </w:r>
                </w:p>
              </w:tc>
              <w:tc>
                <w:tcPr>
                  <w:tcW w:w="2100" w:type="pct"/>
                  <w:shd w:val="clear" w:color="auto" w:fill="D9D9D9"/>
                  <w:vAlign w:val="center"/>
                </w:tcPr>
                <w:p w14:paraId="5385E9AF">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控制效率</w:t>
                  </w:r>
                </w:p>
              </w:tc>
            </w:tr>
            <w:tr w14:paraId="5F1E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0C411815">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洒水</w:t>
                  </w:r>
                </w:p>
              </w:tc>
              <w:tc>
                <w:tcPr>
                  <w:tcW w:w="2100" w:type="pct"/>
                  <w:vAlign w:val="center"/>
                </w:tcPr>
                <w:p w14:paraId="38458C29">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74%</w:t>
                  </w:r>
                </w:p>
              </w:tc>
            </w:tr>
            <w:tr w14:paraId="11EA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3C921D4A">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围栏</w:t>
                  </w:r>
                </w:p>
              </w:tc>
              <w:tc>
                <w:tcPr>
                  <w:tcW w:w="2100" w:type="pct"/>
                  <w:vAlign w:val="center"/>
                </w:tcPr>
                <w:p w14:paraId="4C7A7BBF">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60%</w:t>
                  </w:r>
                </w:p>
              </w:tc>
            </w:tr>
            <w:tr w14:paraId="53B6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9" w:type="pct"/>
                  <w:vAlign w:val="center"/>
                </w:tcPr>
                <w:p w14:paraId="73A98FBF">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重力沉降</w:t>
                  </w:r>
                </w:p>
              </w:tc>
              <w:tc>
                <w:tcPr>
                  <w:tcW w:w="2100" w:type="pct"/>
                  <w:vAlign w:val="center"/>
                </w:tcPr>
                <w:p w14:paraId="4AFC7F8F">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95%</w:t>
                  </w:r>
                </w:p>
              </w:tc>
            </w:tr>
            <w:tr w14:paraId="2D995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162BF014">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综合处理效率</w:t>
                  </w:r>
                </w:p>
              </w:tc>
              <w:tc>
                <w:tcPr>
                  <w:tcW w:w="2100" w:type="pct"/>
                  <w:vAlign w:val="center"/>
                </w:tcPr>
                <w:p w14:paraId="2EA5E6F0">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99.5%</w:t>
                  </w:r>
                </w:p>
              </w:tc>
            </w:tr>
          </w:tbl>
          <w:p w14:paraId="6FA303EE">
            <w:pPr>
              <w:pStyle w:val="42"/>
              <w:ind w:firstLine="420"/>
              <w:rPr>
                <w:rFonts w:hint="eastAsia" w:eastAsia="宋体"/>
                <w:color w:val="000000" w:themeColor="text1"/>
                <w:kern w:val="2"/>
                <w:lang w:eastAsia="zh-CN"/>
                <w14:textFill>
                  <w14:solidFill>
                    <w14:schemeClr w14:val="tx1"/>
                  </w14:solidFill>
                </w14:textFill>
              </w:rPr>
            </w:pPr>
            <w:r>
              <w:rPr>
                <w:rFonts w:hint="eastAsia"/>
                <w:color w:val="000000" w:themeColor="text1"/>
                <w:kern w:val="2"/>
                <w14:textFill>
                  <w14:solidFill>
                    <w14:schemeClr w14:val="tx1"/>
                  </w14:solidFill>
                </w14:textFill>
              </w:rPr>
              <w:t>综上所述，本项目破碎筛分工序粉尘去除效率按99</w:t>
            </w:r>
            <w:r>
              <w:rPr>
                <w:rFonts w:hint="eastAsia"/>
                <w:color w:val="000000" w:themeColor="text1"/>
                <w:kern w:val="2"/>
                <w:lang w:val="en-US" w:eastAsia="zh-CN"/>
                <w14:textFill>
                  <w14:solidFill>
                    <w14:schemeClr w14:val="tx1"/>
                  </w14:solidFill>
                </w14:textFill>
              </w:rPr>
              <w:t>.5</w:t>
            </w:r>
            <w:r>
              <w:rPr>
                <w:rFonts w:hint="eastAsia"/>
                <w:color w:val="000000" w:themeColor="text1"/>
                <w:kern w:val="2"/>
                <w14:textFill>
                  <w14:solidFill>
                    <w14:schemeClr w14:val="tx1"/>
                  </w14:solidFill>
                </w14:textFill>
              </w:rPr>
              <w:t>%计。本项目破碎、筛分工序产生的粉尘排放量为</w:t>
            </w:r>
            <w:r>
              <w:rPr>
                <w:rFonts w:hint="eastAsia"/>
                <w:color w:val="000000" w:themeColor="text1"/>
                <w:kern w:val="2"/>
                <w:lang w:val="en-US" w:eastAsia="zh-CN"/>
                <w14:textFill>
                  <w14:solidFill>
                    <w14:schemeClr w14:val="tx1"/>
                  </w14:solidFill>
                </w14:textFill>
              </w:rPr>
              <w:t>2005.29t/a×（1-99.5%）=</w:t>
            </w:r>
            <w:r>
              <w:rPr>
                <w:rFonts w:hint="eastAsia"/>
                <w:color w:val="000000" w:themeColor="text1"/>
                <w:kern w:val="2"/>
                <w14:textFill>
                  <w14:solidFill>
                    <w14:schemeClr w14:val="tx1"/>
                  </w14:solidFill>
                </w14:textFill>
              </w:rPr>
              <w:t>10.03t/a</w:t>
            </w:r>
            <w:r>
              <w:rPr>
                <w:rFonts w:hint="eastAsia"/>
                <w:color w:val="000000" w:themeColor="text1"/>
                <w:kern w:val="2"/>
                <w:lang w:eastAsia="zh-CN"/>
                <w14:textFill>
                  <w14:solidFill>
                    <w14:schemeClr w14:val="tx1"/>
                  </w14:solidFill>
                </w14:textFill>
              </w:rPr>
              <w:t>。</w:t>
            </w:r>
          </w:p>
          <w:p w14:paraId="5BDAA4AA">
            <w:pPr>
              <w:pStyle w:val="42"/>
              <w:ind w:firstLine="422"/>
              <w:rPr>
                <w:rFonts w:hint="eastAsia" w:eastAsia="宋体"/>
                <w:b/>
                <w:bCs/>
                <w:color w:val="000000" w:themeColor="text1"/>
                <w:kern w:val="2"/>
                <w:lang w:val="en-US" w:eastAsia="zh-CN"/>
                <w14:textFill>
                  <w14:solidFill>
                    <w14:schemeClr w14:val="tx1"/>
                  </w14:solidFill>
                </w14:textFill>
              </w:rPr>
            </w:pPr>
            <w:r>
              <w:rPr>
                <w:rFonts w:hint="eastAsia"/>
                <w:b/>
                <w:bCs/>
                <w:color w:val="000000" w:themeColor="text1"/>
                <w:kern w:val="2"/>
                <w14:textFill>
                  <w14:solidFill>
                    <w14:schemeClr w14:val="tx1"/>
                  </w14:solidFill>
                </w14:textFill>
              </w:rPr>
              <w:t>（4）食堂油烟</w:t>
            </w:r>
          </w:p>
          <w:p w14:paraId="6DEBFA7A">
            <w:pPr>
              <w:autoSpaceDE w:val="0"/>
              <w:autoSpaceDN w:val="0"/>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项目内设有员工食堂，食堂内设有灶头</w:t>
            </w: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个，食堂燃气采用液化石油气，排放食堂油烟废气，油烟主要是指动植物油过热裂解、挥发与水蒸汽一起挥发出来的烟气，其废气中的主要成分是动植物油遇热挥发、裂解的产物、气味、水蒸汽等。</w:t>
            </w:r>
          </w:p>
          <w:p w14:paraId="55730817">
            <w:pPr>
              <w:pStyle w:val="42"/>
              <w:ind w:firstLine="420"/>
              <w:rPr>
                <w:rFonts w:hint="eastAsia"/>
                <w:color w:val="000000" w:themeColor="text1"/>
                <w:kern w:val="2"/>
                <w:lang w:eastAsia="zh-CN"/>
                <w14:textFill>
                  <w14:solidFill>
                    <w14:schemeClr w14:val="tx1"/>
                  </w14:solidFill>
                </w14:textFill>
              </w:rPr>
            </w:pPr>
            <w:r>
              <w:rPr>
                <w:rFonts w:hint="eastAsia"/>
                <w:color w:val="000000" w:themeColor="text1"/>
                <w:kern w:val="2"/>
                <w14:textFill>
                  <w14:solidFill>
                    <w14:schemeClr w14:val="tx1"/>
                  </w14:solidFill>
                </w14:textFill>
              </w:rPr>
              <w:t>根据建设单位提供的资料，</w:t>
            </w:r>
            <w:r>
              <w:rPr>
                <w:color w:val="000000" w:themeColor="text1"/>
                <w:kern w:val="2"/>
                <w14:textFill>
                  <w14:solidFill>
                    <w14:schemeClr w14:val="tx1"/>
                  </w14:solidFill>
                </w14:textFill>
              </w:rPr>
              <w:t>建成后食堂每天开火工作时间约为</w:t>
            </w:r>
            <w:r>
              <w:rPr>
                <w:rFonts w:hint="eastAsia"/>
                <w:color w:val="000000" w:themeColor="text1"/>
                <w:kern w:val="2"/>
                <w14:textFill>
                  <w14:solidFill>
                    <w14:schemeClr w14:val="tx1"/>
                  </w14:solidFill>
                </w14:textFill>
              </w:rPr>
              <w:t>4</w:t>
            </w:r>
            <w:r>
              <w:rPr>
                <w:color w:val="000000" w:themeColor="text1"/>
                <w:kern w:val="2"/>
                <w14:textFill>
                  <w14:solidFill>
                    <w14:schemeClr w14:val="tx1"/>
                  </w14:solidFill>
                </w14:textFill>
              </w:rPr>
              <w:t>小时，全年运行</w:t>
            </w:r>
            <w:r>
              <w:rPr>
                <w:rFonts w:hint="eastAsia"/>
                <w:color w:val="000000" w:themeColor="text1"/>
                <w:kern w:val="2"/>
                <w14:textFill>
                  <w14:solidFill>
                    <w14:schemeClr w14:val="tx1"/>
                  </w14:solidFill>
                </w14:textFill>
              </w:rPr>
              <w:t>276</w:t>
            </w:r>
            <w:r>
              <w:rPr>
                <w:color w:val="000000" w:themeColor="text1"/>
                <w:kern w:val="2"/>
                <w14:textFill>
                  <w14:solidFill>
                    <w14:schemeClr w14:val="tx1"/>
                  </w14:solidFill>
                </w14:textFill>
              </w:rPr>
              <w:t>天，提供</w:t>
            </w: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餐，用餐员工数为20人，</w:t>
            </w:r>
            <w:r>
              <w:rPr>
                <w:rFonts w:hint="eastAsia"/>
                <w:color w:val="000000" w:themeColor="text1"/>
                <w:kern w:val="2"/>
                <w:lang w:val="en-US" w:eastAsia="zh-CN"/>
                <w14:textFill>
                  <w14:solidFill>
                    <w14:schemeClr w14:val="tx1"/>
                  </w14:solidFill>
                </w14:textFill>
              </w:rPr>
              <w:t>参考《排放源统计调查产排污核算方法和系数手册》“附表生活源产排污系数手册”中“生活及其他大气污染物排放系数-餐饮油烟”，本项目位于广东省，属于一区，食堂油烟排放系数按165g/人·年计</w:t>
            </w:r>
            <w:r>
              <w:rPr>
                <w:color w:val="000000" w:themeColor="text1"/>
                <w:kern w:val="2"/>
                <w14:textFill>
                  <w14:solidFill>
                    <w14:schemeClr w14:val="tx1"/>
                  </w14:solidFill>
                </w14:textFill>
              </w:rPr>
              <w:t>，则油烟的产生量为</w:t>
            </w:r>
            <w:r>
              <w:rPr>
                <w:rFonts w:hint="eastAsia"/>
                <w:color w:val="000000" w:themeColor="text1"/>
                <w:kern w:val="2"/>
                <w14:textFill>
                  <w14:solidFill>
                    <w14:schemeClr w14:val="tx1"/>
                  </w14:solidFill>
                </w14:textFill>
              </w:rPr>
              <w:t>0.0033</w:t>
            </w:r>
            <w:r>
              <w:rPr>
                <w:color w:val="000000" w:themeColor="text1"/>
                <w:kern w:val="2"/>
                <w14:textFill>
                  <w14:solidFill>
                    <w14:schemeClr w14:val="tx1"/>
                  </w14:solidFill>
                </w14:textFill>
              </w:rPr>
              <w:t>t/a。</w:t>
            </w:r>
            <w:r>
              <w:rPr>
                <w:rFonts w:hint="eastAsia"/>
                <w:color w:val="000000" w:themeColor="text1"/>
                <w:kern w:val="2"/>
                <w14:textFill>
                  <w14:solidFill>
                    <w14:schemeClr w14:val="tx1"/>
                  </w14:solidFill>
                </w14:textFill>
              </w:rPr>
              <w:t>根据</w:t>
            </w:r>
            <w:r>
              <w:rPr>
                <w:color w:val="000000" w:themeColor="text1"/>
                <w:kern w:val="2"/>
                <w14:textFill>
                  <w14:solidFill>
                    <w14:schemeClr w14:val="tx1"/>
                  </w14:solidFill>
                </w14:textFill>
              </w:rPr>
              <w:t>《饮食业油烟排放标准（试行）》（GB18483-2001）</w:t>
            </w:r>
            <w:r>
              <w:rPr>
                <w:rFonts w:hint="eastAsia"/>
                <w:color w:val="000000" w:themeColor="text1"/>
                <w:kern w:val="2"/>
                <w14:textFill>
                  <w14:solidFill>
                    <w14:schemeClr w14:val="tx1"/>
                  </w14:solidFill>
                </w14:textFill>
              </w:rPr>
              <w:t>，</w:t>
            </w:r>
            <w:r>
              <w:rPr>
                <w:color w:val="000000" w:themeColor="text1"/>
                <w:kern w:val="2"/>
                <w14:textFill>
                  <w14:solidFill>
                    <w14:schemeClr w14:val="tx1"/>
                  </w14:solidFill>
                </w14:textFill>
              </w:rPr>
              <w:t>每个基准炉头的额定风量按2</w:t>
            </w:r>
            <w:r>
              <w:rPr>
                <w:rFonts w:hint="eastAsia"/>
                <w:color w:val="000000" w:themeColor="text1"/>
                <w:kern w:val="2"/>
                <w14:textFill>
                  <w14:solidFill>
                    <w14:schemeClr w14:val="tx1"/>
                  </w14:solidFill>
                </w14:textFill>
              </w:rPr>
              <w:t>0</w:t>
            </w:r>
            <w:r>
              <w:rPr>
                <w:color w:val="000000" w:themeColor="text1"/>
                <w:kern w:val="2"/>
                <w14:textFill>
                  <w14:solidFill>
                    <w14:schemeClr w14:val="tx1"/>
                  </w14:solidFill>
                </w14:textFill>
              </w:rPr>
              <w:t>00m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/h计算，由于食堂油烟废气排放较少，本项目食堂油烟经收集后引至</w:t>
            </w:r>
            <w:r>
              <w:rPr>
                <w:rFonts w:hint="eastAsia"/>
                <w:color w:val="000000" w:themeColor="text1"/>
                <w:kern w:val="2"/>
                <w:lang w:val="en-US" w:eastAsia="zh-CN"/>
                <w14:textFill>
                  <w14:solidFill>
                    <w14:schemeClr w14:val="tx1"/>
                  </w14:solidFill>
                </w14:textFill>
              </w:rPr>
              <w:t>静电</w:t>
            </w:r>
            <w:r>
              <w:rPr>
                <w:color w:val="000000" w:themeColor="text1"/>
                <w:kern w:val="2"/>
                <w14:textFill>
                  <w14:solidFill>
                    <w14:schemeClr w14:val="tx1"/>
                  </w14:solidFill>
                </w14:textFill>
              </w:rPr>
              <w:t>油烟净化</w:t>
            </w:r>
            <w:r>
              <w:rPr>
                <w:rFonts w:hint="eastAsia"/>
                <w:color w:val="000000" w:themeColor="text1"/>
                <w:kern w:val="2"/>
                <w:lang w:val="en-US" w:eastAsia="zh-CN"/>
                <w14:textFill>
                  <w14:solidFill>
                    <w14:schemeClr w14:val="tx1"/>
                  </w14:solidFill>
                </w14:textFill>
              </w:rPr>
              <w:t>装置</w:t>
            </w:r>
            <w:r>
              <w:rPr>
                <w:color w:val="000000" w:themeColor="text1"/>
                <w:kern w:val="2"/>
                <w14:textFill>
                  <w14:solidFill>
                    <w14:schemeClr w14:val="tx1"/>
                  </w14:solidFill>
                </w14:textFill>
              </w:rPr>
              <w:t>中处理后通过食堂楼顶排气筒直接排放，总风量为</w:t>
            </w:r>
            <w:r>
              <w:rPr>
                <w:rFonts w:hint="eastAsia"/>
                <w:color w:val="000000" w:themeColor="text1"/>
                <w:kern w:val="2"/>
                <w14:textFill>
                  <w14:solidFill>
                    <w14:schemeClr w14:val="tx1"/>
                  </w14:solidFill>
                </w14:textFill>
              </w:rPr>
              <w:t>60</w:t>
            </w:r>
            <w:r>
              <w:rPr>
                <w:color w:val="000000" w:themeColor="text1"/>
                <w:kern w:val="2"/>
                <w14:textFill>
                  <w14:solidFill>
                    <w14:schemeClr w14:val="tx1"/>
                  </w14:solidFill>
                </w14:textFill>
              </w:rPr>
              <w:t>00m</w:t>
            </w:r>
            <w:r>
              <w:rPr>
                <w:color w:val="000000" w:themeColor="text1"/>
                <w:kern w:val="2"/>
                <w:vertAlign w:val="superscript"/>
                <w14:textFill>
                  <w14:solidFill>
                    <w14:schemeClr w14:val="tx1"/>
                  </w14:solidFill>
                </w14:textFill>
              </w:rPr>
              <w:t>3</w:t>
            </w:r>
            <w:r>
              <w:rPr>
                <w:color w:val="000000" w:themeColor="text1"/>
                <w:kern w:val="2"/>
                <w14:textFill>
                  <w14:solidFill>
                    <w14:schemeClr w14:val="tx1"/>
                  </w14:solidFill>
                </w14:textFill>
              </w:rPr>
              <w:t>/h</w:t>
            </w:r>
            <w:r>
              <w:rPr>
                <w:rFonts w:hint="eastAsia"/>
                <w:color w:val="000000" w:themeColor="text1"/>
                <w:kern w:val="2"/>
                <w:lang w:eastAsia="zh-CN"/>
                <w14:textFill>
                  <w14:solidFill>
                    <w14:schemeClr w14:val="tx1"/>
                  </w14:solidFill>
                </w14:textFill>
              </w:rPr>
              <w:t>；</w:t>
            </w:r>
          </w:p>
          <w:p w14:paraId="10F509AB">
            <w:pPr>
              <w:pStyle w:val="42"/>
              <w:ind w:firstLine="420"/>
              <w:rPr>
                <w:rFonts w:hint="default"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油烟收集效率参考《广东省工业源挥发性有机物减排量核算方法（2023年修订版）》“外部型集气罩—符合以下情况：敞开面控制风速不小于 0.3m/s”的收集效率为30%；油烟净化效率参考</w:t>
            </w:r>
            <w:r>
              <w:rPr>
                <w:color w:val="000000" w:themeColor="text1"/>
                <w:kern w:val="2"/>
                <w14:textFill>
                  <w14:solidFill>
                    <w14:schemeClr w14:val="tx1"/>
                  </w14:solidFill>
                </w14:textFill>
              </w:rPr>
              <w:t>《新型静电油烟净化设备的特点及应用》（黄付平、覃理嘉等），在额定风量下静电油烟净化</w:t>
            </w:r>
            <w:r>
              <w:rPr>
                <w:rFonts w:hint="eastAsia"/>
                <w:color w:val="000000" w:themeColor="text1"/>
                <w:kern w:val="2"/>
                <w:lang w:val="en-US" w:eastAsia="zh-CN"/>
                <w14:textFill>
                  <w14:solidFill>
                    <w14:schemeClr w14:val="tx1"/>
                  </w14:solidFill>
                </w14:textFill>
              </w:rPr>
              <w:t>装置</w:t>
            </w:r>
            <w:r>
              <w:rPr>
                <w:color w:val="000000" w:themeColor="text1"/>
                <w:kern w:val="2"/>
                <w14:textFill>
                  <w14:solidFill>
                    <w14:schemeClr w14:val="tx1"/>
                  </w14:solidFill>
                </w14:textFill>
              </w:rPr>
              <w:t>对油烟的净化效率达93.9%</w:t>
            </w:r>
            <w:r>
              <w:rPr>
                <w:rFonts w:hint="eastAsia"/>
                <w:color w:val="000000" w:themeColor="text1"/>
                <w:kern w:val="2"/>
                <w:lang w:eastAsia="zh-CN"/>
                <w14:textFill>
                  <w14:solidFill>
                    <w14:schemeClr w14:val="tx1"/>
                  </w14:solidFill>
                </w14:textFill>
              </w:rPr>
              <w:t>；</w:t>
            </w:r>
            <w:r>
              <w:rPr>
                <w:rFonts w:hint="eastAsia"/>
                <w:color w:val="000000" w:themeColor="text1"/>
                <w:kern w:val="2"/>
                <w:lang w:val="en-US" w:eastAsia="zh-CN"/>
                <w14:textFill>
                  <w14:solidFill>
                    <w14:schemeClr w14:val="tx1"/>
                  </w14:solidFill>
                </w14:textFill>
              </w:rPr>
              <w:t>根据</w:t>
            </w:r>
            <w:r>
              <w:rPr>
                <w:color w:val="000000" w:themeColor="text1"/>
                <w:kern w:val="2"/>
                <w14:textFill>
                  <w14:solidFill>
                    <w14:schemeClr w14:val="tx1"/>
                  </w14:solidFill>
                </w14:textFill>
              </w:rPr>
              <w:t>《饮食业油烟排放标准（试行）》（GB18483-2001），</w:t>
            </w:r>
            <w:r>
              <w:rPr>
                <w:rFonts w:hint="eastAsia"/>
                <w:color w:val="000000" w:themeColor="text1"/>
                <w:kern w:val="2"/>
                <w14:textFill>
                  <w14:solidFill>
                    <w14:schemeClr w14:val="tx1"/>
                  </w14:solidFill>
                </w14:textFill>
              </w:rPr>
              <w:t>中</w:t>
            </w:r>
            <w:r>
              <w:rPr>
                <w:color w:val="000000" w:themeColor="text1"/>
                <w:kern w:val="2"/>
                <w14:textFill>
                  <w14:solidFill>
                    <w14:schemeClr w14:val="tx1"/>
                  </w14:solidFill>
                </w14:textFill>
              </w:rPr>
              <w:t>型规模（</w:t>
            </w:r>
            <w:r>
              <w:rPr>
                <w:rFonts w:hint="eastAsia"/>
                <w:color w:val="000000" w:themeColor="text1"/>
                <w:kern w:val="2"/>
                <w14:textFill>
                  <w14:solidFill>
                    <w14:schemeClr w14:val="tx1"/>
                  </w14:solidFill>
                </w14:textFill>
              </w:rPr>
              <w:t>3</w:t>
            </w:r>
            <w:r>
              <w:rPr>
                <w:color w:val="000000" w:themeColor="text1"/>
                <w:kern w:val="2"/>
                <w14:textFill>
                  <w14:solidFill>
                    <w14:schemeClr w14:val="tx1"/>
                  </w14:solidFill>
                </w14:textFill>
              </w:rPr>
              <w:t>≤基准灶头数＜</w:t>
            </w:r>
            <w:r>
              <w:rPr>
                <w:rFonts w:hint="eastAsia"/>
                <w:color w:val="000000" w:themeColor="text1"/>
                <w:kern w:val="2"/>
                <w14:textFill>
                  <w14:solidFill>
                    <w14:schemeClr w14:val="tx1"/>
                  </w14:solidFill>
                </w14:textFill>
              </w:rPr>
              <w:t>6</w:t>
            </w:r>
            <w:r>
              <w:rPr>
                <w:color w:val="000000" w:themeColor="text1"/>
                <w:kern w:val="2"/>
                <w14:textFill>
                  <w14:solidFill>
                    <w14:schemeClr w14:val="tx1"/>
                  </w14:solidFill>
                </w14:textFill>
              </w:rPr>
              <w:t>）饮食单位净化设施最低去除效率不低于</w:t>
            </w:r>
            <w:r>
              <w:rPr>
                <w:rFonts w:hint="eastAsia"/>
                <w:color w:val="000000" w:themeColor="text1"/>
                <w:kern w:val="2"/>
                <w14:textFill>
                  <w14:solidFill>
                    <w14:schemeClr w14:val="tx1"/>
                  </w14:solidFill>
                </w14:textFill>
              </w:rPr>
              <w:t>75</w:t>
            </w:r>
            <w:r>
              <w:rPr>
                <w:color w:val="000000" w:themeColor="text1"/>
                <w:kern w:val="2"/>
                <w14:textFill>
                  <w14:solidFill>
                    <w14:schemeClr w14:val="tx1"/>
                  </w14:solidFill>
                </w14:textFill>
              </w:rPr>
              <w:t>%</w:t>
            </w:r>
            <w:r>
              <w:rPr>
                <w:rFonts w:hint="eastAsia"/>
                <w:color w:val="000000" w:themeColor="text1"/>
                <w:kern w:val="2"/>
                <w:lang w:eastAsia="zh-CN"/>
                <w14:textFill>
                  <w14:solidFill>
                    <w14:schemeClr w14:val="tx1"/>
                  </w14:solidFill>
                </w14:textFill>
              </w:rPr>
              <w:t>，</w:t>
            </w:r>
            <w:r>
              <w:rPr>
                <w:rFonts w:hint="eastAsia"/>
                <w:color w:val="000000" w:themeColor="text1"/>
                <w:kern w:val="2"/>
                <w:lang w:val="en-US" w:eastAsia="zh-CN"/>
                <w14:textFill>
                  <w14:solidFill>
                    <w14:schemeClr w14:val="tx1"/>
                  </w14:solidFill>
                </w14:textFill>
              </w:rPr>
              <w:t>因此</w:t>
            </w:r>
            <w:r>
              <w:rPr>
                <w:color w:val="000000" w:themeColor="text1"/>
                <w:kern w:val="2"/>
                <w14:textFill>
                  <w14:solidFill>
                    <w14:schemeClr w14:val="tx1"/>
                  </w14:solidFill>
                </w14:textFill>
              </w:rPr>
              <w:t>本项目</w:t>
            </w:r>
            <w:r>
              <w:rPr>
                <w:rFonts w:hint="eastAsia"/>
                <w:color w:val="000000" w:themeColor="text1"/>
                <w:kern w:val="2"/>
                <w:lang w:val="en-US" w:eastAsia="zh-CN"/>
                <w14:textFill>
                  <w14:solidFill>
                    <w14:schemeClr w14:val="tx1"/>
                  </w14:solidFill>
                </w14:textFill>
              </w:rPr>
              <w:t>油烟净化效率保守</w:t>
            </w:r>
            <w:r>
              <w:rPr>
                <w:color w:val="000000" w:themeColor="text1"/>
                <w:kern w:val="2"/>
                <w14:textFill>
                  <w14:solidFill>
                    <w14:schemeClr w14:val="tx1"/>
                  </w14:solidFill>
                </w14:textFill>
              </w:rPr>
              <w:t>按</w:t>
            </w:r>
            <w:r>
              <w:rPr>
                <w:rFonts w:hint="eastAsia"/>
                <w:color w:val="000000" w:themeColor="text1"/>
                <w:kern w:val="2"/>
                <w:lang w:val="en-US" w:eastAsia="zh-CN"/>
                <w14:textFill>
                  <w14:solidFill>
                    <w14:schemeClr w14:val="tx1"/>
                  </w14:solidFill>
                </w14:textFill>
              </w:rPr>
              <w:t>80</w:t>
            </w:r>
            <w:r>
              <w:rPr>
                <w:color w:val="000000" w:themeColor="text1"/>
                <w:kern w:val="2"/>
                <w14:textFill>
                  <w14:solidFill>
                    <w14:schemeClr w14:val="tx1"/>
                  </w14:solidFill>
                </w14:textFill>
              </w:rPr>
              <w:t>%计，</w:t>
            </w:r>
            <w:r>
              <w:rPr>
                <w:rFonts w:hint="eastAsia"/>
                <w:color w:val="000000" w:themeColor="text1"/>
                <w:kern w:val="2"/>
                <w:lang w:val="en-US" w:eastAsia="zh-CN"/>
                <w14:textFill>
                  <w14:solidFill>
                    <w14:schemeClr w14:val="tx1"/>
                  </w14:solidFill>
                </w14:textFill>
              </w:rPr>
              <w:t>收集效率按30%计，</w:t>
            </w:r>
            <w:r>
              <w:rPr>
                <w:color w:val="000000" w:themeColor="text1"/>
                <w:kern w:val="2"/>
                <w14:textFill>
                  <w14:solidFill>
                    <w14:schemeClr w14:val="tx1"/>
                  </w14:solidFill>
                </w14:textFill>
              </w:rPr>
              <w:t>则本项目食堂油烟</w:t>
            </w:r>
            <w:r>
              <w:rPr>
                <w:rFonts w:hint="eastAsia"/>
                <w:color w:val="000000" w:themeColor="text1"/>
                <w:kern w:val="2"/>
                <w:lang w:val="en-US" w:eastAsia="zh-CN"/>
                <w14:textFill>
                  <w14:solidFill>
                    <w14:schemeClr w14:val="tx1"/>
                  </w14:solidFill>
                </w14:textFill>
              </w:rPr>
              <w:t>有组织</w:t>
            </w:r>
            <w:r>
              <w:rPr>
                <w:color w:val="000000" w:themeColor="text1"/>
                <w:kern w:val="2"/>
                <w14:textFill>
                  <w14:solidFill>
                    <w14:schemeClr w14:val="tx1"/>
                  </w14:solidFill>
                </w14:textFill>
              </w:rPr>
              <w:t>排放</w:t>
            </w:r>
            <w:r>
              <w:rPr>
                <w:rFonts w:hint="eastAsia"/>
                <w:color w:val="000000" w:themeColor="text1"/>
                <w:kern w:val="2"/>
                <w:lang w:val="en-US" w:eastAsia="zh-CN"/>
                <w14:textFill>
                  <w14:solidFill>
                    <w14:schemeClr w14:val="tx1"/>
                  </w14:solidFill>
                </w14:textFill>
              </w:rPr>
              <w:t>量</w:t>
            </w:r>
            <w:r>
              <w:rPr>
                <w:color w:val="000000" w:themeColor="text1"/>
                <w:kern w:val="2"/>
                <w14:textFill>
                  <w14:solidFill>
                    <w14:schemeClr w14:val="tx1"/>
                  </w14:solidFill>
                </w14:textFill>
              </w:rPr>
              <w:t>为</w:t>
            </w:r>
            <w:r>
              <w:rPr>
                <w:rFonts w:hint="eastAsia"/>
                <w:color w:val="000000" w:themeColor="text1"/>
                <w:kern w:val="2"/>
                <w:lang w:val="en-US" w:eastAsia="zh-CN"/>
                <w14:textFill>
                  <w14:solidFill>
                    <w14:schemeClr w14:val="tx1"/>
                  </w14:solidFill>
                </w14:textFill>
              </w:rPr>
              <w:t>0.0033t/a×30%×（1-80%）=0.000198t/a</w:t>
            </w:r>
            <w:r>
              <w:rPr>
                <w:color w:val="000000" w:themeColor="text1"/>
                <w:kern w:val="2"/>
                <w14:textFill>
                  <w14:solidFill>
                    <w14:schemeClr w14:val="tx1"/>
                  </w14:solidFill>
                </w14:textFill>
              </w:rPr>
              <w:t>，</w:t>
            </w:r>
            <w:r>
              <w:rPr>
                <w:rFonts w:hint="eastAsia"/>
                <w:color w:val="000000" w:themeColor="text1"/>
                <w:kern w:val="2"/>
                <w:lang w:val="en-US" w:eastAsia="zh-CN"/>
                <w14:textFill>
                  <w14:solidFill>
                    <w14:schemeClr w14:val="tx1"/>
                  </w14:solidFill>
                </w14:textFill>
              </w:rPr>
              <w:t>无组织排放量为0.0033t/a×70%=0.00231t/a。</w:t>
            </w:r>
          </w:p>
          <w:p w14:paraId="4A65B0E3">
            <w:pPr>
              <w:pStyle w:val="42"/>
              <w:ind w:firstLine="422"/>
              <w:rPr>
                <w:b/>
                <w:bCs/>
                <w:color w:val="000000" w:themeColor="text1"/>
                <w:kern w:val="2"/>
                <w14:textFill>
                  <w14:solidFill>
                    <w14:schemeClr w14:val="tx1"/>
                  </w14:solidFill>
                </w14:textFill>
              </w:rPr>
            </w:pPr>
            <w:r>
              <w:rPr>
                <w:rFonts w:hint="eastAsia"/>
                <w:b/>
                <w:bCs/>
                <w:color w:val="000000" w:themeColor="text1"/>
                <w:kern w:val="2"/>
                <w14:textFill>
                  <w14:solidFill>
                    <w14:schemeClr w14:val="tx1"/>
                  </w14:solidFill>
                </w14:textFill>
              </w:rPr>
              <w:t>（5）汽车尾气</w:t>
            </w:r>
          </w:p>
          <w:p w14:paraId="0A2411EE">
            <w:pPr>
              <w:pStyle w:val="42"/>
              <w:ind w:firstLine="420"/>
              <w:rPr>
                <w:color w:val="000000" w:themeColor="text1"/>
                <w:kern w:val="2"/>
                <w14:textFill>
                  <w14:solidFill>
                    <w14:schemeClr w14:val="tx1"/>
                  </w14:solidFill>
                </w14:textFill>
              </w:rPr>
            </w:pPr>
            <w:r>
              <w:rPr>
                <w:color w:val="000000" w:themeColor="text1"/>
                <w:kern w:val="2"/>
                <w14:textFill>
                  <w14:solidFill>
                    <w14:schemeClr w14:val="tx1"/>
                  </w14:solidFill>
                </w14:textFill>
              </w:rPr>
              <w:t>根据本项目投产后生产规模和产量，全年进出厂重型车约174160辆次，本项运输车均为柴油车，在进出厂区的过程中会产生汽车尾气，主要污染物是CO、NOx、THC和PM。根据相关统计资料，不同车型的尾气污染物排放系数如下表所示</w:t>
            </w:r>
            <w:r>
              <w:rPr>
                <w:rFonts w:hint="eastAsia"/>
                <w:color w:val="000000" w:themeColor="text1"/>
                <w:kern w:val="2"/>
                <w14:textFill>
                  <w14:solidFill>
                    <w14:schemeClr w14:val="tx1"/>
                  </w14:solidFill>
                </w14:textFill>
              </w:rPr>
              <w:t>：</w:t>
            </w:r>
          </w:p>
          <w:p w14:paraId="6013BEA7">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5</w:t>
            </w:r>
            <w:r>
              <w:rPr>
                <w:color w:val="000000" w:themeColor="text1"/>
                <w14:textFill>
                  <w14:solidFill>
                    <w14:schemeClr w14:val="tx1"/>
                  </w14:solidFill>
                </w14:textFill>
              </w:rPr>
              <w:t xml:space="preserve"> 重型车尾气排放污染物量（g/km）</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2654"/>
              <w:gridCol w:w="2654"/>
              <w:gridCol w:w="2654"/>
              <w:gridCol w:w="2654"/>
            </w:tblGrid>
            <w:tr w14:paraId="6288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shd w:val="clear" w:color="auto" w:fill="D9D9D9"/>
                </w:tcPr>
                <w:p w14:paraId="3AB7DE22">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类型</w:t>
                  </w:r>
                </w:p>
              </w:tc>
              <w:tc>
                <w:tcPr>
                  <w:tcW w:w="2655" w:type="dxa"/>
                  <w:shd w:val="clear" w:color="auto" w:fill="D9D9D9"/>
                </w:tcPr>
                <w:p w14:paraId="686B5D7D">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w:t>
                  </w:r>
                </w:p>
              </w:tc>
              <w:tc>
                <w:tcPr>
                  <w:tcW w:w="2655" w:type="dxa"/>
                  <w:shd w:val="clear" w:color="auto" w:fill="D9D9D9"/>
                </w:tcPr>
                <w:p w14:paraId="257ECF2A">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THC</w:t>
                  </w:r>
                </w:p>
              </w:tc>
              <w:tc>
                <w:tcPr>
                  <w:tcW w:w="2655" w:type="dxa"/>
                  <w:shd w:val="clear" w:color="auto" w:fill="D9D9D9"/>
                </w:tcPr>
                <w:p w14:paraId="4E00075E">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NOx</w:t>
                  </w:r>
                </w:p>
              </w:tc>
              <w:tc>
                <w:tcPr>
                  <w:tcW w:w="2655" w:type="dxa"/>
                  <w:shd w:val="clear" w:color="auto" w:fill="D9D9D9"/>
                </w:tcPr>
                <w:p w14:paraId="07E734E9">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PM</w:t>
                  </w:r>
                </w:p>
              </w:tc>
            </w:tr>
            <w:tr w14:paraId="47107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5" w:type="dxa"/>
                </w:tcPr>
                <w:p w14:paraId="0101CB9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重型车</w:t>
                  </w:r>
                </w:p>
              </w:tc>
              <w:tc>
                <w:tcPr>
                  <w:tcW w:w="2655" w:type="dxa"/>
                </w:tcPr>
                <w:p w14:paraId="5CBEE12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6.69</w:t>
                  </w:r>
                </w:p>
              </w:tc>
              <w:tc>
                <w:tcPr>
                  <w:tcW w:w="2655" w:type="dxa"/>
                </w:tcPr>
                <w:p w14:paraId="2C44D36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3.34</w:t>
                  </w:r>
                </w:p>
              </w:tc>
              <w:tc>
                <w:tcPr>
                  <w:tcW w:w="2655" w:type="dxa"/>
                </w:tcPr>
                <w:p w14:paraId="366A261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10.89</w:t>
                  </w:r>
                </w:p>
              </w:tc>
              <w:tc>
                <w:tcPr>
                  <w:tcW w:w="2655" w:type="dxa"/>
                </w:tcPr>
                <w:p w14:paraId="1778FF3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1.52</w:t>
                  </w:r>
                </w:p>
              </w:tc>
            </w:tr>
          </w:tbl>
          <w:p w14:paraId="035ACAC3">
            <w:pPr>
              <w:pStyle w:val="52"/>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运输车属重型车，以在厂区内行驶</w:t>
            </w:r>
            <w:r>
              <w:rPr>
                <w:color w:val="000000" w:themeColor="text1"/>
                <w14:textFill>
                  <w14:solidFill>
                    <w14:schemeClr w14:val="tx1"/>
                  </w14:solidFill>
                </w14:textFill>
              </w:rPr>
              <w:t>0.15k</w:t>
            </w:r>
            <w:r>
              <w:rPr>
                <w:rFonts w:hint="default"/>
                <w:color w:val="000000" w:themeColor="text1"/>
                <w14:textFill>
                  <w14:solidFill>
                    <w14:schemeClr w14:val="tx1"/>
                  </w14:solidFill>
                </w14:textFill>
              </w:rPr>
              <w:t>m计算，则污染物产生量如下所示：</w:t>
            </w:r>
          </w:p>
          <w:p w14:paraId="71940F5F">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6</w:t>
            </w:r>
            <w:r>
              <w:rPr>
                <w:color w:val="000000" w:themeColor="text1"/>
                <w14:textFill>
                  <w14:solidFill>
                    <w14:schemeClr w14:val="tx1"/>
                  </w14:solidFill>
                </w14:textFill>
              </w:rPr>
              <w:t xml:space="preserve"> 汽车尾气排放污染物（t/a）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31"/>
              <w:gridCol w:w="2205"/>
              <w:gridCol w:w="2760"/>
              <w:gridCol w:w="2614"/>
              <w:gridCol w:w="2254"/>
            </w:tblGrid>
            <w:tr w14:paraId="4DA45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pct"/>
                  <w:shd w:val="clear" w:color="auto" w:fill="D9D9D9"/>
                  <w:vAlign w:val="center"/>
                </w:tcPr>
                <w:p w14:paraId="5B9546CF">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类型</w:t>
                  </w:r>
                </w:p>
              </w:tc>
              <w:tc>
                <w:tcPr>
                  <w:tcW w:w="831" w:type="pct"/>
                  <w:shd w:val="clear" w:color="auto" w:fill="D9D9D9"/>
                  <w:vAlign w:val="center"/>
                </w:tcPr>
                <w:p w14:paraId="050D97B3">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CO</w:t>
                  </w:r>
                </w:p>
              </w:tc>
              <w:tc>
                <w:tcPr>
                  <w:tcW w:w="1040" w:type="pct"/>
                  <w:shd w:val="clear" w:color="auto" w:fill="D9D9D9"/>
                  <w:vAlign w:val="center"/>
                </w:tcPr>
                <w:p w14:paraId="5D3ADD47">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THC</w:t>
                  </w:r>
                </w:p>
              </w:tc>
              <w:tc>
                <w:tcPr>
                  <w:tcW w:w="985" w:type="pct"/>
                  <w:shd w:val="clear" w:color="auto" w:fill="D9D9D9"/>
                  <w:vAlign w:val="center"/>
                </w:tcPr>
                <w:p w14:paraId="5B6E5DAD">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NOx</w:t>
                  </w:r>
                </w:p>
              </w:tc>
              <w:tc>
                <w:tcPr>
                  <w:tcW w:w="849" w:type="pct"/>
                  <w:shd w:val="clear" w:color="auto" w:fill="D9D9D9"/>
                  <w:vAlign w:val="center"/>
                </w:tcPr>
                <w:p w14:paraId="149D8CB1">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PM</w:t>
                  </w:r>
                </w:p>
              </w:tc>
            </w:tr>
            <w:tr w14:paraId="3643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pct"/>
                  <w:shd w:val="clear" w:color="auto" w:fill="auto"/>
                  <w:vAlign w:val="center"/>
                </w:tcPr>
                <w:p w14:paraId="6664A7E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产生量</w:t>
                  </w:r>
                </w:p>
              </w:tc>
              <w:tc>
                <w:tcPr>
                  <w:tcW w:w="2205" w:type="dxa"/>
                  <w:shd w:val="clear" w:color="auto" w:fill="auto"/>
                  <w:vAlign w:val="center"/>
                </w:tcPr>
                <w:p w14:paraId="1BB5B88E">
                  <w:pPr>
                    <w:widowControl/>
                    <w:jc w:val="center"/>
                    <w:textAlignment w:val="center"/>
                    <w:rPr>
                      <w:color w:val="000000" w:themeColor="text1"/>
                      <w:sz w:val="18"/>
                      <w14:textFill>
                        <w14:solidFill>
                          <w14:schemeClr w14:val="tx1"/>
                        </w14:solidFill>
                      </w14:textFill>
                    </w:rPr>
                  </w:pPr>
                  <w:r>
                    <w:rPr>
                      <w:color w:val="000000" w:themeColor="text1"/>
                      <w:kern w:val="0"/>
                      <w:sz w:val="18"/>
                      <w:szCs w:val="18"/>
                      <w:lang w:bidi="ar"/>
                      <w14:textFill>
                        <w14:solidFill>
                          <w14:schemeClr w14:val="tx1"/>
                        </w14:solidFill>
                      </w14:textFill>
                    </w:rPr>
                    <w:t>0.17</w:t>
                  </w:r>
                  <w:r>
                    <w:rPr>
                      <w:rFonts w:hint="eastAsia"/>
                      <w:color w:val="000000" w:themeColor="text1"/>
                      <w:kern w:val="0"/>
                      <w:sz w:val="18"/>
                      <w:szCs w:val="18"/>
                      <w:lang w:bidi="ar"/>
                      <w14:textFill>
                        <w14:solidFill>
                          <w14:schemeClr w14:val="tx1"/>
                        </w14:solidFill>
                      </w14:textFill>
                    </w:rPr>
                    <w:t>5</w:t>
                  </w:r>
                </w:p>
              </w:tc>
              <w:tc>
                <w:tcPr>
                  <w:tcW w:w="2759" w:type="dxa"/>
                  <w:shd w:val="clear" w:color="auto" w:fill="auto"/>
                  <w:vAlign w:val="center"/>
                </w:tcPr>
                <w:p w14:paraId="03E7A5A3">
                  <w:pPr>
                    <w:widowControl/>
                    <w:jc w:val="center"/>
                    <w:textAlignment w:val="center"/>
                    <w:rPr>
                      <w:color w:val="000000" w:themeColor="text1"/>
                      <w:sz w:val="18"/>
                      <w14:textFill>
                        <w14:solidFill>
                          <w14:schemeClr w14:val="tx1"/>
                        </w14:solidFill>
                      </w14:textFill>
                    </w:rPr>
                  </w:pPr>
                  <w:r>
                    <w:rPr>
                      <w:color w:val="000000" w:themeColor="text1"/>
                      <w:kern w:val="0"/>
                      <w:sz w:val="18"/>
                      <w:szCs w:val="18"/>
                      <w:lang w:bidi="ar"/>
                      <w14:textFill>
                        <w14:solidFill>
                          <w14:schemeClr w14:val="tx1"/>
                        </w14:solidFill>
                      </w14:textFill>
                    </w:rPr>
                    <w:t>0.08</w:t>
                  </w:r>
                  <w:r>
                    <w:rPr>
                      <w:rFonts w:hint="eastAsia"/>
                      <w:color w:val="000000" w:themeColor="text1"/>
                      <w:kern w:val="0"/>
                      <w:sz w:val="18"/>
                      <w:szCs w:val="18"/>
                      <w:lang w:bidi="ar"/>
                      <w14:textFill>
                        <w14:solidFill>
                          <w14:schemeClr w14:val="tx1"/>
                        </w14:solidFill>
                      </w14:textFill>
                    </w:rPr>
                    <w:t>73</w:t>
                  </w:r>
                </w:p>
              </w:tc>
              <w:tc>
                <w:tcPr>
                  <w:tcW w:w="2613" w:type="dxa"/>
                  <w:shd w:val="clear" w:color="auto" w:fill="auto"/>
                  <w:vAlign w:val="center"/>
                </w:tcPr>
                <w:p w14:paraId="6CC8E9DE">
                  <w:pPr>
                    <w:widowControl/>
                    <w:jc w:val="center"/>
                    <w:textAlignment w:val="center"/>
                    <w:rPr>
                      <w:color w:val="000000" w:themeColor="text1"/>
                      <w:sz w:val="18"/>
                      <w14:textFill>
                        <w14:solidFill>
                          <w14:schemeClr w14:val="tx1"/>
                        </w14:solidFill>
                      </w14:textFill>
                    </w:rPr>
                  </w:pPr>
                  <w:r>
                    <w:rPr>
                      <w:color w:val="000000" w:themeColor="text1"/>
                      <w:kern w:val="0"/>
                      <w:sz w:val="18"/>
                      <w:szCs w:val="18"/>
                      <w:lang w:bidi="ar"/>
                      <w14:textFill>
                        <w14:solidFill>
                          <w14:schemeClr w14:val="tx1"/>
                        </w14:solidFill>
                      </w14:textFill>
                    </w:rPr>
                    <w:t>0.28</w:t>
                  </w:r>
                  <w:r>
                    <w:rPr>
                      <w:rFonts w:hint="eastAsia"/>
                      <w:color w:val="000000" w:themeColor="text1"/>
                      <w:kern w:val="0"/>
                      <w:sz w:val="18"/>
                      <w:szCs w:val="18"/>
                      <w:lang w:bidi="ar"/>
                      <w14:textFill>
                        <w14:solidFill>
                          <w14:schemeClr w14:val="tx1"/>
                        </w14:solidFill>
                      </w14:textFill>
                    </w:rPr>
                    <w:t>4</w:t>
                  </w:r>
                </w:p>
              </w:tc>
              <w:tc>
                <w:tcPr>
                  <w:tcW w:w="2253" w:type="dxa"/>
                  <w:shd w:val="clear" w:color="auto" w:fill="auto"/>
                  <w:vAlign w:val="center"/>
                </w:tcPr>
                <w:p w14:paraId="1D8EB82B">
                  <w:pPr>
                    <w:widowControl/>
                    <w:jc w:val="center"/>
                    <w:textAlignment w:val="center"/>
                    <w:rPr>
                      <w:color w:val="000000" w:themeColor="text1"/>
                      <w:sz w:val="18"/>
                      <w14:textFill>
                        <w14:solidFill>
                          <w14:schemeClr w14:val="tx1"/>
                        </w14:solidFill>
                      </w14:textFill>
                    </w:rPr>
                  </w:pPr>
                  <w:r>
                    <w:rPr>
                      <w:color w:val="000000" w:themeColor="text1"/>
                      <w:kern w:val="0"/>
                      <w:sz w:val="18"/>
                      <w:szCs w:val="18"/>
                      <w:lang w:bidi="ar"/>
                      <w14:textFill>
                        <w14:solidFill>
                          <w14:schemeClr w14:val="tx1"/>
                        </w14:solidFill>
                      </w14:textFill>
                    </w:rPr>
                    <w:t>0.0397</w:t>
                  </w:r>
                </w:p>
              </w:tc>
            </w:tr>
          </w:tbl>
          <w:p w14:paraId="7A09CE7A">
            <w:pPr>
              <w:pStyle w:val="42"/>
              <w:bidi w:val="0"/>
              <w:rPr>
                <w:rFonts w:hint="default"/>
                <w:b/>
                <w:bCs/>
                <w:color w:val="000000" w:themeColor="text1"/>
                <w:lang w:val="en-US" w:eastAsia="zh-CN"/>
                <w14:textFill>
                  <w14:solidFill>
                    <w14:schemeClr w14:val="tx1"/>
                  </w14:solidFill>
                </w14:textFill>
              </w:rPr>
            </w:pP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6</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堆场扬尘</w:t>
            </w:r>
          </w:p>
          <w:p w14:paraId="7DBAEBD4">
            <w:pPr>
              <w:pStyle w:val="42"/>
              <w:bidi w:val="0"/>
              <w:rPr>
                <w:rFonts w:hint="eastAsia"/>
                <w:color w:val="000000" w:themeColor="text1"/>
                <w:vertAlign w:val="baseline"/>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本项目原料堆场日常不做储存，产生堆场扬尘的主要为成品仓库，成品仓库总面积为4800m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vertAlign w:val="baseline"/>
                <w:lang w:val="en-US" w:eastAsia="zh-CN"/>
                <w14:textFill>
                  <w14:solidFill>
                    <w14:schemeClr w14:val="tx1"/>
                  </w14:solidFill>
                </w14:textFill>
              </w:rPr>
              <w:t>，为半封闭式钢结构建筑，采用洒水和土工布覆盖的方式控制扬尘。参考西安冶金建筑学院的起尘量推荐公式：</w:t>
            </w:r>
          </w:p>
          <w:p w14:paraId="36386EAD">
            <w:pPr>
              <w:pStyle w:val="42"/>
              <w:bidi w:val="0"/>
              <w:ind w:left="0" w:leftChars="0" w:firstLine="0" w:firstLineChars="0"/>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position w:val="-14"/>
                <w:vertAlign w:val="baseline"/>
                <w:lang w:val="en-US" w:eastAsia="zh-CN"/>
                <w14:textFill>
                  <w14:solidFill>
                    <w14:schemeClr w14:val="tx1"/>
                  </w14:solidFill>
                </w14:textFill>
              </w:rPr>
              <w:object>
                <v:shape id="_x0000_i1027" o:spt="75" type="#_x0000_t75" style="height:20pt;width:134pt;" o:ole="t" filled="f" o:preferrelative="t" stroked="f" coordsize="21600,21600">
                  <v:path/>
                  <v:fill on="f" focussize="0,0"/>
                  <v:stroke on="f"/>
                  <v:imagedata r:id="rId30" o:title=""/>
                  <o:lock v:ext="edit" aspectratio="t"/>
                  <w10:wrap type="none"/>
                  <w10:anchorlock/>
                </v:shape>
                <o:OLEObject Type="Embed" ProgID="Equation.KSEE3" ShapeID="_x0000_i1027" DrawAspect="Content" ObjectID="_1468075727" r:id="rId29">
                  <o:LockedField>false</o:LockedField>
                </o:OLEObject>
              </w:object>
            </w:r>
          </w:p>
          <w:p w14:paraId="54ECC21A">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式中：Qp——起尘量，mg/s；</w:t>
            </w:r>
          </w:p>
          <w:p w14:paraId="4B9A81B6">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Ap——堆场的起尘面积，m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w:t>
            </w:r>
          </w:p>
          <w:p w14:paraId="7A7703CD">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U——平均风速，m/s，取3.2m/s。</w:t>
            </w:r>
          </w:p>
          <w:p w14:paraId="3319F7D5">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经计算，成品仓库的粉尘产生量为606.48mg/s，即2.183kg/h。成品年堆放时间6624h，成品堆场的粉尘年产生量为14.46t/a。</w:t>
            </w:r>
          </w:p>
          <w:p w14:paraId="091528F9">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根据《排放源统计调查产排污核算方法和系数手册-附1工业源-附表2固体物料堆存颗粒物产排污核算系数手册》附录4、附录5，洒水的控制效率取74%，编织覆盖的控制效率为86%，半敞开式堆场控制效率为60%，参考行业产排污系数手册并结合本项目实际情况，处理效率如下表所示。</w:t>
            </w:r>
          </w:p>
          <w:p w14:paraId="416534B9">
            <w:pPr>
              <w:pStyle w:val="45"/>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表4-7 </w:t>
            </w:r>
            <w:r>
              <w:rPr>
                <w:rFonts w:hint="eastAsia"/>
                <w:color w:val="000000" w:themeColor="text1"/>
                <w:lang w:val="en-US" w:eastAsia="zh-CN"/>
                <w14:textFill>
                  <w14:solidFill>
                    <w14:schemeClr w14:val="tx1"/>
                  </w14:solidFill>
                </w14:textFill>
              </w:rPr>
              <w:t>堆场扬尘</w:t>
            </w:r>
            <w:r>
              <w:rPr>
                <w:rFonts w:hint="eastAsia"/>
                <w:color w:val="000000" w:themeColor="text1"/>
                <w14:textFill>
                  <w14:solidFill>
                    <w14:schemeClr w14:val="tx1"/>
                  </w14:solidFill>
                </w14:textFill>
              </w:rPr>
              <w:t>控制措施效率参数一览表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2"/>
              <w:gridCol w:w="5572"/>
            </w:tblGrid>
            <w:tr w14:paraId="00C4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shd w:val="clear" w:color="auto" w:fill="D9D9D9"/>
                  <w:vAlign w:val="center"/>
                </w:tcPr>
                <w:p w14:paraId="7B281E43">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控制措施</w:t>
                  </w:r>
                </w:p>
              </w:tc>
              <w:tc>
                <w:tcPr>
                  <w:tcW w:w="2100" w:type="pct"/>
                  <w:shd w:val="clear" w:color="auto" w:fill="D9D9D9"/>
                  <w:vAlign w:val="center"/>
                </w:tcPr>
                <w:p w14:paraId="0D1A555A">
                  <w:pPr>
                    <w:adjustRightInd w:val="0"/>
                    <w:snapToGrid w:val="0"/>
                    <w:jc w:val="center"/>
                    <w:rPr>
                      <w:b/>
                      <w:bCs/>
                      <w:color w:val="000000" w:themeColor="text1"/>
                      <w:sz w:val="18"/>
                      <w14:textFill>
                        <w14:solidFill>
                          <w14:schemeClr w14:val="tx1"/>
                        </w14:solidFill>
                      </w14:textFill>
                    </w:rPr>
                  </w:pPr>
                  <w:r>
                    <w:rPr>
                      <w:b/>
                      <w:bCs/>
                      <w:color w:val="000000" w:themeColor="text1"/>
                      <w:sz w:val="18"/>
                      <w14:textFill>
                        <w14:solidFill>
                          <w14:schemeClr w14:val="tx1"/>
                        </w14:solidFill>
                      </w14:textFill>
                    </w:rPr>
                    <w:t>控制效率</w:t>
                  </w:r>
                </w:p>
              </w:tc>
            </w:tr>
            <w:tr w14:paraId="5B78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153541C9">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洒水</w:t>
                  </w:r>
                </w:p>
              </w:tc>
              <w:tc>
                <w:tcPr>
                  <w:tcW w:w="2100" w:type="pct"/>
                  <w:vAlign w:val="center"/>
                </w:tcPr>
                <w:p w14:paraId="1D4BCA3D">
                  <w:pPr>
                    <w:adjustRightInd w:val="0"/>
                    <w:snapToGrid w:val="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74%</w:t>
                  </w:r>
                </w:p>
              </w:tc>
            </w:tr>
            <w:tr w14:paraId="0AD6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6006BCD6">
                  <w:pPr>
                    <w:adjustRightInd w:val="0"/>
                    <w:snapToGrid w:val="0"/>
                    <w:jc w:val="center"/>
                    <w:rPr>
                      <w:rFonts w:hint="default" w:eastAsia="宋体"/>
                      <w:color w:val="000000" w:themeColor="text1"/>
                      <w:sz w:val="18"/>
                      <w:lang w:val="en-US" w:eastAsia="zh-CN"/>
                      <w14:textFill>
                        <w14:solidFill>
                          <w14:schemeClr w14:val="tx1"/>
                        </w14:solidFill>
                      </w14:textFill>
                    </w:rPr>
                  </w:pPr>
                  <w:r>
                    <w:rPr>
                      <w:rFonts w:hint="eastAsia"/>
                      <w:color w:val="000000" w:themeColor="text1"/>
                      <w:sz w:val="18"/>
                      <w:lang w:val="en-US" w:eastAsia="zh-CN"/>
                      <w14:textFill>
                        <w14:solidFill>
                          <w14:schemeClr w14:val="tx1"/>
                        </w14:solidFill>
                      </w14:textFill>
                    </w:rPr>
                    <w:t>编织覆盖</w:t>
                  </w:r>
                </w:p>
              </w:tc>
              <w:tc>
                <w:tcPr>
                  <w:tcW w:w="2100" w:type="pct"/>
                  <w:vAlign w:val="center"/>
                </w:tcPr>
                <w:p w14:paraId="519570FC">
                  <w:pPr>
                    <w:adjustRightInd w:val="0"/>
                    <w:snapToGrid w:val="0"/>
                    <w:jc w:val="center"/>
                    <w:rPr>
                      <w:color w:val="000000" w:themeColor="text1"/>
                      <w:sz w:val="18"/>
                      <w14:textFill>
                        <w14:solidFill>
                          <w14:schemeClr w14:val="tx1"/>
                        </w14:solidFill>
                      </w14:textFill>
                    </w:rPr>
                  </w:pPr>
                  <w:r>
                    <w:rPr>
                      <w:rFonts w:hint="eastAsia"/>
                      <w:color w:val="000000" w:themeColor="text1"/>
                      <w:sz w:val="18"/>
                      <w:lang w:val="en-US" w:eastAsia="zh-CN"/>
                      <w14:textFill>
                        <w14:solidFill>
                          <w14:schemeClr w14:val="tx1"/>
                        </w14:solidFill>
                      </w14:textFill>
                    </w:rPr>
                    <w:t>86</w:t>
                  </w:r>
                  <w:r>
                    <w:rPr>
                      <w:color w:val="000000" w:themeColor="text1"/>
                      <w:sz w:val="18"/>
                      <w14:textFill>
                        <w14:solidFill>
                          <w14:schemeClr w14:val="tx1"/>
                        </w14:solidFill>
                      </w14:textFill>
                    </w:rPr>
                    <w:t>%</w:t>
                  </w:r>
                </w:p>
              </w:tc>
            </w:tr>
            <w:tr w14:paraId="0B52D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99" w:type="pct"/>
                  <w:vAlign w:val="center"/>
                </w:tcPr>
                <w:p w14:paraId="71A8D4B9">
                  <w:pPr>
                    <w:adjustRightInd w:val="0"/>
                    <w:snapToGrid w:val="0"/>
                    <w:jc w:val="center"/>
                    <w:rPr>
                      <w:color w:val="000000" w:themeColor="text1"/>
                      <w:sz w:val="18"/>
                      <w14:textFill>
                        <w14:solidFill>
                          <w14:schemeClr w14:val="tx1"/>
                        </w14:solidFill>
                      </w14:textFill>
                    </w:rPr>
                  </w:pPr>
                  <w:r>
                    <w:rPr>
                      <w:rFonts w:hint="eastAsia"/>
                      <w:color w:val="000000" w:themeColor="text1"/>
                      <w:sz w:val="18"/>
                      <w:lang w:val="en-US" w:eastAsia="zh-CN"/>
                      <w14:textFill>
                        <w14:solidFill>
                          <w14:schemeClr w14:val="tx1"/>
                        </w14:solidFill>
                      </w14:textFill>
                    </w:rPr>
                    <w:t>半敞开式堆场</w:t>
                  </w:r>
                </w:p>
              </w:tc>
              <w:tc>
                <w:tcPr>
                  <w:tcW w:w="2100" w:type="pct"/>
                  <w:vAlign w:val="center"/>
                </w:tcPr>
                <w:p w14:paraId="2EABF642">
                  <w:pPr>
                    <w:adjustRightInd w:val="0"/>
                    <w:snapToGrid w:val="0"/>
                    <w:jc w:val="center"/>
                    <w:rPr>
                      <w:color w:val="000000" w:themeColor="text1"/>
                      <w:sz w:val="18"/>
                      <w14:textFill>
                        <w14:solidFill>
                          <w14:schemeClr w14:val="tx1"/>
                        </w14:solidFill>
                      </w14:textFill>
                    </w:rPr>
                  </w:pPr>
                  <w:r>
                    <w:rPr>
                      <w:rFonts w:hint="eastAsia"/>
                      <w:color w:val="000000" w:themeColor="text1"/>
                      <w:sz w:val="18"/>
                      <w:lang w:val="en-US" w:eastAsia="zh-CN"/>
                      <w14:textFill>
                        <w14:solidFill>
                          <w14:schemeClr w14:val="tx1"/>
                        </w14:solidFill>
                      </w14:textFill>
                    </w:rPr>
                    <w:t>60</w:t>
                  </w:r>
                  <w:r>
                    <w:rPr>
                      <w:rFonts w:hint="eastAsia"/>
                      <w:color w:val="000000" w:themeColor="text1"/>
                      <w:sz w:val="18"/>
                      <w14:textFill>
                        <w14:solidFill>
                          <w14:schemeClr w14:val="tx1"/>
                        </w14:solidFill>
                      </w14:textFill>
                    </w:rPr>
                    <w:t>%</w:t>
                  </w:r>
                </w:p>
              </w:tc>
            </w:tr>
            <w:tr w14:paraId="58F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9" w:type="pct"/>
                  <w:vAlign w:val="center"/>
                </w:tcPr>
                <w:p w14:paraId="2C55C11B">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综合处理效率</w:t>
                  </w:r>
                </w:p>
              </w:tc>
              <w:tc>
                <w:tcPr>
                  <w:tcW w:w="2100" w:type="pct"/>
                  <w:vAlign w:val="center"/>
                </w:tcPr>
                <w:p w14:paraId="7A7C7B30">
                  <w:pPr>
                    <w:adjustRightInd w:val="0"/>
                    <w:snapToGrid w:val="0"/>
                    <w:jc w:val="center"/>
                    <w:rPr>
                      <w:color w:val="000000" w:themeColor="text1"/>
                      <w:sz w:val="18"/>
                      <w14:textFill>
                        <w14:solidFill>
                          <w14:schemeClr w14:val="tx1"/>
                        </w14:solidFill>
                      </w14:textFill>
                    </w:rPr>
                  </w:pPr>
                  <w:r>
                    <w:rPr>
                      <w:rFonts w:hint="eastAsia"/>
                      <w:color w:val="000000" w:themeColor="text1"/>
                      <w:sz w:val="18"/>
                      <w14:textFill>
                        <w14:solidFill>
                          <w14:schemeClr w14:val="tx1"/>
                        </w14:solidFill>
                      </w14:textFill>
                    </w:rPr>
                    <w:t>9</w:t>
                  </w:r>
                  <w:r>
                    <w:rPr>
                      <w:rFonts w:hint="eastAsia"/>
                      <w:color w:val="000000" w:themeColor="text1"/>
                      <w:sz w:val="18"/>
                      <w:lang w:val="en-US" w:eastAsia="zh-CN"/>
                      <w14:textFill>
                        <w14:solidFill>
                          <w14:schemeClr w14:val="tx1"/>
                        </w14:solidFill>
                      </w14:textFill>
                    </w:rPr>
                    <w:t>8</w:t>
                  </w:r>
                  <w:r>
                    <w:rPr>
                      <w:rFonts w:hint="eastAsia"/>
                      <w:color w:val="000000" w:themeColor="text1"/>
                      <w:sz w:val="18"/>
                      <w14:textFill>
                        <w14:solidFill>
                          <w14:schemeClr w14:val="tx1"/>
                        </w14:solidFill>
                      </w14:textFill>
                    </w:rPr>
                    <w:t>.5%</w:t>
                  </w:r>
                </w:p>
              </w:tc>
            </w:tr>
          </w:tbl>
          <w:p w14:paraId="0A38DE0F">
            <w:pPr>
              <w:pStyle w:val="4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综上所述，本项目堆场扬尘去除效率按98.5%计。本项目堆场的粉尘排放量为14.46t/a×（1-98.5%）=0.217t/a。</w:t>
            </w:r>
          </w:p>
          <w:p w14:paraId="2380959A">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综上，本项目废气产排污节点、污染物及污染物治理设施信息见下表。</w:t>
            </w:r>
          </w:p>
          <w:p w14:paraId="16F7FC6E">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表</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项目大气污染物产排情况一览表</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80"/>
              <w:gridCol w:w="697"/>
              <w:gridCol w:w="703"/>
              <w:gridCol w:w="884"/>
              <w:gridCol w:w="833"/>
              <w:gridCol w:w="804"/>
              <w:gridCol w:w="849"/>
              <w:gridCol w:w="2594"/>
              <w:gridCol w:w="706"/>
              <w:gridCol w:w="833"/>
              <w:gridCol w:w="891"/>
              <w:gridCol w:w="876"/>
              <w:gridCol w:w="1237"/>
            </w:tblGrid>
            <w:tr w14:paraId="19AC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84" w:type="pct"/>
                  <w:vMerge w:val="restart"/>
                  <w:shd w:val="clear" w:color="auto" w:fill="D9D9D9"/>
                  <w:vAlign w:val="center"/>
                </w:tcPr>
                <w:p w14:paraId="429BC660">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序号</w:t>
                  </w:r>
                </w:p>
              </w:tc>
              <w:tc>
                <w:tcPr>
                  <w:tcW w:w="334" w:type="pct"/>
                  <w:vMerge w:val="restart"/>
                  <w:shd w:val="clear" w:color="auto" w:fill="D9D9D9"/>
                  <w:vAlign w:val="center"/>
                </w:tcPr>
                <w:p w14:paraId="6D16367A">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污染源</w:t>
                  </w:r>
                </w:p>
              </w:tc>
              <w:tc>
                <w:tcPr>
                  <w:tcW w:w="265" w:type="pct"/>
                  <w:vMerge w:val="restart"/>
                  <w:shd w:val="clear" w:color="auto" w:fill="D9D9D9"/>
                  <w:vAlign w:val="center"/>
                </w:tcPr>
                <w:p w14:paraId="0834CBDA">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污染物</w:t>
                  </w:r>
                </w:p>
              </w:tc>
              <w:tc>
                <w:tcPr>
                  <w:tcW w:w="267" w:type="pct"/>
                  <w:vMerge w:val="restart"/>
                  <w:shd w:val="clear" w:color="auto" w:fill="D9D9D9"/>
                  <w:vAlign w:val="center"/>
                </w:tcPr>
                <w:p w14:paraId="6C7D2277">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排放形式</w:t>
                  </w:r>
                </w:p>
              </w:tc>
              <w:tc>
                <w:tcPr>
                  <w:tcW w:w="1278" w:type="pct"/>
                  <w:gridSpan w:val="4"/>
                  <w:shd w:val="clear" w:color="auto" w:fill="D9D9D9"/>
                  <w:vAlign w:val="center"/>
                </w:tcPr>
                <w:p w14:paraId="17A018E2">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产生情况</w:t>
                  </w:r>
                </w:p>
              </w:tc>
              <w:tc>
                <w:tcPr>
                  <w:tcW w:w="979" w:type="pct"/>
                  <w:vMerge w:val="restart"/>
                  <w:shd w:val="clear" w:color="auto" w:fill="D9D9D9"/>
                  <w:vAlign w:val="center"/>
                </w:tcPr>
                <w:p w14:paraId="73E74E12">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防治措施</w:t>
                  </w:r>
                </w:p>
              </w:tc>
              <w:tc>
                <w:tcPr>
                  <w:tcW w:w="268" w:type="pct"/>
                  <w:vMerge w:val="restart"/>
                  <w:shd w:val="clear" w:color="auto" w:fill="D9D9D9"/>
                  <w:vAlign w:val="center"/>
                </w:tcPr>
                <w:p w14:paraId="0BAAFCAE">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处理效率</w:t>
                  </w:r>
                </w:p>
                <w:p w14:paraId="39AC67AB">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w:t>
                  </w:r>
                </w:p>
              </w:tc>
              <w:tc>
                <w:tcPr>
                  <w:tcW w:w="953" w:type="pct"/>
                  <w:gridSpan w:val="3"/>
                  <w:shd w:val="clear" w:color="auto" w:fill="D9D9D9"/>
                  <w:vAlign w:val="center"/>
                </w:tcPr>
                <w:p w14:paraId="2611D766">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排放情况</w:t>
                  </w:r>
                </w:p>
              </w:tc>
              <w:tc>
                <w:tcPr>
                  <w:tcW w:w="468" w:type="pct"/>
                  <w:vMerge w:val="restart"/>
                  <w:shd w:val="clear" w:color="auto" w:fill="D9D9D9"/>
                  <w:vAlign w:val="center"/>
                </w:tcPr>
                <w:p w14:paraId="15813A73">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排放时间（h/a）</w:t>
                  </w:r>
                </w:p>
              </w:tc>
            </w:tr>
            <w:tr w14:paraId="3F413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 w:type="pct"/>
                  <w:vMerge w:val="continue"/>
                  <w:vAlign w:val="center"/>
                </w:tcPr>
                <w:p w14:paraId="79342FB3">
                  <w:pPr>
                    <w:pStyle w:val="46"/>
                    <w:rPr>
                      <w:color w:val="000000" w:themeColor="text1"/>
                      <w:szCs w:val="18"/>
                      <w14:textFill>
                        <w14:solidFill>
                          <w14:schemeClr w14:val="tx1"/>
                        </w14:solidFill>
                      </w14:textFill>
                    </w:rPr>
                  </w:pPr>
                </w:p>
              </w:tc>
              <w:tc>
                <w:tcPr>
                  <w:tcW w:w="334" w:type="pct"/>
                  <w:vMerge w:val="continue"/>
                  <w:vAlign w:val="center"/>
                </w:tcPr>
                <w:p w14:paraId="6216EFBE">
                  <w:pPr>
                    <w:pStyle w:val="46"/>
                    <w:rPr>
                      <w:color w:val="000000" w:themeColor="text1"/>
                      <w:szCs w:val="18"/>
                      <w14:textFill>
                        <w14:solidFill>
                          <w14:schemeClr w14:val="tx1"/>
                        </w14:solidFill>
                      </w14:textFill>
                    </w:rPr>
                  </w:pPr>
                </w:p>
              </w:tc>
              <w:tc>
                <w:tcPr>
                  <w:tcW w:w="265" w:type="pct"/>
                  <w:vMerge w:val="continue"/>
                  <w:vAlign w:val="center"/>
                </w:tcPr>
                <w:p w14:paraId="24F846D5">
                  <w:pPr>
                    <w:pStyle w:val="46"/>
                    <w:rPr>
                      <w:color w:val="000000" w:themeColor="text1"/>
                      <w:szCs w:val="18"/>
                      <w14:textFill>
                        <w14:solidFill>
                          <w14:schemeClr w14:val="tx1"/>
                        </w14:solidFill>
                      </w14:textFill>
                    </w:rPr>
                  </w:pPr>
                </w:p>
              </w:tc>
              <w:tc>
                <w:tcPr>
                  <w:tcW w:w="267" w:type="pct"/>
                  <w:vMerge w:val="continue"/>
                  <w:vAlign w:val="center"/>
                </w:tcPr>
                <w:p w14:paraId="63C2280D">
                  <w:pPr>
                    <w:pStyle w:val="46"/>
                    <w:rPr>
                      <w:color w:val="000000" w:themeColor="text1"/>
                      <w:szCs w:val="18"/>
                      <w14:textFill>
                        <w14:solidFill>
                          <w14:schemeClr w14:val="tx1"/>
                        </w14:solidFill>
                      </w14:textFill>
                    </w:rPr>
                  </w:pPr>
                </w:p>
              </w:tc>
              <w:tc>
                <w:tcPr>
                  <w:tcW w:w="335" w:type="pct"/>
                  <w:shd w:val="clear" w:color="auto" w:fill="D9D9D9"/>
                  <w:vAlign w:val="center"/>
                </w:tcPr>
                <w:p w14:paraId="2A877049">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废气产生量</w:t>
                  </w:r>
                </w:p>
                <w:p w14:paraId="28EB7A23">
                  <w:pPr>
                    <w:pStyle w:val="46"/>
                    <w:rPr>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m</w:t>
                  </w:r>
                  <w:r>
                    <w:rPr>
                      <w:b/>
                      <w:bCs/>
                      <w:color w:val="000000" w:themeColor="text1"/>
                      <w:szCs w:val="18"/>
                      <w:vertAlign w:val="superscript"/>
                      <w14:textFill>
                        <w14:solidFill>
                          <w14:schemeClr w14:val="tx1"/>
                        </w14:solidFill>
                      </w14:textFill>
                    </w:rPr>
                    <w:t>3</w:t>
                  </w:r>
                  <w:r>
                    <w:rPr>
                      <w:b/>
                      <w:bCs/>
                      <w:color w:val="000000" w:themeColor="text1"/>
                      <w:szCs w:val="18"/>
                      <w14:textFill>
                        <w14:solidFill>
                          <w14:schemeClr w14:val="tx1"/>
                        </w14:solidFill>
                      </w14:textFill>
                    </w:rPr>
                    <w:t>/h</w:t>
                  </w:r>
                </w:p>
              </w:tc>
              <w:tc>
                <w:tcPr>
                  <w:tcW w:w="316" w:type="pct"/>
                  <w:shd w:val="clear" w:color="auto" w:fill="D9D9D9"/>
                  <w:vAlign w:val="center"/>
                </w:tcPr>
                <w:p w14:paraId="6CB94D7B">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产生浓度</w:t>
                  </w:r>
                </w:p>
                <w:p w14:paraId="1BDE4D70">
                  <w:pPr>
                    <w:pStyle w:val="46"/>
                    <w:rPr>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mg/m</w:t>
                  </w:r>
                  <w:r>
                    <w:rPr>
                      <w:b/>
                      <w:bCs/>
                      <w:color w:val="000000" w:themeColor="text1"/>
                      <w:szCs w:val="18"/>
                      <w:vertAlign w:val="superscript"/>
                      <w14:textFill>
                        <w14:solidFill>
                          <w14:schemeClr w14:val="tx1"/>
                        </w14:solidFill>
                      </w14:textFill>
                    </w:rPr>
                    <w:t>3</w:t>
                  </w:r>
                </w:p>
              </w:tc>
              <w:tc>
                <w:tcPr>
                  <w:tcW w:w="305" w:type="pct"/>
                  <w:shd w:val="clear" w:color="auto" w:fill="D9D9D9"/>
                  <w:vAlign w:val="center"/>
                </w:tcPr>
                <w:p w14:paraId="3A4D8EF0">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产生量</w:t>
                  </w:r>
                </w:p>
                <w:p w14:paraId="4C717171">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t/a</w:t>
                  </w:r>
                </w:p>
              </w:tc>
              <w:tc>
                <w:tcPr>
                  <w:tcW w:w="322" w:type="pct"/>
                  <w:shd w:val="clear" w:color="auto" w:fill="D9D9D9"/>
                  <w:vAlign w:val="center"/>
                </w:tcPr>
                <w:p w14:paraId="3719D73D">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产生速率</w:t>
                  </w:r>
                </w:p>
                <w:p w14:paraId="75631B2B">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kg/h</w:t>
                  </w:r>
                </w:p>
              </w:tc>
              <w:tc>
                <w:tcPr>
                  <w:tcW w:w="979" w:type="pct"/>
                  <w:vMerge w:val="continue"/>
                  <w:shd w:val="clear" w:color="auto" w:fill="D9D9D9"/>
                  <w:vAlign w:val="center"/>
                </w:tcPr>
                <w:p w14:paraId="761642EB">
                  <w:pPr>
                    <w:pStyle w:val="46"/>
                    <w:rPr>
                      <w:b/>
                      <w:bCs/>
                      <w:color w:val="000000" w:themeColor="text1"/>
                      <w:szCs w:val="18"/>
                      <w14:textFill>
                        <w14:solidFill>
                          <w14:schemeClr w14:val="tx1"/>
                        </w14:solidFill>
                      </w14:textFill>
                    </w:rPr>
                  </w:pPr>
                </w:p>
              </w:tc>
              <w:tc>
                <w:tcPr>
                  <w:tcW w:w="268" w:type="pct"/>
                  <w:vMerge w:val="continue"/>
                  <w:shd w:val="clear" w:color="auto" w:fill="D9D9D9"/>
                  <w:vAlign w:val="center"/>
                </w:tcPr>
                <w:p w14:paraId="4F122CC7">
                  <w:pPr>
                    <w:pStyle w:val="46"/>
                    <w:rPr>
                      <w:b/>
                      <w:bCs/>
                      <w:color w:val="000000" w:themeColor="text1"/>
                      <w:szCs w:val="18"/>
                      <w14:textFill>
                        <w14:solidFill>
                          <w14:schemeClr w14:val="tx1"/>
                        </w14:solidFill>
                      </w14:textFill>
                    </w:rPr>
                  </w:pPr>
                </w:p>
              </w:tc>
              <w:tc>
                <w:tcPr>
                  <w:tcW w:w="316" w:type="pct"/>
                  <w:shd w:val="clear" w:color="auto" w:fill="D9D9D9"/>
                  <w:vAlign w:val="center"/>
                </w:tcPr>
                <w:p w14:paraId="074CAE6E">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排放浓度</w:t>
                  </w:r>
                </w:p>
                <w:p w14:paraId="23CC6729">
                  <w:pPr>
                    <w:pStyle w:val="46"/>
                    <w:rPr>
                      <w:b/>
                      <w:bCs/>
                      <w:color w:val="000000" w:themeColor="text1"/>
                      <w:szCs w:val="18"/>
                      <w14:textFill>
                        <w14:solidFill>
                          <w14:schemeClr w14:val="tx1"/>
                        </w14:solidFill>
                      </w14:textFill>
                    </w:rPr>
                  </w:pPr>
                  <w:r>
                    <w:rPr>
                      <w:b/>
                      <w:bCs/>
                      <w:color w:val="000000" w:themeColor="text1"/>
                      <w:szCs w:val="18"/>
                      <w14:textFill>
                        <w14:solidFill>
                          <w14:schemeClr w14:val="tx1"/>
                        </w14:solidFill>
                      </w14:textFill>
                    </w:rPr>
                    <w:t>mg/m</w:t>
                  </w:r>
                  <w:r>
                    <w:rPr>
                      <w:b/>
                      <w:bCs/>
                      <w:color w:val="000000" w:themeColor="text1"/>
                      <w:szCs w:val="18"/>
                      <w:vertAlign w:val="superscript"/>
                      <w14:textFill>
                        <w14:solidFill>
                          <w14:schemeClr w14:val="tx1"/>
                        </w14:solidFill>
                      </w14:textFill>
                    </w:rPr>
                    <w:t>3</w:t>
                  </w:r>
                </w:p>
              </w:tc>
              <w:tc>
                <w:tcPr>
                  <w:tcW w:w="305" w:type="pct"/>
                  <w:shd w:val="clear" w:color="auto" w:fill="D9D9D9"/>
                  <w:vAlign w:val="center"/>
                </w:tcPr>
                <w:p w14:paraId="739E6862">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排放量</w:t>
                  </w:r>
                </w:p>
                <w:p w14:paraId="1F17654D">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t/a</w:t>
                  </w:r>
                </w:p>
              </w:tc>
              <w:tc>
                <w:tcPr>
                  <w:tcW w:w="332" w:type="pct"/>
                  <w:shd w:val="clear" w:color="auto" w:fill="D9D9D9"/>
                  <w:vAlign w:val="center"/>
                </w:tcPr>
                <w:p w14:paraId="5F95EB73">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排放速率</w:t>
                  </w:r>
                </w:p>
                <w:p w14:paraId="157688A0">
                  <w:pPr>
                    <w:pStyle w:val="46"/>
                    <w:rPr>
                      <w:b/>
                      <w:bCs/>
                      <w:color w:val="000000" w:themeColor="text1"/>
                      <w:szCs w:val="18"/>
                      <w14:textFill>
                        <w14:solidFill>
                          <w14:schemeClr w14:val="tx1"/>
                        </w14:solidFill>
                      </w14:textFill>
                    </w:rPr>
                  </w:pPr>
                  <w:r>
                    <w:rPr>
                      <w:rFonts w:hint="eastAsia"/>
                      <w:b/>
                      <w:bCs/>
                      <w:color w:val="000000" w:themeColor="text1"/>
                      <w:szCs w:val="18"/>
                      <w14:textFill>
                        <w14:solidFill>
                          <w14:schemeClr w14:val="tx1"/>
                        </w14:solidFill>
                      </w14:textFill>
                    </w:rPr>
                    <w:t>kg/h</w:t>
                  </w:r>
                </w:p>
              </w:tc>
              <w:tc>
                <w:tcPr>
                  <w:tcW w:w="468" w:type="pct"/>
                  <w:vMerge w:val="continue"/>
                  <w:vAlign w:val="center"/>
                </w:tcPr>
                <w:p w14:paraId="7F642089">
                  <w:pPr>
                    <w:pStyle w:val="46"/>
                    <w:rPr>
                      <w:color w:val="000000" w:themeColor="text1"/>
                      <w:szCs w:val="18"/>
                      <w14:textFill>
                        <w14:solidFill>
                          <w14:schemeClr w14:val="tx1"/>
                        </w14:solidFill>
                      </w14:textFill>
                    </w:rPr>
                  </w:pPr>
                </w:p>
              </w:tc>
            </w:tr>
            <w:tr w14:paraId="0CE24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Align w:val="center"/>
                </w:tcPr>
                <w:p w14:paraId="436A98D3">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w:t>
                  </w:r>
                </w:p>
              </w:tc>
              <w:tc>
                <w:tcPr>
                  <w:tcW w:w="334" w:type="pct"/>
                  <w:vAlign w:val="center"/>
                </w:tcPr>
                <w:p w14:paraId="6B75B536">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汽车运输</w:t>
                  </w:r>
                </w:p>
              </w:tc>
              <w:tc>
                <w:tcPr>
                  <w:tcW w:w="265" w:type="pct"/>
                  <w:vAlign w:val="center"/>
                </w:tcPr>
                <w:p w14:paraId="1DB5BB4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颗粒物</w:t>
                  </w:r>
                </w:p>
              </w:tc>
              <w:tc>
                <w:tcPr>
                  <w:tcW w:w="267" w:type="pct"/>
                  <w:vAlign w:val="center"/>
                </w:tcPr>
                <w:p w14:paraId="5FDF34F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vAlign w:val="center"/>
                </w:tcPr>
                <w:p w14:paraId="1100BAB6">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16" w:type="pct"/>
                  <w:vAlign w:val="center"/>
                </w:tcPr>
                <w:p w14:paraId="640781B3">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0F07A8F7">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2.505</w:t>
                  </w:r>
                </w:p>
              </w:tc>
              <w:tc>
                <w:tcPr>
                  <w:tcW w:w="322" w:type="pct"/>
                  <w:shd w:val="clear" w:color="auto" w:fill="auto"/>
                  <w:vAlign w:val="center"/>
                </w:tcPr>
                <w:p w14:paraId="33E9C5A7">
                  <w:pPr>
                    <w:widowControl/>
                    <w:jc w:val="center"/>
                    <w:textAlignment w:val="center"/>
                    <w:rPr>
                      <w:rFonts w:hint="default" w:eastAsia="宋体"/>
                      <w:color w:val="000000" w:themeColor="text1"/>
                      <w:sz w:val="18"/>
                      <w:szCs w:val="18"/>
                      <w:lang w:val="en-US" w:eastAsia="zh-CN"/>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val="en-US" w:eastAsia="zh-CN" w:bidi="ar"/>
                      <w14:textFill>
                        <w14:solidFill>
                          <w14:schemeClr w14:val="tx1"/>
                        </w14:solidFill>
                      </w14:textFill>
                    </w:rPr>
                    <w:t>134</w:t>
                  </w:r>
                </w:p>
              </w:tc>
              <w:tc>
                <w:tcPr>
                  <w:tcW w:w="979" w:type="pct"/>
                  <w:vAlign w:val="center"/>
                </w:tcPr>
                <w:p w14:paraId="2A505ACE">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道路硬化，出入车辆冲洗，加强车辆管理</w:t>
                  </w:r>
                </w:p>
              </w:tc>
              <w:tc>
                <w:tcPr>
                  <w:tcW w:w="268" w:type="pct"/>
                  <w:vAlign w:val="center"/>
                </w:tcPr>
                <w:p w14:paraId="67B86115">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78</w:t>
                  </w:r>
                </w:p>
              </w:tc>
              <w:tc>
                <w:tcPr>
                  <w:tcW w:w="316" w:type="pct"/>
                  <w:vAlign w:val="center"/>
                </w:tcPr>
                <w:p w14:paraId="27715113">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414015B4">
                  <w:pPr>
                    <w:widowControl/>
                    <w:jc w:val="center"/>
                    <w:textAlignment w:val="center"/>
                    <w:rPr>
                      <w:rFonts w:hint="default" w:eastAsia="宋体"/>
                      <w:color w:val="000000" w:themeColor="text1"/>
                      <w:szCs w:val="18"/>
                      <w:lang w:val="en-US" w:eastAsia="zh-CN"/>
                      <w14:textFill>
                        <w14:solidFill>
                          <w14:schemeClr w14:val="tx1"/>
                        </w14:solidFill>
                      </w14:textFill>
                    </w:rPr>
                  </w:pPr>
                  <w:r>
                    <w:rPr>
                      <w:color w:val="000000" w:themeColor="text1"/>
                      <w:kern w:val="0"/>
                      <w:sz w:val="18"/>
                      <w:szCs w:val="18"/>
                      <w:lang w:bidi="ar"/>
                      <w14:textFill>
                        <w14:solidFill>
                          <w14:schemeClr w14:val="tx1"/>
                        </w14:solidFill>
                      </w14:textFill>
                    </w:rPr>
                    <w:t>0.5</w:t>
                  </w:r>
                  <w:r>
                    <w:rPr>
                      <w:rFonts w:hint="eastAsia"/>
                      <w:color w:val="000000" w:themeColor="text1"/>
                      <w:kern w:val="0"/>
                      <w:sz w:val="18"/>
                      <w:szCs w:val="18"/>
                      <w:lang w:val="en-US" w:eastAsia="zh-CN" w:bidi="ar"/>
                      <w14:textFill>
                        <w14:solidFill>
                          <w14:schemeClr w14:val="tx1"/>
                        </w14:solidFill>
                      </w14:textFill>
                    </w:rPr>
                    <w:t>51</w:t>
                  </w:r>
                </w:p>
              </w:tc>
              <w:tc>
                <w:tcPr>
                  <w:tcW w:w="332" w:type="pct"/>
                  <w:vAlign w:val="center"/>
                </w:tcPr>
                <w:p w14:paraId="528D5F06">
                  <w:pPr>
                    <w:widowControl/>
                    <w:jc w:val="center"/>
                    <w:textAlignment w:val="center"/>
                    <w:rPr>
                      <w:rFonts w:hint="eastAsia" w:eastAsia="宋体"/>
                      <w:color w:val="000000" w:themeColor="text1"/>
                      <w:sz w:val="18"/>
                      <w:szCs w:val="18"/>
                      <w:lang w:eastAsia="zh-CN"/>
                      <w14:textFill>
                        <w14:solidFill>
                          <w14:schemeClr w14:val="tx1"/>
                        </w14:solidFill>
                      </w14:textFill>
                    </w:rPr>
                  </w:pPr>
                  <w:r>
                    <w:rPr>
                      <w:color w:val="000000" w:themeColor="text1"/>
                      <w:kern w:val="0"/>
                      <w:sz w:val="18"/>
                      <w:szCs w:val="18"/>
                      <w:lang w:bidi="ar"/>
                      <w14:textFill>
                        <w14:solidFill>
                          <w14:schemeClr w14:val="tx1"/>
                        </w14:solidFill>
                      </w14:textFill>
                    </w:rPr>
                    <w:t>0.2</w:t>
                  </w:r>
                  <w:r>
                    <w:rPr>
                      <w:rFonts w:hint="eastAsia"/>
                      <w:color w:val="000000" w:themeColor="text1"/>
                      <w:kern w:val="0"/>
                      <w:sz w:val="18"/>
                      <w:szCs w:val="18"/>
                      <w:lang w:val="en-US" w:eastAsia="zh-CN" w:bidi="ar"/>
                      <w14:textFill>
                        <w14:solidFill>
                          <w14:schemeClr w14:val="tx1"/>
                        </w14:solidFill>
                      </w14:textFill>
                    </w:rPr>
                    <w:t>5</w:t>
                  </w:r>
                </w:p>
              </w:tc>
              <w:tc>
                <w:tcPr>
                  <w:tcW w:w="468" w:type="pct"/>
                  <w:vAlign w:val="center"/>
                </w:tcPr>
                <w:p w14:paraId="148351B5">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5850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Align w:val="center"/>
                </w:tcPr>
                <w:p w14:paraId="6102EF5E">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w:t>
                  </w:r>
                </w:p>
              </w:tc>
              <w:tc>
                <w:tcPr>
                  <w:tcW w:w="334" w:type="pct"/>
                  <w:vAlign w:val="center"/>
                </w:tcPr>
                <w:p w14:paraId="48A5DA71">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装卸</w:t>
                  </w:r>
                </w:p>
              </w:tc>
              <w:tc>
                <w:tcPr>
                  <w:tcW w:w="265" w:type="pct"/>
                  <w:vAlign w:val="center"/>
                </w:tcPr>
                <w:p w14:paraId="1DB9ED1B">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颗粒物</w:t>
                  </w:r>
                </w:p>
              </w:tc>
              <w:tc>
                <w:tcPr>
                  <w:tcW w:w="267" w:type="pct"/>
                  <w:vAlign w:val="center"/>
                </w:tcPr>
                <w:p w14:paraId="00C9E64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vAlign w:val="center"/>
                </w:tcPr>
                <w:p w14:paraId="5C94C202">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16" w:type="pct"/>
                  <w:vAlign w:val="center"/>
                </w:tcPr>
                <w:p w14:paraId="51E39CBF">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24011E6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0.582</w:t>
                  </w:r>
                </w:p>
              </w:tc>
              <w:tc>
                <w:tcPr>
                  <w:tcW w:w="322" w:type="pct"/>
                  <w:vAlign w:val="center"/>
                </w:tcPr>
                <w:p w14:paraId="59F85F82">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0.26</w:t>
                  </w:r>
                  <w:r>
                    <w:rPr>
                      <w:rFonts w:hint="eastAsia"/>
                      <w:color w:val="000000" w:themeColor="text1"/>
                      <w:kern w:val="0"/>
                      <w:sz w:val="18"/>
                      <w:szCs w:val="18"/>
                      <w:lang w:bidi="ar"/>
                      <w14:textFill>
                        <w14:solidFill>
                          <w14:schemeClr w14:val="tx1"/>
                        </w14:solidFill>
                      </w14:textFill>
                    </w:rPr>
                    <w:t>4</w:t>
                  </w:r>
                </w:p>
              </w:tc>
              <w:tc>
                <w:tcPr>
                  <w:tcW w:w="979" w:type="pct"/>
                  <w:vAlign w:val="center"/>
                </w:tcPr>
                <w:p w14:paraId="2874F55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洒水降尘、围栏</w:t>
                  </w:r>
                </w:p>
              </w:tc>
              <w:tc>
                <w:tcPr>
                  <w:tcW w:w="268" w:type="pct"/>
                  <w:vAlign w:val="center"/>
                </w:tcPr>
                <w:p w14:paraId="29F5C348">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99</w:t>
                  </w:r>
                </w:p>
              </w:tc>
              <w:tc>
                <w:tcPr>
                  <w:tcW w:w="316" w:type="pct"/>
                  <w:vAlign w:val="center"/>
                </w:tcPr>
                <w:p w14:paraId="54517A78">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54D43B37">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0.00582</w:t>
                  </w:r>
                </w:p>
              </w:tc>
              <w:tc>
                <w:tcPr>
                  <w:tcW w:w="332" w:type="pct"/>
                  <w:vAlign w:val="center"/>
                </w:tcPr>
                <w:p w14:paraId="6CF07CDA">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0.0026</w:t>
                  </w:r>
                  <w:r>
                    <w:rPr>
                      <w:rFonts w:hint="eastAsia"/>
                      <w:color w:val="000000" w:themeColor="text1"/>
                      <w:kern w:val="0"/>
                      <w:sz w:val="18"/>
                      <w:szCs w:val="18"/>
                      <w:lang w:bidi="ar"/>
                      <w14:textFill>
                        <w14:solidFill>
                          <w14:schemeClr w14:val="tx1"/>
                        </w14:solidFill>
                      </w14:textFill>
                    </w:rPr>
                    <w:t>4</w:t>
                  </w:r>
                </w:p>
              </w:tc>
              <w:tc>
                <w:tcPr>
                  <w:tcW w:w="468" w:type="pct"/>
                  <w:vAlign w:val="center"/>
                </w:tcPr>
                <w:p w14:paraId="60F2A929">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74C2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Align w:val="center"/>
                </w:tcPr>
                <w:p w14:paraId="20A7229B">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3</w:t>
                  </w:r>
                </w:p>
              </w:tc>
              <w:tc>
                <w:tcPr>
                  <w:tcW w:w="334" w:type="pct"/>
                  <w:vAlign w:val="center"/>
                </w:tcPr>
                <w:p w14:paraId="46E763F5">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破碎、筛分</w:t>
                  </w:r>
                </w:p>
              </w:tc>
              <w:tc>
                <w:tcPr>
                  <w:tcW w:w="265" w:type="pct"/>
                  <w:vAlign w:val="center"/>
                </w:tcPr>
                <w:p w14:paraId="35F28B11">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颗粒物</w:t>
                  </w:r>
                </w:p>
              </w:tc>
              <w:tc>
                <w:tcPr>
                  <w:tcW w:w="267" w:type="pct"/>
                  <w:vAlign w:val="center"/>
                </w:tcPr>
                <w:p w14:paraId="34CDD595">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vAlign w:val="center"/>
                </w:tcPr>
                <w:p w14:paraId="578776C4">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16" w:type="pct"/>
                  <w:vAlign w:val="center"/>
                </w:tcPr>
                <w:p w14:paraId="02E41B8B">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04014AEA">
                  <w:pPr>
                    <w:pStyle w:val="46"/>
                    <w:rPr>
                      <w:color w:val="000000" w:themeColor="text1"/>
                      <w14:textFill>
                        <w14:solidFill>
                          <w14:schemeClr w14:val="tx1"/>
                        </w14:solidFill>
                      </w14:textFill>
                    </w:rPr>
                  </w:pPr>
                  <w:r>
                    <w:rPr>
                      <w:color w:val="000000" w:themeColor="text1"/>
                      <w14:textFill>
                        <w14:solidFill>
                          <w14:schemeClr w14:val="tx1"/>
                        </w14:solidFill>
                      </w14:textFill>
                    </w:rPr>
                    <w:t>2005.29</w:t>
                  </w:r>
                </w:p>
              </w:tc>
              <w:tc>
                <w:tcPr>
                  <w:tcW w:w="322" w:type="pct"/>
                  <w:vAlign w:val="center"/>
                </w:tcPr>
                <w:p w14:paraId="40A394F4">
                  <w:pPr>
                    <w:pStyle w:val="46"/>
                    <w:rPr>
                      <w:color w:val="000000" w:themeColor="text1"/>
                      <w14:textFill>
                        <w14:solidFill>
                          <w14:schemeClr w14:val="tx1"/>
                        </w14:solidFill>
                      </w14:textFill>
                    </w:rPr>
                  </w:pPr>
                  <w:r>
                    <w:rPr>
                      <w:color w:val="000000" w:themeColor="text1"/>
                      <w14:textFill>
                        <w14:solidFill>
                          <w14:schemeClr w14:val="tx1"/>
                        </w14:solidFill>
                      </w14:textFill>
                    </w:rPr>
                    <w:t>908.</w:t>
                  </w:r>
                  <w:r>
                    <w:rPr>
                      <w:rFonts w:hint="eastAsia"/>
                      <w:color w:val="000000" w:themeColor="text1"/>
                      <w14:textFill>
                        <w14:solidFill>
                          <w14:schemeClr w14:val="tx1"/>
                        </w14:solidFill>
                      </w14:textFill>
                    </w:rPr>
                    <w:t>2</w:t>
                  </w:r>
                </w:p>
              </w:tc>
              <w:tc>
                <w:tcPr>
                  <w:tcW w:w="979" w:type="pct"/>
                  <w:vAlign w:val="center"/>
                </w:tcPr>
                <w:p w14:paraId="5E9629F9">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洒水降尘、围栏、重力沉降</w:t>
                  </w:r>
                </w:p>
              </w:tc>
              <w:tc>
                <w:tcPr>
                  <w:tcW w:w="268" w:type="pct"/>
                  <w:vAlign w:val="center"/>
                </w:tcPr>
                <w:p w14:paraId="41D5221A">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99.5</w:t>
                  </w:r>
                </w:p>
              </w:tc>
              <w:tc>
                <w:tcPr>
                  <w:tcW w:w="316" w:type="pct"/>
                  <w:vAlign w:val="center"/>
                </w:tcPr>
                <w:p w14:paraId="288A27D2">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305" w:type="pct"/>
                  <w:vAlign w:val="center"/>
                </w:tcPr>
                <w:p w14:paraId="57267E1A">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10.0</w:t>
                  </w:r>
                  <w:r>
                    <w:rPr>
                      <w:rFonts w:hint="eastAsia"/>
                      <w:color w:val="000000" w:themeColor="text1"/>
                      <w:kern w:val="0"/>
                      <w:sz w:val="18"/>
                      <w:szCs w:val="18"/>
                      <w:lang w:bidi="ar"/>
                      <w14:textFill>
                        <w14:solidFill>
                          <w14:schemeClr w14:val="tx1"/>
                        </w14:solidFill>
                      </w14:textFill>
                    </w:rPr>
                    <w:t>3</w:t>
                  </w:r>
                </w:p>
              </w:tc>
              <w:tc>
                <w:tcPr>
                  <w:tcW w:w="332" w:type="pct"/>
                  <w:vAlign w:val="center"/>
                </w:tcPr>
                <w:p w14:paraId="7AC08AFA">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4.54</w:t>
                  </w:r>
                </w:p>
              </w:tc>
              <w:tc>
                <w:tcPr>
                  <w:tcW w:w="468" w:type="pct"/>
                  <w:vAlign w:val="center"/>
                </w:tcPr>
                <w:p w14:paraId="47A0895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195E9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Merge w:val="restart"/>
                  <w:vAlign w:val="center"/>
                </w:tcPr>
                <w:p w14:paraId="65E96D2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4</w:t>
                  </w:r>
                </w:p>
              </w:tc>
              <w:tc>
                <w:tcPr>
                  <w:tcW w:w="334" w:type="pct"/>
                  <w:vMerge w:val="restart"/>
                  <w:shd w:val="clear" w:color="auto" w:fill="auto"/>
                  <w:vAlign w:val="center"/>
                </w:tcPr>
                <w:p w14:paraId="470E4245">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食堂</w:t>
                  </w:r>
                </w:p>
              </w:tc>
              <w:tc>
                <w:tcPr>
                  <w:tcW w:w="265" w:type="pct"/>
                  <w:vMerge w:val="restart"/>
                  <w:shd w:val="clear" w:color="auto" w:fill="auto"/>
                  <w:vAlign w:val="center"/>
                </w:tcPr>
                <w:p w14:paraId="091132A0">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食堂油烟</w:t>
                  </w:r>
                </w:p>
              </w:tc>
              <w:tc>
                <w:tcPr>
                  <w:tcW w:w="267" w:type="pct"/>
                  <w:shd w:val="clear" w:color="auto" w:fill="auto"/>
                  <w:vAlign w:val="center"/>
                </w:tcPr>
                <w:p w14:paraId="73CFEAA1">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有组织</w:t>
                  </w:r>
                </w:p>
              </w:tc>
              <w:tc>
                <w:tcPr>
                  <w:tcW w:w="335" w:type="pct"/>
                  <w:shd w:val="clear" w:color="auto" w:fill="auto"/>
                  <w:vAlign w:val="center"/>
                </w:tcPr>
                <w:p w14:paraId="0A691FC6">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6000</w:t>
                  </w:r>
                </w:p>
              </w:tc>
              <w:tc>
                <w:tcPr>
                  <w:tcW w:w="829" w:type="dxa"/>
                  <w:shd w:val="clear" w:color="auto" w:fill="auto"/>
                  <w:vAlign w:val="center"/>
                </w:tcPr>
                <w:p w14:paraId="7DF497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0.149</w:t>
                  </w:r>
                </w:p>
              </w:tc>
              <w:tc>
                <w:tcPr>
                  <w:tcW w:w="801" w:type="dxa"/>
                  <w:shd w:val="clear" w:color="auto" w:fill="auto"/>
                  <w:vAlign w:val="center"/>
                </w:tcPr>
                <w:p w14:paraId="2B5255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0.00099</w:t>
                  </w:r>
                </w:p>
              </w:tc>
              <w:tc>
                <w:tcPr>
                  <w:tcW w:w="845" w:type="dxa"/>
                  <w:shd w:val="clear" w:color="auto" w:fill="auto"/>
                  <w:vAlign w:val="center"/>
                </w:tcPr>
                <w:p w14:paraId="1097F9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0.000</w:t>
                  </w:r>
                  <w:r>
                    <w:rPr>
                      <w:rFonts w:hint="eastAsia" w:cs="Times New Roman"/>
                      <w:i w:val="0"/>
                      <w:iCs w:val="0"/>
                      <w:color w:val="000000" w:themeColor="text1"/>
                      <w:kern w:val="0"/>
                      <w:sz w:val="18"/>
                      <w:szCs w:val="18"/>
                      <w:u w:val="none"/>
                      <w:lang w:val="en-US" w:eastAsia="zh-CN" w:bidi="ar"/>
                      <w14:textFill>
                        <w14:solidFill>
                          <w14:schemeClr w14:val="tx1"/>
                        </w14:solidFill>
                      </w14:textFill>
                    </w:rPr>
                    <w:t>9</w:t>
                  </w:r>
                </w:p>
              </w:tc>
              <w:tc>
                <w:tcPr>
                  <w:tcW w:w="979" w:type="pct"/>
                  <w:shd w:val="clear" w:color="auto" w:fill="auto"/>
                  <w:vAlign w:val="center"/>
                </w:tcPr>
                <w:p w14:paraId="3143C88E">
                  <w:pPr>
                    <w:pStyle w:val="46"/>
                    <w:rPr>
                      <w:rFonts w:hint="eastAsia" w:eastAsia="宋体"/>
                      <w:color w:val="000000" w:themeColor="text1"/>
                      <w:szCs w:val="18"/>
                      <w:lang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静电</w:t>
                  </w:r>
                  <w:r>
                    <w:rPr>
                      <w:rFonts w:hint="eastAsia"/>
                      <w:color w:val="000000" w:themeColor="text1"/>
                      <w:szCs w:val="18"/>
                      <w14:textFill>
                        <w14:solidFill>
                          <w14:schemeClr w14:val="tx1"/>
                        </w14:solidFill>
                      </w14:textFill>
                    </w:rPr>
                    <w:t>油烟净化</w:t>
                  </w:r>
                  <w:r>
                    <w:rPr>
                      <w:rFonts w:hint="eastAsia"/>
                      <w:color w:val="000000" w:themeColor="text1"/>
                      <w:szCs w:val="18"/>
                      <w:lang w:val="en-US" w:eastAsia="zh-CN"/>
                      <w14:textFill>
                        <w14:solidFill>
                          <w14:schemeClr w14:val="tx1"/>
                        </w14:solidFill>
                      </w14:textFill>
                    </w:rPr>
                    <w:t>装置</w:t>
                  </w:r>
                </w:p>
              </w:tc>
              <w:tc>
                <w:tcPr>
                  <w:tcW w:w="268" w:type="pct"/>
                  <w:shd w:val="clear" w:color="auto" w:fill="auto"/>
                  <w:vAlign w:val="center"/>
                </w:tcPr>
                <w:p w14:paraId="1071B14D">
                  <w:pPr>
                    <w:pStyle w:val="46"/>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80</w:t>
                  </w:r>
                </w:p>
              </w:tc>
              <w:tc>
                <w:tcPr>
                  <w:tcW w:w="829" w:type="dxa"/>
                  <w:shd w:val="clear" w:color="auto" w:fill="auto"/>
                  <w:vAlign w:val="center"/>
                </w:tcPr>
                <w:p w14:paraId="74AB95E9">
                  <w:pPr>
                    <w:pStyle w:val="46"/>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0.0299</w:t>
                  </w:r>
                </w:p>
              </w:tc>
              <w:tc>
                <w:tcPr>
                  <w:tcW w:w="801" w:type="dxa"/>
                  <w:shd w:val="clear" w:color="auto" w:fill="auto"/>
                  <w:vAlign w:val="center"/>
                </w:tcPr>
                <w:p w14:paraId="75A2FBA9">
                  <w:pPr>
                    <w:pStyle w:val="46"/>
                    <w:bidi w:val="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0.000198</w:t>
                  </w:r>
                </w:p>
              </w:tc>
              <w:tc>
                <w:tcPr>
                  <w:tcW w:w="871" w:type="dxa"/>
                  <w:shd w:val="clear" w:color="auto" w:fill="auto"/>
                  <w:vAlign w:val="center"/>
                </w:tcPr>
                <w:p w14:paraId="089D7184">
                  <w:pPr>
                    <w:pStyle w:val="46"/>
                    <w:bidi w:val="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0.0001</w:t>
                  </w:r>
                  <w:r>
                    <w:rPr>
                      <w:rFonts w:hint="eastAsia"/>
                      <w:color w:val="000000" w:themeColor="text1"/>
                      <w:lang w:val="en-US" w:eastAsia="zh-CN"/>
                      <w14:textFill>
                        <w14:solidFill>
                          <w14:schemeClr w14:val="tx1"/>
                        </w14:solidFill>
                      </w14:textFill>
                    </w:rPr>
                    <w:t>8</w:t>
                  </w:r>
                </w:p>
              </w:tc>
              <w:tc>
                <w:tcPr>
                  <w:tcW w:w="468" w:type="pct"/>
                  <w:shd w:val="clear" w:color="auto" w:fill="auto"/>
                  <w:vAlign w:val="center"/>
                </w:tcPr>
                <w:p w14:paraId="1B1896D1">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1104</w:t>
                  </w:r>
                </w:p>
              </w:tc>
            </w:tr>
            <w:tr w14:paraId="03C1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Merge w:val="continue"/>
                  <w:vAlign w:val="center"/>
                </w:tcPr>
                <w:p w14:paraId="28BA7D3A">
                  <w:pPr>
                    <w:pStyle w:val="46"/>
                    <w:rPr>
                      <w:rFonts w:hint="eastAsia"/>
                      <w:color w:val="000000" w:themeColor="text1"/>
                      <w:szCs w:val="18"/>
                      <w14:textFill>
                        <w14:solidFill>
                          <w14:schemeClr w14:val="tx1"/>
                        </w14:solidFill>
                      </w14:textFill>
                    </w:rPr>
                  </w:pPr>
                </w:p>
              </w:tc>
              <w:tc>
                <w:tcPr>
                  <w:tcW w:w="334" w:type="pct"/>
                  <w:vMerge w:val="continue"/>
                  <w:shd w:val="clear" w:color="auto" w:fill="auto"/>
                  <w:vAlign w:val="center"/>
                </w:tcPr>
                <w:p w14:paraId="29DBDA38">
                  <w:pPr>
                    <w:pStyle w:val="46"/>
                    <w:rPr>
                      <w:rFonts w:hint="eastAsia"/>
                      <w:color w:val="000000" w:themeColor="text1"/>
                      <w:szCs w:val="18"/>
                      <w14:textFill>
                        <w14:solidFill>
                          <w14:schemeClr w14:val="tx1"/>
                        </w14:solidFill>
                      </w14:textFill>
                    </w:rPr>
                  </w:pPr>
                </w:p>
              </w:tc>
              <w:tc>
                <w:tcPr>
                  <w:tcW w:w="265" w:type="pct"/>
                  <w:vMerge w:val="continue"/>
                  <w:shd w:val="clear" w:color="auto" w:fill="auto"/>
                  <w:vAlign w:val="center"/>
                </w:tcPr>
                <w:p w14:paraId="0B2E74CB">
                  <w:pPr>
                    <w:pStyle w:val="46"/>
                    <w:rPr>
                      <w:rFonts w:hint="eastAsia"/>
                      <w:color w:val="000000" w:themeColor="text1"/>
                      <w:szCs w:val="18"/>
                      <w14:textFill>
                        <w14:solidFill>
                          <w14:schemeClr w14:val="tx1"/>
                        </w14:solidFill>
                      </w14:textFill>
                    </w:rPr>
                  </w:pPr>
                </w:p>
              </w:tc>
              <w:tc>
                <w:tcPr>
                  <w:tcW w:w="267" w:type="pct"/>
                  <w:shd w:val="clear" w:color="auto" w:fill="auto"/>
                  <w:vAlign w:val="center"/>
                </w:tcPr>
                <w:p w14:paraId="3FDB2362">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无组织</w:t>
                  </w:r>
                </w:p>
              </w:tc>
              <w:tc>
                <w:tcPr>
                  <w:tcW w:w="335" w:type="pct"/>
                  <w:shd w:val="clear" w:color="auto" w:fill="auto"/>
                  <w:vAlign w:val="center"/>
                </w:tcPr>
                <w:p w14:paraId="44970D39">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316" w:type="pct"/>
                  <w:shd w:val="clear" w:color="auto" w:fill="auto"/>
                  <w:vAlign w:val="center"/>
                </w:tcPr>
                <w:p w14:paraId="4A220420">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01" w:type="dxa"/>
                  <w:shd w:val="clear" w:color="auto" w:fill="auto"/>
                  <w:vAlign w:val="center"/>
                </w:tcPr>
                <w:p w14:paraId="02F2FE41">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0.00231</w:t>
                  </w:r>
                </w:p>
              </w:tc>
              <w:tc>
                <w:tcPr>
                  <w:tcW w:w="845" w:type="dxa"/>
                  <w:shd w:val="clear" w:color="auto" w:fill="auto"/>
                  <w:vAlign w:val="center"/>
                </w:tcPr>
                <w:p w14:paraId="2E8EBF4F">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0.00209</w:t>
                  </w:r>
                </w:p>
              </w:tc>
              <w:tc>
                <w:tcPr>
                  <w:tcW w:w="979" w:type="pct"/>
                  <w:shd w:val="clear" w:color="auto" w:fill="auto"/>
                  <w:vAlign w:val="center"/>
                </w:tcPr>
                <w:p w14:paraId="357DFACC">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268" w:type="pct"/>
                  <w:shd w:val="clear" w:color="auto" w:fill="auto"/>
                  <w:vAlign w:val="center"/>
                </w:tcPr>
                <w:p w14:paraId="484FD22E">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w:t>
                  </w:r>
                </w:p>
              </w:tc>
              <w:tc>
                <w:tcPr>
                  <w:tcW w:w="316" w:type="pct"/>
                  <w:shd w:val="clear" w:color="auto" w:fill="auto"/>
                  <w:vAlign w:val="center"/>
                </w:tcPr>
                <w:p w14:paraId="59A35EE6">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801" w:type="dxa"/>
                  <w:shd w:val="clear" w:color="auto" w:fill="auto"/>
                  <w:vAlign w:val="center"/>
                </w:tcPr>
                <w:p w14:paraId="1288608B">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0.00231</w:t>
                  </w:r>
                </w:p>
              </w:tc>
              <w:tc>
                <w:tcPr>
                  <w:tcW w:w="871" w:type="dxa"/>
                  <w:shd w:val="clear" w:color="auto" w:fill="auto"/>
                  <w:vAlign w:val="center"/>
                </w:tcPr>
                <w:p w14:paraId="7B0942BF">
                  <w:pPr>
                    <w:keepNext w:val="0"/>
                    <w:keepLines w:val="0"/>
                    <w:widowControl/>
                    <w:suppressLineNumbers w:val="0"/>
                    <w:jc w:val="center"/>
                    <w:textAlignment w:val="center"/>
                    <w:rPr>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0.00209</w:t>
                  </w:r>
                </w:p>
              </w:tc>
              <w:tc>
                <w:tcPr>
                  <w:tcW w:w="468" w:type="pct"/>
                  <w:shd w:val="clear" w:color="auto" w:fill="auto"/>
                  <w:vAlign w:val="center"/>
                </w:tcPr>
                <w:p w14:paraId="06E4C74D">
                  <w:pPr>
                    <w:pStyle w:val="46"/>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1104</w:t>
                  </w:r>
                </w:p>
              </w:tc>
            </w:tr>
            <w:tr w14:paraId="4AE4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Merge w:val="restart"/>
                  <w:vAlign w:val="center"/>
                </w:tcPr>
                <w:p w14:paraId="61960966">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5</w:t>
                  </w:r>
                </w:p>
              </w:tc>
              <w:tc>
                <w:tcPr>
                  <w:tcW w:w="334" w:type="pct"/>
                  <w:vMerge w:val="restart"/>
                  <w:shd w:val="clear" w:color="auto" w:fill="auto"/>
                  <w:vAlign w:val="center"/>
                </w:tcPr>
                <w:p w14:paraId="021A2DC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汽车尾气</w:t>
                  </w:r>
                </w:p>
              </w:tc>
              <w:tc>
                <w:tcPr>
                  <w:tcW w:w="265" w:type="pct"/>
                  <w:shd w:val="clear" w:color="auto" w:fill="auto"/>
                  <w:vAlign w:val="center"/>
                </w:tcPr>
                <w:p w14:paraId="685CFBB1">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CO</w:t>
                  </w:r>
                </w:p>
              </w:tc>
              <w:tc>
                <w:tcPr>
                  <w:tcW w:w="267" w:type="pct"/>
                  <w:shd w:val="clear" w:color="auto" w:fill="auto"/>
                  <w:vAlign w:val="center"/>
                </w:tcPr>
                <w:p w14:paraId="67F2BF3C">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shd w:val="clear" w:color="auto" w:fill="auto"/>
                  <w:vAlign w:val="center"/>
                </w:tcPr>
                <w:p w14:paraId="3AEA6FE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699449F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729EB77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0.175</w:t>
                  </w:r>
                </w:p>
              </w:tc>
              <w:tc>
                <w:tcPr>
                  <w:tcW w:w="322" w:type="pct"/>
                  <w:shd w:val="clear" w:color="auto" w:fill="auto"/>
                  <w:vAlign w:val="center"/>
                </w:tcPr>
                <w:p w14:paraId="67D43651">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0.079</w:t>
                  </w:r>
                  <w:r>
                    <w:rPr>
                      <w:rFonts w:hint="eastAsia"/>
                      <w:color w:val="000000" w:themeColor="text1"/>
                      <w:kern w:val="0"/>
                      <w:sz w:val="18"/>
                      <w:szCs w:val="18"/>
                      <w:lang w:bidi="ar"/>
                      <w14:textFill>
                        <w14:solidFill>
                          <w14:schemeClr w14:val="tx1"/>
                        </w14:solidFill>
                      </w14:textFill>
                    </w:rPr>
                    <w:t>3</w:t>
                  </w:r>
                </w:p>
              </w:tc>
              <w:tc>
                <w:tcPr>
                  <w:tcW w:w="979" w:type="pct"/>
                  <w:shd w:val="clear" w:color="auto" w:fill="auto"/>
                  <w:vAlign w:val="center"/>
                </w:tcPr>
                <w:p w14:paraId="0F572DF4">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68" w:type="pct"/>
                  <w:shd w:val="clear" w:color="auto" w:fill="auto"/>
                  <w:vAlign w:val="center"/>
                </w:tcPr>
                <w:p w14:paraId="7B68159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1528D72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4B428DD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0.175</w:t>
                  </w:r>
                </w:p>
              </w:tc>
              <w:tc>
                <w:tcPr>
                  <w:tcW w:w="332" w:type="pct"/>
                  <w:shd w:val="clear" w:color="auto" w:fill="auto"/>
                  <w:vAlign w:val="center"/>
                </w:tcPr>
                <w:p w14:paraId="17F3B55C">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0.079</w:t>
                  </w:r>
                  <w:r>
                    <w:rPr>
                      <w:rFonts w:hint="eastAsia"/>
                      <w:color w:val="000000" w:themeColor="text1"/>
                      <w:kern w:val="0"/>
                      <w:sz w:val="18"/>
                      <w:szCs w:val="18"/>
                      <w:lang w:bidi="ar"/>
                      <w14:textFill>
                        <w14:solidFill>
                          <w14:schemeClr w14:val="tx1"/>
                        </w14:solidFill>
                      </w14:textFill>
                    </w:rPr>
                    <w:t>3</w:t>
                  </w:r>
                </w:p>
              </w:tc>
              <w:tc>
                <w:tcPr>
                  <w:tcW w:w="468" w:type="pct"/>
                  <w:shd w:val="clear" w:color="auto" w:fill="auto"/>
                  <w:vAlign w:val="center"/>
                </w:tcPr>
                <w:p w14:paraId="073CC39F">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60022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4" w:type="pct"/>
                  <w:vMerge w:val="continue"/>
                  <w:vAlign w:val="center"/>
                </w:tcPr>
                <w:p w14:paraId="225412FE">
                  <w:pPr>
                    <w:pStyle w:val="46"/>
                    <w:rPr>
                      <w:color w:val="000000" w:themeColor="text1"/>
                      <w:szCs w:val="18"/>
                      <w14:textFill>
                        <w14:solidFill>
                          <w14:schemeClr w14:val="tx1"/>
                        </w14:solidFill>
                      </w14:textFill>
                    </w:rPr>
                  </w:pPr>
                </w:p>
              </w:tc>
              <w:tc>
                <w:tcPr>
                  <w:tcW w:w="334" w:type="pct"/>
                  <w:vMerge w:val="continue"/>
                  <w:shd w:val="clear" w:color="auto" w:fill="auto"/>
                  <w:vAlign w:val="center"/>
                </w:tcPr>
                <w:p w14:paraId="567D5795">
                  <w:pPr>
                    <w:pStyle w:val="46"/>
                    <w:rPr>
                      <w:color w:val="000000" w:themeColor="text1"/>
                      <w:szCs w:val="18"/>
                      <w14:textFill>
                        <w14:solidFill>
                          <w14:schemeClr w14:val="tx1"/>
                        </w14:solidFill>
                      </w14:textFill>
                    </w:rPr>
                  </w:pPr>
                </w:p>
              </w:tc>
              <w:tc>
                <w:tcPr>
                  <w:tcW w:w="265" w:type="pct"/>
                  <w:shd w:val="clear" w:color="auto" w:fill="auto"/>
                  <w:vAlign w:val="center"/>
                </w:tcPr>
                <w:p w14:paraId="1DE5A56A">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THC</w:t>
                  </w:r>
                </w:p>
              </w:tc>
              <w:tc>
                <w:tcPr>
                  <w:tcW w:w="267" w:type="pct"/>
                  <w:shd w:val="clear" w:color="auto" w:fill="auto"/>
                  <w:vAlign w:val="center"/>
                </w:tcPr>
                <w:p w14:paraId="0E2C5900">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shd w:val="clear" w:color="auto" w:fill="auto"/>
                  <w:vAlign w:val="center"/>
                </w:tcPr>
                <w:p w14:paraId="55FEABE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6FB1B6C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4A422AB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0.0873</w:t>
                  </w:r>
                </w:p>
              </w:tc>
              <w:tc>
                <w:tcPr>
                  <w:tcW w:w="322" w:type="pct"/>
                  <w:shd w:val="clear" w:color="auto" w:fill="auto"/>
                  <w:vAlign w:val="center"/>
                </w:tcPr>
                <w:p w14:paraId="5A1473EC">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0.0395</w:t>
                  </w:r>
                </w:p>
              </w:tc>
              <w:tc>
                <w:tcPr>
                  <w:tcW w:w="979" w:type="pct"/>
                  <w:shd w:val="clear" w:color="auto" w:fill="auto"/>
                  <w:vAlign w:val="center"/>
                </w:tcPr>
                <w:p w14:paraId="0BD85BE4">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68" w:type="pct"/>
                  <w:shd w:val="clear" w:color="auto" w:fill="auto"/>
                  <w:vAlign w:val="center"/>
                </w:tcPr>
                <w:p w14:paraId="0A1E921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4A7C96D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0CEE75E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0.0873</w:t>
                  </w:r>
                </w:p>
              </w:tc>
              <w:tc>
                <w:tcPr>
                  <w:tcW w:w="332" w:type="pct"/>
                  <w:shd w:val="clear" w:color="auto" w:fill="auto"/>
                  <w:vAlign w:val="center"/>
                </w:tcPr>
                <w:p w14:paraId="305272E0">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0.0395</w:t>
                  </w:r>
                </w:p>
              </w:tc>
              <w:tc>
                <w:tcPr>
                  <w:tcW w:w="468" w:type="pct"/>
                  <w:shd w:val="clear" w:color="auto" w:fill="auto"/>
                  <w:vAlign w:val="center"/>
                </w:tcPr>
                <w:p w14:paraId="2B2F9447">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2C202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Merge w:val="continue"/>
                  <w:vAlign w:val="center"/>
                </w:tcPr>
                <w:p w14:paraId="6C05524A">
                  <w:pPr>
                    <w:pStyle w:val="46"/>
                    <w:rPr>
                      <w:color w:val="000000" w:themeColor="text1"/>
                      <w:szCs w:val="18"/>
                      <w14:textFill>
                        <w14:solidFill>
                          <w14:schemeClr w14:val="tx1"/>
                        </w14:solidFill>
                      </w14:textFill>
                    </w:rPr>
                  </w:pPr>
                </w:p>
              </w:tc>
              <w:tc>
                <w:tcPr>
                  <w:tcW w:w="334" w:type="pct"/>
                  <w:vMerge w:val="continue"/>
                  <w:shd w:val="clear" w:color="auto" w:fill="auto"/>
                  <w:vAlign w:val="center"/>
                </w:tcPr>
                <w:p w14:paraId="2706D5A5">
                  <w:pPr>
                    <w:pStyle w:val="46"/>
                    <w:rPr>
                      <w:color w:val="000000" w:themeColor="text1"/>
                      <w:szCs w:val="18"/>
                      <w14:textFill>
                        <w14:solidFill>
                          <w14:schemeClr w14:val="tx1"/>
                        </w14:solidFill>
                      </w14:textFill>
                    </w:rPr>
                  </w:pPr>
                </w:p>
              </w:tc>
              <w:tc>
                <w:tcPr>
                  <w:tcW w:w="265" w:type="pct"/>
                  <w:shd w:val="clear" w:color="auto" w:fill="auto"/>
                  <w:vAlign w:val="center"/>
                </w:tcPr>
                <w:p w14:paraId="7096759F">
                  <w:pPr>
                    <w:pStyle w:val="46"/>
                    <w:rPr>
                      <w:color w:val="000000" w:themeColor="text1"/>
                      <w:szCs w:val="18"/>
                      <w:vertAlign w:val="subscript"/>
                      <w14:textFill>
                        <w14:solidFill>
                          <w14:schemeClr w14:val="tx1"/>
                        </w14:solidFill>
                      </w14:textFill>
                    </w:rPr>
                  </w:pPr>
                  <w:r>
                    <w:rPr>
                      <w:rFonts w:hint="eastAsia"/>
                      <w:color w:val="000000" w:themeColor="text1"/>
                      <w:szCs w:val="18"/>
                      <w14:textFill>
                        <w14:solidFill>
                          <w14:schemeClr w14:val="tx1"/>
                        </w14:solidFill>
                      </w14:textFill>
                    </w:rPr>
                    <w:t>NO</w:t>
                  </w:r>
                  <w:r>
                    <w:rPr>
                      <w:rFonts w:hint="eastAsia"/>
                      <w:color w:val="000000" w:themeColor="text1"/>
                      <w:szCs w:val="18"/>
                      <w:vertAlign w:val="subscript"/>
                      <w14:textFill>
                        <w14:solidFill>
                          <w14:schemeClr w14:val="tx1"/>
                        </w14:solidFill>
                      </w14:textFill>
                    </w:rPr>
                    <w:t>x</w:t>
                  </w:r>
                </w:p>
              </w:tc>
              <w:tc>
                <w:tcPr>
                  <w:tcW w:w="267" w:type="pct"/>
                  <w:shd w:val="clear" w:color="auto" w:fill="auto"/>
                  <w:vAlign w:val="center"/>
                </w:tcPr>
                <w:p w14:paraId="0B47A56E">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shd w:val="clear" w:color="auto" w:fill="auto"/>
                  <w:vAlign w:val="center"/>
                </w:tcPr>
                <w:p w14:paraId="484D9AE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21192E7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2FB2339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0.284</w:t>
                  </w:r>
                </w:p>
              </w:tc>
              <w:tc>
                <w:tcPr>
                  <w:tcW w:w="322" w:type="pct"/>
                  <w:shd w:val="clear" w:color="auto" w:fill="auto"/>
                  <w:vAlign w:val="center"/>
                </w:tcPr>
                <w:p w14:paraId="591E2BA2">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0.12</w:t>
                  </w:r>
                  <w:r>
                    <w:rPr>
                      <w:rFonts w:hint="eastAsia"/>
                      <w:color w:val="000000" w:themeColor="text1"/>
                      <w:kern w:val="0"/>
                      <w:sz w:val="18"/>
                      <w:szCs w:val="18"/>
                      <w:lang w:bidi="ar"/>
                      <w14:textFill>
                        <w14:solidFill>
                          <w14:schemeClr w14:val="tx1"/>
                        </w14:solidFill>
                      </w14:textFill>
                    </w:rPr>
                    <w:t>9</w:t>
                  </w:r>
                </w:p>
              </w:tc>
              <w:tc>
                <w:tcPr>
                  <w:tcW w:w="979" w:type="pct"/>
                  <w:shd w:val="clear" w:color="auto" w:fill="auto"/>
                  <w:vAlign w:val="center"/>
                </w:tcPr>
                <w:p w14:paraId="2D5829D0">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68" w:type="pct"/>
                  <w:shd w:val="clear" w:color="auto" w:fill="auto"/>
                  <w:vAlign w:val="center"/>
                </w:tcPr>
                <w:p w14:paraId="0BB532B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5978EE5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1EBDA36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0.284</w:t>
                  </w:r>
                </w:p>
              </w:tc>
              <w:tc>
                <w:tcPr>
                  <w:tcW w:w="332" w:type="pct"/>
                  <w:shd w:val="clear" w:color="auto" w:fill="auto"/>
                  <w:vAlign w:val="center"/>
                </w:tcPr>
                <w:p w14:paraId="465E6374">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0.12</w:t>
                  </w:r>
                  <w:r>
                    <w:rPr>
                      <w:rFonts w:hint="eastAsia"/>
                      <w:color w:val="000000" w:themeColor="text1"/>
                      <w:kern w:val="0"/>
                      <w:sz w:val="18"/>
                      <w:szCs w:val="18"/>
                      <w:lang w:bidi="ar"/>
                      <w14:textFill>
                        <w14:solidFill>
                          <w14:schemeClr w14:val="tx1"/>
                        </w14:solidFill>
                      </w14:textFill>
                    </w:rPr>
                    <w:t>9</w:t>
                  </w:r>
                </w:p>
              </w:tc>
              <w:tc>
                <w:tcPr>
                  <w:tcW w:w="468" w:type="pct"/>
                  <w:shd w:val="clear" w:color="auto" w:fill="auto"/>
                  <w:vAlign w:val="center"/>
                </w:tcPr>
                <w:p w14:paraId="7584A1B7">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591F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 w:type="pct"/>
                  <w:vMerge w:val="continue"/>
                  <w:vAlign w:val="center"/>
                </w:tcPr>
                <w:p w14:paraId="640E2ADE">
                  <w:pPr>
                    <w:pStyle w:val="46"/>
                    <w:rPr>
                      <w:color w:val="000000" w:themeColor="text1"/>
                      <w:szCs w:val="18"/>
                      <w14:textFill>
                        <w14:solidFill>
                          <w14:schemeClr w14:val="tx1"/>
                        </w14:solidFill>
                      </w14:textFill>
                    </w:rPr>
                  </w:pPr>
                </w:p>
              </w:tc>
              <w:tc>
                <w:tcPr>
                  <w:tcW w:w="334" w:type="pct"/>
                  <w:vMerge w:val="continue"/>
                  <w:shd w:val="clear" w:color="auto" w:fill="auto"/>
                  <w:vAlign w:val="center"/>
                </w:tcPr>
                <w:p w14:paraId="3EEF3AF9">
                  <w:pPr>
                    <w:pStyle w:val="46"/>
                    <w:rPr>
                      <w:color w:val="000000" w:themeColor="text1"/>
                      <w:szCs w:val="18"/>
                      <w14:textFill>
                        <w14:solidFill>
                          <w14:schemeClr w14:val="tx1"/>
                        </w14:solidFill>
                      </w14:textFill>
                    </w:rPr>
                  </w:pPr>
                </w:p>
              </w:tc>
              <w:tc>
                <w:tcPr>
                  <w:tcW w:w="265" w:type="pct"/>
                  <w:shd w:val="clear" w:color="auto" w:fill="auto"/>
                  <w:vAlign w:val="center"/>
                </w:tcPr>
                <w:p w14:paraId="2519B888">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PM</w:t>
                  </w:r>
                </w:p>
              </w:tc>
              <w:tc>
                <w:tcPr>
                  <w:tcW w:w="267" w:type="pct"/>
                  <w:shd w:val="clear" w:color="auto" w:fill="auto"/>
                  <w:vAlign w:val="center"/>
                </w:tcPr>
                <w:p w14:paraId="39A2BD5E">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无组织</w:t>
                  </w:r>
                </w:p>
              </w:tc>
              <w:tc>
                <w:tcPr>
                  <w:tcW w:w="335" w:type="pct"/>
                  <w:shd w:val="clear" w:color="auto" w:fill="auto"/>
                  <w:vAlign w:val="center"/>
                </w:tcPr>
                <w:p w14:paraId="430668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209887F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213C1DB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0.0397</w:t>
                  </w:r>
                </w:p>
              </w:tc>
              <w:tc>
                <w:tcPr>
                  <w:tcW w:w="322" w:type="pct"/>
                  <w:shd w:val="clear" w:color="auto" w:fill="auto"/>
                  <w:vAlign w:val="center"/>
                </w:tcPr>
                <w:p w14:paraId="409FA2E7">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0.01</w:t>
                  </w:r>
                  <w:r>
                    <w:rPr>
                      <w:rFonts w:hint="eastAsia"/>
                      <w:color w:val="000000" w:themeColor="text1"/>
                      <w:kern w:val="0"/>
                      <w:sz w:val="18"/>
                      <w:szCs w:val="18"/>
                      <w:lang w:bidi="ar"/>
                      <w14:textFill>
                        <w14:solidFill>
                          <w14:schemeClr w14:val="tx1"/>
                        </w14:solidFill>
                      </w14:textFill>
                    </w:rPr>
                    <w:t>8</w:t>
                  </w:r>
                </w:p>
              </w:tc>
              <w:tc>
                <w:tcPr>
                  <w:tcW w:w="979" w:type="pct"/>
                  <w:shd w:val="clear" w:color="auto" w:fill="auto"/>
                  <w:vAlign w:val="center"/>
                </w:tcPr>
                <w:p w14:paraId="6345E3F2">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w:t>
                  </w:r>
                </w:p>
              </w:tc>
              <w:tc>
                <w:tcPr>
                  <w:tcW w:w="268" w:type="pct"/>
                  <w:shd w:val="clear" w:color="auto" w:fill="auto"/>
                  <w:vAlign w:val="center"/>
                </w:tcPr>
                <w:p w14:paraId="0BEBF72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16" w:type="pct"/>
                  <w:shd w:val="clear" w:color="auto" w:fill="auto"/>
                  <w:vAlign w:val="center"/>
                </w:tcPr>
                <w:p w14:paraId="4E2E661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w:t>
                  </w:r>
                </w:p>
              </w:tc>
              <w:tc>
                <w:tcPr>
                  <w:tcW w:w="305" w:type="pct"/>
                  <w:shd w:val="clear" w:color="auto" w:fill="auto"/>
                  <w:vAlign w:val="center"/>
                </w:tcPr>
                <w:p w14:paraId="1D2B42F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0.0397</w:t>
                  </w:r>
                </w:p>
              </w:tc>
              <w:tc>
                <w:tcPr>
                  <w:tcW w:w="332" w:type="pct"/>
                  <w:shd w:val="clear" w:color="auto" w:fill="auto"/>
                  <w:vAlign w:val="center"/>
                </w:tcPr>
                <w:p w14:paraId="6F99ACD0">
                  <w:pPr>
                    <w:widowControl/>
                    <w:jc w:val="center"/>
                    <w:textAlignment w:val="center"/>
                    <w:rPr>
                      <w:color w:val="000000" w:themeColor="text1"/>
                      <w14:textFill>
                        <w14:solidFill>
                          <w14:schemeClr w14:val="tx1"/>
                        </w14:solidFill>
                      </w14:textFill>
                    </w:rPr>
                  </w:pPr>
                  <w:r>
                    <w:rPr>
                      <w:color w:val="000000" w:themeColor="text1"/>
                      <w:kern w:val="0"/>
                      <w:sz w:val="18"/>
                      <w:szCs w:val="18"/>
                      <w:lang w:bidi="ar"/>
                      <w14:textFill>
                        <w14:solidFill>
                          <w14:schemeClr w14:val="tx1"/>
                        </w14:solidFill>
                      </w14:textFill>
                    </w:rPr>
                    <w:t>0.01</w:t>
                  </w:r>
                  <w:r>
                    <w:rPr>
                      <w:rFonts w:hint="eastAsia"/>
                      <w:color w:val="000000" w:themeColor="text1"/>
                      <w:kern w:val="0"/>
                      <w:sz w:val="18"/>
                      <w:szCs w:val="18"/>
                      <w:lang w:bidi="ar"/>
                      <w14:textFill>
                        <w14:solidFill>
                          <w14:schemeClr w14:val="tx1"/>
                        </w14:solidFill>
                      </w14:textFill>
                    </w:rPr>
                    <w:t>8</w:t>
                  </w:r>
                </w:p>
              </w:tc>
              <w:tc>
                <w:tcPr>
                  <w:tcW w:w="468" w:type="pct"/>
                  <w:shd w:val="clear" w:color="auto" w:fill="auto"/>
                  <w:vAlign w:val="center"/>
                </w:tcPr>
                <w:p w14:paraId="15D221CC">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2208</w:t>
                  </w:r>
                </w:p>
              </w:tc>
            </w:tr>
            <w:tr w14:paraId="57BF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84" w:type="pct"/>
                  <w:vAlign w:val="center"/>
                </w:tcPr>
                <w:p w14:paraId="6F8BD18A">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6</w:t>
                  </w:r>
                </w:p>
              </w:tc>
              <w:tc>
                <w:tcPr>
                  <w:tcW w:w="334" w:type="pct"/>
                  <w:shd w:val="clear" w:color="auto" w:fill="auto"/>
                  <w:vAlign w:val="center"/>
                </w:tcPr>
                <w:p w14:paraId="0573707B">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堆场</w:t>
                  </w:r>
                </w:p>
              </w:tc>
              <w:tc>
                <w:tcPr>
                  <w:tcW w:w="265" w:type="pct"/>
                  <w:shd w:val="clear" w:color="auto" w:fill="auto"/>
                  <w:vAlign w:val="center"/>
                </w:tcPr>
                <w:p w14:paraId="4A310792">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颗粒物</w:t>
                  </w:r>
                </w:p>
              </w:tc>
              <w:tc>
                <w:tcPr>
                  <w:tcW w:w="267" w:type="pct"/>
                  <w:shd w:val="clear" w:color="auto" w:fill="auto"/>
                  <w:vAlign w:val="center"/>
                </w:tcPr>
                <w:p w14:paraId="41BACF2A">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无组织</w:t>
                  </w:r>
                </w:p>
              </w:tc>
              <w:tc>
                <w:tcPr>
                  <w:tcW w:w="335" w:type="pct"/>
                  <w:shd w:val="clear" w:color="auto" w:fill="auto"/>
                  <w:vAlign w:val="center"/>
                </w:tcPr>
                <w:p w14:paraId="4A8BD049">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16" w:type="pct"/>
                  <w:shd w:val="clear" w:color="auto" w:fill="auto"/>
                  <w:vAlign w:val="center"/>
                </w:tcPr>
                <w:p w14:paraId="4E8E41D2">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05" w:type="pct"/>
                  <w:shd w:val="clear" w:color="auto" w:fill="auto"/>
                  <w:vAlign w:val="center"/>
                </w:tcPr>
                <w:p w14:paraId="58CB65CA">
                  <w:pPr>
                    <w:pStyle w:val="46"/>
                    <w:bidi w:val="0"/>
                    <w:rPr>
                      <w:rFonts w:hint="eastAsia"/>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14.46</w:t>
                  </w:r>
                </w:p>
              </w:tc>
              <w:tc>
                <w:tcPr>
                  <w:tcW w:w="322" w:type="pct"/>
                  <w:shd w:val="clear" w:color="auto" w:fill="auto"/>
                  <w:vAlign w:val="center"/>
                </w:tcPr>
                <w:p w14:paraId="3AB4E68B">
                  <w:pPr>
                    <w:pStyle w:val="46"/>
                    <w:bidi w:val="0"/>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2.18</w:t>
                  </w:r>
                  <w:r>
                    <w:rPr>
                      <w:rFonts w:hint="eastAsia"/>
                      <w:color w:val="000000" w:themeColor="text1"/>
                      <w:lang w:val="en-US" w:eastAsia="zh-CN"/>
                      <w14:textFill>
                        <w14:solidFill>
                          <w14:schemeClr w14:val="tx1"/>
                        </w14:solidFill>
                      </w14:textFill>
                    </w:rPr>
                    <w:t>3</w:t>
                  </w:r>
                </w:p>
              </w:tc>
              <w:tc>
                <w:tcPr>
                  <w:tcW w:w="979" w:type="pct"/>
                  <w:shd w:val="clear" w:color="auto" w:fill="auto"/>
                  <w:vAlign w:val="center"/>
                </w:tcPr>
                <w:p w14:paraId="59E28A26">
                  <w:pPr>
                    <w:pStyle w:val="46"/>
                    <w:rPr>
                      <w:rFonts w:hint="eastAsia"/>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洒水降尘、</w:t>
                  </w:r>
                  <w:r>
                    <w:rPr>
                      <w:rFonts w:hint="eastAsia"/>
                      <w:color w:val="000000" w:themeColor="text1"/>
                      <w:szCs w:val="18"/>
                      <w:lang w:val="en-US" w:eastAsia="zh-CN"/>
                      <w14:textFill>
                        <w14:solidFill>
                          <w14:schemeClr w14:val="tx1"/>
                        </w14:solidFill>
                      </w14:textFill>
                    </w:rPr>
                    <w:t>编织覆盖</w:t>
                  </w:r>
                  <w:r>
                    <w:rPr>
                      <w:rFonts w:hint="eastAsia"/>
                      <w:color w:val="000000" w:themeColor="text1"/>
                      <w:szCs w:val="18"/>
                      <w14:textFill>
                        <w14:solidFill>
                          <w14:schemeClr w14:val="tx1"/>
                        </w14:solidFill>
                      </w14:textFill>
                    </w:rPr>
                    <w:t>、</w:t>
                  </w:r>
                  <w:r>
                    <w:rPr>
                      <w:rFonts w:hint="eastAsia"/>
                      <w:color w:val="000000" w:themeColor="text1"/>
                      <w:szCs w:val="18"/>
                      <w:lang w:val="en-US" w:eastAsia="zh-CN"/>
                      <w14:textFill>
                        <w14:solidFill>
                          <w14:schemeClr w14:val="tx1"/>
                        </w14:solidFill>
                      </w14:textFill>
                    </w:rPr>
                    <w:t>半敞开式堆场</w:t>
                  </w:r>
                </w:p>
              </w:tc>
              <w:tc>
                <w:tcPr>
                  <w:tcW w:w="268" w:type="pct"/>
                  <w:shd w:val="clear" w:color="auto" w:fill="auto"/>
                  <w:vAlign w:val="center"/>
                </w:tcPr>
                <w:p w14:paraId="67077537">
                  <w:pPr>
                    <w:pStyle w:val="46"/>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98.5</w:t>
                  </w:r>
                </w:p>
              </w:tc>
              <w:tc>
                <w:tcPr>
                  <w:tcW w:w="316" w:type="pct"/>
                  <w:shd w:val="clear" w:color="auto" w:fill="auto"/>
                  <w:vAlign w:val="center"/>
                </w:tcPr>
                <w:p w14:paraId="013319AE">
                  <w:pPr>
                    <w:pStyle w:val="46"/>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c>
                <w:tcPr>
                  <w:tcW w:w="305" w:type="pct"/>
                  <w:shd w:val="clear" w:color="auto" w:fill="auto"/>
                  <w:vAlign w:val="center"/>
                </w:tcPr>
                <w:p w14:paraId="670BC486">
                  <w:pPr>
                    <w:keepNext w:val="0"/>
                    <w:keepLines w:val="0"/>
                    <w:widowControl/>
                    <w:suppressLineNumbers w:val="0"/>
                    <w:jc w:val="center"/>
                    <w:textAlignment w:val="center"/>
                    <w:rPr>
                      <w:rFonts w:hint="eastAsia"/>
                      <w:color w:val="000000" w:themeColor="text1"/>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0.21</w:t>
                  </w:r>
                  <w:r>
                    <w:rPr>
                      <w:rFonts w:hint="eastAsia" w:cs="Times New Roman"/>
                      <w:i w:val="0"/>
                      <w:iCs w:val="0"/>
                      <w:color w:val="000000" w:themeColor="text1"/>
                      <w:kern w:val="0"/>
                      <w:sz w:val="18"/>
                      <w:szCs w:val="18"/>
                      <w:u w:val="none"/>
                      <w:lang w:val="en-US" w:eastAsia="zh-CN" w:bidi="ar"/>
                      <w14:textFill>
                        <w14:solidFill>
                          <w14:schemeClr w14:val="tx1"/>
                        </w14:solidFill>
                      </w14:textFill>
                    </w:rPr>
                    <w:t>7</w:t>
                  </w:r>
                </w:p>
              </w:tc>
              <w:tc>
                <w:tcPr>
                  <w:tcW w:w="332" w:type="pct"/>
                  <w:shd w:val="clear" w:color="auto" w:fill="auto"/>
                  <w:vAlign w:val="center"/>
                </w:tcPr>
                <w:p w14:paraId="5FD4F1C3">
                  <w:pPr>
                    <w:keepNext w:val="0"/>
                    <w:keepLines w:val="0"/>
                    <w:widowControl/>
                    <w:suppressLineNumbers w:val="0"/>
                    <w:jc w:val="center"/>
                    <w:textAlignment w:val="center"/>
                    <w:rPr>
                      <w:color w:val="000000" w:themeColor="text1"/>
                      <w:kern w:val="0"/>
                      <w:sz w:val="18"/>
                      <w:szCs w:val="18"/>
                      <w:lang w:bidi="ar"/>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0.0327</w:t>
                  </w:r>
                </w:p>
              </w:tc>
              <w:tc>
                <w:tcPr>
                  <w:tcW w:w="468" w:type="pct"/>
                  <w:shd w:val="clear" w:color="auto" w:fill="auto"/>
                  <w:vAlign w:val="center"/>
                </w:tcPr>
                <w:p w14:paraId="641A1E8B">
                  <w:pPr>
                    <w:pStyle w:val="46"/>
                    <w:rPr>
                      <w:rFonts w:hint="default"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6624</w:t>
                  </w:r>
                </w:p>
              </w:tc>
            </w:tr>
          </w:tbl>
          <w:p w14:paraId="5DB24C3F">
            <w:pPr>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2、大气排放口基本情况</w:t>
            </w:r>
          </w:p>
          <w:p w14:paraId="1C23FCAF">
            <w:pPr>
              <w:keepNext/>
              <w:spacing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表4-</w:t>
            </w:r>
            <w:r>
              <w:rPr>
                <w:rFonts w:hint="eastAsia"/>
                <w:b/>
                <w:color w:val="000000" w:themeColor="text1"/>
                <w:sz w:val="18"/>
                <w:szCs w:val="21"/>
                <w:lang w:val="en-US" w:eastAsia="zh-CN"/>
                <w14:textFill>
                  <w14:solidFill>
                    <w14:schemeClr w14:val="tx1"/>
                  </w14:solidFill>
                </w14:textFill>
              </w:rPr>
              <w:t>9</w:t>
            </w:r>
            <w:r>
              <w:rPr>
                <w:rFonts w:hint="eastAsia"/>
                <w:b/>
                <w:color w:val="000000" w:themeColor="text1"/>
                <w:sz w:val="18"/>
                <w:szCs w:val="21"/>
                <w14:textFill>
                  <w14:solidFill>
                    <w14:schemeClr w14:val="tx1"/>
                  </w14:solidFill>
                </w14:textFill>
              </w:rPr>
              <w:t xml:space="preserve"> 本项目建成后排放口基本情况一览表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3"/>
              <w:gridCol w:w="1134"/>
              <w:gridCol w:w="1341"/>
              <w:gridCol w:w="1719"/>
              <w:gridCol w:w="2067"/>
              <w:gridCol w:w="2069"/>
              <w:gridCol w:w="1108"/>
              <w:gridCol w:w="1219"/>
              <w:gridCol w:w="1156"/>
              <w:gridCol w:w="853"/>
            </w:tblGrid>
            <w:tr w14:paraId="2535E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27" w:type="pct"/>
                  <w:vMerge w:val="restart"/>
                  <w:shd w:val="clear" w:color="auto" w:fill="D9D9D9"/>
                  <w:vAlign w:val="center"/>
                </w:tcPr>
                <w:p w14:paraId="2BA1795A">
                  <w:pPr>
                    <w:widowControl/>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序号</w:t>
                  </w:r>
                </w:p>
              </w:tc>
              <w:tc>
                <w:tcPr>
                  <w:tcW w:w="427" w:type="pct"/>
                  <w:vMerge w:val="restart"/>
                  <w:shd w:val="clear" w:color="auto" w:fill="D9D9D9"/>
                  <w:vAlign w:val="center"/>
                </w:tcPr>
                <w:p w14:paraId="6CB938E0">
                  <w:pPr>
                    <w:widowControl/>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排放口编号</w:t>
                  </w:r>
                </w:p>
              </w:tc>
              <w:tc>
                <w:tcPr>
                  <w:tcW w:w="505" w:type="pct"/>
                  <w:vMerge w:val="restart"/>
                  <w:shd w:val="clear" w:color="auto" w:fill="D9D9D9"/>
                  <w:vAlign w:val="center"/>
                </w:tcPr>
                <w:p w14:paraId="18C7D8A5">
                  <w:pPr>
                    <w:widowControl/>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排放口名称</w:t>
                  </w:r>
                </w:p>
              </w:tc>
              <w:tc>
                <w:tcPr>
                  <w:tcW w:w="647" w:type="pct"/>
                  <w:vMerge w:val="restart"/>
                  <w:shd w:val="clear" w:color="auto" w:fill="D9D9D9"/>
                  <w:vAlign w:val="center"/>
                </w:tcPr>
                <w:p w14:paraId="45CF01BD">
                  <w:pPr>
                    <w:widowControl/>
                    <w:adjustRightInd w:val="0"/>
                    <w:snapToGrid w:val="0"/>
                    <w:jc w:val="center"/>
                    <w:rPr>
                      <w:b/>
                      <w:bCs/>
                      <w:snapToGrid w:val="0"/>
                      <w:color w:val="000000" w:themeColor="text1"/>
                      <w:sz w:val="18"/>
                      <w:szCs w:val="18"/>
                      <w14:textFill>
                        <w14:solidFill>
                          <w14:schemeClr w14:val="tx1"/>
                        </w14:solidFill>
                      </w14:textFill>
                    </w:rPr>
                  </w:pPr>
                  <w:r>
                    <w:rPr>
                      <w:rFonts w:hint="eastAsia"/>
                      <w:b/>
                      <w:bCs/>
                      <w:snapToGrid w:val="0"/>
                      <w:color w:val="000000" w:themeColor="text1"/>
                      <w:sz w:val="18"/>
                      <w:szCs w:val="18"/>
                      <w14:textFill>
                        <w14:solidFill>
                          <w14:schemeClr w14:val="tx1"/>
                        </w14:solidFill>
                      </w14:textFill>
                    </w:rPr>
                    <w:t>污染物种类</w:t>
                  </w:r>
                </w:p>
              </w:tc>
              <w:tc>
                <w:tcPr>
                  <w:tcW w:w="1557" w:type="pct"/>
                  <w:gridSpan w:val="2"/>
                  <w:shd w:val="clear" w:color="auto" w:fill="D9D9D9"/>
                  <w:vAlign w:val="center"/>
                </w:tcPr>
                <w:p w14:paraId="31829AA9">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排放口地理坐标</w:t>
                  </w:r>
                </w:p>
              </w:tc>
              <w:tc>
                <w:tcPr>
                  <w:tcW w:w="417" w:type="pct"/>
                  <w:vMerge w:val="restart"/>
                  <w:shd w:val="clear" w:color="auto" w:fill="D9D9D9"/>
                  <w:vAlign w:val="center"/>
                </w:tcPr>
                <w:p w14:paraId="7A74078E">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排气筒高度（m）</w:t>
                  </w:r>
                </w:p>
              </w:tc>
              <w:tc>
                <w:tcPr>
                  <w:tcW w:w="459" w:type="pct"/>
                  <w:vMerge w:val="restart"/>
                  <w:shd w:val="clear" w:color="auto" w:fill="D9D9D9"/>
                  <w:vAlign w:val="center"/>
                </w:tcPr>
                <w:p w14:paraId="5052BB56">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排气筒出口内径（m）</w:t>
                  </w:r>
                </w:p>
              </w:tc>
              <w:tc>
                <w:tcPr>
                  <w:tcW w:w="435" w:type="pct"/>
                  <w:vMerge w:val="restart"/>
                  <w:shd w:val="clear" w:color="auto" w:fill="D9D9D9"/>
                  <w:vAlign w:val="center"/>
                </w:tcPr>
                <w:p w14:paraId="10E9A9B0">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排气温度（℃）</w:t>
                  </w:r>
                </w:p>
              </w:tc>
              <w:tc>
                <w:tcPr>
                  <w:tcW w:w="321" w:type="pct"/>
                  <w:vMerge w:val="restart"/>
                  <w:shd w:val="clear" w:color="auto" w:fill="D9D9D9"/>
                  <w:vAlign w:val="center"/>
                </w:tcPr>
                <w:p w14:paraId="6F1F7770">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其他信息</w:t>
                  </w:r>
                </w:p>
              </w:tc>
            </w:tr>
            <w:tr w14:paraId="5801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 w:type="pct"/>
                  <w:vMerge w:val="continue"/>
                  <w:shd w:val="clear" w:color="auto" w:fill="auto"/>
                  <w:vAlign w:val="center"/>
                </w:tcPr>
                <w:p w14:paraId="20F2F999">
                  <w:pPr>
                    <w:widowControl/>
                    <w:adjustRightInd w:val="0"/>
                    <w:snapToGrid w:val="0"/>
                    <w:jc w:val="center"/>
                    <w:rPr>
                      <w:b/>
                      <w:bCs/>
                      <w:snapToGrid w:val="0"/>
                      <w:color w:val="000000" w:themeColor="text1"/>
                      <w:sz w:val="18"/>
                      <w:szCs w:val="18"/>
                      <w14:textFill>
                        <w14:solidFill>
                          <w14:schemeClr w14:val="tx1"/>
                        </w14:solidFill>
                      </w14:textFill>
                    </w:rPr>
                  </w:pPr>
                </w:p>
              </w:tc>
              <w:tc>
                <w:tcPr>
                  <w:tcW w:w="427" w:type="pct"/>
                  <w:vMerge w:val="continue"/>
                  <w:shd w:val="clear" w:color="auto" w:fill="auto"/>
                  <w:vAlign w:val="center"/>
                </w:tcPr>
                <w:p w14:paraId="245E32E8">
                  <w:pPr>
                    <w:widowControl/>
                    <w:adjustRightInd w:val="0"/>
                    <w:snapToGrid w:val="0"/>
                    <w:jc w:val="center"/>
                    <w:rPr>
                      <w:b/>
                      <w:bCs/>
                      <w:snapToGrid w:val="0"/>
                      <w:color w:val="000000" w:themeColor="text1"/>
                      <w:sz w:val="18"/>
                      <w:szCs w:val="18"/>
                      <w14:textFill>
                        <w14:solidFill>
                          <w14:schemeClr w14:val="tx1"/>
                        </w14:solidFill>
                      </w14:textFill>
                    </w:rPr>
                  </w:pPr>
                </w:p>
              </w:tc>
              <w:tc>
                <w:tcPr>
                  <w:tcW w:w="505" w:type="pct"/>
                  <w:vMerge w:val="continue"/>
                  <w:shd w:val="clear" w:color="auto" w:fill="auto"/>
                  <w:vAlign w:val="center"/>
                </w:tcPr>
                <w:p w14:paraId="4CD3BD55">
                  <w:pPr>
                    <w:widowControl/>
                    <w:adjustRightInd w:val="0"/>
                    <w:snapToGrid w:val="0"/>
                    <w:jc w:val="center"/>
                    <w:rPr>
                      <w:b/>
                      <w:bCs/>
                      <w:snapToGrid w:val="0"/>
                      <w:color w:val="000000" w:themeColor="text1"/>
                      <w:sz w:val="18"/>
                      <w:szCs w:val="18"/>
                      <w14:textFill>
                        <w14:solidFill>
                          <w14:schemeClr w14:val="tx1"/>
                        </w14:solidFill>
                      </w14:textFill>
                    </w:rPr>
                  </w:pPr>
                </w:p>
              </w:tc>
              <w:tc>
                <w:tcPr>
                  <w:tcW w:w="647" w:type="pct"/>
                  <w:vMerge w:val="continue"/>
                  <w:shd w:val="clear" w:color="auto" w:fill="auto"/>
                  <w:vAlign w:val="center"/>
                </w:tcPr>
                <w:p w14:paraId="7213318E">
                  <w:pPr>
                    <w:widowControl/>
                    <w:adjustRightInd w:val="0"/>
                    <w:snapToGrid w:val="0"/>
                    <w:jc w:val="center"/>
                    <w:rPr>
                      <w:b/>
                      <w:bCs/>
                      <w:snapToGrid w:val="0"/>
                      <w:color w:val="000000" w:themeColor="text1"/>
                      <w:sz w:val="18"/>
                      <w:szCs w:val="18"/>
                      <w14:textFill>
                        <w14:solidFill>
                          <w14:schemeClr w14:val="tx1"/>
                        </w14:solidFill>
                      </w14:textFill>
                    </w:rPr>
                  </w:pPr>
                </w:p>
              </w:tc>
              <w:tc>
                <w:tcPr>
                  <w:tcW w:w="778" w:type="pct"/>
                  <w:shd w:val="clear" w:color="auto" w:fill="D9D9D9"/>
                  <w:vAlign w:val="center"/>
                </w:tcPr>
                <w:p w14:paraId="6560FFF5">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经度°</w:t>
                  </w:r>
                </w:p>
              </w:tc>
              <w:tc>
                <w:tcPr>
                  <w:tcW w:w="778" w:type="pct"/>
                  <w:shd w:val="clear" w:color="auto" w:fill="D9D9D9"/>
                  <w:vAlign w:val="center"/>
                </w:tcPr>
                <w:p w14:paraId="55483F15">
                  <w:pPr>
                    <w:widowControl/>
                    <w:adjustRightInd w:val="0"/>
                    <w:snapToGrid w:val="0"/>
                    <w:jc w:val="center"/>
                    <w:rPr>
                      <w:b/>
                      <w:bCs/>
                      <w:snapToGrid w:val="0"/>
                      <w:color w:val="000000" w:themeColor="text1"/>
                      <w:sz w:val="18"/>
                      <w:szCs w:val="21"/>
                      <w14:textFill>
                        <w14:solidFill>
                          <w14:schemeClr w14:val="tx1"/>
                        </w14:solidFill>
                      </w14:textFill>
                    </w:rPr>
                  </w:pPr>
                  <w:r>
                    <w:rPr>
                      <w:rFonts w:hint="eastAsia"/>
                      <w:b/>
                      <w:bCs/>
                      <w:snapToGrid w:val="0"/>
                      <w:color w:val="000000" w:themeColor="text1"/>
                      <w:sz w:val="18"/>
                      <w:szCs w:val="21"/>
                      <w14:textFill>
                        <w14:solidFill>
                          <w14:schemeClr w14:val="tx1"/>
                        </w14:solidFill>
                      </w14:textFill>
                    </w:rPr>
                    <w:t>纬度°</w:t>
                  </w:r>
                </w:p>
              </w:tc>
              <w:tc>
                <w:tcPr>
                  <w:tcW w:w="417" w:type="pct"/>
                  <w:vMerge w:val="continue"/>
                  <w:vAlign w:val="center"/>
                </w:tcPr>
                <w:p w14:paraId="4FA8E3BE">
                  <w:pPr>
                    <w:widowControl/>
                    <w:adjustRightInd w:val="0"/>
                    <w:snapToGrid w:val="0"/>
                    <w:jc w:val="center"/>
                    <w:rPr>
                      <w:snapToGrid w:val="0"/>
                      <w:color w:val="000000" w:themeColor="text1"/>
                      <w:sz w:val="18"/>
                      <w:szCs w:val="21"/>
                      <w14:textFill>
                        <w14:solidFill>
                          <w14:schemeClr w14:val="tx1"/>
                        </w14:solidFill>
                      </w14:textFill>
                    </w:rPr>
                  </w:pPr>
                </w:p>
              </w:tc>
              <w:tc>
                <w:tcPr>
                  <w:tcW w:w="459" w:type="pct"/>
                  <w:vMerge w:val="continue"/>
                  <w:vAlign w:val="center"/>
                </w:tcPr>
                <w:p w14:paraId="1D35C512">
                  <w:pPr>
                    <w:widowControl/>
                    <w:adjustRightInd w:val="0"/>
                    <w:snapToGrid w:val="0"/>
                    <w:jc w:val="center"/>
                    <w:rPr>
                      <w:snapToGrid w:val="0"/>
                      <w:color w:val="000000" w:themeColor="text1"/>
                      <w:sz w:val="18"/>
                      <w:szCs w:val="21"/>
                      <w14:textFill>
                        <w14:solidFill>
                          <w14:schemeClr w14:val="tx1"/>
                        </w14:solidFill>
                      </w14:textFill>
                    </w:rPr>
                  </w:pPr>
                </w:p>
              </w:tc>
              <w:tc>
                <w:tcPr>
                  <w:tcW w:w="435" w:type="pct"/>
                  <w:vMerge w:val="continue"/>
                  <w:vAlign w:val="center"/>
                </w:tcPr>
                <w:p w14:paraId="32D5FD3C">
                  <w:pPr>
                    <w:widowControl/>
                    <w:adjustRightInd w:val="0"/>
                    <w:snapToGrid w:val="0"/>
                    <w:jc w:val="center"/>
                    <w:rPr>
                      <w:snapToGrid w:val="0"/>
                      <w:color w:val="000000" w:themeColor="text1"/>
                      <w:sz w:val="18"/>
                      <w:szCs w:val="21"/>
                      <w14:textFill>
                        <w14:solidFill>
                          <w14:schemeClr w14:val="tx1"/>
                        </w14:solidFill>
                      </w14:textFill>
                    </w:rPr>
                  </w:pPr>
                </w:p>
              </w:tc>
              <w:tc>
                <w:tcPr>
                  <w:tcW w:w="321" w:type="pct"/>
                  <w:vMerge w:val="continue"/>
                  <w:vAlign w:val="center"/>
                </w:tcPr>
                <w:p w14:paraId="5660BB64">
                  <w:pPr>
                    <w:widowControl/>
                    <w:adjustRightInd w:val="0"/>
                    <w:snapToGrid w:val="0"/>
                    <w:jc w:val="center"/>
                    <w:rPr>
                      <w:snapToGrid w:val="0"/>
                      <w:color w:val="000000" w:themeColor="text1"/>
                      <w:sz w:val="18"/>
                      <w:szCs w:val="21"/>
                      <w14:textFill>
                        <w14:solidFill>
                          <w14:schemeClr w14:val="tx1"/>
                        </w14:solidFill>
                      </w14:textFill>
                    </w:rPr>
                  </w:pPr>
                </w:p>
              </w:tc>
            </w:tr>
            <w:tr w14:paraId="62F7D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 w:type="pct"/>
                  <w:vAlign w:val="center"/>
                </w:tcPr>
                <w:p w14:paraId="57602F82">
                  <w:pPr>
                    <w:widowControl/>
                    <w:adjustRightInd w:val="0"/>
                    <w:snapToGrid w:val="0"/>
                    <w:jc w:val="center"/>
                    <w:rPr>
                      <w:bCs/>
                      <w:snapToGrid w:val="0"/>
                      <w:color w:val="000000" w:themeColor="text1"/>
                      <w:sz w:val="18"/>
                      <w:szCs w:val="18"/>
                      <w14:textFill>
                        <w14:solidFill>
                          <w14:schemeClr w14:val="tx1"/>
                        </w14:solidFill>
                      </w14:textFill>
                    </w:rPr>
                  </w:pPr>
                  <w:r>
                    <w:rPr>
                      <w:rFonts w:hint="eastAsia"/>
                      <w:bCs/>
                      <w:snapToGrid w:val="0"/>
                      <w:color w:val="000000" w:themeColor="text1"/>
                      <w:sz w:val="18"/>
                      <w:szCs w:val="18"/>
                      <w14:textFill>
                        <w14:solidFill>
                          <w14:schemeClr w14:val="tx1"/>
                        </w14:solidFill>
                      </w14:textFill>
                    </w:rPr>
                    <w:t>1</w:t>
                  </w:r>
                </w:p>
              </w:tc>
              <w:tc>
                <w:tcPr>
                  <w:tcW w:w="427" w:type="pct"/>
                  <w:vAlign w:val="center"/>
                </w:tcPr>
                <w:p w14:paraId="200B6898">
                  <w:pPr>
                    <w:widowControl/>
                    <w:adjustRightInd w:val="0"/>
                    <w:snapToGrid w:val="0"/>
                    <w:jc w:val="center"/>
                    <w:rPr>
                      <w:bCs/>
                      <w:snapToGrid w:val="0"/>
                      <w:color w:val="000000" w:themeColor="text1"/>
                      <w:sz w:val="18"/>
                      <w:szCs w:val="18"/>
                      <w14:textFill>
                        <w14:solidFill>
                          <w14:schemeClr w14:val="tx1"/>
                        </w14:solidFill>
                      </w14:textFill>
                    </w:rPr>
                  </w:pPr>
                  <w:r>
                    <w:rPr>
                      <w:rFonts w:hint="eastAsia"/>
                      <w:bCs/>
                      <w:snapToGrid w:val="0"/>
                      <w:color w:val="000000" w:themeColor="text1"/>
                      <w:sz w:val="18"/>
                      <w:szCs w:val="18"/>
                      <w14:textFill>
                        <w14:solidFill>
                          <w14:schemeClr w14:val="tx1"/>
                        </w14:solidFill>
                      </w14:textFill>
                    </w:rPr>
                    <w:t>DA001</w:t>
                  </w:r>
                </w:p>
              </w:tc>
              <w:tc>
                <w:tcPr>
                  <w:tcW w:w="505" w:type="pct"/>
                  <w:vAlign w:val="center"/>
                </w:tcPr>
                <w:p w14:paraId="70B844F1">
                  <w:pPr>
                    <w:widowControl/>
                    <w:adjustRightInd w:val="0"/>
                    <w:snapToGrid w:val="0"/>
                    <w:jc w:val="center"/>
                    <w:rPr>
                      <w:bCs/>
                      <w:snapToGrid w:val="0"/>
                      <w:color w:val="000000" w:themeColor="text1"/>
                      <w:sz w:val="18"/>
                      <w:szCs w:val="18"/>
                      <w14:textFill>
                        <w14:solidFill>
                          <w14:schemeClr w14:val="tx1"/>
                        </w14:solidFill>
                      </w14:textFill>
                    </w:rPr>
                  </w:pPr>
                  <w:r>
                    <w:rPr>
                      <w:rFonts w:hint="eastAsia"/>
                      <w:bCs/>
                      <w:snapToGrid w:val="0"/>
                      <w:color w:val="000000" w:themeColor="text1"/>
                      <w:sz w:val="18"/>
                      <w:szCs w:val="18"/>
                      <w14:textFill>
                        <w14:solidFill>
                          <w14:schemeClr w14:val="tx1"/>
                        </w14:solidFill>
                      </w14:textFill>
                    </w:rPr>
                    <w:t>一般排放口</w:t>
                  </w:r>
                </w:p>
              </w:tc>
              <w:tc>
                <w:tcPr>
                  <w:tcW w:w="647" w:type="pct"/>
                  <w:vAlign w:val="center"/>
                </w:tcPr>
                <w:p w14:paraId="6839B474">
                  <w:pPr>
                    <w:widowControl/>
                    <w:adjustRightInd w:val="0"/>
                    <w:snapToGrid w:val="0"/>
                    <w:jc w:val="center"/>
                    <w:rPr>
                      <w:bCs/>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油烟</w:t>
                  </w:r>
                </w:p>
              </w:tc>
              <w:tc>
                <w:tcPr>
                  <w:tcW w:w="778" w:type="pct"/>
                  <w:vAlign w:val="center"/>
                </w:tcPr>
                <w:p w14:paraId="08CCBD5B">
                  <w:pPr>
                    <w:widowControl/>
                    <w:adjustRightInd w:val="0"/>
                    <w:snapToGrid w:val="0"/>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109°59'37.222"</w:t>
                  </w:r>
                </w:p>
              </w:tc>
              <w:tc>
                <w:tcPr>
                  <w:tcW w:w="778" w:type="pct"/>
                  <w:vAlign w:val="center"/>
                </w:tcPr>
                <w:p w14:paraId="3188FF29">
                  <w:pPr>
                    <w:widowControl/>
                    <w:adjustRightInd w:val="0"/>
                    <w:snapToGrid w:val="0"/>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21°34'20.405"</w:t>
                  </w:r>
                </w:p>
              </w:tc>
              <w:tc>
                <w:tcPr>
                  <w:tcW w:w="417" w:type="pct"/>
                  <w:vAlign w:val="center"/>
                </w:tcPr>
                <w:p w14:paraId="6FB19D16">
                  <w:pPr>
                    <w:widowControl/>
                    <w:adjustRightInd w:val="0"/>
                    <w:snapToGrid w:val="0"/>
                    <w:jc w:val="center"/>
                    <w:rPr>
                      <w:snapToGrid w:val="0"/>
                      <w:color w:val="000000" w:themeColor="text1"/>
                      <w:sz w:val="18"/>
                      <w:szCs w:val="21"/>
                      <w14:textFill>
                        <w14:solidFill>
                          <w14:schemeClr w14:val="tx1"/>
                        </w14:solidFill>
                      </w14:textFill>
                    </w:rPr>
                  </w:pPr>
                  <w:r>
                    <w:rPr>
                      <w:snapToGrid w:val="0"/>
                      <w:color w:val="000000" w:themeColor="text1"/>
                      <w:sz w:val="18"/>
                      <w:szCs w:val="21"/>
                      <w14:textFill>
                        <w14:solidFill>
                          <w14:schemeClr w14:val="tx1"/>
                        </w14:solidFill>
                      </w14:textFill>
                    </w:rPr>
                    <w:t>15</w:t>
                  </w:r>
                </w:p>
              </w:tc>
              <w:tc>
                <w:tcPr>
                  <w:tcW w:w="459" w:type="pct"/>
                  <w:vAlign w:val="center"/>
                </w:tcPr>
                <w:p w14:paraId="0BE442FE">
                  <w:pPr>
                    <w:widowControl/>
                    <w:adjustRightInd w:val="0"/>
                    <w:snapToGrid w:val="0"/>
                    <w:jc w:val="center"/>
                    <w:rPr>
                      <w:bCs/>
                      <w:snapToGrid w:val="0"/>
                      <w:color w:val="000000" w:themeColor="text1"/>
                      <w:sz w:val="18"/>
                      <w:szCs w:val="21"/>
                      <w:highlight w:val="yellow"/>
                      <w14:textFill>
                        <w14:solidFill>
                          <w14:schemeClr w14:val="tx1"/>
                        </w14:solidFill>
                      </w14:textFill>
                    </w:rPr>
                  </w:pPr>
                  <w:r>
                    <w:rPr>
                      <w:rFonts w:hint="eastAsia"/>
                      <w:bCs/>
                      <w:snapToGrid w:val="0"/>
                      <w:color w:val="000000" w:themeColor="text1"/>
                      <w:sz w:val="18"/>
                      <w:szCs w:val="21"/>
                      <w14:textFill>
                        <w14:solidFill>
                          <w14:schemeClr w14:val="tx1"/>
                        </w14:solidFill>
                      </w14:textFill>
                    </w:rPr>
                    <w:t>0.4</w:t>
                  </w:r>
                </w:p>
              </w:tc>
              <w:tc>
                <w:tcPr>
                  <w:tcW w:w="435" w:type="pct"/>
                  <w:vAlign w:val="center"/>
                </w:tcPr>
                <w:p w14:paraId="4EEAB043">
                  <w:pPr>
                    <w:widowControl/>
                    <w:adjustRightInd w:val="0"/>
                    <w:snapToGrid w:val="0"/>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40</w:t>
                  </w:r>
                </w:p>
              </w:tc>
              <w:tc>
                <w:tcPr>
                  <w:tcW w:w="321" w:type="pct"/>
                  <w:vAlign w:val="center"/>
                </w:tcPr>
                <w:p w14:paraId="1C78D7B4">
                  <w:pPr>
                    <w:widowControl/>
                    <w:adjustRightInd w:val="0"/>
                    <w:snapToGrid w:val="0"/>
                    <w:jc w:val="center"/>
                    <w:rPr>
                      <w:snapToGrid w:val="0"/>
                      <w:color w:val="000000" w:themeColor="text1"/>
                      <w:sz w:val="18"/>
                      <w:szCs w:val="21"/>
                      <w14:textFill>
                        <w14:solidFill>
                          <w14:schemeClr w14:val="tx1"/>
                        </w14:solidFill>
                      </w14:textFill>
                    </w:rPr>
                  </w:pPr>
                  <w:r>
                    <w:rPr>
                      <w:rFonts w:hint="eastAsia"/>
                      <w:snapToGrid w:val="0"/>
                      <w:color w:val="000000" w:themeColor="text1"/>
                      <w:sz w:val="18"/>
                      <w:szCs w:val="21"/>
                      <w14:textFill>
                        <w14:solidFill>
                          <w14:schemeClr w14:val="tx1"/>
                        </w14:solidFill>
                      </w14:textFill>
                    </w:rPr>
                    <w:t>/</w:t>
                  </w:r>
                </w:p>
              </w:tc>
            </w:tr>
          </w:tbl>
          <w:p w14:paraId="58988BDA">
            <w:pPr>
              <w:spacing w:line="360" w:lineRule="auto"/>
              <w:ind w:firstLine="422" w:firstLineChars="20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3、废气治理可行性分析</w:t>
            </w:r>
          </w:p>
          <w:p w14:paraId="6F3A0A07">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（1）</w:t>
            </w:r>
            <w:r>
              <w:rPr>
                <w:rFonts w:hint="eastAsia"/>
                <w:bCs/>
                <w:color w:val="000000" w:themeColor="text1"/>
                <w:kern w:val="0"/>
                <w:szCs w:val="21"/>
                <w:lang w:val="en-US" w:eastAsia="zh-CN"/>
                <w14:textFill>
                  <w14:solidFill>
                    <w14:schemeClr w14:val="tx1"/>
                  </w14:solidFill>
                </w14:textFill>
              </w:rPr>
              <w:t>堆场、</w:t>
            </w:r>
            <w:r>
              <w:rPr>
                <w:rFonts w:hint="eastAsia"/>
                <w:bCs/>
                <w:color w:val="000000" w:themeColor="text1"/>
                <w:kern w:val="0"/>
                <w:szCs w:val="21"/>
                <w14:textFill>
                  <w14:solidFill>
                    <w14:schemeClr w14:val="tx1"/>
                  </w14:solidFill>
                </w14:textFill>
              </w:rPr>
              <w:t>汽车运输、装卸粉尘</w:t>
            </w:r>
          </w:p>
          <w:p w14:paraId="209F9499">
            <w:pPr>
              <w:widowControl/>
              <w:snapToGrid w:val="0"/>
              <w:spacing w:line="360" w:lineRule="auto"/>
              <w:ind w:firstLine="420" w:firstLineChars="200"/>
              <w:rPr>
                <w:rFonts w:hint="default" w:eastAsia="宋体"/>
                <w:bCs/>
                <w:color w:val="000000" w:themeColor="text1"/>
                <w:kern w:val="0"/>
                <w:szCs w:val="21"/>
                <w:lang w:val="en-US" w:eastAsia="zh-CN"/>
                <w14:textFill>
                  <w14:solidFill>
                    <w14:schemeClr w14:val="tx1"/>
                  </w14:solidFill>
                </w14:textFill>
              </w:rPr>
            </w:pPr>
            <w:r>
              <w:rPr>
                <w:rFonts w:hint="eastAsia"/>
                <w:bCs/>
                <w:color w:val="000000" w:themeColor="text1"/>
                <w:kern w:val="0"/>
                <w:szCs w:val="21"/>
                <w14:textFill>
                  <w14:solidFill>
                    <w14:schemeClr w14:val="tx1"/>
                  </w14:solidFill>
                </w14:textFill>
              </w:rPr>
              <w:t>本项目属于其他非金属矿物制品制造业，参考《排污许可证申请与核发技术规范陶瓷砖瓦工业》(HJ954-2018)表27其他制品类工业排污单位无组织排放控制要求</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采取的防治措施如下：</w:t>
            </w:r>
          </w:p>
          <w:p w14:paraId="61799F2E">
            <w:pPr>
              <w:widowControl/>
              <w:snapToGrid w:val="0"/>
              <w:spacing w:line="360" w:lineRule="auto"/>
              <w:ind w:firstLine="420" w:firstLineChars="200"/>
              <w:rPr>
                <w:rFonts w:hint="eastAsia"/>
                <w:bCs/>
                <w:color w:val="000000" w:themeColor="text1"/>
                <w:kern w:val="0"/>
                <w:szCs w:val="21"/>
                <w:lang w:eastAsia="zh-CN"/>
                <w14:textFill>
                  <w14:solidFill>
                    <w14:schemeClr w14:val="tx1"/>
                  </w14:solidFill>
                </w14:textFill>
              </w:rPr>
            </w:pPr>
            <w:r>
              <w:rPr>
                <w:rFonts w:hint="eastAsia"/>
                <w:bCs/>
                <w:color w:val="000000" w:themeColor="text1"/>
                <w:kern w:val="0"/>
                <w:szCs w:val="21"/>
                <w14:textFill>
                  <w14:solidFill>
                    <w14:schemeClr w14:val="tx1"/>
                  </w14:solidFill>
                </w14:textFill>
              </w:rPr>
              <w:t>本项目成品堆场采用洒水和编织覆盖的方式控制扬尘</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设置为半敞开式堆场</w:t>
            </w:r>
            <w:r>
              <w:rPr>
                <w:rFonts w:hint="eastAsia"/>
                <w:bCs/>
                <w:color w:val="000000" w:themeColor="text1"/>
                <w:kern w:val="0"/>
                <w:szCs w:val="21"/>
                <w14:textFill>
                  <w14:solidFill>
                    <w14:schemeClr w14:val="tx1"/>
                  </w14:solidFill>
                </w14:textFill>
              </w:rPr>
              <w:t>；</w:t>
            </w:r>
            <w:r>
              <w:rPr>
                <w:rFonts w:hint="eastAsia"/>
                <w:bCs/>
                <w:color w:val="000000" w:themeColor="text1"/>
                <w:kern w:val="0"/>
                <w:szCs w:val="21"/>
                <w:lang w:val="en-US" w:eastAsia="zh-CN"/>
                <w14:textFill>
                  <w14:solidFill>
                    <w14:schemeClr w14:val="tx1"/>
                  </w14:solidFill>
                </w14:textFill>
              </w:rPr>
              <w:t>厂区</w:t>
            </w:r>
            <w:r>
              <w:rPr>
                <w:rFonts w:hint="eastAsia"/>
                <w:bCs/>
                <w:color w:val="000000" w:themeColor="text1"/>
                <w:kern w:val="0"/>
                <w:szCs w:val="21"/>
                <w14:textFill>
                  <w14:solidFill>
                    <w14:schemeClr w14:val="tx1"/>
                  </w14:solidFill>
                </w14:textFill>
              </w:rPr>
              <w:t>道路</w:t>
            </w:r>
            <w:r>
              <w:rPr>
                <w:rFonts w:hint="eastAsia"/>
                <w:bCs/>
                <w:color w:val="000000" w:themeColor="text1"/>
                <w:kern w:val="0"/>
                <w:szCs w:val="21"/>
                <w:lang w:val="en-US" w:eastAsia="zh-CN"/>
                <w14:textFill>
                  <w14:solidFill>
                    <w14:schemeClr w14:val="tx1"/>
                  </w14:solidFill>
                </w14:textFill>
              </w:rPr>
              <w:t>进行</w:t>
            </w:r>
            <w:r>
              <w:rPr>
                <w:rFonts w:hint="eastAsia"/>
                <w:bCs/>
                <w:color w:val="000000" w:themeColor="text1"/>
                <w:kern w:val="0"/>
                <w:szCs w:val="21"/>
                <w14:textFill>
                  <w14:solidFill>
                    <w14:schemeClr w14:val="tx1"/>
                  </w14:solidFill>
                </w14:textFill>
              </w:rPr>
              <w:t>硬化，通过</w:t>
            </w:r>
            <w:r>
              <w:rPr>
                <w:rFonts w:hint="eastAsia"/>
                <w:bCs/>
                <w:color w:val="000000" w:themeColor="text1"/>
                <w:kern w:val="0"/>
                <w:szCs w:val="21"/>
                <w:lang w:val="en-US" w:eastAsia="zh-CN"/>
                <w14:textFill>
                  <w14:solidFill>
                    <w14:schemeClr w14:val="tx1"/>
                  </w14:solidFill>
                </w14:textFill>
              </w:rPr>
              <w:t>加强车辆管理</w:t>
            </w:r>
            <w:r>
              <w:rPr>
                <w:rFonts w:hint="eastAsia"/>
                <w:bCs/>
                <w:color w:val="000000" w:themeColor="text1"/>
                <w:kern w:val="0"/>
                <w:szCs w:val="21"/>
                <w14:textFill>
                  <w14:solidFill>
                    <w14:schemeClr w14:val="tx1"/>
                  </w14:solidFill>
                </w14:textFill>
              </w:rPr>
              <w:t>和洗车池清洁车辆的方式减少扬尘</w:t>
            </w:r>
            <w:r>
              <w:rPr>
                <w:rFonts w:hint="eastAsia"/>
                <w:bCs/>
                <w:color w:val="000000" w:themeColor="text1"/>
                <w:kern w:val="0"/>
                <w:szCs w:val="21"/>
                <w:lang w:eastAsia="zh-CN"/>
                <w14:textFill>
                  <w14:solidFill>
                    <w14:schemeClr w14:val="tx1"/>
                  </w14:solidFill>
                </w14:textFill>
              </w:rPr>
              <w:t>，</w:t>
            </w:r>
            <w:r>
              <w:rPr>
                <w:rFonts w:hint="eastAsia"/>
                <w:bCs/>
                <w:color w:val="000000" w:themeColor="text1"/>
                <w:kern w:val="0"/>
                <w:szCs w:val="21"/>
                <w14:textFill>
                  <w14:solidFill>
                    <w14:schemeClr w14:val="tx1"/>
                  </w14:solidFill>
                </w14:textFill>
              </w:rPr>
              <w:t>采取的扬尘控制措施符合《排污许可证申请与核发技术规范陶瓷砖瓦工业》(HJ954-2018)</w:t>
            </w:r>
            <w:r>
              <w:rPr>
                <w:rFonts w:hint="eastAsia"/>
                <w:bCs/>
                <w:color w:val="000000" w:themeColor="text1"/>
                <w:kern w:val="0"/>
                <w:szCs w:val="21"/>
                <w:lang w:val="en-US" w:eastAsia="zh-CN"/>
                <w14:textFill>
                  <w14:solidFill>
                    <w14:schemeClr w14:val="tx1"/>
                  </w14:solidFill>
                </w14:textFill>
              </w:rPr>
              <w:t>中的无组织排放</w:t>
            </w:r>
            <w:r>
              <w:rPr>
                <w:rFonts w:hint="eastAsia"/>
                <w:bCs/>
                <w:color w:val="000000" w:themeColor="text1"/>
                <w:kern w:val="0"/>
                <w:szCs w:val="21"/>
                <w14:textFill>
                  <w14:solidFill>
                    <w14:schemeClr w14:val="tx1"/>
                  </w14:solidFill>
                </w14:textFill>
              </w:rPr>
              <w:t>控制要求</w:t>
            </w:r>
            <w:r>
              <w:rPr>
                <w:rFonts w:hint="eastAsia"/>
                <w:bCs/>
                <w:color w:val="000000" w:themeColor="text1"/>
                <w:kern w:val="0"/>
                <w:szCs w:val="21"/>
                <w:lang w:eastAsia="zh-CN"/>
                <w14:textFill>
                  <w14:solidFill>
                    <w14:schemeClr w14:val="tx1"/>
                  </w14:solidFill>
                </w14:textFill>
              </w:rPr>
              <w:t>；</w:t>
            </w:r>
          </w:p>
          <w:p w14:paraId="2EEDED66">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本项目厂区道路均硬化，</w:t>
            </w:r>
            <w:r>
              <w:rPr>
                <w:rFonts w:hint="eastAsia"/>
                <w:bCs/>
                <w:color w:val="000000" w:themeColor="text1"/>
                <w:kern w:val="0"/>
                <w:szCs w:val="21"/>
                <w:lang w:val="en-US" w:eastAsia="zh-CN"/>
                <w14:textFill>
                  <w14:solidFill>
                    <w14:schemeClr w14:val="tx1"/>
                  </w14:solidFill>
                </w14:textFill>
              </w:rPr>
              <w:t>生产</w:t>
            </w:r>
            <w:r>
              <w:rPr>
                <w:rFonts w:hint="eastAsia"/>
                <w:bCs/>
                <w:color w:val="000000" w:themeColor="text1"/>
                <w:kern w:val="0"/>
                <w:szCs w:val="21"/>
                <w14:textFill>
                  <w14:solidFill>
                    <w14:schemeClr w14:val="tx1"/>
                  </w14:solidFill>
                </w14:textFill>
              </w:rPr>
              <w:t>厂房为较半敞开式高厂房，建设单位在</w:t>
            </w:r>
            <w:r>
              <w:rPr>
                <w:rFonts w:hint="eastAsia"/>
                <w:bCs/>
                <w:color w:val="000000" w:themeColor="text1"/>
                <w:kern w:val="0"/>
                <w:szCs w:val="21"/>
                <w:lang w:val="en-US" w:eastAsia="zh-CN"/>
                <w14:textFill>
                  <w14:solidFill>
                    <w14:schemeClr w14:val="tx1"/>
                  </w14:solidFill>
                </w14:textFill>
              </w:rPr>
              <w:t>入料斗周围设置围栏，在</w:t>
            </w:r>
            <w:r>
              <w:rPr>
                <w:rFonts w:hint="eastAsia"/>
                <w:bCs/>
                <w:color w:val="000000" w:themeColor="text1"/>
                <w:kern w:val="0"/>
                <w:szCs w:val="21"/>
                <w14:textFill>
                  <w14:solidFill>
                    <w14:schemeClr w14:val="tx1"/>
                  </w14:solidFill>
                </w14:textFill>
              </w:rPr>
              <w:t>装卸工序过程采用喷淋洒水措施，增加空气湿度，使粉尘相互粘结成较重颗粒团，加速粉尘沉降，可有效处理无组织排放的粉尘颗粒物，处理效率可达78%，湿式除尘为《排放源统计调查产排污核算方法和系数手册》推荐和认可的粉尘处理技术。</w:t>
            </w:r>
          </w:p>
          <w:p w14:paraId="78B92676">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（2）破碎筛分粉尘</w:t>
            </w:r>
          </w:p>
          <w:p w14:paraId="720576D9">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参考《排污许可证申请与核发技术规范陶瓷砖瓦工业》(HJ954-2018) 表33其他制品类工业排污单位废气污染防治可行技术。“生产过程中破碎机、搅拌机、成型机、其他废气收集装置等对应的排放口”其可行技术为“湿式除尘或采用袋式除尘等技术”。</w:t>
            </w:r>
          </w:p>
          <w:p w14:paraId="56AD57F2">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本项目破碎、筛分环节采取喷洒抑尘，为湿式除尘，属于《排放源统计调查产排污核算方法和系数手册》推荐和认可的粉尘处理技术。</w:t>
            </w:r>
          </w:p>
          <w:p w14:paraId="5313B528">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（3）食堂油烟</w:t>
            </w:r>
          </w:p>
          <w:p w14:paraId="36199BFE">
            <w:pPr>
              <w:widowControl/>
              <w:snapToGrid w:val="0"/>
              <w:spacing w:line="360" w:lineRule="auto"/>
              <w:ind w:firstLine="420" w:firstLineChars="200"/>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油烟净化器是指油烟废气的处理装置，常用的油烟净化器主要有静电式、机械式、湿式、活性炭吸附式、等离子体式等类型。本项目油烟净化器选用静电式油烟净化</w:t>
            </w:r>
            <w:r>
              <w:rPr>
                <w:rFonts w:hint="eastAsia"/>
                <w:bCs/>
                <w:color w:val="000000" w:themeColor="text1"/>
                <w:kern w:val="0"/>
                <w:szCs w:val="21"/>
                <w:lang w:val="en-US" w:eastAsia="zh-CN"/>
                <w14:textFill>
                  <w14:solidFill>
                    <w14:schemeClr w14:val="tx1"/>
                  </w14:solidFill>
                </w14:textFill>
              </w:rPr>
              <w:t>装置</w:t>
            </w:r>
            <w:r>
              <w:rPr>
                <w:bCs/>
                <w:color w:val="000000" w:themeColor="text1"/>
                <w:kern w:val="0"/>
                <w:szCs w:val="21"/>
                <w14:textFill>
                  <w14:solidFill>
                    <w14:schemeClr w14:val="tx1"/>
                  </w14:solidFill>
                </w14:textFill>
              </w:rPr>
              <w:t>，其工作原理为利用高压电场使油烟颗粒带电，在电场力的作用下，带电油烟颗粒被吸附到集尘板上，从而实现油烟与空气的分离。本项目食堂油烟经过</w:t>
            </w:r>
            <w:r>
              <w:rPr>
                <w:rFonts w:hint="eastAsia"/>
                <w:bCs/>
                <w:color w:val="000000" w:themeColor="text1"/>
                <w:kern w:val="0"/>
                <w:szCs w:val="21"/>
                <w:lang w:val="en-US" w:eastAsia="zh-CN"/>
                <w14:textFill>
                  <w14:solidFill>
                    <w14:schemeClr w14:val="tx1"/>
                  </w14:solidFill>
                </w14:textFill>
              </w:rPr>
              <w:t>静电</w:t>
            </w:r>
            <w:r>
              <w:rPr>
                <w:bCs/>
                <w:color w:val="000000" w:themeColor="text1"/>
                <w:kern w:val="0"/>
                <w:szCs w:val="21"/>
                <w14:textFill>
                  <w14:solidFill>
                    <w14:schemeClr w14:val="tx1"/>
                  </w14:solidFill>
                </w14:textFill>
              </w:rPr>
              <w:t>油烟净化</w:t>
            </w:r>
            <w:r>
              <w:rPr>
                <w:rFonts w:hint="eastAsia"/>
                <w:bCs/>
                <w:color w:val="000000" w:themeColor="text1"/>
                <w:kern w:val="0"/>
                <w:szCs w:val="21"/>
                <w:lang w:val="en-US" w:eastAsia="zh-CN"/>
                <w14:textFill>
                  <w14:solidFill>
                    <w14:schemeClr w14:val="tx1"/>
                  </w14:solidFill>
                </w14:textFill>
              </w:rPr>
              <w:t>装置</w:t>
            </w:r>
            <w:r>
              <w:rPr>
                <w:bCs/>
                <w:color w:val="000000" w:themeColor="text1"/>
                <w:kern w:val="0"/>
                <w:szCs w:val="21"/>
                <w14:textFill>
                  <w14:solidFill>
                    <w14:schemeClr w14:val="tx1"/>
                  </w14:solidFill>
                </w14:textFill>
              </w:rPr>
              <w:t>处理后通过食堂楼顶排气管排放，以上措施对食堂油烟污染的控制是可行的。</w:t>
            </w:r>
          </w:p>
          <w:p w14:paraId="0F823EA9">
            <w:pPr>
              <w:widowControl/>
              <w:snapToGrid w:val="0"/>
              <w:spacing w:line="360" w:lineRule="auto"/>
              <w:ind w:firstLine="420" w:firstLineChars="200"/>
              <w:rPr>
                <w:bCs/>
                <w:color w:val="000000" w:themeColor="text1"/>
                <w:kern w:val="0"/>
                <w:szCs w:val="21"/>
                <w14:textFill>
                  <w14:solidFill>
                    <w14:schemeClr w14:val="tx1"/>
                  </w14:solidFill>
                </w14:textFill>
              </w:rPr>
            </w:pPr>
            <w:r>
              <w:rPr>
                <w:rFonts w:hint="eastAsia"/>
                <w:bCs/>
                <w:color w:val="000000" w:themeColor="text1"/>
                <w:kern w:val="0"/>
                <w:szCs w:val="21"/>
                <w14:textFill>
                  <w14:solidFill>
                    <w14:schemeClr w14:val="tx1"/>
                  </w14:solidFill>
                </w14:textFill>
              </w:rPr>
              <w:t>综上所述，本项目废气污染防治措施是可行的。</w:t>
            </w:r>
          </w:p>
          <w:p w14:paraId="12AA95A4">
            <w:pPr>
              <w:widowControl/>
              <w:spacing w:line="360" w:lineRule="auto"/>
              <w:ind w:firstLine="422" w:firstLineChars="200"/>
              <w:jc w:val="left"/>
              <w:rPr>
                <w:rFonts w:ascii="宋体" w:hAnsi="宋体" w:cs="宋体"/>
                <w:b/>
                <w:bCs/>
                <w:color w:val="000000" w:themeColor="text1"/>
                <w:kern w:val="0"/>
                <w:szCs w:val="21"/>
                <w:lang w:bidi="ar"/>
                <w14:textFill>
                  <w14:solidFill>
                    <w14:schemeClr w14:val="tx1"/>
                  </w14:solidFill>
                </w14:textFill>
              </w:rPr>
            </w:pPr>
            <w:r>
              <w:rPr>
                <w:rFonts w:hint="eastAsia"/>
                <w:b/>
                <w:bCs/>
                <w:color w:val="000000" w:themeColor="text1"/>
                <w:kern w:val="0"/>
                <w:szCs w:val="21"/>
                <w:lang w:bidi="ar"/>
                <w14:textFill>
                  <w14:solidFill>
                    <w14:schemeClr w14:val="tx1"/>
                  </w14:solidFill>
                </w14:textFill>
              </w:rPr>
              <w:t>4</w:t>
            </w:r>
            <w:r>
              <w:rPr>
                <w:rFonts w:hint="eastAsia" w:ascii="宋体" w:hAnsi="宋体" w:cs="宋体"/>
                <w:b/>
                <w:bCs/>
                <w:color w:val="000000" w:themeColor="text1"/>
                <w:kern w:val="0"/>
                <w:szCs w:val="21"/>
                <w:lang w:bidi="ar"/>
                <w14:textFill>
                  <w14:solidFill>
                    <w14:schemeClr w14:val="tx1"/>
                  </w14:solidFill>
                </w14:textFill>
              </w:rPr>
              <w:t>、非正常工况分析</w:t>
            </w:r>
          </w:p>
          <w:p w14:paraId="353B698E">
            <w:pPr>
              <w:autoSpaceDE w:val="0"/>
              <w:autoSpaceDN w:val="0"/>
              <w:adjustRightInd w:val="0"/>
              <w:snapToGrid w:val="0"/>
              <w:spacing w:line="360" w:lineRule="auto"/>
              <w:ind w:firstLine="420" w:firstLineChars="200"/>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本项目在非正常工况下，废气治理设施短暂失效，则项目非正常工况下大气污染物排放情况见下表。</w:t>
            </w:r>
          </w:p>
          <w:p w14:paraId="434D302C">
            <w:pPr>
              <w:keepNext/>
              <w:spacing w:line="360" w:lineRule="auto"/>
              <w:jc w:val="center"/>
              <w:rPr>
                <w:b/>
                <w:color w:val="000000" w:themeColor="text1"/>
                <w:sz w:val="18"/>
                <w:szCs w:val="21"/>
                <w14:textFill>
                  <w14:solidFill>
                    <w14:schemeClr w14:val="tx1"/>
                  </w14:solidFill>
                </w14:textFill>
              </w:rPr>
            </w:pPr>
            <w:r>
              <w:rPr>
                <w:rFonts w:hint="eastAsia"/>
                <w:b/>
                <w:color w:val="000000" w:themeColor="text1"/>
                <w:sz w:val="18"/>
                <w:szCs w:val="21"/>
                <w14:textFill>
                  <w14:solidFill>
                    <w14:schemeClr w14:val="tx1"/>
                  </w14:solidFill>
                </w14:textFill>
              </w:rPr>
              <w:t>表4-</w:t>
            </w:r>
            <w:r>
              <w:rPr>
                <w:rFonts w:hint="eastAsia"/>
                <w:b/>
                <w:color w:val="000000" w:themeColor="text1"/>
                <w:sz w:val="18"/>
                <w:szCs w:val="21"/>
                <w:lang w:val="en-US" w:eastAsia="zh-CN"/>
                <w14:textFill>
                  <w14:solidFill>
                    <w14:schemeClr w14:val="tx1"/>
                  </w14:solidFill>
                </w14:textFill>
              </w:rPr>
              <w:t>10</w:t>
            </w:r>
            <w:r>
              <w:rPr>
                <w:rFonts w:hint="eastAsia"/>
                <w:b/>
                <w:color w:val="000000" w:themeColor="text1"/>
                <w:sz w:val="18"/>
                <w:szCs w:val="21"/>
                <w14:textFill>
                  <w14:solidFill>
                    <w14:schemeClr w14:val="tx1"/>
                  </w14:solidFill>
                </w14:textFill>
              </w:rPr>
              <w:t xml:space="preserve"> 非正常工况下大气污染排放情况一览表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272"/>
              <w:gridCol w:w="783"/>
              <w:gridCol w:w="2094"/>
              <w:gridCol w:w="1938"/>
              <w:gridCol w:w="1346"/>
              <w:gridCol w:w="1399"/>
              <w:gridCol w:w="2277"/>
            </w:tblGrid>
            <w:tr w14:paraId="1DC9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5" w:type="pct"/>
                  <w:shd w:val="clear" w:color="auto" w:fill="D9D9D9"/>
                  <w:vAlign w:val="center"/>
                </w:tcPr>
                <w:p w14:paraId="033DDBAF">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污染源</w:t>
                  </w:r>
                </w:p>
              </w:tc>
              <w:tc>
                <w:tcPr>
                  <w:tcW w:w="856" w:type="pct"/>
                  <w:shd w:val="clear" w:color="auto" w:fill="D9D9D9"/>
                  <w:vAlign w:val="center"/>
                </w:tcPr>
                <w:p w14:paraId="772177ED">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非正常排放原因</w:t>
                  </w:r>
                </w:p>
              </w:tc>
              <w:tc>
                <w:tcPr>
                  <w:tcW w:w="295" w:type="pct"/>
                  <w:shd w:val="clear" w:color="auto" w:fill="D9D9D9"/>
                  <w:vAlign w:val="center"/>
                </w:tcPr>
                <w:p w14:paraId="5A02B782">
                  <w:pPr>
                    <w:adjustRightInd w:val="0"/>
                    <w:snapToGrid w:val="0"/>
                    <w:spacing w:line="264" w:lineRule="auto"/>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污染物</w:t>
                  </w:r>
                </w:p>
              </w:tc>
              <w:tc>
                <w:tcPr>
                  <w:tcW w:w="789" w:type="pct"/>
                  <w:shd w:val="clear" w:color="auto" w:fill="D9D9D9"/>
                  <w:vAlign w:val="center"/>
                </w:tcPr>
                <w:p w14:paraId="3546E319">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非正常排放浓度mg/m</w:t>
                  </w:r>
                  <w:r>
                    <w:rPr>
                      <w:b/>
                      <w:bCs/>
                      <w:color w:val="000000" w:themeColor="text1"/>
                      <w:kern w:val="0"/>
                      <w:sz w:val="18"/>
                      <w:szCs w:val="18"/>
                      <w:vertAlign w:val="superscript"/>
                      <w:lang w:bidi="ar"/>
                      <w14:textFill>
                        <w14:solidFill>
                          <w14:schemeClr w14:val="tx1"/>
                        </w14:solidFill>
                      </w14:textFill>
                    </w:rPr>
                    <w:t>3</w:t>
                  </w:r>
                </w:p>
              </w:tc>
              <w:tc>
                <w:tcPr>
                  <w:tcW w:w="730" w:type="pct"/>
                  <w:shd w:val="clear" w:color="auto" w:fill="D9D9D9"/>
                  <w:vAlign w:val="center"/>
                </w:tcPr>
                <w:p w14:paraId="7B830CFF">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非正常排放速率/kg/h</w:t>
                  </w:r>
                </w:p>
              </w:tc>
              <w:tc>
                <w:tcPr>
                  <w:tcW w:w="507" w:type="pct"/>
                  <w:shd w:val="clear" w:color="auto" w:fill="D9D9D9"/>
                  <w:vAlign w:val="center"/>
                </w:tcPr>
                <w:p w14:paraId="6D968773">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单次持续时间</w:t>
                  </w:r>
                </w:p>
                <w:p w14:paraId="42D72783">
                  <w:pPr>
                    <w:widowControl/>
                    <w:spacing w:line="264" w:lineRule="auto"/>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/h</w:t>
                  </w:r>
                </w:p>
              </w:tc>
              <w:tc>
                <w:tcPr>
                  <w:tcW w:w="527" w:type="pct"/>
                  <w:shd w:val="clear" w:color="auto" w:fill="D9D9D9"/>
                  <w:vAlign w:val="center"/>
                </w:tcPr>
                <w:p w14:paraId="5313933F">
                  <w:pPr>
                    <w:widowControl/>
                    <w:spacing w:line="264" w:lineRule="auto"/>
                    <w:jc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年发生频次/次</w:t>
                  </w:r>
                </w:p>
              </w:tc>
              <w:tc>
                <w:tcPr>
                  <w:tcW w:w="858" w:type="pct"/>
                  <w:shd w:val="clear" w:color="auto" w:fill="D9D9D9"/>
                  <w:vAlign w:val="center"/>
                </w:tcPr>
                <w:p w14:paraId="3104BCBE">
                  <w:pPr>
                    <w:adjustRightInd w:val="0"/>
                    <w:snapToGrid w:val="0"/>
                    <w:spacing w:line="264" w:lineRule="auto"/>
                    <w:jc w:val="center"/>
                    <w:rPr>
                      <w:b/>
                      <w:bCs/>
                      <w:color w:val="000000" w:themeColor="text1"/>
                      <w:sz w:val="18"/>
                      <w:szCs w:val="18"/>
                      <w14:textFill>
                        <w14:solidFill>
                          <w14:schemeClr w14:val="tx1"/>
                        </w14:solidFill>
                      </w14:textFill>
                    </w:rPr>
                  </w:pPr>
                  <w:r>
                    <w:rPr>
                      <w:b/>
                      <w:bCs/>
                      <w:color w:val="000000" w:themeColor="text1"/>
                      <w:sz w:val="18"/>
                      <w:szCs w:val="18"/>
                      <w14:textFill>
                        <w14:solidFill>
                          <w14:schemeClr w14:val="tx1"/>
                        </w14:solidFill>
                      </w14:textFill>
                    </w:rPr>
                    <w:t>应对措施</w:t>
                  </w:r>
                </w:p>
              </w:tc>
            </w:tr>
            <w:tr w14:paraId="6D570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435" w:type="pct"/>
                  <w:vAlign w:val="center"/>
                </w:tcPr>
                <w:p w14:paraId="57EF37D7">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sz w:val="18"/>
                      <w14:textFill>
                        <w14:solidFill>
                          <w14:schemeClr w14:val="tx1"/>
                        </w14:solidFill>
                      </w14:textFill>
                    </w:rPr>
                    <w:t>汽车运输</w:t>
                  </w:r>
                </w:p>
              </w:tc>
              <w:tc>
                <w:tcPr>
                  <w:tcW w:w="856" w:type="pct"/>
                  <w:vMerge w:val="restart"/>
                  <w:vAlign w:val="center"/>
                </w:tcPr>
                <w:p w14:paraId="0F3E120B">
                  <w:pPr>
                    <w:widowControl/>
                    <w:jc w:val="center"/>
                    <w:rPr>
                      <w:bCs/>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停水导致喷淋、洒水失效</w:t>
                  </w:r>
                </w:p>
              </w:tc>
              <w:tc>
                <w:tcPr>
                  <w:tcW w:w="295" w:type="pct"/>
                  <w:vAlign w:val="center"/>
                </w:tcPr>
                <w:p w14:paraId="5B46E8CA">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789" w:type="pct"/>
                  <w:vAlign w:val="center"/>
                </w:tcPr>
                <w:p w14:paraId="4A5D8172">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730" w:type="pct"/>
                  <w:vAlign w:val="center"/>
                </w:tcPr>
                <w:p w14:paraId="003BDA1E">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w:t>
                  </w:r>
                  <w:r>
                    <w:rPr>
                      <w:rFonts w:hint="eastAsia"/>
                      <w:color w:val="000000" w:themeColor="text1"/>
                      <w:kern w:val="0"/>
                      <w:sz w:val="18"/>
                      <w:szCs w:val="18"/>
                      <w:lang w:val="en-US" w:eastAsia="zh-CN" w:bidi="ar"/>
                      <w14:textFill>
                        <w14:solidFill>
                          <w14:schemeClr w14:val="tx1"/>
                        </w14:solidFill>
                      </w14:textFill>
                    </w:rPr>
                    <w:t>134</w:t>
                  </w:r>
                </w:p>
              </w:tc>
              <w:tc>
                <w:tcPr>
                  <w:tcW w:w="507" w:type="pct"/>
                  <w:vAlign w:val="center"/>
                </w:tcPr>
                <w:p w14:paraId="132B735D">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0.5</w:t>
                  </w:r>
                </w:p>
              </w:tc>
              <w:tc>
                <w:tcPr>
                  <w:tcW w:w="527" w:type="pct"/>
                  <w:vAlign w:val="center"/>
                </w:tcPr>
                <w:p w14:paraId="04F56EB0">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w:t>
                  </w:r>
                </w:p>
              </w:tc>
              <w:tc>
                <w:tcPr>
                  <w:tcW w:w="858" w:type="pct"/>
                  <w:vMerge w:val="restart"/>
                  <w:vAlign w:val="center"/>
                </w:tcPr>
                <w:p w14:paraId="56A404BF">
                  <w:pPr>
                    <w:widowControl/>
                    <w:jc w:val="center"/>
                    <w:rPr>
                      <w:bCs/>
                      <w:color w:val="000000" w:themeColor="text1"/>
                      <w:sz w:val="18"/>
                      <w:szCs w:val="18"/>
                      <w14:textFill>
                        <w14:solidFill>
                          <w14:schemeClr w14:val="tx1"/>
                        </w14:solidFill>
                      </w14:textFill>
                    </w:rPr>
                  </w:pPr>
                  <w:r>
                    <w:rPr>
                      <w:rFonts w:hint="eastAsia" w:ascii="宋体" w:hAnsi="宋体" w:cs="宋体"/>
                      <w:color w:val="000000" w:themeColor="text1"/>
                      <w:kern w:val="0"/>
                      <w:sz w:val="18"/>
                      <w:szCs w:val="18"/>
                      <w:lang w:bidi="ar"/>
                      <w14:textFill>
                        <w14:solidFill>
                          <w14:schemeClr w14:val="tx1"/>
                        </w14:solidFill>
                      </w14:textFill>
                    </w:rPr>
                    <w:t>关停生产设施，及时检修</w:t>
                  </w:r>
                </w:p>
              </w:tc>
            </w:tr>
            <w:tr w14:paraId="475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35" w:type="pct"/>
                  <w:vAlign w:val="center"/>
                </w:tcPr>
                <w:p w14:paraId="3F09F36D">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sz w:val="18"/>
                      <w14:textFill>
                        <w14:solidFill>
                          <w14:schemeClr w14:val="tx1"/>
                        </w14:solidFill>
                      </w14:textFill>
                    </w:rPr>
                    <w:t>装卸</w:t>
                  </w:r>
                </w:p>
              </w:tc>
              <w:tc>
                <w:tcPr>
                  <w:tcW w:w="856" w:type="pct"/>
                  <w:vMerge w:val="continue"/>
                  <w:vAlign w:val="center"/>
                </w:tcPr>
                <w:p w14:paraId="7BCC7216">
                  <w:pPr>
                    <w:widowControl/>
                    <w:spacing w:line="264" w:lineRule="auto"/>
                    <w:jc w:val="center"/>
                    <w:rPr>
                      <w:color w:val="000000" w:themeColor="text1"/>
                      <w:kern w:val="0"/>
                      <w:sz w:val="18"/>
                      <w:szCs w:val="18"/>
                      <w:lang w:bidi="ar"/>
                      <w14:textFill>
                        <w14:solidFill>
                          <w14:schemeClr w14:val="tx1"/>
                        </w14:solidFill>
                      </w14:textFill>
                    </w:rPr>
                  </w:pPr>
                </w:p>
              </w:tc>
              <w:tc>
                <w:tcPr>
                  <w:tcW w:w="295" w:type="pct"/>
                  <w:vAlign w:val="center"/>
                </w:tcPr>
                <w:p w14:paraId="6D41BFDC">
                  <w:pPr>
                    <w:adjustRightInd w:val="0"/>
                    <w:snapToGrid w:val="0"/>
                    <w:spacing w:line="264" w:lineRule="auto"/>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789" w:type="pct"/>
                  <w:vAlign w:val="center"/>
                </w:tcPr>
                <w:p w14:paraId="0E6A3D2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730" w:type="pct"/>
                  <w:vAlign w:val="center"/>
                </w:tcPr>
                <w:p w14:paraId="1CB8E01B">
                  <w:pPr>
                    <w:widowControl/>
                    <w:jc w:val="center"/>
                    <w:textAlignment w:val="center"/>
                    <w:rPr>
                      <w:color w:val="000000" w:themeColor="text1"/>
                      <w:kern w:val="0"/>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0.26</w:t>
                  </w:r>
                  <w:r>
                    <w:rPr>
                      <w:rFonts w:hint="eastAsia"/>
                      <w:color w:val="000000" w:themeColor="text1"/>
                      <w:kern w:val="0"/>
                      <w:sz w:val="18"/>
                      <w:szCs w:val="18"/>
                      <w:lang w:bidi="ar"/>
                      <w14:textFill>
                        <w14:solidFill>
                          <w14:schemeClr w14:val="tx1"/>
                        </w14:solidFill>
                      </w14:textFill>
                    </w:rPr>
                    <w:t>4</w:t>
                  </w:r>
                </w:p>
              </w:tc>
              <w:tc>
                <w:tcPr>
                  <w:tcW w:w="507" w:type="pct"/>
                  <w:vAlign w:val="center"/>
                </w:tcPr>
                <w:p w14:paraId="7B7A249A">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0.5</w:t>
                  </w:r>
                </w:p>
              </w:tc>
              <w:tc>
                <w:tcPr>
                  <w:tcW w:w="527" w:type="pct"/>
                  <w:vAlign w:val="center"/>
                </w:tcPr>
                <w:p w14:paraId="17DB1C03">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w:t>
                  </w:r>
                </w:p>
              </w:tc>
              <w:tc>
                <w:tcPr>
                  <w:tcW w:w="858" w:type="pct"/>
                  <w:vMerge w:val="continue"/>
                  <w:vAlign w:val="center"/>
                </w:tcPr>
                <w:p w14:paraId="4BCE6080">
                  <w:pPr>
                    <w:widowControl/>
                    <w:spacing w:line="264" w:lineRule="auto"/>
                    <w:jc w:val="center"/>
                    <w:rPr>
                      <w:color w:val="000000" w:themeColor="text1"/>
                      <w:kern w:val="0"/>
                      <w:sz w:val="18"/>
                      <w:szCs w:val="18"/>
                      <w:lang w:bidi="ar"/>
                      <w14:textFill>
                        <w14:solidFill>
                          <w14:schemeClr w14:val="tx1"/>
                        </w14:solidFill>
                      </w14:textFill>
                    </w:rPr>
                  </w:pPr>
                </w:p>
              </w:tc>
            </w:tr>
            <w:tr w14:paraId="7509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14:paraId="3C205D63">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sz w:val="18"/>
                      <w14:textFill>
                        <w14:solidFill>
                          <w14:schemeClr w14:val="tx1"/>
                        </w14:solidFill>
                      </w14:textFill>
                    </w:rPr>
                    <w:t>破碎、筛分</w:t>
                  </w:r>
                </w:p>
              </w:tc>
              <w:tc>
                <w:tcPr>
                  <w:tcW w:w="856" w:type="pct"/>
                  <w:vMerge w:val="continue"/>
                  <w:vAlign w:val="center"/>
                </w:tcPr>
                <w:p w14:paraId="40AB6626">
                  <w:pPr>
                    <w:widowControl/>
                    <w:spacing w:line="264" w:lineRule="auto"/>
                    <w:jc w:val="center"/>
                    <w:rPr>
                      <w:color w:val="000000" w:themeColor="text1"/>
                      <w:kern w:val="0"/>
                      <w:sz w:val="18"/>
                      <w:szCs w:val="18"/>
                      <w:lang w:bidi="ar"/>
                      <w14:textFill>
                        <w14:solidFill>
                          <w14:schemeClr w14:val="tx1"/>
                        </w14:solidFill>
                      </w14:textFill>
                    </w:rPr>
                  </w:pPr>
                </w:p>
              </w:tc>
              <w:tc>
                <w:tcPr>
                  <w:tcW w:w="295" w:type="pct"/>
                  <w:vAlign w:val="center"/>
                </w:tcPr>
                <w:p w14:paraId="0A7A88B7">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789" w:type="pct"/>
                  <w:vAlign w:val="center"/>
                </w:tcPr>
                <w:p w14:paraId="19DB7DD8">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730" w:type="pct"/>
                  <w:vAlign w:val="center"/>
                </w:tcPr>
                <w:p w14:paraId="14778523">
                  <w:pPr>
                    <w:pStyle w:val="46"/>
                    <w:rPr>
                      <w:color w:val="000000" w:themeColor="text1"/>
                      <w:kern w:val="0"/>
                      <w:szCs w:val="18"/>
                      <w14:textFill>
                        <w14:solidFill>
                          <w14:schemeClr w14:val="tx1"/>
                        </w14:solidFill>
                      </w14:textFill>
                    </w:rPr>
                  </w:pPr>
                  <w:r>
                    <w:rPr>
                      <w:color w:val="000000" w:themeColor="text1"/>
                      <w14:textFill>
                        <w14:solidFill>
                          <w14:schemeClr w14:val="tx1"/>
                        </w14:solidFill>
                      </w14:textFill>
                    </w:rPr>
                    <w:t>908.</w:t>
                  </w:r>
                  <w:r>
                    <w:rPr>
                      <w:rFonts w:hint="eastAsia"/>
                      <w:color w:val="000000" w:themeColor="text1"/>
                      <w14:textFill>
                        <w14:solidFill>
                          <w14:schemeClr w14:val="tx1"/>
                        </w14:solidFill>
                      </w14:textFill>
                    </w:rPr>
                    <w:t>2</w:t>
                  </w:r>
                </w:p>
              </w:tc>
              <w:tc>
                <w:tcPr>
                  <w:tcW w:w="507" w:type="pct"/>
                  <w:vAlign w:val="center"/>
                </w:tcPr>
                <w:p w14:paraId="483B55FF">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0.5</w:t>
                  </w:r>
                </w:p>
              </w:tc>
              <w:tc>
                <w:tcPr>
                  <w:tcW w:w="527" w:type="pct"/>
                  <w:vAlign w:val="center"/>
                </w:tcPr>
                <w:p w14:paraId="275F0003">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w:t>
                  </w:r>
                </w:p>
              </w:tc>
              <w:tc>
                <w:tcPr>
                  <w:tcW w:w="858" w:type="pct"/>
                  <w:vMerge w:val="continue"/>
                  <w:vAlign w:val="center"/>
                </w:tcPr>
                <w:p w14:paraId="02904DE8">
                  <w:pPr>
                    <w:widowControl/>
                    <w:spacing w:line="264" w:lineRule="auto"/>
                    <w:jc w:val="center"/>
                    <w:rPr>
                      <w:color w:val="000000" w:themeColor="text1"/>
                      <w:kern w:val="0"/>
                      <w:sz w:val="18"/>
                      <w:szCs w:val="18"/>
                      <w:lang w:bidi="ar"/>
                      <w14:textFill>
                        <w14:solidFill>
                          <w14:schemeClr w14:val="tx1"/>
                        </w14:solidFill>
                      </w14:textFill>
                    </w:rPr>
                  </w:pPr>
                </w:p>
              </w:tc>
            </w:tr>
            <w:tr w14:paraId="0DC5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vAlign w:val="center"/>
                </w:tcPr>
                <w:p w14:paraId="7AB25D1F">
                  <w:pPr>
                    <w:adjustRightInd w:val="0"/>
                    <w:snapToGrid w:val="0"/>
                    <w:jc w:val="center"/>
                    <w:rPr>
                      <w:rFonts w:hint="eastAsia" w:eastAsia="宋体"/>
                      <w:color w:val="000000" w:themeColor="text1"/>
                      <w:sz w:val="18"/>
                      <w:lang w:val="en-US" w:eastAsia="zh-CN"/>
                      <w14:textFill>
                        <w14:solidFill>
                          <w14:schemeClr w14:val="tx1"/>
                        </w14:solidFill>
                      </w14:textFill>
                    </w:rPr>
                  </w:pPr>
                  <w:r>
                    <w:rPr>
                      <w:rFonts w:hint="eastAsia"/>
                      <w:color w:val="000000" w:themeColor="text1"/>
                      <w:sz w:val="18"/>
                      <w:lang w:val="en-US" w:eastAsia="zh-CN"/>
                      <w14:textFill>
                        <w14:solidFill>
                          <w14:schemeClr w14:val="tx1"/>
                        </w14:solidFill>
                      </w14:textFill>
                    </w:rPr>
                    <w:t>堆场</w:t>
                  </w:r>
                </w:p>
              </w:tc>
              <w:tc>
                <w:tcPr>
                  <w:tcW w:w="856" w:type="pct"/>
                  <w:vMerge w:val="continue"/>
                  <w:vAlign w:val="center"/>
                </w:tcPr>
                <w:p w14:paraId="3EC3F408">
                  <w:pPr>
                    <w:widowControl/>
                    <w:spacing w:line="264" w:lineRule="auto"/>
                    <w:jc w:val="center"/>
                    <w:rPr>
                      <w:color w:val="000000" w:themeColor="text1"/>
                      <w:kern w:val="0"/>
                      <w:sz w:val="18"/>
                      <w:szCs w:val="18"/>
                      <w:lang w:bidi="ar"/>
                      <w14:textFill>
                        <w14:solidFill>
                          <w14:schemeClr w14:val="tx1"/>
                        </w14:solidFill>
                      </w14:textFill>
                    </w:rPr>
                  </w:pPr>
                </w:p>
              </w:tc>
              <w:tc>
                <w:tcPr>
                  <w:tcW w:w="295" w:type="pct"/>
                  <w:vAlign w:val="center"/>
                </w:tcPr>
                <w:p w14:paraId="01B5F92D">
                  <w:pPr>
                    <w:adjustRightInd w:val="0"/>
                    <w:snapToGrid w:val="0"/>
                    <w:spacing w:line="264" w:lineRule="auto"/>
                    <w:jc w:val="center"/>
                    <w:rPr>
                      <w:rFonts w:hint="eastAsia"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颗粒物</w:t>
                  </w:r>
                </w:p>
              </w:tc>
              <w:tc>
                <w:tcPr>
                  <w:tcW w:w="789" w:type="pct"/>
                  <w:vAlign w:val="center"/>
                </w:tcPr>
                <w:p w14:paraId="563382AB">
                  <w:pPr>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730" w:type="pct"/>
                  <w:vAlign w:val="center"/>
                </w:tcPr>
                <w:p w14:paraId="5AD8687A">
                  <w:pPr>
                    <w:pStyle w:val="46"/>
                    <w:rPr>
                      <w:color w:val="000000" w:themeColor="text1"/>
                      <w14:textFill>
                        <w14:solidFill>
                          <w14:schemeClr w14:val="tx1"/>
                        </w14:solidFill>
                      </w14:textFill>
                    </w:rPr>
                  </w:pPr>
                  <w:r>
                    <w:rPr>
                      <w:rFonts w:hint="default"/>
                      <w:color w:val="000000" w:themeColor="text1"/>
                      <w:lang w:val="en-US" w:eastAsia="zh-CN"/>
                      <w14:textFill>
                        <w14:solidFill>
                          <w14:schemeClr w14:val="tx1"/>
                        </w14:solidFill>
                      </w14:textFill>
                    </w:rPr>
                    <w:t>2.18</w:t>
                  </w:r>
                  <w:r>
                    <w:rPr>
                      <w:rFonts w:hint="eastAsia"/>
                      <w:color w:val="000000" w:themeColor="text1"/>
                      <w:lang w:val="en-US" w:eastAsia="zh-CN"/>
                      <w14:textFill>
                        <w14:solidFill>
                          <w14:schemeClr w14:val="tx1"/>
                        </w14:solidFill>
                      </w14:textFill>
                    </w:rPr>
                    <w:t>3</w:t>
                  </w:r>
                </w:p>
              </w:tc>
              <w:tc>
                <w:tcPr>
                  <w:tcW w:w="507" w:type="pct"/>
                  <w:vAlign w:val="center"/>
                </w:tcPr>
                <w:p w14:paraId="580EBAA1">
                  <w:pPr>
                    <w:adjustRightInd w:val="0"/>
                    <w:snapToGrid w:val="0"/>
                    <w:spacing w:line="264" w:lineRule="auto"/>
                    <w:jc w:val="center"/>
                    <w:rPr>
                      <w:rFonts w:hint="default"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0.5</w:t>
                  </w:r>
                </w:p>
              </w:tc>
              <w:tc>
                <w:tcPr>
                  <w:tcW w:w="527" w:type="pct"/>
                  <w:vAlign w:val="center"/>
                </w:tcPr>
                <w:p w14:paraId="6BA66356">
                  <w:pPr>
                    <w:adjustRightInd w:val="0"/>
                    <w:snapToGrid w:val="0"/>
                    <w:spacing w:line="264" w:lineRule="auto"/>
                    <w:jc w:val="center"/>
                    <w:rPr>
                      <w:rFonts w:hint="eastAsia" w:eastAsia="宋体"/>
                      <w:bCs/>
                      <w:color w:val="000000" w:themeColor="text1"/>
                      <w:sz w:val="18"/>
                      <w:szCs w:val="18"/>
                      <w:lang w:val="en-US" w:eastAsia="zh-CN"/>
                      <w14:textFill>
                        <w14:solidFill>
                          <w14:schemeClr w14:val="tx1"/>
                        </w14:solidFill>
                      </w14:textFill>
                    </w:rPr>
                  </w:pPr>
                  <w:r>
                    <w:rPr>
                      <w:rFonts w:hint="eastAsia"/>
                      <w:bCs/>
                      <w:color w:val="000000" w:themeColor="text1"/>
                      <w:sz w:val="18"/>
                      <w:szCs w:val="18"/>
                      <w:lang w:val="en-US" w:eastAsia="zh-CN"/>
                      <w14:textFill>
                        <w14:solidFill>
                          <w14:schemeClr w14:val="tx1"/>
                        </w14:solidFill>
                      </w14:textFill>
                    </w:rPr>
                    <w:t>1</w:t>
                  </w:r>
                </w:p>
              </w:tc>
              <w:tc>
                <w:tcPr>
                  <w:tcW w:w="858" w:type="pct"/>
                  <w:vMerge w:val="continue"/>
                  <w:vAlign w:val="center"/>
                </w:tcPr>
                <w:p w14:paraId="26481B6F">
                  <w:pPr>
                    <w:widowControl/>
                    <w:spacing w:line="264" w:lineRule="auto"/>
                    <w:jc w:val="center"/>
                    <w:rPr>
                      <w:color w:val="000000" w:themeColor="text1"/>
                      <w:kern w:val="0"/>
                      <w:sz w:val="18"/>
                      <w:szCs w:val="18"/>
                      <w:lang w:bidi="ar"/>
                      <w14:textFill>
                        <w14:solidFill>
                          <w14:schemeClr w14:val="tx1"/>
                        </w14:solidFill>
                      </w14:textFill>
                    </w:rPr>
                  </w:pPr>
                </w:p>
              </w:tc>
            </w:tr>
            <w:tr w14:paraId="0215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shd w:val="clear" w:color="auto" w:fill="auto"/>
                  <w:vAlign w:val="center"/>
                </w:tcPr>
                <w:p w14:paraId="07120A5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食堂</w:t>
                  </w:r>
                </w:p>
              </w:tc>
              <w:tc>
                <w:tcPr>
                  <w:tcW w:w="856" w:type="pct"/>
                  <w:shd w:val="clear" w:color="auto" w:fill="auto"/>
                  <w:vAlign w:val="center"/>
                </w:tcPr>
                <w:p w14:paraId="5A22D5F6">
                  <w:pPr>
                    <w:widowControl/>
                    <w:spacing w:line="264" w:lineRule="auto"/>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静电</w:t>
                  </w:r>
                  <w:r>
                    <w:rPr>
                      <w:rFonts w:hint="eastAsia"/>
                      <w:color w:val="000000" w:themeColor="text1"/>
                      <w:kern w:val="0"/>
                      <w:sz w:val="18"/>
                      <w:szCs w:val="18"/>
                      <w:lang w:bidi="ar"/>
                      <w14:textFill>
                        <w14:solidFill>
                          <w14:schemeClr w14:val="tx1"/>
                        </w14:solidFill>
                      </w14:textFill>
                    </w:rPr>
                    <w:t>油烟净化装置失效</w:t>
                  </w:r>
                </w:p>
              </w:tc>
              <w:tc>
                <w:tcPr>
                  <w:tcW w:w="295" w:type="pct"/>
                  <w:shd w:val="clear" w:color="auto" w:fill="auto"/>
                  <w:vAlign w:val="center"/>
                </w:tcPr>
                <w:p w14:paraId="057726F9">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油烟</w:t>
                  </w:r>
                </w:p>
              </w:tc>
              <w:tc>
                <w:tcPr>
                  <w:tcW w:w="789" w:type="pct"/>
                  <w:shd w:val="clear" w:color="auto" w:fill="auto"/>
                  <w:vAlign w:val="center"/>
                </w:tcPr>
                <w:p w14:paraId="471EC173">
                  <w:pPr>
                    <w:pStyle w:val="46"/>
                    <w:rPr>
                      <w:color w:val="000000" w:themeColor="text1"/>
                      <w:szCs w:val="18"/>
                      <w14:textFill>
                        <w14:solidFill>
                          <w14:schemeClr w14:val="tx1"/>
                        </w14:solidFill>
                      </w14:textFill>
                    </w:rPr>
                  </w:pPr>
                  <w:r>
                    <w:rPr>
                      <w:rFonts w:hint="eastAsia"/>
                      <w:color w:val="000000" w:themeColor="text1"/>
                      <w:szCs w:val="18"/>
                      <w:lang w:val="en-US" w:eastAsia="zh-CN"/>
                      <w14:textFill>
                        <w14:solidFill>
                          <w14:schemeClr w14:val="tx1"/>
                        </w14:solidFill>
                      </w14:textFill>
                    </w:rPr>
                    <w:t>0.149</w:t>
                  </w:r>
                </w:p>
              </w:tc>
              <w:tc>
                <w:tcPr>
                  <w:tcW w:w="730" w:type="pct"/>
                  <w:shd w:val="clear" w:color="auto" w:fill="auto"/>
                  <w:vAlign w:val="center"/>
                </w:tcPr>
                <w:p w14:paraId="01F02BF4">
                  <w:pPr>
                    <w:pStyle w:val="46"/>
                    <w:rPr>
                      <w:color w:val="000000" w:themeColor="text1"/>
                      <w:szCs w:val="18"/>
                      <w14:textFill>
                        <w14:solidFill>
                          <w14:schemeClr w14:val="tx1"/>
                        </w14:solidFill>
                      </w14:textFill>
                    </w:rPr>
                  </w:pPr>
                  <w:r>
                    <w:rPr>
                      <w:rFonts w:hint="default"/>
                      <w:color w:val="000000" w:themeColor="text1"/>
                      <w:lang w:val="en-US" w:eastAsia="zh-CN"/>
                      <w14:textFill>
                        <w14:solidFill>
                          <w14:schemeClr w14:val="tx1"/>
                        </w14:solidFill>
                      </w14:textFill>
                    </w:rPr>
                    <w:t>0.000</w:t>
                  </w:r>
                  <w:r>
                    <w:rPr>
                      <w:rFonts w:hint="eastAsia"/>
                      <w:color w:val="000000" w:themeColor="text1"/>
                      <w:lang w:val="en-US" w:eastAsia="zh-CN"/>
                      <w14:textFill>
                        <w14:solidFill>
                          <w14:schemeClr w14:val="tx1"/>
                        </w14:solidFill>
                      </w14:textFill>
                    </w:rPr>
                    <w:t>9</w:t>
                  </w:r>
                </w:p>
              </w:tc>
              <w:tc>
                <w:tcPr>
                  <w:tcW w:w="507" w:type="pct"/>
                  <w:shd w:val="clear" w:color="auto" w:fill="auto"/>
                  <w:vAlign w:val="center"/>
                </w:tcPr>
                <w:p w14:paraId="75D2D494">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0.5</w:t>
                  </w:r>
                </w:p>
              </w:tc>
              <w:tc>
                <w:tcPr>
                  <w:tcW w:w="527" w:type="pct"/>
                  <w:shd w:val="clear" w:color="auto" w:fill="auto"/>
                  <w:vAlign w:val="center"/>
                </w:tcPr>
                <w:p w14:paraId="343220AA">
                  <w:pPr>
                    <w:adjustRightInd w:val="0"/>
                    <w:snapToGrid w:val="0"/>
                    <w:spacing w:line="264" w:lineRule="auto"/>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w:t>
                  </w:r>
                </w:p>
              </w:tc>
              <w:tc>
                <w:tcPr>
                  <w:tcW w:w="858" w:type="pct"/>
                  <w:shd w:val="clear" w:color="auto" w:fill="auto"/>
                  <w:vAlign w:val="center"/>
                </w:tcPr>
                <w:p w14:paraId="021BDDB9">
                  <w:pPr>
                    <w:widowControl/>
                    <w:spacing w:line="264" w:lineRule="auto"/>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关停炉头，及时检修</w:t>
                  </w:r>
                </w:p>
              </w:tc>
            </w:tr>
          </w:tbl>
          <w:p w14:paraId="1474FCEF">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非正常工况下排放的污染物会对周围环境产生一定的影响。因此，建设单位必须加强废气治理措施的管理和维护，最大可能地减小废气非正常排放状况发生的概率。</w:t>
            </w:r>
          </w:p>
          <w:p w14:paraId="67182160">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本环评要求企业必须做好污染治理设施的日常维护与事故性排放的防护措施，尽量避免事故排放的发生，一旦发生事故时，能及时维修并采取相应防护措施，将污染影响降低到最小，建议建设单位做好以下防范工作：</w:t>
            </w:r>
          </w:p>
          <w:p w14:paraId="23C5602C">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①平时注意废气处理设施的维护，及时发现处理设备的隐患，确保废气处理系统正常运行；开、停、检修要有预案，有严密周全的计划，确保不发生非正常排放，或使影响最小。</w:t>
            </w:r>
          </w:p>
          <w:p w14:paraId="660748C1">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②应设有备用电源和备用处理设备和零件，以备停电或设备出现故障时保障及时更换使废气全部做到达标排放。</w:t>
            </w:r>
          </w:p>
          <w:p w14:paraId="407F0CF9">
            <w:pPr>
              <w:spacing w:line="360" w:lineRule="auto"/>
              <w:ind w:firstLine="420" w:firstLineChars="200"/>
              <w:jc w:val="left"/>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③对员工进行岗位培训。做好值班记录，实行岗位责任制。</w:t>
            </w:r>
          </w:p>
          <w:p w14:paraId="652185C5">
            <w:pPr>
              <w:pStyle w:val="52"/>
              <w:ind w:firstLine="422"/>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4、环境影响分析</w:t>
            </w:r>
          </w:p>
          <w:p w14:paraId="5215C430">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本项目有组织废气排放量见下表。</w:t>
            </w:r>
          </w:p>
          <w:p w14:paraId="28143550">
            <w:pPr>
              <w:keepNext/>
              <w:spacing w:line="360" w:lineRule="auto"/>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表4</w:t>
            </w:r>
            <w:r>
              <w:rPr>
                <w:rFonts w:hint="eastAsia"/>
                <w:b/>
                <w:color w:val="000000" w:themeColor="text1"/>
                <w:sz w:val="18"/>
                <w:szCs w:val="21"/>
                <w14:textFill>
                  <w14:solidFill>
                    <w14:schemeClr w14:val="tx1"/>
                  </w14:solidFill>
                </w14:textFill>
              </w:rPr>
              <w:t>-1</w:t>
            </w:r>
            <w:r>
              <w:rPr>
                <w:rFonts w:hint="eastAsia"/>
                <w:b/>
                <w:color w:val="000000" w:themeColor="text1"/>
                <w:sz w:val="18"/>
                <w:szCs w:val="21"/>
                <w:lang w:val="en-US" w:eastAsia="zh-CN"/>
                <w14:textFill>
                  <w14:solidFill>
                    <w14:schemeClr w14:val="tx1"/>
                  </w14:solidFill>
                </w14:textFill>
              </w:rPr>
              <w:t>1</w:t>
            </w:r>
            <w:r>
              <w:rPr>
                <w:rFonts w:hint="eastAsia"/>
                <w:b/>
                <w:color w:val="000000" w:themeColor="text1"/>
                <w:sz w:val="18"/>
                <w:szCs w:val="21"/>
                <w14:textFill>
                  <w14:solidFill>
                    <w14:schemeClr w14:val="tx1"/>
                  </w14:solidFill>
                </w14:textFill>
              </w:rPr>
              <w:t xml:space="preserve"> </w:t>
            </w:r>
            <w:r>
              <w:rPr>
                <w:b/>
                <w:color w:val="000000" w:themeColor="text1"/>
                <w:sz w:val="18"/>
                <w:szCs w:val="21"/>
                <w14:textFill>
                  <w14:solidFill>
                    <w14:schemeClr w14:val="tx1"/>
                  </w14:solidFill>
                </w14:textFill>
              </w:rPr>
              <w:t>本项目有组织排放量核算表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674"/>
              <w:gridCol w:w="1733"/>
              <w:gridCol w:w="1399"/>
              <w:gridCol w:w="1187"/>
              <w:gridCol w:w="3042"/>
              <w:gridCol w:w="3424"/>
              <w:gridCol w:w="674"/>
            </w:tblGrid>
            <w:tr w14:paraId="0B52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8" w:type="pct"/>
                  <w:vMerge w:val="restart"/>
                  <w:shd w:val="clear" w:color="auto" w:fill="D9D9D9"/>
                  <w:vAlign w:val="center"/>
                </w:tcPr>
                <w:p w14:paraId="2A4E09AB">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排放源</w:t>
                  </w:r>
                </w:p>
              </w:tc>
              <w:tc>
                <w:tcPr>
                  <w:tcW w:w="254" w:type="pct"/>
                  <w:vMerge w:val="restart"/>
                  <w:shd w:val="clear" w:color="auto" w:fill="D9D9D9"/>
                  <w:vAlign w:val="center"/>
                </w:tcPr>
                <w:p w14:paraId="0ED5A32A">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评价因子</w:t>
                  </w:r>
                </w:p>
              </w:tc>
              <w:tc>
                <w:tcPr>
                  <w:tcW w:w="1627" w:type="pct"/>
                  <w:gridSpan w:val="3"/>
                  <w:shd w:val="clear" w:color="auto" w:fill="D9D9D9"/>
                  <w:vAlign w:val="center"/>
                </w:tcPr>
                <w:p w14:paraId="34E14505">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排放情况</w:t>
                  </w:r>
                </w:p>
              </w:tc>
              <w:tc>
                <w:tcPr>
                  <w:tcW w:w="2436" w:type="pct"/>
                  <w:gridSpan w:val="2"/>
                  <w:shd w:val="clear" w:color="auto" w:fill="D9D9D9"/>
                  <w:vAlign w:val="center"/>
                </w:tcPr>
                <w:p w14:paraId="4121A496">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排放标准</w:t>
                  </w:r>
                </w:p>
              </w:tc>
              <w:tc>
                <w:tcPr>
                  <w:tcW w:w="254" w:type="pct"/>
                  <w:vMerge w:val="restart"/>
                  <w:shd w:val="clear" w:color="auto" w:fill="D9D9D9"/>
                  <w:vAlign w:val="center"/>
                </w:tcPr>
                <w:p w14:paraId="42B3EB2E">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达标情况</w:t>
                  </w:r>
                </w:p>
              </w:tc>
            </w:tr>
            <w:tr w14:paraId="6D84C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428" w:type="pct"/>
                  <w:vMerge w:val="continue"/>
                  <w:shd w:val="clear" w:color="auto" w:fill="auto"/>
                  <w:vAlign w:val="center"/>
                </w:tcPr>
                <w:p w14:paraId="667B7075">
                  <w:pPr>
                    <w:widowControl/>
                    <w:adjustRightInd w:val="0"/>
                    <w:snapToGrid w:val="0"/>
                    <w:jc w:val="center"/>
                    <w:rPr>
                      <w:snapToGrid w:val="0"/>
                      <w:color w:val="000000" w:themeColor="text1"/>
                      <w:sz w:val="18"/>
                      <w:szCs w:val="18"/>
                      <w14:textFill>
                        <w14:solidFill>
                          <w14:schemeClr w14:val="tx1"/>
                        </w14:solidFill>
                      </w14:textFill>
                    </w:rPr>
                  </w:pPr>
                </w:p>
              </w:tc>
              <w:tc>
                <w:tcPr>
                  <w:tcW w:w="254" w:type="pct"/>
                  <w:vMerge w:val="continue"/>
                  <w:shd w:val="clear" w:color="auto" w:fill="auto"/>
                  <w:vAlign w:val="center"/>
                </w:tcPr>
                <w:p w14:paraId="289614F8">
                  <w:pPr>
                    <w:widowControl/>
                    <w:adjustRightInd w:val="0"/>
                    <w:snapToGrid w:val="0"/>
                    <w:jc w:val="center"/>
                    <w:rPr>
                      <w:snapToGrid w:val="0"/>
                      <w:color w:val="000000" w:themeColor="text1"/>
                      <w:sz w:val="18"/>
                      <w:szCs w:val="18"/>
                      <w14:textFill>
                        <w14:solidFill>
                          <w14:schemeClr w14:val="tx1"/>
                        </w14:solidFill>
                      </w14:textFill>
                    </w:rPr>
                  </w:pPr>
                </w:p>
              </w:tc>
              <w:tc>
                <w:tcPr>
                  <w:tcW w:w="653" w:type="pct"/>
                  <w:shd w:val="clear" w:color="auto" w:fill="D9D9D9"/>
                  <w:vAlign w:val="center"/>
                </w:tcPr>
                <w:p w14:paraId="20AF271E">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排放浓度（mg/m</w:t>
                  </w:r>
                  <w:r>
                    <w:rPr>
                      <w:b/>
                      <w:snapToGrid w:val="0"/>
                      <w:color w:val="000000" w:themeColor="text1"/>
                      <w:sz w:val="18"/>
                      <w:szCs w:val="18"/>
                      <w:vertAlign w:val="superscript"/>
                      <w14:textFill>
                        <w14:solidFill>
                          <w14:schemeClr w14:val="tx1"/>
                        </w14:solidFill>
                      </w14:textFill>
                    </w:rPr>
                    <w:t>3</w:t>
                  </w:r>
                  <w:r>
                    <w:rPr>
                      <w:b/>
                      <w:snapToGrid w:val="0"/>
                      <w:color w:val="000000" w:themeColor="text1"/>
                      <w:sz w:val="18"/>
                      <w:szCs w:val="18"/>
                      <w14:textFill>
                        <w14:solidFill>
                          <w14:schemeClr w14:val="tx1"/>
                        </w14:solidFill>
                      </w14:textFill>
                    </w:rPr>
                    <w:t>）</w:t>
                  </w:r>
                </w:p>
              </w:tc>
              <w:tc>
                <w:tcPr>
                  <w:tcW w:w="527" w:type="pct"/>
                  <w:shd w:val="clear" w:color="auto" w:fill="D9D9D9"/>
                  <w:vAlign w:val="center"/>
                </w:tcPr>
                <w:p w14:paraId="7A7C6623">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排放速率</w:t>
                  </w:r>
                </w:p>
                <w:p w14:paraId="11674E6B">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（kg/h）</w:t>
                  </w:r>
                </w:p>
              </w:tc>
              <w:tc>
                <w:tcPr>
                  <w:tcW w:w="447" w:type="pct"/>
                  <w:shd w:val="clear" w:color="auto" w:fill="D9D9D9"/>
                  <w:vAlign w:val="center"/>
                </w:tcPr>
                <w:p w14:paraId="43382288">
                  <w:pPr>
                    <w:widowControl/>
                    <w:adjustRightInd w:val="0"/>
                    <w:snapToGrid w:val="0"/>
                    <w:jc w:val="center"/>
                    <w:rPr>
                      <w:b/>
                      <w:snapToGrid w:val="0"/>
                      <w:color w:val="000000" w:themeColor="text1"/>
                      <w:sz w:val="18"/>
                      <w:szCs w:val="18"/>
                      <w14:textFill>
                        <w14:solidFill>
                          <w14:schemeClr w14:val="tx1"/>
                        </w14:solidFill>
                      </w14:textFill>
                    </w:rPr>
                  </w:pPr>
                  <w:r>
                    <w:rPr>
                      <w:rFonts w:hint="eastAsia"/>
                      <w:b/>
                      <w:snapToGrid w:val="0"/>
                      <w:color w:val="000000" w:themeColor="text1"/>
                      <w:sz w:val="18"/>
                      <w:szCs w:val="18"/>
                      <w14:textFill>
                        <w14:solidFill>
                          <w14:schemeClr w14:val="tx1"/>
                        </w14:solidFill>
                      </w14:textFill>
                    </w:rPr>
                    <w:t>排放量</w:t>
                  </w:r>
                </w:p>
                <w:p w14:paraId="5B919611">
                  <w:pPr>
                    <w:widowControl/>
                    <w:adjustRightInd w:val="0"/>
                    <w:snapToGrid w:val="0"/>
                    <w:jc w:val="center"/>
                    <w:rPr>
                      <w:b/>
                      <w:snapToGrid w:val="0"/>
                      <w:color w:val="000000" w:themeColor="text1"/>
                      <w:sz w:val="18"/>
                      <w:szCs w:val="18"/>
                      <w14:textFill>
                        <w14:solidFill>
                          <w14:schemeClr w14:val="tx1"/>
                        </w14:solidFill>
                      </w14:textFill>
                    </w:rPr>
                  </w:pPr>
                  <w:r>
                    <w:rPr>
                      <w:rFonts w:hint="eastAsia"/>
                      <w:b/>
                      <w:snapToGrid w:val="0"/>
                      <w:color w:val="000000" w:themeColor="text1"/>
                      <w:sz w:val="18"/>
                      <w:szCs w:val="18"/>
                      <w14:textFill>
                        <w14:solidFill>
                          <w14:schemeClr w14:val="tx1"/>
                        </w14:solidFill>
                      </w14:textFill>
                    </w:rPr>
                    <w:t>（t/a）</w:t>
                  </w:r>
                </w:p>
              </w:tc>
              <w:tc>
                <w:tcPr>
                  <w:tcW w:w="1146" w:type="pct"/>
                  <w:shd w:val="clear" w:color="auto" w:fill="D9D9D9"/>
                  <w:vAlign w:val="center"/>
                </w:tcPr>
                <w:p w14:paraId="7B370222">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执行标准</w:t>
                  </w:r>
                </w:p>
              </w:tc>
              <w:tc>
                <w:tcPr>
                  <w:tcW w:w="1289" w:type="pct"/>
                  <w:shd w:val="clear" w:color="auto" w:fill="D9D9D9"/>
                  <w:vAlign w:val="center"/>
                </w:tcPr>
                <w:p w14:paraId="0859CB24">
                  <w:pPr>
                    <w:widowControl/>
                    <w:adjustRightInd w:val="0"/>
                    <w:snapToGrid w:val="0"/>
                    <w:jc w:val="center"/>
                    <w:rPr>
                      <w:b/>
                      <w:snapToGrid w:val="0"/>
                      <w:color w:val="000000" w:themeColor="text1"/>
                      <w:sz w:val="18"/>
                      <w:szCs w:val="18"/>
                      <w14:textFill>
                        <w14:solidFill>
                          <w14:schemeClr w14:val="tx1"/>
                        </w14:solidFill>
                      </w14:textFill>
                    </w:rPr>
                  </w:pPr>
                  <w:r>
                    <w:rPr>
                      <w:b/>
                      <w:snapToGrid w:val="0"/>
                      <w:color w:val="000000" w:themeColor="text1"/>
                      <w:sz w:val="18"/>
                      <w:szCs w:val="18"/>
                      <w14:textFill>
                        <w14:solidFill>
                          <w14:schemeClr w14:val="tx1"/>
                        </w14:solidFill>
                      </w14:textFill>
                    </w:rPr>
                    <w:t>最高允许排放浓度（mg/m</w:t>
                  </w:r>
                  <w:r>
                    <w:rPr>
                      <w:b/>
                      <w:snapToGrid w:val="0"/>
                      <w:color w:val="000000" w:themeColor="text1"/>
                      <w:sz w:val="18"/>
                      <w:szCs w:val="18"/>
                      <w:vertAlign w:val="superscript"/>
                      <w14:textFill>
                        <w14:solidFill>
                          <w14:schemeClr w14:val="tx1"/>
                        </w14:solidFill>
                      </w14:textFill>
                    </w:rPr>
                    <w:t>3</w:t>
                  </w:r>
                  <w:r>
                    <w:rPr>
                      <w:b/>
                      <w:snapToGrid w:val="0"/>
                      <w:color w:val="000000" w:themeColor="text1"/>
                      <w:sz w:val="18"/>
                      <w:szCs w:val="18"/>
                      <w14:textFill>
                        <w14:solidFill>
                          <w14:schemeClr w14:val="tx1"/>
                        </w14:solidFill>
                      </w14:textFill>
                    </w:rPr>
                    <w:t>）</w:t>
                  </w:r>
                </w:p>
              </w:tc>
              <w:tc>
                <w:tcPr>
                  <w:tcW w:w="254" w:type="pct"/>
                  <w:vMerge w:val="continue"/>
                  <w:vAlign w:val="center"/>
                </w:tcPr>
                <w:p w14:paraId="77D2D00F">
                  <w:pPr>
                    <w:widowControl/>
                    <w:adjustRightInd w:val="0"/>
                    <w:snapToGrid w:val="0"/>
                    <w:jc w:val="center"/>
                    <w:rPr>
                      <w:snapToGrid w:val="0"/>
                      <w:color w:val="000000" w:themeColor="text1"/>
                      <w:sz w:val="18"/>
                      <w:szCs w:val="18"/>
                      <w14:textFill>
                        <w14:solidFill>
                          <w14:schemeClr w14:val="tx1"/>
                        </w14:solidFill>
                      </w14:textFill>
                    </w:rPr>
                  </w:pPr>
                </w:p>
              </w:tc>
            </w:tr>
            <w:tr w14:paraId="5F90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pct"/>
                  <w:vAlign w:val="center"/>
                </w:tcPr>
                <w:p w14:paraId="18F44474">
                  <w:pPr>
                    <w:widowControl/>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DA001</w:t>
                  </w:r>
                </w:p>
              </w:tc>
              <w:tc>
                <w:tcPr>
                  <w:tcW w:w="254" w:type="pct"/>
                  <w:vAlign w:val="center"/>
                </w:tcPr>
                <w:p w14:paraId="6DF2CCE9">
                  <w:pPr>
                    <w:widowControl/>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食堂油烟</w:t>
                  </w:r>
                </w:p>
              </w:tc>
              <w:tc>
                <w:tcPr>
                  <w:tcW w:w="1753" w:type="dxa"/>
                  <w:vAlign w:val="center"/>
                </w:tcPr>
                <w:p w14:paraId="16ABFE62">
                  <w:pPr>
                    <w:adjustRightInd w:val="0"/>
                    <w:snapToGri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lang w:val="en-US" w:eastAsia="zh-CN"/>
                      <w14:textFill>
                        <w14:solidFill>
                          <w14:schemeClr w14:val="tx1"/>
                        </w14:solidFill>
                      </w14:textFill>
                    </w:rPr>
                    <w:t>0.0299</w:t>
                  </w:r>
                </w:p>
              </w:tc>
              <w:tc>
                <w:tcPr>
                  <w:tcW w:w="1415" w:type="dxa"/>
                  <w:vAlign w:val="center"/>
                </w:tcPr>
                <w:p w14:paraId="5F4AB344">
                  <w:pPr>
                    <w:adjustRightInd w:val="0"/>
                    <w:snapToGrid w:val="0"/>
                    <w:jc w:val="center"/>
                    <w:rPr>
                      <w:color w:val="000000" w:themeColor="text1"/>
                      <w:kern w:val="0"/>
                      <w:sz w:val="18"/>
                      <w:szCs w:val="18"/>
                      <w14:textFill>
                        <w14:solidFill>
                          <w14:schemeClr w14:val="tx1"/>
                        </w14:solidFill>
                      </w14:textFill>
                    </w:rPr>
                  </w:pPr>
                  <w:r>
                    <w:rPr>
                      <w:rFonts w:hint="default"/>
                      <w:color w:val="000000" w:themeColor="text1"/>
                      <w:kern w:val="0"/>
                      <w:sz w:val="18"/>
                      <w:szCs w:val="18"/>
                      <w:lang w:val="en-US" w:eastAsia="zh-CN"/>
                      <w14:textFill>
                        <w14:solidFill>
                          <w14:schemeClr w14:val="tx1"/>
                        </w14:solidFill>
                      </w14:textFill>
                    </w:rPr>
                    <w:t>0.0001</w:t>
                  </w:r>
                  <w:r>
                    <w:rPr>
                      <w:rFonts w:hint="eastAsia"/>
                      <w:color w:val="000000" w:themeColor="text1"/>
                      <w:kern w:val="0"/>
                      <w:sz w:val="18"/>
                      <w:szCs w:val="18"/>
                      <w:lang w:val="en-US" w:eastAsia="zh-CN"/>
                      <w14:textFill>
                        <w14:solidFill>
                          <w14:schemeClr w14:val="tx1"/>
                        </w14:solidFill>
                      </w14:textFill>
                    </w:rPr>
                    <w:t>8</w:t>
                  </w:r>
                </w:p>
              </w:tc>
              <w:tc>
                <w:tcPr>
                  <w:tcW w:w="1200" w:type="dxa"/>
                  <w:vAlign w:val="center"/>
                </w:tcPr>
                <w:p w14:paraId="4FCC2459">
                  <w:pPr>
                    <w:adjustRightInd w:val="0"/>
                    <w:snapToGrid w:val="0"/>
                    <w:jc w:val="center"/>
                    <w:rPr>
                      <w:color w:val="000000" w:themeColor="text1"/>
                      <w:kern w:val="0"/>
                      <w:sz w:val="18"/>
                      <w:szCs w:val="18"/>
                      <w:lang w:bidi="ar"/>
                      <w14:textFill>
                        <w14:solidFill>
                          <w14:schemeClr w14:val="tx1"/>
                        </w14:solidFill>
                      </w14:textFill>
                    </w:rPr>
                  </w:pPr>
                  <w:r>
                    <w:rPr>
                      <w:rFonts w:hint="default"/>
                      <w:color w:val="000000" w:themeColor="text1"/>
                      <w:kern w:val="0"/>
                      <w:sz w:val="18"/>
                      <w:szCs w:val="18"/>
                      <w:lang w:val="en-US" w:eastAsia="zh-CN" w:bidi="ar"/>
                      <w14:textFill>
                        <w14:solidFill>
                          <w14:schemeClr w14:val="tx1"/>
                        </w14:solidFill>
                      </w14:textFill>
                    </w:rPr>
                    <w:t>0.000198</w:t>
                  </w:r>
                </w:p>
              </w:tc>
              <w:tc>
                <w:tcPr>
                  <w:tcW w:w="1146" w:type="pct"/>
                  <w:vAlign w:val="center"/>
                </w:tcPr>
                <w:p w14:paraId="659B52B5">
                  <w:pPr>
                    <w:widowControl/>
                    <w:adjustRightInd w:val="0"/>
                    <w:snapToGrid w:val="0"/>
                    <w:jc w:val="center"/>
                    <w:rPr>
                      <w:snapToGrid w:val="0"/>
                      <w:color w:val="000000" w:themeColor="text1"/>
                      <w:sz w:val="18"/>
                      <w:szCs w:val="18"/>
                      <w14:textFill>
                        <w14:solidFill>
                          <w14:schemeClr w14:val="tx1"/>
                        </w14:solidFill>
                      </w14:textFill>
                    </w:rPr>
                  </w:pPr>
                  <w:r>
                    <w:rPr>
                      <w:rFonts w:hint="eastAsia"/>
                      <w:snapToGrid w:val="0"/>
                      <w:color w:val="000000" w:themeColor="text1"/>
                      <w:sz w:val="18"/>
                      <w:szCs w:val="18"/>
                      <w14:textFill>
                        <w14:solidFill>
                          <w14:schemeClr w14:val="tx1"/>
                        </w14:solidFill>
                      </w14:textFill>
                    </w:rPr>
                    <w:t>《饮食业油烟排放标准（试行）》（GB18483-2001）中的中型标准</w:t>
                  </w:r>
                </w:p>
              </w:tc>
              <w:tc>
                <w:tcPr>
                  <w:tcW w:w="1289" w:type="pct"/>
                  <w:vAlign w:val="center"/>
                </w:tcPr>
                <w:p w14:paraId="12C0C492">
                  <w:pPr>
                    <w:snapToGrid w:val="0"/>
                    <w:jc w:val="center"/>
                    <w:rPr>
                      <w:color w:val="000000" w:themeColor="text1"/>
                      <w:sz w:val="18"/>
                      <w:szCs w:val="18"/>
                      <w14:textFill>
                        <w14:solidFill>
                          <w14:schemeClr w14:val="tx1"/>
                        </w14:solidFill>
                      </w14:textFill>
                    </w:rPr>
                  </w:pPr>
                  <w:r>
                    <w:rPr>
                      <w:rFonts w:hint="eastAsia" w:cs="Calibri"/>
                      <w:color w:val="000000" w:themeColor="text1"/>
                      <w:kern w:val="0"/>
                      <w:sz w:val="18"/>
                      <w:szCs w:val="18"/>
                      <w14:textFill>
                        <w14:solidFill>
                          <w14:schemeClr w14:val="tx1"/>
                        </w14:solidFill>
                      </w14:textFill>
                    </w:rPr>
                    <w:t>2</w:t>
                  </w:r>
                </w:p>
              </w:tc>
              <w:tc>
                <w:tcPr>
                  <w:tcW w:w="254" w:type="pct"/>
                  <w:vAlign w:val="center"/>
                </w:tcPr>
                <w:p w14:paraId="0841CE37">
                  <w:pPr>
                    <w:widowControl/>
                    <w:adjustRightInd w:val="0"/>
                    <w:snapToGrid w:val="0"/>
                    <w:jc w:val="center"/>
                    <w:rPr>
                      <w:snapToGrid w:val="0"/>
                      <w:color w:val="000000" w:themeColor="text1"/>
                      <w:sz w:val="18"/>
                      <w:szCs w:val="18"/>
                      <w14:textFill>
                        <w14:solidFill>
                          <w14:schemeClr w14:val="tx1"/>
                        </w14:solidFill>
                      </w14:textFill>
                    </w:rPr>
                  </w:pPr>
                  <w:r>
                    <w:rPr>
                      <w:snapToGrid w:val="0"/>
                      <w:color w:val="000000" w:themeColor="text1"/>
                      <w:sz w:val="18"/>
                      <w:szCs w:val="18"/>
                      <w14:textFill>
                        <w14:solidFill>
                          <w14:schemeClr w14:val="tx1"/>
                        </w14:solidFill>
                      </w14:textFill>
                    </w:rPr>
                    <w:t>达标</w:t>
                  </w:r>
                </w:p>
              </w:tc>
            </w:tr>
          </w:tbl>
          <w:p w14:paraId="4DE7E034">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本项目无组织废气排放量见下表。</w:t>
            </w:r>
          </w:p>
          <w:p w14:paraId="53911596">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废气无组织排放量核算表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910"/>
              <w:gridCol w:w="616"/>
              <w:gridCol w:w="2673"/>
              <w:gridCol w:w="4969"/>
              <w:gridCol w:w="1534"/>
              <w:gridCol w:w="1229"/>
            </w:tblGrid>
            <w:tr w14:paraId="4BD4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restart"/>
                  <w:shd w:val="clear" w:color="auto" w:fill="D9D9D9"/>
                  <w:vAlign w:val="center"/>
                </w:tcPr>
                <w:p w14:paraId="7FF60E81">
                  <w:pPr>
                    <w:widowControl/>
                    <w:jc w:val="center"/>
                    <w:rPr>
                      <w:b/>
                      <w:bCs/>
                      <w:color w:val="000000" w:themeColor="text1"/>
                      <w:kern w:val="0"/>
                      <w:sz w:val="18"/>
                      <w:szCs w:val="18"/>
                      <w:lang w:bidi="ar"/>
                      <w14:textFill>
                        <w14:solidFill>
                          <w14:schemeClr w14:val="tx1"/>
                        </w14:solidFill>
                      </w14:textFill>
                    </w:rPr>
                  </w:pPr>
                  <w:r>
                    <w:rPr>
                      <w:b/>
                      <w:bCs/>
                      <w:color w:val="000000" w:themeColor="text1"/>
                      <w:sz w:val="18"/>
                      <w:szCs w:val="18"/>
                      <w14:textFill>
                        <w14:solidFill>
                          <w14:schemeClr w14:val="tx1"/>
                        </w14:solidFill>
                      </w14:textFill>
                    </w:rPr>
                    <w:t>工序/生产线</w:t>
                  </w:r>
                </w:p>
              </w:tc>
              <w:tc>
                <w:tcPr>
                  <w:tcW w:w="343" w:type="pct"/>
                  <w:vMerge w:val="restart"/>
                  <w:shd w:val="clear" w:color="auto" w:fill="D9D9D9"/>
                  <w:vAlign w:val="center"/>
                </w:tcPr>
                <w:p w14:paraId="1D97641A">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产污环节</w:t>
                  </w:r>
                </w:p>
              </w:tc>
              <w:tc>
                <w:tcPr>
                  <w:tcW w:w="232" w:type="pct"/>
                  <w:vMerge w:val="restart"/>
                  <w:shd w:val="clear" w:color="auto" w:fill="D9D9D9"/>
                  <w:vAlign w:val="center"/>
                </w:tcPr>
                <w:p w14:paraId="53E7E906">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污染物</w:t>
                  </w:r>
                </w:p>
              </w:tc>
              <w:tc>
                <w:tcPr>
                  <w:tcW w:w="1007" w:type="pct"/>
                  <w:vMerge w:val="restart"/>
                  <w:shd w:val="clear" w:color="auto" w:fill="D9D9D9"/>
                  <w:vAlign w:val="center"/>
                </w:tcPr>
                <w:p w14:paraId="02E37223">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主要污染防治措施</w:t>
                  </w:r>
                </w:p>
              </w:tc>
              <w:tc>
                <w:tcPr>
                  <w:tcW w:w="2449" w:type="pct"/>
                  <w:gridSpan w:val="2"/>
                  <w:shd w:val="clear" w:color="auto" w:fill="D9D9D9"/>
                  <w:vAlign w:val="center"/>
                </w:tcPr>
                <w:p w14:paraId="6A9E4BDB">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国家或地方污染物排放标准</w:t>
                  </w:r>
                </w:p>
              </w:tc>
              <w:tc>
                <w:tcPr>
                  <w:tcW w:w="463" w:type="pct"/>
                  <w:vMerge w:val="restart"/>
                  <w:shd w:val="clear" w:color="auto" w:fill="D9D9D9"/>
                  <w:vAlign w:val="center"/>
                </w:tcPr>
                <w:p w14:paraId="55D0F1AB">
                  <w:pPr>
                    <w:widowControl/>
                    <w:jc w:val="center"/>
                    <w:rPr>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年排放量（t/a）</w:t>
                  </w:r>
                </w:p>
              </w:tc>
            </w:tr>
            <w:tr w14:paraId="02DF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20247CA7">
                  <w:pPr>
                    <w:widowControl/>
                    <w:jc w:val="center"/>
                    <w:rPr>
                      <w:b/>
                      <w:bCs/>
                      <w:color w:val="000000" w:themeColor="text1"/>
                      <w:kern w:val="0"/>
                      <w:sz w:val="18"/>
                      <w:szCs w:val="18"/>
                      <w:lang w:bidi="ar"/>
                      <w14:textFill>
                        <w14:solidFill>
                          <w14:schemeClr w14:val="tx1"/>
                        </w14:solidFill>
                      </w14:textFill>
                    </w:rPr>
                  </w:pPr>
                </w:p>
              </w:tc>
              <w:tc>
                <w:tcPr>
                  <w:tcW w:w="343" w:type="pct"/>
                  <w:vMerge w:val="continue"/>
                  <w:vAlign w:val="center"/>
                </w:tcPr>
                <w:p w14:paraId="32CEDFB2">
                  <w:pPr>
                    <w:widowControl/>
                    <w:jc w:val="center"/>
                    <w:rPr>
                      <w:b/>
                      <w:bCs/>
                      <w:color w:val="000000" w:themeColor="text1"/>
                      <w:kern w:val="0"/>
                      <w:sz w:val="18"/>
                      <w:szCs w:val="18"/>
                      <w:lang w:bidi="ar"/>
                      <w14:textFill>
                        <w14:solidFill>
                          <w14:schemeClr w14:val="tx1"/>
                        </w14:solidFill>
                      </w14:textFill>
                    </w:rPr>
                  </w:pPr>
                </w:p>
              </w:tc>
              <w:tc>
                <w:tcPr>
                  <w:tcW w:w="232" w:type="pct"/>
                  <w:vMerge w:val="continue"/>
                  <w:vAlign w:val="center"/>
                </w:tcPr>
                <w:p w14:paraId="45687F03">
                  <w:pPr>
                    <w:widowControl/>
                    <w:jc w:val="center"/>
                    <w:rPr>
                      <w:b/>
                      <w:bCs/>
                      <w:color w:val="000000" w:themeColor="text1"/>
                      <w:kern w:val="0"/>
                      <w:sz w:val="18"/>
                      <w:szCs w:val="18"/>
                      <w:lang w:bidi="ar"/>
                      <w14:textFill>
                        <w14:solidFill>
                          <w14:schemeClr w14:val="tx1"/>
                        </w14:solidFill>
                      </w14:textFill>
                    </w:rPr>
                  </w:pPr>
                </w:p>
              </w:tc>
              <w:tc>
                <w:tcPr>
                  <w:tcW w:w="1007" w:type="pct"/>
                  <w:vMerge w:val="continue"/>
                  <w:vAlign w:val="center"/>
                </w:tcPr>
                <w:p w14:paraId="54DD7DA4">
                  <w:pPr>
                    <w:widowControl/>
                    <w:jc w:val="center"/>
                    <w:rPr>
                      <w:b/>
                      <w:bCs/>
                      <w:color w:val="000000" w:themeColor="text1"/>
                      <w:kern w:val="0"/>
                      <w:sz w:val="18"/>
                      <w:szCs w:val="18"/>
                      <w:lang w:bidi="ar"/>
                      <w14:textFill>
                        <w14:solidFill>
                          <w14:schemeClr w14:val="tx1"/>
                        </w14:solidFill>
                      </w14:textFill>
                    </w:rPr>
                  </w:pPr>
                </w:p>
              </w:tc>
              <w:tc>
                <w:tcPr>
                  <w:tcW w:w="1872" w:type="pct"/>
                  <w:shd w:val="clear" w:color="auto" w:fill="D9D9D9"/>
                  <w:vAlign w:val="center"/>
                </w:tcPr>
                <w:p w14:paraId="5029D777">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标准名称</w:t>
                  </w:r>
                </w:p>
              </w:tc>
              <w:tc>
                <w:tcPr>
                  <w:tcW w:w="577" w:type="pct"/>
                  <w:shd w:val="clear" w:color="auto" w:fill="D9D9D9"/>
                  <w:vAlign w:val="center"/>
                </w:tcPr>
                <w:p w14:paraId="703BD6BB">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浓度限值（mg/m</w:t>
                  </w:r>
                  <w:r>
                    <w:rPr>
                      <w:b/>
                      <w:bCs/>
                      <w:color w:val="000000" w:themeColor="text1"/>
                      <w:kern w:val="0"/>
                      <w:sz w:val="18"/>
                      <w:szCs w:val="18"/>
                      <w:vertAlign w:val="superscript"/>
                      <w:lang w:bidi="ar"/>
                      <w14:textFill>
                        <w14:solidFill>
                          <w14:schemeClr w14:val="tx1"/>
                        </w14:solidFill>
                      </w14:textFill>
                    </w:rPr>
                    <w:t>3</w:t>
                  </w:r>
                  <w:r>
                    <w:rPr>
                      <w:b/>
                      <w:bCs/>
                      <w:color w:val="000000" w:themeColor="text1"/>
                      <w:kern w:val="0"/>
                      <w:sz w:val="18"/>
                      <w:szCs w:val="18"/>
                      <w:lang w:bidi="ar"/>
                      <w14:textFill>
                        <w14:solidFill>
                          <w14:schemeClr w14:val="tx1"/>
                        </w14:solidFill>
                      </w14:textFill>
                    </w:rPr>
                    <w:t>）</w:t>
                  </w:r>
                </w:p>
              </w:tc>
              <w:tc>
                <w:tcPr>
                  <w:tcW w:w="463" w:type="pct"/>
                  <w:vMerge w:val="continue"/>
                  <w:vAlign w:val="center"/>
                </w:tcPr>
                <w:p w14:paraId="42A9B05B">
                  <w:pPr>
                    <w:widowControl/>
                    <w:jc w:val="center"/>
                    <w:rPr>
                      <w:color w:val="000000" w:themeColor="text1"/>
                      <w:kern w:val="0"/>
                      <w:sz w:val="18"/>
                      <w:szCs w:val="18"/>
                      <w:lang w:bidi="ar"/>
                      <w14:textFill>
                        <w14:solidFill>
                          <w14:schemeClr w14:val="tx1"/>
                        </w14:solidFill>
                      </w14:textFill>
                    </w:rPr>
                  </w:pPr>
                </w:p>
              </w:tc>
            </w:tr>
            <w:tr w14:paraId="4A8D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504" w:type="pct"/>
                  <w:vMerge w:val="restart"/>
                  <w:vAlign w:val="center"/>
                </w:tcPr>
                <w:p w14:paraId="4F701017">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碎石、机制砂生产线</w:t>
                  </w:r>
                </w:p>
              </w:tc>
              <w:tc>
                <w:tcPr>
                  <w:tcW w:w="343" w:type="pct"/>
                  <w:vAlign w:val="center"/>
                </w:tcPr>
                <w:p w14:paraId="19261CA6">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汽车运输</w:t>
                  </w:r>
                </w:p>
              </w:tc>
              <w:tc>
                <w:tcPr>
                  <w:tcW w:w="232" w:type="pct"/>
                  <w:vAlign w:val="center"/>
                </w:tcPr>
                <w:p w14:paraId="6625D210">
                  <w:pPr>
                    <w:adjustRightInd w:val="0"/>
                    <w:snapToGrid w:val="0"/>
                    <w:jc w:val="center"/>
                    <w:rPr>
                      <w:bCs/>
                      <w:color w:val="000000" w:themeColor="text1"/>
                      <w:sz w:val="18"/>
                      <w:szCs w:val="18"/>
                      <w14:textFill>
                        <w14:solidFill>
                          <w14:schemeClr w14:val="tx1"/>
                        </w14:solidFill>
                      </w14:textFill>
                    </w:rPr>
                  </w:pPr>
                  <w:r>
                    <w:rPr>
                      <w:rFonts w:hint="eastAsia"/>
                      <w:color w:val="000000" w:themeColor="text1"/>
                      <w:kern w:val="0"/>
                      <w:sz w:val="18"/>
                      <w:szCs w:val="18"/>
                      <w:lang w:bidi="ar"/>
                      <w14:textFill>
                        <w14:solidFill>
                          <w14:schemeClr w14:val="tx1"/>
                        </w14:solidFill>
                      </w14:textFill>
                    </w:rPr>
                    <w:t>颗粒物</w:t>
                  </w:r>
                </w:p>
              </w:tc>
              <w:tc>
                <w:tcPr>
                  <w:tcW w:w="1007" w:type="pct"/>
                  <w:vAlign w:val="center"/>
                </w:tcPr>
                <w:p w14:paraId="53F88DC6">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道路硬化、出入车辆冲洗、车辆管理</w:t>
                  </w:r>
                </w:p>
              </w:tc>
              <w:tc>
                <w:tcPr>
                  <w:tcW w:w="1872" w:type="pct"/>
                  <w:vMerge w:val="restart"/>
                  <w:vAlign w:val="center"/>
                </w:tcPr>
                <w:p w14:paraId="0163B63B">
                  <w:pPr>
                    <w:widowControl/>
                    <w:jc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广东省《大气污染物排放限值》（DB44/27-2001）中第二时段无组织排放监控浓度限值</w:t>
                  </w:r>
                </w:p>
              </w:tc>
              <w:tc>
                <w:tcPr>
                  <w:tcW w:w="577" w:type="pct"/>
                  <w:vMerge w:val="restart"/>
                  <w:vAlign w:val="center"/>
                </w:tcPr>
                <w:p w14:paraId="6952ABFB">
                  <w:pPr>
                    <w:widowControl/>
                    <w:jc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1.0</w:t>
                  </w:r>
                </w:p>
              </w:tc>
              <w:tc>
                <w:tcPr>
                  <w:tcW w:w="463" w:type="pct"/>
                  <w:shd w:val="clear" w:color="auto" w:fill="auto"/>
                  <w:vAlign w:val="center"/>
                </w:tcPr>
                <w:p w14:paraId="239C9F04">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0.5</w:t>
                  </w:r>
                  <w:r>
                    <w:rPr>
                      <w:rFonts w:hint="eastAsia"/>
                      <w:color w:val="000000" w:themeColor="text1"/>
                      <w:szCs w:val="18"/>
                      <w:lang w:val="en-US" w:eastAsia="zh-CN"/>
                      <w14:textFill>
                        <w14:solidFill>
                          <w14:schemeClr w14:val="tx1"/>
                        </w14:solidFill>
                      </w14:textFill>
                    </w:rPr>
                    <w:t>51</w:t>
                  </w:r>
                </w:p>
              </w:tc>
            </w:tr>
            <w:tr w14:paraId="35F6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25BC34AE">
                  <w:pPr>
                    <w:widowControl/>
                    <w:jc w:val="center"/>
                    <w:rPr>
                      <w:color w:val="000000" w:themeColor="text1"/>
                      <w:kern w:val="0"/>
                      <w:sz w:val="18"/>
                      <w:szCs w:val="18"/>
                      <w:lang w:bidi="ar"/>
                      <w14:textFill>
                        <w14:solidFill>
                          <w14:schemeClr w14:val="tx1"/>
                        </w14:solidFill>
                      </w14:textFill>
                    </w:rPr>
                  </w:pPr>
                </w:p>
              </w:tc>
              <w:tc>
                <w:tcPr>
                  <w:tcW w:w="343" w:type="pct"/>
                  <w:vAlign w:val="center"/>
                </w:tcPr>
                <w:p w14:paraId="403DBB52">
                  <w:pPr>
                    <w:widowControl/>
                    <w:jc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装卸</w:t>
                  </w:r>
                </w:p>
              </w:tc>
              <w:tc>
                <w:tcPr>
                  <w:tcW w:w="232" w:type="pct"/>
                  <w:vAlign w:val="center"/>
                </w:tcPr>
                <w:p w14:paraId="1B4816E7">
                  <w:pPr>
                    <w:adjustRightInd w:val="0"/>
                    <w:snapToGrid w:val="0"/>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颗粒物</w:t>
                  </w:r>
                </w:p>
              </w:tc>
              <w:tc>
                <w:tcPr>
                  <w:tcW w:w="1007" w:type="pct"/>
                  <w:vAlign w:val="center"/>
                </w:tcPr>
                <w:p w14:paraId="37A354CA">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洒水降尘、围栏</w:t>
                  </w:r>
                </w:p>
              </w:tc>
              <w:tc>
                <w:tcPr>
                  <w:tcW w:w="1872" w:type="pct"/>
                  <w:vMerge w:val="continue"/>
                  <w:vAlign w:val="center"/>
                </w:tcPr>
                <w:p w14:paraId="0FF89E0E">
                  <w:pPr>
                    <w:widowControl/>
                    <w:jc w:val="center"/>
                    <w:rPr>
                      <w:color w:val="000000" w:themeColor="text1"/>
                      <w:kern w:val="0"/>
                      <w:sz w:val="18"/>
                      <w:szCs w:val="18"/>
                      <w:lang w:bidi="ar"/>
                      <w14:textFill>
                        <w14:solidFill>
                          <w14:schemeClr w14:val="tx1"/>
                        </w14:solidFill>
                      </w14:textFill>
                    </w:rPr>
                  </w:pPr>
                </w:p>
              </w:tc>
              <w:tc>
                <w:tcPr>
                  <w:tcW w:w="577" w:type="pct"/>
                  <w:vMerge w:val="continue"/>
                  <w:vAlign w:val="center"/>
                </w:tcPr>
                <w:p w14:paraId="4FD43C4D">
                  <w:pPr>
                    <w:widowControl/>
                    <w:jc w:val="center"/>
                    <w:rPr>
                      <w:color w:val="000000" w:themeColor="text1"/>
                      <w:kern w:val="0"/>
                      <w:sz w:val="18"/>
                      <w:szCs w:val="18"/>
                      <w:lang w:bidi="ar"/>
                      <w14:textFill>
                        <w14:solidFill>
                          <w14:schemeClr w14:val="tx1"/>
                        </w14:solidFill>
                      </w14:textFill>
                    </w:rPr>
                  </w:pPr>
                </w:p>
              </w:tc>
              <w:tc>
                <w:tcPr>
                  <w:tcW w:w="463" w:type="pct"/>
                  <w:shd w:val="clear" w:color="auto" w:fill="auto"/>
                  <w:vAlign w:val="center"/>
                </w:tcPr>
                <w:p w14:paraId="1C1A3F2D">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0.00582</w:t>
                  </w:r>
                </w:p>
              </w:tc>
            </w:tr>
            <w:tr w14:paraId="643D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464372C6">
                  <w:pPr>
                    <w:widowControl/>
                    <w:jc w:val="center"/>
                    <w:rPr>
                      <w:color w:val="000000" w:themeColor="text1"/>
                      <w:kern w:val="0"/>
                      <w:sz w:val="18"/>
                      <w:szCs w:val="18"/>
                      <w:lang w:bidi="ar"/>
                      <w14:textFill>
                        <w14:solidFill>
                          <w14:schemeClr w14:val="tx1"/>
                        </w14:solidFill>
                      </w14:textFill>
                    </w:rPr>
                  </w:pPr>
                </w:p>
              </w:tc>
              <w:tc>
                <w:tcPr>
                  <w:tcW w:w="343" w:type="pct"/>
                  <w:vAlign w:val="center"/>
                </w:tcPr>
                <w:p w14:paraId="2496E43B">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破碎、筛分</w:t>
                  </w:r>
                </w:p>
              </w:tc>
              <w:tc>
                <w:tcPr>
                  <w:tcW w:w="232" w:type="pct"/>
                  <w:vAlign w:val="center"/>
                </w:tcPr>
                <w:p w14:paraId="4BBE7E27">
                  <w:pPr>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颗粒物</w:t>
                  </w:r>
                </w:p>
              </w:tc>
              <w:tc>
                <w:tcPr>
                  <w:tcW w:w="1007" w:type="pct"/>
                  <w:vAlign w:val="center"/>
                </w:tcPr>
                <w:p w14:paraId="65FA8C63">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洒水降尘、围栏、重力沉降</w:t>
                  </w:r>
                </w:p>
              </w:tc>
              <w:tc>
                <w:tcPr>
                  <w:tcW w:w="1872" w:type="pct"/>
                  <w:vMerge w:val="continue"/>
                  <w:vAlign w:val="center"/>
                </w:tcPr>
                <w:p w14:paraId="57E89338">
                  <w:pPr>
                    <w:widowControl/>
                    <w:jc w:val="center"/>
                    <w:rPr>
                      <w:color w:val="000000" w:themeColor="text1"/>
                      <w:kern w:val="0"/>
                      <w:sz w:val="18"/>
                      <w:szCs w:val="18"/>
                      <w:lang w:bidi="ar"/>
                      <w14:textFill>
                        <w14:solidFill>
                          <w14:schemeClr w14:val="tx1"/>
                        </w14:solidFill>
                      </w14:textFill>
                    </w:rPr>
                  </w:pPr>
                </w:p>
              </w:tc>
              <w:tc>
                <w:tcPr>
                  <w:tcW w:w="577" w:type="pct"/>
                  <w:vMerge w:val="continue"/>
                  <w:vAlign w:val="center"/>
                </w:tcPr>
                <w:p w14:paraId="1064C2B5">
                  <w:pPr>
                    <w:widowControl/>
                    <w:jc w:val="center"/>
                    <w:rPr>
                      <w:color w:val="000000" w:themeColor="text1"/>
                      <w:kern w:val="0"/>
                      <w:sz w:val="18"/>
                      <w:szCs w:val="18"/>
                      <w:lang w:bidi="ar"/>
                      <w14:textFill>
                        <w14:solidFill>
                          <w14:schemeClr w14:val="tx1"/>
                        </w14:solidFill>
                      </w14:textFill>
                    </w:rPr>
                  </w:pPr>
                </w:p>
              </w:tc>
              <w:tc>
                <w:tcPr>
                  <w:tcW w:w="463" w:type="pct"/>
                  <w:shd w:val="clear" w:color="auto" w:fill="auto"/>
                  <w:vAlign w:val="center"/>
                </w:tcPr>
                <w:p w14:paraId="048E5ACC">
                  <w:pPr>
                    <w:widowControl/>
                    <w:jc w:val="center"/>
                    <w:textAlignment w:val="center"/>
                    <w:rPr>
                      <w:color w:val="000000" w:themeColor="text1"/>
                      <w:sz w:val="18"/>
                      <w:szCs w:val="18"/>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10</w:t>
                  </w:r>
                  <w:r>
                    <w:rPr>
                      <w:color w:val="000000" w:themeColor="text1"/>
                      <w:kern w:val="0"/>
                      <w:sz w:val="18"/>
                      <w:szCs w:val="18"/>
                      <w:lang w:bidi="ar"/>
                      <w14:textFill>
                        <w14:solidFill>
                          <w14:schemeClr w14:val="tx1"/>
                        </w14:solidFill>
                      </w14:textFill>
                    </w:rPr>
                    <w:t>.03</w:t>
                  </w:r>
                </w:p>
              </w:tc>
            </w:tr>
            <w:tr w14:paraId="6910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06441DB4">
                  <w:pPr>
                    <w:widowControl/>
                    <w:jc w:val="center"/>
                    <w:rPr>
                      <w:color w:val="000000" w:themeColor="text1"/>
                      <w:kern w:val="0"/>
                      <w:sz w:val="18"/>
                      <w:szCs w:val="18"/>
                      <w:lang w:bidi="ar"/>
                      <w14:textFill>
                        <w14:solidFill>
                          <w14:schemeClr w14:val="tx1"/>
                        </w14:solidFill>
                      </w14:textFill>
                    </w:rPr>
                  </w:pPr>
                </w:p>
              </w:tc>
              <w:tc>
                <w:tcPr>
                  <w:tcW w:w="343" w:type="pct"/>
                  <w:vAlign w:val="center"/>
                </w:tcPr>
                <w:p w14:paraId="5DFBF270">
                  <w:pPr>
                    <w:widowControl/>
                    <w:jc w:val="center"/>
                    <w:rPr>
                      <w:rFonts w:hint="eastAsia"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堆场</w:t>
                  </w:r>
                </w:p>
              </w:tc>
              <w:tc>
                <w:tcPr>
                  <w:tcW w:w="232" w:type="pct"/>
                  <w:vAlign w:val="center"/>
                </w:tcPr>
                <w:p w14:paraId="64AE02CA">
                  <w:pPr>
                    <w:jc w:val="center"/>
                    <w:rPr>
                      <w:rFonts w:hint="eastAsia"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颗粒物</w:t>
                  </w:r>
                </w:p>
              </w:tc>
              <w:tc>
                <w:tcPr>
                  <w:tcW w:w="1007" w:type="pct"/>
                  <w:vAlign w:val="center"/>
                </w:tcPr>
                <w:p w14:paraId="663180EA">
                  <w:pPr>
                    <w:widowControl/>
                    <w:jc w:val="center"/>
                    <w:rPr>
                      <w:rFonts w:hint="eastAsia"/>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洒水降尘、</w:t>
                  </w:r>
                  <w:r>
                    <w:rPr>
                      <w:rFonts w:hint="eastAsia"/>
                      <w:color w:val="000000" w:themeColor="text1"/>
                      <w:kern w:val="0"/>
                      <w:sz w:val="18"/>
                      <w:szCs w:val="18"/>
                      <w:lang w:val="en-US" w:eastAsia="zh-CN" w:bidi="ar"/>
                      <w14:textFill>
                        <w14:solidFill>
                          <w14:schemeClr w14:val="tx1"/>
                        </w14:solidFill>
                      </w14:textFill>
                    </w:rPr>
                    <w:t>编织覆盖</w:t>
                  </w:r>
                  <w:r>
                    <w:rPr>
                      <w:rFonts w:hint="eastAsia"/>
                      <w:color w:val="000000" w:themeColor="text1"/>
                      <w:kern w:val="0"/>
                      <w:sz w:val="18"/>
                      <w:szCs w:val="18"/>
                      <w:lang w:bidi="ar"/>
                      <w14:textFill>
                        <w14:solidFill>
                          <w14:schemeClr w14:val="tx1"/>
                        </w14:solidFill>
                      </w14:textFill>
                    </w:rPr>
                    <w:t>、</w:t>
                  </w:r>
                  <w:r>
                    <w:rPr>
                      <w:rFonts w:hint="eastAsia"/>
                      <w:color w:val="000000" w:themeColor="text1"/>
                      <w:kern w:val="0"/>
                      <w:sz w:val="18"/>
                      <w:szCs w:val="18"/>
                      <w:lang w:val="en-US" w:eastAsia="zh-CN" w:bidi="ar"/>
                      <w14:textFill>
                        <w14:solidFill>
                          <w14:schemeClr w14:val="tx1"/>
                        </w14:solidFill>
                      </w14:textFill>
                    </w:rPr>
                    <w:t>半敞开式堆场</w:t>
                  </w:r>
                </w:p>
              </w:tc>
              <w:tc>
                <w:tcPr>
                  <w:tcW w:w="1872" w:type="pct"/>
                  <w:vMerge w:val="continue"/>
                  <w:vAlign w:val="center"/>
                </w:tcPr>
                <w:p w14:paraId="1EF84147">
                  <w:pPr>
                    <w:widowControl/>
                    <w:jc w:val="center"/>
                    <w:rPr>
                      <w:color w:val="000000" w:themeColor="text1"/>
                      <w:kern w:val="0"/>
                      <w:sz w:val="18"/>
                      <w:szCs w:val="18"/>
                      <w:lang w:bidi="ar"/>
                      <w14:textFill>
                        <w14:solidFill>
                          <w14:schemeClr w14:val="tx1"/>
                        </w14:solidFill>
                      </w14:textFill>
                    </w:rPr>
                  </w:pPr>
                </w:p>
              </w:tc>
              <w:tc>
                <w:tcPr>
                  <w:tcW w:w="577" w:type="pct"/>
                  <w:vMerge w:val="continue"/>
                  <w:vAlign w:val="center"/>
                </w:tcPr>
                <w:p w14:paraId="4E5C4297">
                  <w:pPr>
                    <w:widowControl/>
                    <w:jc w:val="center"/>
                    <w:rPr>
                      <w:color w:val="000000" w:themeColor="text1"/>
                      <w:kern w:val="0"/>
                      <w:sz w:val="18"/>
                      <w:szCs w:val="18"/>
                      <w:lang w:bidi="ar"/>
                      <w14:textFill>
                        <w14:solidFill>
                          <w14:schemeClr w14:val="tx1"/>
                        </w14:solidFill>
                      </w14:textFill>
                    </w:rPr>
                  </w:pPr>
                </w:p>
              </w:tc>
              <w:tc>
                <w:tcPr>
                  <w:tcW w:w="463" w:type="pct"/>
                  <w:shd w:val="clear" w:color="auto" w:fill="auto"/>
                  <w:vAlign w:val="center"/>
                </w:tcPr>
                <w:p w14:paraId="4E133CD7">
                  <w:pPr>
                    <w:widowControl/>
                    <w:jc w:val="center"/>
                    <w:textAlignment w:val="center"/>
                    <w:rPr>
                      <w:rFonts w:hint="eastAsia"/>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0.217</w:t>
                  </w:r>
                </w:p>
              </w:tc>
            </w:tr>
            <w:tr w14:paraId="66E3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77367CC7">
                  <w:pPr>
                    <w:widowControl/>
                    <w:jc w:val="center"/>
                    <w:rPr>
                      <w:color w:val="000000" w:themeColor="text1"/>
                      <w:kern w:val="0"/>
                      <w:sz w:val="18"/>
                      <w:szCs w:val="18"/>
                      <w:lang w:bidi="ar"/>
                      <w14:textFill>
                        <w14:solidFill>
                          <w14:schemeClr w14:val="tx1"/>
                        </w14:solidFill>
                      </w14:textFill>
                    </w:rPr>
                  </w:pPr>
                </w:p>
              </w:tc>
              <w:tc>
                <w:tcPr>
                  <w:tcW w:w="343" w:type="pct"/>
                  <w:vMerge w:val="restart"/>
                  <w:vAlign w:val="center"/>
                </w:tcPr>
                <w:p w14:paraId="4FFF775A">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运输车辆尾气</w:t>
                  </w:r>
                </w:p>
              </w:tc>
              <w:tc>
                <w:tcPr>
                  <w:tcW w:w="232" w:type="pct"/>
                  <w:shd w:val="clear" w:color="auto" w:fill="auto"/>
                  <w:vAlign w:val="center"/>
                </w:tcPr>
                <w:p w14:paraId="27775A59">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CO</w:t>
                  </w:r>
                </w:p>
              </w:tc>
              <w:tc>
                <w:tcPr>
                  <w:tcW w:w="1007" w:type="pct"/>
                  <w:vMerge w:val="restart"/>
                  <w:vAlign w:val="center"/>
                </w:tcPr>
                <w:p w14:paraId="1C1CC694">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w:t>
                  </w:r>
                </w:p>
              </w:tc>
              <w:tc>
                <w:tcPr>
                  <w:tcW w:w="1872" w:type="pct"/>
                  <w:vMerge w:val="continue"/>
                  <w:vAlign w:val="center"/>
                </w:tcPr>
                <w:p w14:paraId="05CCE5F2">
                  <w:pPr>
                    <w:widowControl/>
                    <w:jc w:val="center"/>
                    <w:rPr>
                      <w:color w:val="000000" w:themeColor="text1"/>
                      <w:kern w:val="0"/>
                      <w:sz w:val="18"/>
                      <w:szCs w:val="18"/>
                      <w:lang w:bidi="ar"/>
                      <w14:textFill>
                        <w14:solidFill>
                          <w14:schemeClr w14:val="tx1"/>
                        </w14:solidFill>
                      </w14:textFill>
                    </w:rPr>
                  </w:pPr>
                </w:p>
              </w:tc>
              <w:tc>
                <w:tcPr>
                  <w:tcW w:w="577" w:type="pct"/>
                  <w:vAlign w:val="center"/>
                </w:tcPr>
                <w:p w14:paraId="352A815C">
                  <w:pPr>
                    <w:snapToGrid w:val="0"/>
                    <w:jc w:val="center"/>
                    <w:rPr>
                      <w:color w:val="000000" w:themeColor="text1"/>
                      <w:kern w:val="0"/>
                      <w:sz w:val="18"/>
                      <w:szCs w:val="18"/>
                      <w:lang w:bidi="ar"/>
                      <w14:textFill>
                        <w14:solidFill>
                          <w14:schemeClr w14:val="tx1"/>
                        </w14:solidFill>
                      </w14:textFill>
                    </w:rPr>
                  </w:pPr>
                  <w:r>
                    <w:rPr>
                      <w:rFonts w:hint="eastAsia" w:cs="Calibri"/>
                      <w:color w:val="000000" w:themeColor="text1"/>
                      <w:kern w:val="0"/>
                      <w:sz w:val="18"/>
                      <w:szCs w:val="18"/>
                      <w14:textFill>
                        <w14:solidFill>
                          <w14:schemeClr w14:val="tx1"/>
                        </w14:solidFill>
                      </w14:textFill>
                    </w:rPr>
                    <w:t>8.0</w:t>
                  </w:r>
                </w:p>
              </w:tc>
              <w:tc>
                <w:tcPr>
                  <w:tcW w:w="463" w:type="pct"/>
                  <w:shd w:val="clear" w:color="auto" w:fill="auto"/>
                  <w:vAlign w:val="center"/>
                </w:tcPr>
                <w:p w14:paraId="7B968D9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0.175</w:t>
                  </w:r>
                </w:p>
              </w:tc>
            </w:tr>
            <w:tr w14:paraId="696C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2C320866">
                  <w:pPr>
                    <w:widowControl/>
                    <w:jc w:val="center"/>
                    <w:rPr>
                      <w:color w:val="000000" w:themeColor="text1"/>
                      <w:kern w:val="0"/>
                      <w:sz w:val="18"/>
                      <w:szCs w:val="18"/>
                      <w:lang w:bidi="ar"/>
                      <w14:textFill>
                        <w14:solidFill>
                          <w14:schemeClr w14:val="tx1"/>
                        </w14:solidFill>
                      </w14:textFill>
                    </w:rPr>
                  </w:pPr>
                </w:p>
              </w:tc>
              <w:tc>
                <w:tcPr>
                  <w:tcW w:w="343" w:type="pct"/>
                  <w:vMerge w:val="continue"/>
                  <w:vAlign w:val="center"/>
                </w:tcPr>
                <w:p w14:paraId="43D4745B">
                  <w:pPr>
                    <w:widowControl/>
                    <w:jc w:val="center"/>
                    <w:rPr>
                      <w:color w:val="000000" w:themeColor="text1"/>
                      <w:kern w:val="0"/>
                      <w:sz w:val="18"/>
                      <w:szCs w:val="18"/>
                      <w:lang w:bidi="ar"/>
                      <w14:textFill>
                        <w14:solidFill>
                          <w14:schemeClr w14:val="tx1"/>
                        </w14:solidFill>
                      </w14:textFill>
                    </w:rPr>
                  </w:pPr>
                </w:p>
              </w:tc>
              <w:tc>
                <w:tcPr>
                  <w:tcW w:w="232" w:type="pct"/>
                  <w:shd w:val="clear" w:color="auto" w:fill="auto"/>
                  <w:vAlign w:val="center"/>
                </w:tcPr>
                <w:p w14:paraId="20310DF2">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THC</w:t>
                  </w:r>
                </w:p>
              </w:tc>
              <w:tc>
                <w:tcPr>
                  <w:tcW w:w="1007" w:type="pct"/>
                  <w:vMerge w:val="continue"/>
                  <w:vAlign w:val="center"/>
                </w:tcPr>
                <w:p w14:paraId="2686082C">
                  <w:pPr>
                    <w:widowControl/>
                    <w:jc w:val="center"/>
                    <w:rPr>
                      <w:color w:val="000000" w:themeColor="text1"/>
                      <w:kern w:val="0"/>
                      <w:sz w:val="18"/>
                      <w:szCs w:val="18"/>
                      <w:lang w:bidi="ar"/>
                      <w14:textFill>
                        <w14:solidFill>
                          <w14:schemeClr w14:val="tx1"/>
                        </w14:solidFill>
                      </w14:textFill>
                    </w:rPr>
                  </w:pPr>
                </w:p>
              </w:tc>
              <w:tc>
                <w:tcPr>
                  <w:tcW w:w="1872" w:type="pct"/>
                  <w:vMerge w:val="continue"/>
                  <w:vAlign w:val="center"/>
                </w:tcPr>
                <w:p w14:paraId="23B742E3">
                  <w:pPr>
                    <w:widowControl/>
                    <w:jc w:val="center"/>
                    <w:rPr>
                      <w:color w:val="000000" w:themeColor="text1"/>
                      <w:kern w:val="0"/>
                      <w:sz w:val="18"/>
                      <w:szCs w:val="18"/>
                      <w:lang w:bidi="ar"/>
                      <w14:textFill>
                        <w14:solidFill>
                          <w14:schemeClr w14:val="tx1"/>
                        </w14:solidFill>
                      </w14:textFill>
                    </w:rPr>
                  </w:pPr>
                </w:p>
              </w:tc>
              <w:tc>
                <w:tcPr>
                  <w:tcW w:w="577" w:type="pct"/>
                  <w:vAlign w:val="center"/>
                </w:tcPr>
                <w:p w14:paraId="4CBD667A">
                  <w:pPr>
                    <w:snapToGrid w:val="0"/>
                    <w:jc w:val="center"/>
                    <w:rPr>
                      <w:color w:val="000000" w:themeColor="text1"/>
                      <w:kern w:val="0"/>
                      <w:sz w:val="18"/>
                      <w:szCs w:val="18"/>
                      <w:lang w:bidi="ar"/>
                      <w14:textFill>
                        <w14:solidFill>
                          <w14:schemeClr w14:val="tx1"/>
                        </w14:solidFill>
                      </w14:textFill>
                    </w:rPr>
                  </w:pPr>
                  <w:r>
                    <w:rPr>
                      <w:rFonts w:hint="eastAsia" w:cs="Calibri"/>
                      <w:color w:val="000000" w:themeColor="text1"/>
                      <w:kern w:val="0"/>
                      <w:sz w:val="18"/>
                      <w:szCs w:val="18"/>
                      <w14:textFill>
                        <w14:solidFill>
                          <w14:schemeClr w14:val="tx1"/>
                        </w14:solidFill>
                      </w14:textFill>
                    </w:rPr>
                    <w:t>0.12</w:t>
                  </w:r>
                </w:p>
              </w:tc>
              <w:tc>
                <w:tcPr>
                  <w:tcW w:w="463" w:type="pct"/>
                  <w:shd w:val="clear" w:color="auto" w:fill="auto"/>
                  <w:vAlign w:val="center"/>
                </w:tcPr>
                <w:p w14:paraId="1CE5209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0.0873</w:t>
                  </w:r>
                </w:p>
              </w:tc>
            </w:tr>
            <w:tr w14:paraId="5B612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16D6995E">
                  <w:pPr>
                    <w:widowControl/>
                    <w:jc w:val="center"/>
                    <w:rPr>
                      <w:color w:val="000000" w:themeColor="text1"/>
                      <w:kern w:val="0"/>
                      <w:sz w:val="18"/>
                      <w:szCs w:val="18"/>
                      <w:lang w:bidi="ar"/>
                      <w14:textFill>
                        <w14:solidFill>
                          <w14:schemeClr w14:val="tx1"/>
                        </w14:solidFill>
                      </w14:textFill>
                    </w:rPr>
                  </w:pPr>
                </w:p>
              </w:tc>
              <w:tc>
                <w:tcPr>
                  <w:tcW w:w="343" w:type="pct"/>
                  <w:vMerge w:val="continue"/>
                  <w:vAlign w:val="center"/>
                </w:tcPr>
                <w:p w14:paraId="131CFA8A">
                  <w:pPr>
                    <w:widowControl/>
                    <w:jc w:val="center"/>
                    <w:rPr>
                      <w:color w:val="000000" w:themeColor="text1"/>
                      <w:kern w:val="0"/>
                      <w:sz w:val="18"/>
                      <w:szCs w:val="18"/>
                      <w:lang w:bidi="ar"/>
                      <w14:textFill>
                        <w14:solidFill>
                          <w14:schemeClr w14:val="tx1"/>
                        </w14:solidFill>
                      </w14:textFill>
                    </w:rPr>
                  </w:pPr>
                </w:p>
              </w:tc>
              <w:tc>
                <w:tcPr>
                  <w:tcW w:w="232" w:type="pct"/>
                  <w:shd w:val="clear" w:color="auto" w:fill="auto"/>
                  <w:vAlign w:val="center"/>
                </w:tcPr>
                <w:p w14:paraId="16A24C0D">
                  <w:pPr>
                    <w:pStyle w:val="46"/>
                    <w:rPr>
                      <w:color w:val="000000" w:themeColor="text1"/>
                      <w:szCs w:val="18"/>
                      <w:vertAlign w:val="subscript"/>
                      <w14:textFill>
                        <w14:solidFill>
                          <w14:schemeClr w14:val="tx1"/>
                        </w14:solidFill>
                      </w14:textFill>
                    </w:rPr>
                  </w:pPr>
                  <w:r>
                    <w:rPr>
                      <w:rFonts w:hint="eastAsia"/>
                      <w:color w:val="000000" w:themeColor="text1"/>
                      <w:szCs w:val="18"/>
                      <w14:textFill>
                        <w14:solidFill>
                          <w14:schemeClr w14:val="tx1"/>
                        </w14:solidFill>
                      </w14:textFill>
                    </w:rPr>
                    <w:t>NO</w:t>
                  </w:r>
                  <w:r>
                    <w:rPr>
                      <w:rFonts w:hint="eastAsia"/>
                      <w:color w:val="000000" w:themeColor="text1"/>
                      <w:szCs w:val="18"/>
                      <w:vertAlign w:val="subscript"/>
                      <w14:textFill>
                        <w14:solidFill>
                          <w14:schemeClr w14:val="tx1"/>
                        </w14:solidFill>
                      </w14:textFill>
                    </w:rPr>
                    <w:t>x</w:t>
                  </w:r>
                </w:p>
              </w:tc>
              <w:tc>
                <w:tcPr>
                  <w:tcW w:w="1007" w:type="pct"/>
                  <w:vMerge w:val="continue"/>
                  <w:vAlign w:val="center"/>
                </w:tcPr>
                <w:p w14:paraId="34462863">
                  <w:pPr>
                    <w:widowControl/>
                    <w:jc w:val="center"/>
                    <w:rPr>
                      <w:color w:val="000000" w:themeColor="text1"/>
                      <w:kern w:val="0"/>
                      <w:sz w:val="18"/>
                      <w:szCs w:val="18"/>
                      <w:lang w:bidi="ar"/>
                      <w14:textFill>
                        <w14:solidFill>
                          <w14:schemeClr w14:val="tx1"/>
                        </w14:solidFill>
                      </w14:textFill>
                    </w:rPr>
                  </w:pPr>
                </w:p>
              </w:tc>
              <w:tc>
                <w:tcPr>
                  <w:tcW w:w="1872" w:type="pct"/>
                  <w:vMerge w:val="continue"/>
                  <w:vAlign w:val="center"/>
                </w:tcPr>
                <w:p w14:paraId="2F502019">
                  <w:pPr>
                    <w:widowControl/>
                    <w:jc w:val="center"/>
                    <w:rPr>
                      <w:color w:val="000000" w:themeColor="text1"/>
                      <w:kern w:val="0"/>
                      <w:sz w:val="18"/>
                      <w:szCs w:val="18"/>
                      <w:lang w:bidi="ar"/>
                      <w14:textFill>
                        <w14:solidFill>
                          <w14:schemeClr w14:val="tx1"/>
                        </w14:solidFill>
                      </w14:textFill>
                    </w:rPr>
                  </w:pPr>
                </w:p>
              </w:tc>
              <w:tc>
                <w:tcPr>
                  <w:tcW w:w="577" w:type="pct"/>
                  <w:vAlign w:val="center"/>
                </w:tcPr>
                <w:p w14:paraId="75F90B3D">
                  <w:pPr>
                    <w:snapToGrid w:val="0"/>
                    <w:jc w:val="center"/>
                    <w:rPr>
                      <w:color w:val="000000" w:themeColor="text1"/>
                      <w:kern w:val="0"/>
                      <w:sz w:val="18"/>
                      <w:szCs w:val="18"/>
                      <w:lang w:bidi="ar"/>
                      <w14:textFill>
                        <w14:solidFill>
                          <w14:schemeClr w14:val="tx1"/>
                        </w14:solidFill>
                      </w14:textFill>
                    </w:rPr>
                  </w:pPr>
                  <w:r>
                    <w:rPr>
                      <w:rFonts w:hint="eastAsia" w:cs="Calibri"/>
                      <w:color w:val="000000" w:themeColor="text1"/>
                      <w:kern w:val="0"/>
                      <w:sz w:val="18"/>
                      <w:szCs w:val="18"/>
                      <w14:textFill>
                        <w14:solidFill>
                          <w14:schemeClr w14:val="tx1"/>
                        </w14:solidFill>
                      </w14:textFill>
                    </w:rPr>
                    <w:t>4.0</w:t>
                  </w:r>
                </w:p>
              </w:tc>
              <w:tc>
                <w:tcPr>
                  <w:tcW w:w="463" w:type="pct"/>
                  <w:shd w:val="clear" w:color="auto" w:fill="auto"/>
                  <w:vAlign w:val="center"/>
                </w:tcPr>
                <w:p w14:paraId="6325F5C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0.284</w:t>
                  </w:r>
                </w:p>
              </w:tc>
            </w:tr>
            <w:tr w14:paraId="3EDF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Merge w:val="continue"/>
                  <w:vAlign w:val="center"/>
                </w:tcPr>
                <w:p w14:paraId="03A16D7E">
                  <w:pPr>
                    <w:widowControl/>
                    <w:jc w:val="center"/>
                    <w:rPr>
                      <w:color w:val="000000" w:themeColor="text1"/>
                      <w:kern w:val="0"/>
                      <w:sz w:val="18"/>
                      <w:szCs w:val="18"/>
                      <w:lang w:bidi="ar"/>
                      <w14:textFill>
                        <w14:solidFill>
                          <w14:schemeClr w14:val="tx1"/>
                        </w14:solidFill>
                      </w14:textFill>
                    </w:rPr>
                  </w:pPr>
                </w:p>
              </w:tc>
              <w:tc>
                <w:tcPr>
                  <w:tcW w:w="343" w:type="pct"/>
                  <w:vMerge w:val="continue"/>
                  <w:vAlign w:val="center"/>
                </w:tcPr>
                <w:p w14:paraId="6431BDE9">
                  <w:pPr>
                    <w:widowControl/>
                    <w:jc w:val="center"/>
                    <w:rPr>
                      <w:color w:val="000000" w:themeColor="text1"/>
                      <w:kern w:val="0"/>
                      <w:sz w:val="18"/>
                      <w:szCs w:val="18"/>
                      <w:lang w:bidi="ar"/>
                      <w14:textFill>
                        <w14:solidFill>
                          <w14:schemeClr w14:val="tx1"/>
                        </w14:solidFill>
                      </w14:textFill>
                    </w:rPr>
                  </w:pPr>
                </w:p>
              </w:tc>
              <w:tc>
                <w:tcPr>
                  <w:tcW w:w="232" w:type="pct"/>
                  <w:shd w:val="clear" w:color="auto" w:fill="auto"/>
                  <w:vAlign w:val="center"/>
                </w:tcPr>
                <w:p w14:paraId="6039BA36">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PM</w:t>
                  </w:r>
                </w:p>
              </w:tc>
              <w:tc>
                <w:tcPr>
                  <w:tcW w:w="1007" w:type="pct"/>
                  <w:vMerge w:val="continue"/>
                  <w:vAlign w:val="center"/>
                </w:tcPr>
                <w:p w14:paraId="3A43543A">
                  <w:pPr>
                    <w:widowControl/>
                    <w:jc w:val="center"/>
                    <w:rPr>
                      <w:color w:val="000000" w:themeColor="text1"/>
                      <w:kern w:val="0"/>
                      <w:sz w:val="18"/>
                      <w:szCs w:val="18"/>
                      <w:lang w:bidi="ar"/>
                      <w14:textFill>
                        <w14:solidFill>
                          <w14:schemeClr w14:val="tx1"/>
                        </w14:solidFill>
                      </w14:textFill>
                    </w:rPr>
                  </w:pPr>
                </w:p>
              </w:tc>
              <w:tc>
                <w:tcPr>
                  <w:tcW w:w="1872" w:type="pct"/>
                  <w:vMerge w:val="continue"/>
                  <w:vAlign w:val="center"/>
                </w:tcPr>
                <w:p w14:paraId="455BE25D">
                  <w:pPr>
                    <w:widowControl/>
                    <w:jc w:val="center"/>
                    <w:rPr>
                      <w:color w:val="000000" w:themeColor="text1"/>
                      <w:kern w:val="0"/>
                      <w:sz w:val="18"/>
                      <w:szCs w:val="18"/>
                      <w:lang w:bidi="ar"/>
                      <w14:textFill>
                        <w14:solidFill>
                          <w14:schemeClr w14:val="tx1"/>
                        </w14:solidFill>
                      </w14:textFill>
                    </w:rPr>
                  </w:pPr>
                </w:p>
              </w:tc>
              <w:tc>
                <w:tcPr>
                  <w:tcW w:w="577" w:type="pct"/>
                  <w:vAlign w:val="center"/>
                </w:tcPr>
                <w:p w14:paraId="60D8621B">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1.0</w:t>
                  </w:r>
                </w:p>
              </w:tc>
              <w:tc>
                <w:tcPr>
                  <w:tcW w:w="463" w:type="pct"/>
                  <w:shd w:val="clear" w:color="auto" w:fill="auto"/>
                  <w:vAlign w:val="center"/>
                </w:tcPr>
                <w:p w14:paraId="730F7F9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0.0397</w:t>
                  </w:r>
                </w:p>
              </w:tc>
            </w:tr>
            <w:tr w14:paraId="34E2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4" w:type="pct"/>
                  <w:vAlign w:val="center"/>
                </w:tcPr>
                <w:p w14:paraId="0C010D13">
                  <w:pPr>
                    <w:widowControl/>
                    <w:jc w:val="center"/>
                    <w:rPr>
                      <w:rFonts w:hint="eastAsia"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食堂</w:t>
                  </w:r>
                </w:p>
              </w:tc>
              <w:tc>
                <w:tcPr>
                  <w:tcW w:w="343" w:type="pct"/>
                  <w:vAlign w:val="center"/>
                </w:tcPr>
                <w:p w14:paraId="70454AAE">
                  <w:pPr>
                    <w:widowControl/>
                    <w:jc w:val="center"/>
                    <w:rPr>
                      <w:rFonts w:hint="eastAsia"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食堂</w:t>
                  </w:r>
                </w:p>
              </w:tc>
              <w:tc>
                <w:tcPr>
                  <w:tcW w:w="232" w:type="pct"/>
                  <w:shd w:val="clear" w:color="auto" w:fill="auto"/>
                  <w:vAlign w:val="center"/>
                </w:tcPr>
                <w:p w14:paraId="09201A0A">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油烟</w:t>
                  </w:r>
                </w:p>
              </w:tc>
              <w:tc>
                <w:tcPr>
                  <w:tcW w:w="1007" w:type="pct"/>
                  <w:vAlign w:val="center"/>
                </w:tcPr>
                <w:p w14:paraId="453E7AB1">
                  <w:pPr>
                    <w:widowControl/>
                    <w:jc w:val="center"/>
                    <w:rPr>
                      <w:rFonts w:hint="eastAsia"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w:t>
                  </w:r>
                </w:p>
              </w:tc>
              <w:tc>
                <w:tcPr>
                  <w:tcW w:w="1872" w:type="pct"/>
                  <w:vAlign w:val="center"/>
                </w:tcPr>
                <w:p w14:paraId="584829CC">
                  <w:pPr>
                    <w:widowControl/>
                    <w:jc w:val="center"/>
                    <w:rPr>
                      <w:color w:val="000000" w:themeColor="text1"/>
                      <w:kern w:val="0"/>
                      <w:sz w:val="18"/>
                      <w:szCs w:val="18"/>
                      <w:lang w:bidi="ar"/>
                      <w14:textFill>
                        <w14:solidFill>
                          <w14:schemeClr w14:val="tx1"/>
                        </w14:solidFill>
                      </w14:textFill>
                    </w:rPr>
                  </w:pPr>
                  <w:r>
                    <w:rPr>
                      <w:rFonts w:hint="eastAsia"/>
                      <w:color w:val="000000" w:themeColor="text1"/>
                      <w:kern w:val="0"/>
                      <w:sz w:val="18"/>
                      <w:szCs w:val="18"/>
                      <w:lang w:bidi="ar"/>
                      <w14:textFill>
                        <w14:solidFill>
                          <w14:schemeClr w14:val="tx1"/>
                        </w14:solidFill>
                      </w14:textFill>
                    </w:rPr>
                    <w:t>《饮食业油烟排放标准（试行）》（GB18483-2001）中的中型标准</w:t>
                  </w:r>
                </w:p>
              </w:tc>
              <w:tc>
                <w:tcPr>
                  <w:tcW w:w="577" w:type="pct"/>
                  <w:vAlign w:val="center"/>
                </w:tcPr>
                <w:p w14:paraId="6009ED5D">
                  <w:pPr>
                    <w:widowControl/>
                    <w:jc w:val="center"/>
                    <w:rPr>
                      <w:rFonts w:hint="default" w:eastAsia="宋体"/>
                      <w:color w:val="000000" w:themeColor="text1"/>
                      <w:kern w:val="0"/>
                      <w:sz w:val="18"/>
                      <w:szCs w:val="18"/>
                      <w:lang w:val="en-US" w:eastAsia="zh-CN" w:bidi="ar"/>
                      <w14:textFill>
                        <w14:solidFill>
                          <w14:schemeClr w14:val="tx1"/>
                        </w14:solidFill>
                      </w14:textFill>
                    </w:rPr>
                  </w:pPr>
                  <w:r>
                    <w:rPr>
                      <w:rFonts w:hint="eastAsia"/>
                      <w:color w:val="000000" w:themeColor="text1"/>
                      <w:kern w:val="0"/>
                      <w:sz w:val="18"/>
                      <w:szCs w:val="18"/>
                      <w:lang w:val="en-US" w:eastAsia="zh-CN" w:bidi="ar"/>
                      <w14:textFill>
                        <w14:solidFill>
                          <w14:schemeClr w14:val="tx1"/>
                        </w14:solidFill>
                      </w14:textFill>
                    </w:rPr>
                    <w:t>2.0</w:t>
                  </w:r>
                </w:p>
              </w:tc>
              <w:tc>
                <w:tcPr>
                  <w:tcW w:w="463" w:type="pct"/>
                  <w:shd w:val="clear" w:color="auto" w:fill="auto"/>
                  <w:vAlign w:val="center"/>
                </w:tcPr>
                <w:p w14:paraId="052E6A81">
                  <w:pPr>
                    <w:pStyle w:val="4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0.00231</w:t>
                  </w:r>
                </w:p>
              </w:tc>
            </w:tr>
            <w:tr w14:paraId="3F38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pct"/>
                  <w:gridSpan w:val="2"/>
                  <w:vAlign w:val="center"/>
                </w:tcPr>
                <w:p w14:paraId="36619D69">
                  <w:pPr>
                    <w:widowControl/>
                    <w:jc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颗粒物</w:t>
                  </w:r>
                </w:p>
              </w:tc>
              <w:tc>
                <w:tcPr>
                  <w:tcW w:w="3689" w:type="pct"/>
                  <w:gridSpan w:val="4"/>
                  <w:vMerge w:val="restart"/>
                  <w:vAlign w:val="center"/>
                </w:tcPr>
                <w:p w14:paraId="59E08A74">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无组织排放总计</w:t>
                  </w:r>
                </w:p>
              </w:tc>
              <w:tc>
                <w:tcPr>
                  <w:tcW w:w="463" w:type="pct"/>
                  <w:vAlign w:val="center"/>
                </w:tcPr>
                <w:p w14:paraId="162C5EA8">
                  <w:pPr>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10.84</w:t>
                  </w:r>
                </w:p>
              </w:tc>
            </w:tr>
            <w:tr w14:paraId="6993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pct"/>
                  <w:gridSpan w:val="2"/>
                  <w:shd w:val="clear" w:color="auto" w:fill="auto"/>
                  <w:vAlign w:val="center"/>
                </w:tcPr>
                <w:p w14:paraId="1F253118">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CO</w:t>
                  </w:r>
                </w:p>
              </w:tc>
              <w:tc>
                <w:tcPr>
                  <w:tcW w:w="3689" w:type="pct"/>
                  <w:gridSpan w:val="4"/>
                  <w:vMerge w:val="continue"/>
                  <w:vAlign w:val="center"/>
                </w:tcPr>
                <w:p w14:paraId="17F775C1">
                  <w:pPr>
                    <w:widowControl/>
                    <w:jc w:val="center"/>
                    <w:textAlignment w:val="center"/>
                    <w:rPr>
                      <w:color w:val="000000" w:themeColor="text1"/>
                      <w:kern w:val="0"/>
                      <w:sz w:val="18"/>
                      <w:szCs w:val="18"/>
                      <w:lang w:bidi="ar"/>
                      <w14:textFill>
                        <w14:solidFill>
                          <w14:schemeClr w14:val="tx1"/>
                        </w14:solidFill>
                      </w14:textFill>
                    </w:rPr>
                  </w:pPr>
                </w:p>
              </w:tc>
              <w:tc>
                <w:tcPr>
                  <w:tcW w:w="463" w:type="pct"/>
                  <w:vAlign w:val="center"/>
                </w:tcPr>
                <w:p w14:paraId="4366AEC2">
                  <w:pPr>
                    <w:pStyle w:val="46"/>
                    <w:rPr>
                      <w:color w:val="000000" w:themeColor="text1"/>
                      <w:szCs w:val="18"/>
                      <w14:textFill>
                        <w14:solidFill>
                          <w14:schemeClr w14:val="tx1"/>
                        </w14:solidFill>
                      </w14:textFill>
                    </w:rPr>
                  </w:pPr>
                  <w:r>
                    <w:rPr>
                      <w:rFonts w:hint="eastAsia"/>
                      <w:color w:val="000000" w:themeColor="text1"/>
                      <w14:textFill>
                        <w14:solidFill>
                          <w14:schemeClr w14:val="tx1"/>
                        </w14:solidFill>
                      </w14:textFill>
                    </w:rPr>
                    <w:t>0.175</w:t>
                  </w:r>
                </w:p>
              </w:tc>
            </w:tr>
            <w:tr w14:paraId="2607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pct"/>
                  <w:gridSpan w:val="2"/>
                  <w:shd w:val="clear" w:color="auto" w:fill="auto"/>
                  <w:vAlign w:val="center"/>
                </w:tcPr>
                <w:p w14:paraId="2501BE1E">
                  <w:pPr>
                    <w:pStyle w:val="46"/>
                    <w:rPr>
                      <w:color w:val="000000" w:themeColor="text1"/>
                      <w:szCs w:val="18"/>
                      <w14:textFill>
                        <w14:solidFill>
                          <w14:schemeClr w14:val="tx1"/>
                        </w14:solidFill>
                      </w14:textFill>
                    </w:rPr>
                  </w:pPr>
                  <w:r>
                    <w:rPr>
                      <w:rFonts w:hint="eastAsia"/>
                      <w:color w:val="000000" w:themeColor="text1"/>
                      <w:szCs w:val="18"/>
                      <w14:textFill>
                        <w14:solidFill>
                          <w14:schemeClr w14:val="tx1"/>
                        </w14:solidFill>
                      </w14:textFill>
                    </w:rPr>
                    <w:t>THC</w:t>
                  </w:r>
                </w:p>
              </w:tc>
              <w:tc>
                <w:tcPr>
                  <w:tcW w:w="3689" w:type="pct"/>
                  <w:gridSpan w:val="4"/>
                  <w:vMerge w:val="continue"/>
                  <w:vAlign w:val="center"/>
                </w:tcPr>
                <w:p w14:paraId="19744074">
                  <w:pPr>
                    <w:widowControl/>
                    <w:jc w:val="center"/>
                    <w:textAlignment w:val="center"/>
                    <w:rPr>
                      <w:color w:val="000000" w:themeColor="text1"/>
                      <w:kern w:val="0"/>
                      <w:sz w:val="18"/>
                      <w:szCs w:val="18"/>
                      <w:lang w:bidi="ar"/>
                      <w14:textFill>
                        <w14:solidFill>
                          <w14:schemeClr w14:val="tx1"/>
                        </w14:solidFill>
                      </w14:textFill>
                    </w:rPr>
                  </w:pPr>
                </w:p>
              </w:tc>
              <w:tc>
                <w:tcPr>
                  <w:tcW w:w="463" w:type="pct"/>
                  <w:vAlign w:val="center"/>
                </w:tcPr>
                <w:p w14:paraId="51487EA1">
                  <w:pPr>
                    <w:pStyle w:val="46"/>
                    <w:rPr>
                      <w:color w:val="000000" w:themeColor="text1"/>
                      <w:szCs w:val="18"/>
                      <w14:textFill>
                        <w14:solidFill>
                          <w14:schemeClr w14:val="tx1"/>
                        </w14:solidFill>
                      </w14:textFill>
                    </w:rPr>
                  </w:pPr>
                  <w:r>
                    <w:rPr>
                      <w:rFonts w:hint="eastAsia"/>
                      <w:color w:val="000000" w:themeColor="text1"/>
                      <w14:textFill>
                        <w14:solidFill>
                          <w14:schemeClr w14:val="tx1"/>
                        </w14:solidFill>
                      </w14:textFill>
                    </w:rPr>
                    <w:t>0.0873</w:t>
                  </w:r>
                </w:p>
              </w:tc>
            </w:tr>
            <w:tr w14:paraId="2CA9E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pct"/>
                  <w:gridSpan w:val="2"/>
                  <w:shd w:val="clear" w:color="auto" w:fill="auto"/>
                  <w:vAlign w:val="center"/>
                </w:tcPr>
                <w:p w14:paraId="43DF6207">
                  <w:pPr>
                    <w:pStyle w:val="46"/>
                    <w:rPr>
                      <w:color w:val="000000" w:themeColor="text1"/>
                      <w:szCs w:val="18"/>
                      <w:vertAlign w:val="subscript"/>
                      <w14:textFill>
                        <w14:solidFill>
                          <w14:schemeClr w14:val="tx1"/>
                        </w14:solidFill>
                      </w14:textFill>
                    </w:rPr>
                  </w:pPr>
                  <w:r>
                    <w:rPr>
                      <w:rFonts w:hint="eastAsia"/>
                      <w:color w:val="000000" w:themeColor="text1"/>
                      <w:szCs w:val="18"/>
                      <w14:textFill>
                        <w14:solidFill>
                          <w14:schemeClr w14:val="tx1"/>
                        </w14:solidFill>
                      </w14:textFill>
                    </w:rPr>
                    <w:t>NO</w:t>
                  </w:r>
                  <w:r>
                    <w:rPr>
                      <w:rFonts w:hint="eastAsia"/>
                      <w:color w:val="000000" w:themeColor="text1"/>
                      <w:szCs w:val="18"/>
                      <w:vertAlign w:val="subscript"/>
                      <w14:textFill>
                        <w14:solidFill>
                          <w14:schemeClr w14:val="tx1"/>
                        </w14:solidFill>
                      </w14:textFill>
                    </w:rPr>
                    <w:t>x</w:t>
                  </w:r>
                </w:p>
              </w:tc>
              <w:tc>
                <w:tcPr>
                  <w:tcW w:w="3689" w:type="pct"/>
                  <w:gridSpan w:val="4"/>
                  <w:vMerge w:val="continue"/>
                  <w:vAlign w:val="center"/>
                </w:tcPr>
                <w:p w14:paraId="66AF93F6">
                  <w:pPr>
                    <w:widowControl/>
                    <w:jc w:val="center"/>
                    <w:textAlignment w:val="center"/>
                    <w:rPr>
                      <w:color w:val="000000" w:themeColor="text1"/>
                      <w:kern w:val="0"/>
                      <w:sz w:val="18"/>
                      <w:szCs w:val="18"/>
                      <w:lang w:bidi="ar"/>
                      <w14:textFill>
                        <w14:solidFill>
                          <w14:schemeClr w14:val="tx1"/>
                        </w14:solidFill>
                      </w14:textFill>
                    </w:rPr>
                  </w:pPr>
                </w:p>
              </w:tc>
              <w:tc>
                <w:tcPr>
                  <w:tcW w:w="463" w:type="pct"/>
                  <w:vAlign w:val="center"/>
                </w:tcPr>
                <w:p w14:paraId="45DD016B">
                  <w:pPr>
                    <w:pStyle w:val="46"/>
                    <w:rPr>
                      <w:color w:val="000000" w:themeColor="text1"/>
                      <w:szCs w:val="18"/>
                      <w14:textFill>
                        <w14:solidFill>
                          <w14:schemeClr w14:val="tx1"/>
                        </w14:solidFill>
                      </w14:textFill>
                    </w:rPr>
                  </w:pPr>
                  <w:r>
                    <w:rPr>
                      <w:rFonts w:hint="eastAsia"/>
                      <w:color w:val="000000" w:themeColor="text1"/>
                      <w14:textFill>
                        <w14:solidFill>
                          <w14:schemeClr w14:val="tx1"/>
                        </w14:solidFill>
                      </w14:textFill>
                    </w:rPr>
                    <w:t>0.284</w:t>
                  </w:r>
                </w:p>
              </w:tc>
            </w:tr>
            <w:tr w14:paraId="49B3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7" w:type="pct"/>
                  <w:gridSpan w:val="2"/>
                  <w:shd w:val="clear" w:color="auto" w:fill="auto"/>
                  <w:vAlign w:val="center"/>
                </w:tcPr>
                <w:p w14:paraId="5FDDD857">
                  <w:pPr>
                    <w:pStyle w:val="46"/>
                    <w:rPr>
                      <w:rFonts w:hint="eastAsia" w:eastAsia="宋体"/>
                      <w:color w:val="000000" w:themeColor="text1"/>
                      <w:szCs w:val="18"/>
                      <w:lang w:val="en-US" w:eastAsia="zh-CN"/>
                      <w14:textFill>
                        <w14:solidFill>
                          <w14:schemeClr w14:val="tx1"/>
                        </w14:solidFill>
                      </w14:textFill>
                    </w:rPr>
                  </w:pPr>
                  <w:r>
                    <w:rPr>
                      <w:rFonts w:hint="eastAsia"/>
                      <w:color w:val="000000" w:themeColor="text1"/>
                      <w:szCs w:val="18"/>
                      <w:lang w:val="en-US" w:eastAsia="zh-CN"/>
                      <w14:textFill>
                        <w14:solidFill>
                          <w14:schemeClr w14:val="tx1"/>
                        </w14:solidFill>
                      </w14:textFill>
                    </w:rPr>
                    <w:t>油烟</w:t>
                  </w:r>
                </w:p>
              </w:tc>
              <w:tc>
                <w:tcPr>
                  <w:tcW w:w="3689" w:type="pct"/>
                  <w:gridSpan w:val="4"/>
                  <w:vMerge w:val="continue"/>
                  <w:vAlign w:val="center"/>
                </w:tcPr>
                <w:p w14:paraId="660FC9E8">
                  <w:pPr>
                    <w:widowControl/>
                    <w:jc w:val="center"/>
                    <w:textAlignment w:val="center"/>
                    <w:rPr>
                      <w:color w:val="000000" w:themeColor="text1"/>
                      <w:kern w:val="0"/>
                      <w:sz w:val="18"/>
                      <w:szCs w:val="18"/>
                      <w:lang w:bidi="ar"/>
                      <w14:textFill>
                        <w14:solidFill>
                          <w14:schemeClr w14:val="tx1"/>
                        </w14:solidFill>
                      </w14:textFill>
                    </w:rPr>
                  </w:pPr>
                </w:p>
              </w:tc>
              <w:tc>
                <w:tcPr>
                  <w:tcW w:w="463" w:type="pct"/>
                  <w:vAlign w:val="center"/>
                </w:tcPr>
                <w:p w14:paraId="0D5B4334">
                  <w:pPr>
                    <w:pStyle w:val="46"/>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0.00231</w:t>
                  </w:r>
                </w:p>
              </w:tc>
            </w:tr>
          </w:tbl>
          <w:p w14:paraId="65CB5EF6">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本项目主要产生的大气污染物为颗粒物、油烟，油烟排放符合</w:t>
            </w:r>
            <w:r>
              <w:rPr>
                <w:rFonts w:hint="eastAsia"/>
                <w:color w:val="000000" w:themeColor="text1"/>
                <w14:textFill>
                  <w14:solidFill>
                    <w14:schemeClr w14:val="tx1"/>
                  </w14:solidFill>
                </w14:textFill>
              </w:rPr>
              <w:t>《饮食业油烟排放标准（试行）》</w:t>
            </w:r>
            <w:r>
              <w:rPr>
                <w:color w:val="000000" w:themeColor="text1"/>
                <w14:textFill>
                  <w14:solidFill>
                    <w14:schemeClr w14:val="tx1"/>
                  </w14:solidFill>
                </w14:textFill>
              </w:rPr>
              <w:t>（GB18483-2001）中的中型标准限制要求，厂界无组织颗粒物、CO、THC、NO</w:t>
            </w:r>
            <w:r>
              <w:rPr>
                <w:color w:val="000000" w:themeColor="text1"/>
                <w:vertAlign w:val="subscript"/>
                <w14:textFill>
                  <w14:solidFill>
                    <w14:schemeClr w14:val="tx1"/>
                  </w14:solidFill>
                </w14:textFill>
              </w:rPr>
              <w:t>x</w:t>
            </w:r>
            <w:r>
              <w:rPr>
                <w:color w:val="000000" w:themeColor="text1"/>
                <w14:textFill>
                  <w14:solidFill>
                    <w14:schemeClr w14:val="tx1"/>
                  </w14:solidFill>
                </w14:textFill>
              </w:rPr>
              <w:t>排放符合广东省地方标准《大气污染物排放限值》(DB44/27-2001)表2无组织排放监控浓度限值要求。</w:t>
            </w:r>
          </w:p>
          <w:p w14:paraId="4606FB54">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根据前文分析，通过严格管理、加强监督，落实本报告提出的废气污染治理措施，不会对大气环境造成明显的影响，大气环境影响可接受。</w:t>
            </w:r>
          </w:p>
          <w:p w14:paraId="14E497F1">
            <w:pPr>
              <w:adjustRightInd w:val="0"/>
              <w:snapToGrid w:val="0"/>
              <w:spacing w:line="360" w:lineRule="auto"/>
              <w:ind w:firstLine="382" w:firstLineChars="200"/>
              <w:rPr>
                <w:b/>
                <w:bCs/>
                <w:color w:val="000000" w:themeColor="text1"/>
                <w:spacing w:val="-10"/>
                <w:szCs w:val="21"/>
                <w14:textFill>
                  <w14:solidFill>
                    <w14:schemeClr w14:val="tx1"/>
                  </w14:solidFill>
                </w14:textFill>
              </w:rPr>
            </w:pPr>
            <w:r>
              <w:rPr>
                <w:rFonts w:hint="eastAsia"/>
                <w:b/>
                <w:bCs/>
                <w:color w:val="000000" w:themeColor="text1"/>
                <w:spacing w:val="-10"/>
                <w:szCs w:val="21"/>
                <w14:textFill>
                  <w14:solidFill>
                    <w14:schemeClr w14:val="tx1"/>
                  </w14:solidFill>
                </w14:textFill>
              </w:rPr>
              <w:t>5</w:t>
            </w:r>
            <w:r>
              <w:rPr>
                <w:b/>
                <w:bCs/>
                <w:color w:val="000000" w:themeColor="text1"/>
                <w:spacing w:val="-10"/>
                <w:szCs w:val="21"/>
                <w14:textFill>
                  <w14:solidFill>
                    <w14:schemeClr w14:val="tx1"/>
                  </w14:solidFill>
                </w14:textFill>
              </w:rPr>
              <w:t>、</w:t>
            </w:r>
            <w:r>
              <w:rPr>
                <w:b/>
                <w:bCs/>
                <w:color w:val="000000" w:themeColor="text1"/>
                <w:szCs w:val="21"/>
                <w14:textFill>
                  <w14:solidFill>
                    <w14:schemeClr w14:val="tx1"/>
                  </w14:solidFill>
                </w14:textFill>
              </w:rPr>
              <w:t>自行监测计划</w:t>
            </w:r>
          </w:p>
          <w:p w14:paraId="20A5A489">
            <w:pPr>
              <w:widowControl/>
              <w:spacing w:line="360" w:lineRule="auto"/>
              <w:ind w:firstLine="420" w:firstLineChars="200"/>
              <w:jc w:val="left"/>
              <w:rPr>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根据《固定污染源排放许可分类管理暂行规定（</w:t>
            </w:r>
            <w:r>
              <w:rPr>
                <w:color w:val="000000" w:themeColor="text1"/>
                <w:kern w:val="0"/>
                <w:szCs w:val="21"/>
                <w:lang w:bidi="ar"/>
                <w14:textFill>
                  <w14:solidFill>
                    <w14:schemeClr w14:val="tx1"/>
                  </w14:solidFill>
                </w14:textFill>
              </w:rPr>
              <w:t>2019</w:t>
            </w:r>
            <w:r>
              <w:rPr>
                <w:rFonts w:hint="eastAsia" w:ascii="宋体" w:hAnsi="宋体" w:cs="宋体"/>
                <w:color w:val="000000" w:themeColor="text1"/>
                <w:kern w:val="0"/>
                <w:szCs w:val="21"/>
                <w:lang w:bidi="ar"/>
                <w14:textFill>
                  <w14:solidFill>
                    <w14:schemeClr w14:val="tx1"/>
                  </w14:solidFill>
                </w14:textFill>
              </w:rPr>
              <w:t>年）》，项目属于登记管理</w:t>
            </w:r>
            <w:r>
              <w:rPr>
                <w:rFonts w:hint="eastAsia"/>
                <w:color w:val="000000" w:themeColor="text1"/>
                <w:szCs w:val="21"/>
                <w14:textFill>
                  <w14:solidFill>
                    <w14:schemeClr w14:val="tx1"/>
                  </w14:solidFill>
                </w14:textFill>
              </w:rPr>
              <w:t>，自行监测计划参照</w:t>
            </w:r>
            <w:r>
              <w:rPr>
                <w:color w:val="000000" w:themeColor="text1"/>
                <w:szCs w:val="21"/>
                <w14:textFill>
                  <w14:solidFill>
                    <w14:schemeClr w14:val="tx1"/>
                  </w14:solidFill>
                </w14:textFill>
              </w:rPr>
              <w:t>《排污单位自行监测技术指南总则》</w:t>
            </w:r>
            <w:r>
              <w:rPr>
                <w:rFonts w:eastAsia="微软雅黑"/>
                <w:color w:val="000000" w:themeColor="text1"/>
                <w:szCs w:val="21"/>
                <w14:textFill>
                  <w14:solidFill>
                    <w14:schemeClr w14:val="tx1"/>
                  </w14:solidFill>
                </w14:textFill>
              </w:rPr>
              <w:t>(</w:t>
            </w:r>
            <w:r>
              <w:rPr>
                <w:color w:val="000000" w:themeColor="text1"/>
                <w:szCs w:val="21"/>
                <w14:textFill>
                  <w14:solidFill>
                    <w14:schemeClr w14:val="tx1"/>
                  </w14:solidFill>
                </w14:textFill>
              </w:rPr>
              <w:t>HJ819-2017</w:t>
            </w:r>
            <w:r>
              <w:rPr>
                <w:rFonts w:eastAsia="微软雅黑"/>
                <w:color w:val="000000" w:themeColor="text1"/>
                <w:szCs w:val="21"/>
                <w14:textFill>
                  <w14:solidFill>
                    <w14:schemeClr w14:val="tx1"/>
                  </w14:solidFill>
                </w14:textFill>
              </w:rPr>
              <w:t>)</w:t>
            </w:r>
            <w:r>
              <w:rPr>
                <w:color w:val="000000" w:themeColor="text1"/>
                <w:szCs w:val="21"/>
                <w14:textFill>
                  <w14:solidFill>
                    <w14:schemeClr w14:val="tx1"/>
                  </w14:solidFill>
                </w14:textFill>
              </w:rPr>
              <w:t>并结合项目运营期间污染物排放特点，项目运营期间废气监测计划如下表所示：</w:t>
            </w:r>
          </w:p>
          <w:p w14:paraId="0DA5E727">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废气监测计划表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1680"/>
              <w:gridCol w:w="1357"/>
              <w:gridCol w:w="1049"/>
              <w:gridCol w:w="8543"/>
            </w:tblGrid>
            <w:tr w14:paraId="77FDE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shd w:val="clear" w:color="auto" w:fill="D9D9D9"/>
                  <w:vAlign w:val="center"/>
                </w:tcPr>
                <w:p w14:paraId="30A16C4E">
                  <w:pPr>
                    <w:snapToGrid w:val="0"/>
                    <w:jc w:val="center"/>
                    <w:rPr>
                      <w:rFonts w:cs="Cambria Math"/>
                      <w:b/>
                      <w:bCs/>
                      <w:color w:val="000000" w:themeColor="text1"/>
                      <w:sz w:val="18"/>
                      <w:szCs w:val="18"/>
                      <w14:textFill>
                        <w14:solidFill>
                          <w14:schemeClr w14:val="tx1"/>
                        </w14:solidFill>
                      </w14:textFill>
                    </w:rPr>
                  </w:pPr>
                  <w:r>
                    <w:rPr>
                      <w:rFonts w:hint="eastAsia" w:cs="Cambria Math"/>
                      <w:b/>
                      <w:bCs/>
                      <w:color w:val="000000" w:themeColor="text1"/>
                      <w:sz w:val="18"/>
                      <w:szCs w:val="18"/>
                      <w14:textFill>
                        <w14:solidFill>
                          <w14:schemeClr w14:val="tx1"/>
                        </w14:solidFill>
                      </w14:textFill>
                    </w:rPr>
                    <w:t>序号</w:t>
                  </w:r>
                </w:p>
              </w:tc>
              <w:tc>
                <w:tcPr>
                  <w:tcW w:w="633" w:type="pct"/>
                  <w:shd w:val="clear" w:color="auto" w:fill="D9D9D9"/>
                  <w:vAlign w:val="center"/>
                </w:tcPr>
                <w:p w14:paraId="3BC4BB76">
                  <w:pPr>
                    <w:snapToGrid w:val="0"/>
                    <w:jc w:val="center"/>
                    <w:rPr>
                      <w:rFonts w:cs="Cambria Math"/>
                      <w:b/>
                      <w:bCs/>
                      <w:color w:val="000000" w:themeColor="text1"/>
                      <w:sz w:val="18"/>
                      <w:szCs w:val="18"/>
                      <w14:textFill>
                        <w14:solidFill>
                          <w14:schemeClr w14:val="tx1"/>
                        </w14:solidFill>
                      </w14:textFill>
                    </w:rPr>
                  </w:pPr>
                  <w:r>
                    <w:rPr>
                      <w:rFonts w:cs="Cambria Math"/>
                      <w:b/>
                      <w:bCs/>
                      <w:color w:val="000000" w:themeColor="text1"/>
                      <w:sz w:val="18"/>
                      <w:szCs w:val="18"/>
                      <w14:textFill>
                        <w14:solidFill>
                          <w14:schemeClr w14:val="tx1"/>
                        </w14:solidFill>
                      </w14:textFill>
                    </w:rPr>
                    <w:t>监测点位</w:t>
                  </w:r>
                </w:p>
              </w:tc>
              <w:tc>
                <w:tcPr>
                  <w:tcW w:w="511" w:type="pct"/>
                  <w:shd w:val="clear" w:color="auto" w:fill="D9D9D9"/>
                  <w:vAlign w:val="center"/>
                </w:tcPr>
                <w:p w14:paraId="05587084">
                  <w:pPr>
                    <w:snapToGrid w:val="0"/>
                    <w:jc w:val="center"/>
                    <w:rPr>
                      <w:rFonts w:cs="Cambria Math"/>
                      <w:b/>
                      <w:bCs/>
                      <w:color w:val="000000" w:themeColor="text1"/>
                      <w:sz w:val="18"/>
                      <w:szCs w:val="18"/>
                      <w14:textFill>
                        <w14:solidFill>
                          <w14:schemeClr w14:val="tx1"/>
                        </w14:solidFill>
                      </w14:textFill>
                    </w:rPr>
                  </w:pPr>
                  <w:r>
                    <w:rPr>
                      <w:rFonts w:hint="eastAsia" w:cs="Cambria Math"/>
                      <w:b/>
                      <w:bCs/>
                      <w:color w:val="000000" w:themeColor="text1"/>
                      <w:sz w:val="18"/>
                      <w:szCs w:val="18"/>
                      <w14:textFill>
                        <w14:solidFill>
                          <w14:schemeClr w14:val="tx1"/>
                        </w14:solidFill>
                      </w14:textFill>
                    </w:rPr>
                    <w:t>监测</w:t>
                  </w:r>
                  <w:r>
                    <w:rPr>
                      <w:rFonts w:cs="Cambria Math"/>
                      <w:b/>
                      <w:bCs/>
                      <w:color w:val="000000" w:themeColor="text1"/>
                      <w:sz w:val="18"/>
                      <w:szCs w:val="18"/>
                      <w14:textFill>
                        <w14:solidFill>
                          <w14:schemeClr w14:val="tx1"/>
                        </w14:solidFill>
                      </w14:textFill>
                    </w:rPr>
                    <w:t>因子</w:t>
                  </w:r>
                </w:p>
              </w:tc>
              <w:tc>
                <w:tcPr>
                  <w:tcW w:w="395" w:type="pct"/>
                  <w:shd w:val="clear" w:color="auto" w:fill="D9D9D9"/>
                  <w:vAlign w:val="center"/>
                </w:tcPr>
                <w:p w14:paraId="2CE138D8">
                  <w:pPr>
                    <w:snapToGrid w:val="0"/>
                    <w:jc w:val="center"/>
                    <w:rPr>
                      <w:rFonts w:cs="Cambria Math"/>
                      <w:b/>
                      <w:bCs/>
                      <w:color w:val="000000" w:themeColor="text1"/>
                      <w:sz w:val="18"/>
                      <w:szCs w:val="18"/>
                      <w14:textFill>
                        <w14:solidFill>
                          <w14:schemeClr w14:val="tx1"/>
                        </w14:solidFill>
                      </w14:textFill>
                    </w:rPr>
                  </w:pPr>
                  <w:r>
                    <w:rPr>
                      <w:rFonts w:cs="Cambria Math"/>
                      <w:b/>
                      <w:bCs/>
                      <w:color w:val="000000" w:themeColor="text1"/>
                      <w:sz w:val="18"/>
                      <w:szCs w:val="18"/>
                      <w14:textFill>
                        <w14:solidFill>
                          <w14:schemeClr w14:val="tx1"/>
                        </w14:solidFill>
                      </w14:textFill>
                    </w:rPr>
                    <w:t>监测频次</w:t>
                  </w:r>
                </w:p>
              </w:tc>
              <w:tc>
                <w:tcPr>
                  <w:tcW w:w="3218" w:type="pct"/>
                  <w:shd w:val="clear" w:color="auto" w:fill="D9D9D9"/>
                  <w:vAlign w:val="center"/>
                </w:tcPr>
                <w:p w14:paraId="574E757B">
                  <w:pPr>
                    <w:snapToGrid w:val="0"/>
                    <w:jc w:val="center"/>
                    <w:rPr>
                      <w:rFonts w:cs="Cambria Math"/>
                      <w:b/>
                      <w:bCs/>
                      <w:color w:val="000000" w:themeColor="text1"/>
                      <w:sz w:val="18"/>
                      <w:szCs w:val="18"/>
                      <w14:textFill>
                        <w14:solidFill>
                          <w14:schemeClr w14:val="tx1"/>
                        </w14:solidFill>
                      </w14:textFill>
                    </w:rPr>
                  </w:pPr>
                  <w:r>
                    <w:rPr>
                      <w:rFonts w:cs="Cambria Math"/>
                      <w:b/>
                      <w:bCs/>
                      <w:color w:val="000000" w:themeColor="text1"/>
                      <w:sz w:val="18"/>
                      <w:szCs w:val="18"/>
                      <w14:textFill>
                        <w14:solidFill>
                          <w14:schemeClr w14:val="tx1"/>
                        </w14:solidFill>
                      </w14:textFill>
                    </w:rPr>
                    <w:t>执行排放标准</w:t>
                  </w:r>
                </w:p>
              </w:tc>
            </w:tr>
            <w:tr w14:paraId="7BAC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vAlign w:val="center"/>
                </w:tcPr>
                <w:p w14:paraId="6287190B">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14:textFill>
                        <w14:solidFill>
                          <w14:schemeClr w14:val="tx1"/>
                        </w14:solidFill>
                      </w14:textFill>
                    </w:rPr>
                    <w:t>1</w:t>
                  </w:r>
                </w:p>
              </w:tc>
              <w:tc>
                <w:tcPr>
                  <w:tcW w:w="633" w:type="pct"/>
                  <w:vAlign w:val="center"/>
                </w:tcPr>
                <w:p w14:paraId="73D89CA0">
                  <w:pPr>
                    <w:snapToGrid w:val="0"/>
                    <w:jc w:val="center"/>
                    <w:rPr>
                      <w:rFonts w:cs="Cambria Math"/>
                      <w:bCs/>
                      <w:color w:val="000000" w:themeColor="text1"/>
                      <w:sz w:val="18"/>
                      <w:szCs w:val="18"/>
                      <w14:textFill>
                        <w14:solidFill>
                          <w14:schemeClr w14:val="tx1"/>
                        </w14:solidFill>
                      </w14:textFill>
                    </w:rPr>
                  </w:pPr>
                  <w:r>
                    <w:rPr>
                      <w:rFonts w:cs="Cambria Math"/>
                      <w:bCs/>
                      <w:color w:val="000000" w:themeColor="text1"/>
                      <w:sz w:val="18"/>
                      <w:szCs w:val="18"/>
                      <w14:textFill>
                        <w14:solidFill>
                          <w14:schemeClr w14:val="tx1"/>
                        </w14:solidFill>
                      </w14:textFill>
                    </w:rPr>
                    <w:t>厂界</w:t>
                  </w:r>
                </w:p>
              </w:tc>
              <w:tc>
                <w:tcPr>
                  <w:tcW w:w="511" w:type="pct"/>
                  <w:vAlign w:val="center"/>
                </w:tcPr>
                <w:p w14:paraId="57FD99F7">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14:textFill>
                        <w14:solidFill>
                          <w14:schemeClr w14:val="tx1"/>
                        </w14:solidFill>
                      </w14:textFill>
                    </w:rPr>
                    <w:t>颗粒物</w:t>
                  </w:r>
                </w:p>
              </w:tc>
              <w:tc>
                <w:tcPr>
                  <w:tcW w:w="395" w:type="pct"/>
                  <w:vAlign w:val="center"/>
                </w:tcPr>
                <w:p w14:paraId="37086BAD">
                  <w:pPr>
                    <w:snapToGrid w:val="0"/>
                    <w:jc w:val="center"/>
                    <w:rPr>
                      <w:rFonts w:hint="eastAsia" w:eastAsia="宋体" w:cs="Cambria Math"/>
                      <w:bCs/>
                      <w:color w:val="000000" w:themeColor="text1"/>
                      <w:sz w:val="18"/>
                      <w:szCs w:val="18"/>
                      <w:lang w:val="en-US" w:eastAsia="zh-CN"/>
                      <w14:textFill>
                        <w14:solidFill>
                          <w14:schemeClr w14:val="tx1"/>
                        </w14:solidFill>
                      </w14:textFill>
                    </w:rPr>
                  </w:pPr>
                  <w:r>
                    <w:rPr>
                      <w:rFonts w:hint="eastAsia" w:cs="Cambria Math"/>
                      <w:bCs/>
                      <w:color w:val="000000" w:themeColor="text1"/>
                      <w:sz w:val="18"/>
                      <w:szCs w:val="18"/>
                      <w14:textFill>
                        <w14:solidFill>
                          <w14:schemeClr w14:val="tx1"/>
                        </w14:solidFill>
                      </w14:textFill>
                    </w:rPr>
                    <w:t>1次/</w:t>
                  </w:r>
                  <w:r>
                    <w:rPr>
                      <w:rFonts w:hint="eastAsia" w:cs="Cambria Math"/>
                      <w:bCs/>
                      <w:color w:val="000000" w:themeColor="text1"/>
                      <w:sz w:val="18"/>
                      <w:szCs w:val="18"/>
                      <w:lang w:val="en-US" w:eastAsia="zh-CN"/>
                      <w14:textFill>
                        <w14:solidFill>
                          <w14:schemeClr w14:val="tx1"/>
                        </w14:solidFill>
                      </w14:textFill>
                    </w:rPr>
                    <w:t>季度</w:t>
                  </w:r>
                </w:p>
              </w:tc>
              <w:tc>
                <w:tcPr>
                  <w:tcW w:w="3218" w:type="pct"/>
                  <w:vAlign w:val="center"/>
                </w:tcPr>
                <w:p w14:paraId="5917A89C">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lang w:val="ru-RU"/>
                      <w14:textFill>
                        <w14:solidFill>
                          <w14:schemeClr w14:val="tx1"/>
                        </w14:solidFill>
                      </w14:textFill>
                    </w:rPr>
                    <w:t>广东省《大气污染物排放限值》（DB44/27-2001）第二时段无组织排放监控浓度限值</w:t>
                  </w:r>
                </w:p>
              </w:tc>
            </w:tr>
            <w:tr w14:paraId="6C684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1" w:type="pct"/>
                  <w:vAlign w:val="center"/>
                </w:tcPr>
                <w:p w14:paraId="19C2B5CD">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14:textFill>
                        <w14:solidFill>
                          <w14:schemeClr w14:val="tx1"/>
                        </w14:solidFill>
                      </w14:textFill>
                    </w:rPr>
                    <w:t>2</w:t>
                  </w:r>
                </w:p>
              </w:tc>
              <w:tc>
                <w:tcPr>
                  <w:tcW w:w="633" w:type="pct"/>
                  <w:shd w:val="clear" w:color="auto" w:fill="auto"/>
                  <w:vAlign w:val="center"/>
                </w:tcPr>
                <w:p w14:paraId="5DC52FF2">
                  <w:pPr>
                    <w:snapToGrid w:val="0"/>
                    <w:jc w:val="center"/>
                    <w:rPr>
                      <w:rFonts w:cs="Cambria Math"/>
                      <w:bCs/>
                      <w:color w:val="000000" w:themeColor="text1"/>
                      <w:sz w:val="18"/>
                      <w:szCs w:val="18"/>
                      <w14:textFill>
                        <w14:solidFill>
                          <w14:schemeClr w14:val="tx1"/>
                        </w14:solidFill>
                      </w14:textFill>
                    </w:rPr>
                  </w:pPr>
                  <w:r>
                    <w:rPr>
                      <w:rFonts w:cs="Cambria Math"/>
                      <w:bCs/>
                      <w:color w:val="000000" w:themeColor="text1"/>
                      <w:sz w:val="18"/>
                      <w:szCs w:val="18"/>
                      <w14:textFill>
                        <w14:solidFill>
                          <w14:schemeClr w14:val="tx1"/>
                        </w14:solidFill>
                      </w14:textFill>
                    </w:rPr>
                    <w:t>排气筒（DA001）</w:t>
                  </w:r>
                </w:p>
              </w:tc>
              <w:tc>
                <w:tcPr>
                  <w:tcW w:w="511" w:type="pct"/>
                  <w:shd w:val="clear" w:color="auto" w:fill="auto"/>
                  <w:vAlign w:val="center"/>
                </w:tcPr>
                <w:p w14:paraId="70CD32C6">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14:textFill>
                        <w14:solidFill>
                          <w14:schemeClr w14:val="tx1"/>
                        </w14:solidFill>
                      </w14:textFill>
                    </w:rPr>
                    <w:t>油烟</w:t>
                  </w:r>
                </w:p>
              </w:tc>
              <w:tc>
                <w:tcPr>
                  <w:tcW w:w="395" w:type="pct"/>
                  <w:shd w:val="clear" w:color="auto" w:fill="auto"/>
                  <w:vAlign w:val="center"/>
                </w:tcPr>
                <w:p w14:paraId="0B21CA4C">
                  <w:pPr>
                    <w:snapToGrid w:val="0"/>
                    <w:jc w:val="center"/>
                    <w:rPr>
                      <w:rFonts w:cs="Cambria Math"/>
                      <w:bCs/>
                      <w:color w:val="000000" w:themeColor="text1"/>
                      <w:sz w:val="18"/>
                      <w:szCs w:val="18"/>
                      <w14:textFill>
                        <w14:solidFill>
                          <w14:schemeClr w14:val="tx1"/>
                        </w14:solidFill>
                      </w14:textFill>
                    </w:rPr>
                  </w:pPr>
                  <w:r>
                    <w:rPr>
                      <w:rFonts w:hint="eastAsia" w:cs="Cambria Math"/>
                      <w:bCs/>
                      <w:color w:val="000000" w:themeColor="text1"/>
                      <w:sz w:val="18"/>
                      <w:szCs w:val="18"/>
                      <w14:textFill>
                        <w14:solidFill>
                          <w14:schemeClr w14:val="tx1"/>
                        </w14:solidFill>
                      </w14:textFill>
                    </w:rPr>
                    <w:t>1次/年</w:t>
                  </w:r>
                </w:p>
              </w:tc>
              <w:tc>
                <w:tcPr>
                  <w:tcW w:w="3218" w:type="pct"/>
                  <w:shd w:val="clear" w:color="auto" w:fill="auto"/>
                  <w:vAlign w:val="center"/>
                </w:tcPr>
                <w:p w14:paraId="2A5A7C89">
                  <w:pPr>
                    <w:snapToGrid w:val="0"/>
                    <w:jc w:val="center"/>
                    <w:rPr>
                      <w:rFonts w:cs="Cambria Math"/>
                      <w:bCs/>
                      <w:color w:val="000000" w:themeColor="text1"/>
                      <w:sz w:val="18"/>
                      <w:szCs w:val="18"/>
                      <w:lang w:val="ru-RU"/>
                      <w14:textFill>
                        <w14:solidFill>
                          <w14:schemeClr w14:val="tx1"/>
                        </w14:solidFill>
                      </w14:textFill>
                    </w:rPr>
                  </w:pPr>
                  <w:r>
                    <w:rPr>
                      <w:rFonts w:hint="eastAsia" w:cs="Cambria Math"/>
                      <w:bCs/>
                      <w:color w:val="000000" w:themeColor="text1"/>
                      <w:sz w:val="18"/>
                      <w:szCs w:val="18"/>
                      <w:lang w:val="ru-RU"/>
                      <w14:textFill>
                        <w14:solidFill>
                          <w14:schemeClr w14:val="tx1"/>
                        </w14:solidFill>
                      </w14:textFill>
                    </w:rPr>
                    <w:t>《饮食业油烟排放标准（试行）》（GB18483-2001）中的</w:t>
                  </w:r>
                  <w:r>
                    <w:rPr>
                      <w:rFonts w:hint="eastAsia" w:cs="Cambria Math"/>
                      <w:bCs/>
                      <w:color w:val="000000" w:themeColor="text1"/>
                      <w:sz w:val="18"/>
                      <w:szCs w:val="18"/>
                      <w14:textFill>
                        <w14:solidFill>
                          <w14:schemeClr w14:val="tx1"/>
                        </w14:solidFill>
                      </w14:textFill>
                    </w:rPr>
                    <w:t>中</w:t>
                  </w:r>
                  <w:r>
                    <w:rPr>
                      <w:rFonts w:hint="eastAsia" w:cs="Cambria Math"/>
                      <w:bCs/>
                      <w:color w:val="000000" w:themeColor="text1"/>
                      <w:sz w:val="18"/>
                      <w:szCs w:val="18"/>
                      <w:lang w:val="ru-RU"/>
                      <w14:textFill>
                        <w14:solidFill>
                          <w14:schemeClr w14:val="tx1"/>
                        </w14:solidFill>
                      </w14:textFill>
                    </w:rPr>
                    <w:t>型标准</w:t>
                  </w:r>
                </w:p>
              </w:tc>
            </w:tr>
          </w:tbl>
          <w:p w14:paraId="1B548CEE">
            <w:pPr>
              <w:rPr>
                <w:color w:val="000000" w:themeColor="text1"/>
                <w:szCs w:val="21"/>
                <w14:textFill>
                  <w14:solidFill>
                    <w14:schemeClr w14:val="tx1"/>
                  </w14:solidFill>
                </w14:textFill>
              </w:rPr>
            </w:pPr>
          </w:p>
          <w:p w14:paraId="075E636A">
            <w:pPr>
              <w:rPr>
                <w:color w:val="000000" w:themeColor="text1"/>
                <w:szCs w:val="21"/>
                <w14:textFill>
                  <w14:solidFill>
                    <w14:schemeClr w14:val="tx1"/>
                  </w14:solidFill>
                </w14:textFill>
              </w:rPr>
            </w:pPr>
          </w:p>
          <w:p w14:paraId="021CBFEA">
            <w:pPr>
              <w:rPr>
                <w:color w:val="000000" w:themeColor="text1"/>
                <w:szCs w:val="21"/>
                <w14:textFill>
                  <w14:solidFill>
                    <w14:schemeClr w14:val="tx1"/>
                  </w14:solidFill>
                </w14:textFill>
              </w:rPr>
            </w:pPr>
          </w:p>
          <w:p w14:paraId="48A278F9">
            <w:pPr>
              <w:rPr>
                <w:color w:val="000000" w:themeColor="text1"/>
                <w:szCs w:val="21"/>
                <w14:textFill>
                  <w14:solidFill>
                    <w14:schemeClr w14:val="tx1"/>
                  </w14:solidFill>
                </w14:textFill>
              </w:rPr>
            </w:pPr>
          </w:p>
          <w:p w14:paraId="293FC124">
            <w:pPr>
              <w:rPr>
                <w:color w:val="000000" w:themeColor="text1"/>
                <w:szCs w:val="21"/>
                <w14:textFill>
                  <w14:solidFill>
                    <w14:schemeClr w14:val="tx1"/>
                  </w14:solidFill>
                </w14:textFill>
              </w:rPr>
            </w:pPr>
          </w:p>
          <w:p w14:paraId="14DADE9A">
            <w:pPr>
              <w:rPr>
                <w:color w:val="000000" w:themeColor="text1"/>
                <w:szCs w:val="21"/>
                <w14:textFill>
                  <w14:solidFill>
                    <w14:schemeClr w14:val="tx1"/>
                  </w14:solidFill>
                </w14:textFill>
              </w:rPr>
            </w:pPr>
          </w:p>
          <w:p w14:paraId="7C7DB63E">
            <w:pPr>
              <w:rPr>
                <w:color w:val="000000" w:themeColor="text1"/>
                <w:szCs w:val="21"/>
                <w14:textFill>
                  <w14:solidFill>
                    <w14:schemeClr w14:val="tx1"/>
                  </w14:solidFill>
                </w14:textFill>
              </w:rPr>
            </w:pPr>
          </w:p>
          <w:p w14:paraId="521FB67D">
            <w:pPr>
              <w:rPr>
                <w:color w:val="000000" w:themeColor="text1"/>
                <w:szCs w:val="21"/>
                <w14:textFill>
                  <w14:solidFill>
                    <w14:schemeClr w14:val="tx1"/>
                  </w14:solidFill>
                </w14:textFill>
              </w:rPr>
            </w:pPr>
          </w:p>
          <w:p w14:paraId="3B054B3E">
            <w:pPr>
              <w:rPr>
                <w:color w:val="000000" w:themeColor="text1"/>
                <w:szCs w:val="21"/>
                <w14:textFill>
                  <w14:solidFill>
                    <w14:schemeClr w14:val="tx1"/>
                  </w14:solidFill>
                </w14:textFill>
              </w:rPr>
            </w:pPr>
          </w:p>
          <w:p w14:paraId="36C3F92F">
            <w:pPr>
              <w:rPr>
                <w:color w:val="000000" w:themeColor="text1"/>
                <w:szCs w:val="21"/>
                <w14:textFill>
                  <w14:solidFill>
                    <w14:schemeClr w14:val="tx1"/>
                  </w14:solidFill>
                </w14:textFill>
              </w:rPr>
            </w:pPr>
          </w:p>
          <w:p w14:paraId="6868C66A">
            <w:pPr>
              <w:rPr>
                <w:color w:val="000000" w:themeColor="text1"/>
                <w:szCs w:val="21"/>
                <w14:textFill>
                  <w14:solidFill>
                    <w14:schemeClr w14:val="tx1"/>
                  </w14:solidFill>
                </w14:textFill>
              </w:rPr>
            </w:pPr>
          </w:p>
          <w:p w14:paraId="24758116">
            <w:pPr>
              <w:rPr>
                <w:color w:val="000000" w:themeColor="text1"/>
                <w:szCs w:val="21"/>
                <w14:textFill>
                  <w14:solidFill>
                    <w14:schemeClr w14:val="tx1"/>
                  </w14:solidFill>
                </w14:textFill>
              </w:rPr>
            </w:pPr>
          </w:p>
          <w:p w14:paraId="006F2F34">
            <w:pPr>
              <w:rPr>
                <w:color w:val="000000" w:themeColor="text1"/>
                <w:szCs w:val="21"/>
                <w14:textFill>
                  <w14:solidFill>
                    <w14:schemeClr w14:val="tx1"/>
                  </w14:solidFill>
                </w14:textFill>
              </w:rPr>
            </w:pPr>
          </w:p>
          <w:p w14:paraId="314D34A2">
            <w:pPr>
              <w:rPr>
                <w:color w:val="000000" w:themeColor="text1"/>
                <w:szCs w:val="21"/>
                <w14:textFill>
                  <w14:solidFill>
                    <w14:schemeClr w14:val="tx1"/>
                  </w14:solidFill>
                </w14:textFill>
              </w:rPr>
            </w:pPr>
          </w:p>
        </w:tc>
      </w:tr>
    </w:tbl>
    <w:p w14:paraId="50C5FC97">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sectPr>
          <w:pgSz w:w="16838" w:h="11905" w:orient="landscape"/>
          <w:pgMar w:top="1417" w:right="1587" w:bottom="1417" w:left="1587" w:header="850" w:footer="1077" w:gutter="0"/>
          <w:cols w:space="720" w:num="1"/>
          <w:docGrid w:linePitch="312" w:charSpace="0"/>
        </w:sectPr>
      </w:pPr>
    </w:p>
    <w:tbl>
      <w:tblPr>
        <w:tblStyle w:val="20"/>
        <w:tblW w:w="514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09"/>
        <w:gridCol w:w="13888"/>
      </w:tblGrid>
      <w:tr w14:paraId="2CEC70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09" w:type="pct"/>
            <w:tcBorders>
              <w:tl2br w:val="nil"/>
              <w:tr2bl w:val="nil"/>
            </w:tcBorders>
            <w:tcMar>
              <w:left w:w="28" w:type="dxa"/>
              <w:right w:w="28" w:type="dxa"/>
            </w:tcMar>
            <w:vAlign w:val="center"/>
          </w:tcPr>
          <w:p w14:paraId="5678203E">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14:paraId="5979E03C">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14:paraId="339C455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14:paraId="0D1D423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14:paraId="368244D9">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14:paraId="3E97FEE4">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措施</w:t>
            </w:r>
          </w:p>
        </w:tc>
        <w:tc>
          <w:tcPr>
            <w:tcW w:w="4890" w:type="pct"/>
            <w:tcBorders>
              <w:tl2br w:val="nil"/>
              <w:tr2bl w:val="nil"/>
            </w:tcBorders>
          </w:tcPr>
          <w:p w14:paraId="681A444C">
            <w:pPr>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二、地表水环境影响分析</w:t>
            </w:r>
          </w:p>
          <w:p w14:paraId="52BAFEC9">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1、废水源强分析</w:t>
            </w:r>
          </w:p>
          <w:p w14:paraId="6ACD436D">
            <w:pPr>
              <w:adjustRightInd w:val="0"/>
              <w:snapToGrid w:val="0"/>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（1）生活污水</w:t>
            </w:r>
          </w:p>
          <w:p w14:paraId="5FA0A7B4">
            <w:pPr>
              <w:widowControl/>
              <w:spacing w:line="360" w:lineRule="auto"/>
              <w:ind w:firstLine="420" w:firstLineChars="200"/>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项目共有员工35人，均在项目内食宿。员工生活用水系数参考《广东省地方标准用水定额第3部分：生活》（DB44/T1461.3-2021）中表A.1服务业用水定额——办公楼（有食堂和浴室）先进值：15m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/人·a，生活用水量为525m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/a。外排生活污水约占生活用水量的90%，即为472.5m</w:t>
            </w:r>
            <w:r>
              <w:rPr>
                <w:rFonts w:hint="eastAsia"/>
                <w:bCs/>
                <w:color w:val="000000" w:themeColor="text1"/>
                <w:szCs w:val="21"/>
                <w:vertAlign w:val="superscript"/>
                <w14:textFill>
                  <w14:solidFill>
                    <w14:schemeClr w14:val="tx1"/>
                  </w14:solidFill>
                </w14:textFill>
              </w:rPr>
              <w:t>3</w:t>
            </w:r>
            <w:r>
              <w:rPr>
                <w:rFonts w:hint="eastAsia"/>
                <w:bCs/>
                <w:color w:val="000000" w:themeColor="text1"/>
                <w:szCs w:val="21"/>
                <w14:textFill>
                  <w14:solidFill>
                    <w14:schemeClr w14:val="tx1"/>
                  </w14:solidFill>
                </w14:textFill>
              </w:rPr>
              <w:t>/a。污染因子以SS、COD</w:t>
            </w:r>
            <w:r>
              <w:rPr>
                <w:rFonts w:hint="eastAsia"/>
                <w:bCs/>
                <w:color w:val="000000" w:themeColor="text1"/>
                <w:szCs w:val="21"/>
                <w:vertAlign w:val="subscript"/>
                <w14:textFill>
                  <w14:solidFill>
                    <w14:schemeClr w14:val="tx1"/>
                  </w14:solidFill>
                </w14:textFill>
              </w:rPr>
              <w:t>Cr</w:t>
            </w:r>
            <w:r>
              <w:rPr>
                <w:rFonts w:hint="eastAsia"/>
                <w:bCs/>
                <w:color w:val="000000" w:themeColor="text1"/>
                <w:szCs w:val="21"/>
                <w14:textFill>
                  <w14:solidFill>
                    <w14:schemeClr w14:val="tx1"/>
                  </w14:solidFill>
                </w14:textFill>
              </w:rPr>
              <w:t>、BOD</w:t>
            </w:r>
            <w:r>
              <w:rPr>
                <w:rFonts w:hint="eastAsia"/>
                <w:bCs/>
                <w:color w:val="000000" w:themeColor="text1"/>
                <w:szCs w:val="21"/>
                <w:vertAlign w:val="subscript"/>
                <w14:textFill>
                  <w14:solidFill>
                    <w14:schemeClr w14:val="tx1"/>
                  </w14:solidFill>
                </w14:textFill>
              </w:rPr>
              <w:t>5</w:t>
            </w:r>
            <w:r>
              <w:rPr>
                <w:rFonts w:hint="eastAsia"/>
                <w:bCs/>
                <w:color w:val="000000" w:themeColor="text1"/>
                <w:szCs w:val="21"/>
                <w14:textFill>
                  <w14:solidFill>
                    <w14:schemeClr w14:val="tx1"/>
                  </w14:solidFill>
                </w14:textFill>
              </w:rPr>
              <w:t>、氨氮、动植物油为主。项目产生的生活污水经三级化粪池、食堂废水经三级隔油池预处理后一并排入一体化A/O生化处理后用作厂区周边林地灌溉。</w:t>
            </w:r>
          </w:p>
          <w:p w14:paraId="314E8F04">
            <w:pPr>
              <w:widowControl/>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参考《广东省第三产业排污系数（第一批）》（粤环</w:t>
            </w:r>
            <w:r>
              <w:rPr>
                <w:rFonts w:hint="eastAsia"/>
                <w:color w:val="000000" w:themeColor="text1"/>
                <w14:textFill>
                  <w14:solidFill>
                    <w14:schemeClr w14:val="tx1"/>
                  </w14:solidFill>
                </w14:textFill>
              </w:rPr>
              <w:t>〔2003〕</w:t>
            </w:r>
            <w:r>
              <w:rPr>
                <w:color w:val="000000" w:themeColor="text1"/>
                <w14:textFill>
                  <w14:solidFill>
                    <w14:schemeClr w14:val="tx1"/>
                  </w14:solidFill>
                </w14:textFill>
              </w:rPr>
              <w:t>181号）并类比当地居民生活污水污染物浓度产排情况，项目生活污水污染物产生浓度：COD</w:t>
            </w:r>
            <w:r>
              <w:rPr>
                <w:color w:val="000000" w:themeColor="text1"/>
                <w:vertAlign w:val="subscript"/>
                <w14:textFill>
                  <w14:solidFill>
                    <w14:schemeClr w14:val="tx1"/>
                  </w14:solidFill>
                </w14:textFill>
              </w:rPr>
              <w:t>Cr</w:t>
            </w:r>
            <w:r>
              <w:rPr>
                <w:color w:val="000000" w:themeColor="text1"/>
                <w14:textFill>
                  <w14:solidFill>
                    <w14:schemeClr w14:val="tx1"/>
                  </w14:solidFill>
                </w14:textFill>
              </w:rPr>
              <w:t>250mg/L、BOD</w:t>
            </w:r>
            <w:r>
              <w:rPr>
                <w:color w:val="000000" w:themeColor="text1"/>
                <w:vertAlign w:val="subscript"/>
                <w14:textFill>
                  <w14:solidFill>
                    <w14:schemeClr w14:val="tx1"/>
                  </w14:solidFill>
                </w14:textFill>
              </w:rPr>
              <w:t>5</w:t>
            </w:r>
            <w:r>
              <w:rPr>
                <w:color w:val="000000" w:themeColor="text1"/>
                <w14:textFill>
                  <w14:solidFill>
                    <w14:schemeClr w14:val="tx1"/>
                  </w14:solidFill>
                </w14:textFill>
              </w:rPr>
              <w:t>150mg/L、SS150mg/L、NH</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-N20mg/L</w:t>
            </w:r>
            <w:r>
              <w:rPr>
                <w:rFonts w:hint="eastAsia"/>
                <w:color w:val="000000" w:themeColor="text1"/>
                <w14:textFill>
                  <w14:solidFill>
                    <w14:schemeClr w14:val="tx1"/>
                  </w14:solidFill>
                </w14:textFill>
              </w:rPr>
              <w:t>；动植物油产生浓度参考《环境影响评价（社会区域类）》教材：动植物油75mg/L。</w:t>
            </w:r>
          </w:p>
          <w:p w14:paraId="2DD15223">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bCs/>
                <w:color w:val="000000" w:themeColor="text1"/>
                <w:szCs w:val="21"/>
                <w14:textFill>
                  <w14:solidFill>
                    <w14:schemeClr w14:val="tx1"/>
                  </w14:solidFill>
                </w14:textFill>
              </w:rPr>
              <w:t>项目的生活污水产生与排放情况详见下表4-1</w:t>
            </w:r>
            <w:r>
              <w:rPr>
                <w:rFonts w:hint="eastAsia"/>
                <w:bCs/>
                <w:color w:val="000000" w:themeColor="text1"/>
                <w:szCs w:val="21"/>
                <w:lang w:val="en-US" w:eastAsia="zh-CN"/>
                <w14:textFill>
                  <w14:solidFill>
                    <w14:schemeClr w14:val="tx1"/>
                  </w14:solidFill>
                </w14:textFill>
              </w:rPr>
              <w:t>4</w:t>
            </w:r>
            <w:r>
              <w:rPr>
                <w:rFonts w:hint="eastAsia"/>
                <w:bCs/>
                <w:color w:val="000000" w:themeColor="text1"/>
                <w:szCs w:val="21"/>
                <w14:textFill>
                  <w14:solidFill>
                    <w14:schemeClr w14:val="tx1"/>
                  </w14:solidFill>
                </w14:textFill>
              </w:rPr>
              <w:t>：</w:t>
            </w:r>
          </w:p>
          <w:p w14:paraId="5248DFB5">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生活污水产排情况一览表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2"/>
              <w:gridCol w:w="3423"/>
              <w:gridCol w:w="1590"/>
              <w:gridCol w:w="1404"/>
              <w:gridCol w:w="1311"/>
              <w:gridCol w:w="1552"/>
              <w:gridCol w:w="1995"/>
            </w:tblGrid>
            <w:tr w14:paraId="049C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72" w:type="pct"/>
                  <w:shd w:val="clear" w:color="auto" w:fill="D9D9D9"/>
                  <w:vAlign w:val="center"/>
                </w:tcPr>
                <w:p w14:paraId="50BAF82C">
                  <w:pPr>
                    <w:autoSpaceDE w:val="0"/>
                    <w:autoSpaceDN w:val="0"/>
                    <w:adjustRightInd w:val="0"/>
                    <w:jc w:val="center"/>
                    <w:rPr>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污染源</w:t>
                  </w:r>
                </w:p>
              </w:tc>
              <w:tc>
                <w:tcPr>
                  <w:tcW w:w="1253" w:type="pct"/>
                  <w:shd w:val="clear" w:color="auto" w:fill="D9D9D9"/>
                  <w:vAlign w:val="center"/>
                </w:tcPr>
                <w:p w14:paraId="2FCF8C86">
                  <w:pPr>
                    <w:autoSpaceDE w:val="0"/>
                    <w:autoSpaceDN w:val="0"/>
                    <w:adjustRightInd w:val="0"/>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项目</w:t>
                  </w:r>
                </w:p>
              </w:tc>
              <w:tc>
                <w:tcPr>
                  <w:tcW w:w="582" w:type="pct"/>
                  <w:shd w:val="clear" w:color="auto" w:fill="D9D9D9"/>
                  <w:vAlign w:val="center"/>
                </w:tcPr>
                <w:p w14:paraId="484EB0AB">
                  <w:pPr>
                    <w:autoSpaceDE w:val="0"/>
                    <w:autoSpaceDN w:val="0"/>
                    <w:adjustRightInd w:val="0"/>
                    <w:jc w:val="center"/>
                    <w:rPr>
                      <w:b/>
                      <w:bCs/>
                      <w:color w:val="000000" w:themeColor="text1"/>
                      <w:kern w:val="0"/>
                      <w:sz w:val="18"/>
                      <w:szCs w:val="18"/>
                      <w:vertAlign w:val="subscript"/>
                      <w14:textFill>
                        <w14:solidFill>
                          <w14:schemeClr w14:val="tx1"/>
                        </w14:solidFill>
                      </w14:textFill>
                    </w:rPr>
                  </w:pPr>
                  <w:r>
                    <w:rPr>
                      <w:b/>
                      <w:bCs/>
                      <w:color w:val="000000" w:themeColor="text1"/>
                      <w:kern w:val="0"/>
                      <w:sz w:val="18"/>
                      <w:szCs w:val="18"/>
                      <w14:textFill>
                        <w14:solidFill>
                          <w14:schemeClr w14:val="tx1"/>
                        </w14:solidFill>
                      </w14:textFill>
                    </w:rPr>
                    <w:t>COD</w:t>
                  </w:r>
                  <w:r>
                    <w:rPr>
                      <w:rFonts w:hint="eastAsia"/>
                      <w:b/>
                      <w:bCs/>
                      <w:color w:val="000000" w:themeColor="text1"/>
                      <w:kern w:val="0"/>
                      <w:sz w:val="18"/>
                      <w:szCs w:val="18"/>
                      <w:vertAlign w:val="subscript"/>
                      <w14:textFill>
                        <w14:solidFill>
                          <w14:schemeClr w14:val="tx1"/>
                        </w14:solidFill>
                      </w14:textFill>
                    </w:rPr>
                    <w:t>Cr</w:t>
                  </w:r>
                </w:p>
              </w:tc>
              <w:tc>
                <w:tcPr>
                  <w:tcW w:w="514" w:type="pct"/>
                  <w:shd w:val="clear" w:color="auto" w:fill="D9D9D9"/>
                  <w:vAlign w:val="center"/>
                </w:tcPr>
                <w:p w14:paraId="0DDC6E9C">
                  <w:pPr>
                    <w:autoSpaceDE w:val="0"/>
                    <w:autoSpaceDN w:val="0"/>
                    <w:adjustRightInd w:val="0"/>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BOD</w:t>
                  </w:r>
                  <w:r>
                    <w:rPr>
                      <w:b/>
                      <w:bCs/>
                      <w:color w:val="000000" w:themeColor="text1"/>
                      <w:kern w:val="0"/>
                      <w:sz w:val="18"/>
                      <w:szCs w:val="18"/>
                      <w:vertAlign w:val="subscript"/>
                      <w14:textFill>
                        <w14:solidFill>
                          <w14:schemeClr w14:val="tx1"/>
                        </w14:solidFill>
                      </w14:textFill>
                    </w:rPr>
                    <w:t>5</w:t>
                  </w:r>
                </w:p>
              </w:tc>
              <w:tc>
                <w:tcPr>
                  <w:tcW w:w="480" w:type="pct"/>
                  <w:shd w:val="clear" w:color="auto" w:fill="D9D9D9"/>
                  <w:vAlign w:val="center"/>
                </w:tcPr>
                <w:p w14:paraId="5C8C0C05">
                  <w:pPr>
                    <w:autoSpaceDE w:val="0"/>
                    <w:autoSpaceDN w:val="0"/>
                    <w:adjustRightInd w:val="0"/>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SS</w:t>
                  </w:r>
                </w:p>
              </w:tc>
              <w:tc>
                <w:tcPr>
                  <w:tcW w:w="568" w:type="pct"/>
                  <w:shd w:val="clear" w:color="auto" w:fill="D9D9D9"/>
                  <w:vAlign w:val="center"/>
                </w:tcPr>
                <w:p w14:paraId="03B6023F">
                  <w:pPr>
                    <w:autoSpaceDE w:val="0"/>
                    <w:autoSpaceDN w:val="0"/>
                    <w:adjustRightInd w:val="0"/>
                    <w:jc w:val="center"/>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NH</w:t>
                  </w:r>
                  <w:r>
                    <w:rPr>
                      <w:b/>
                      <w:bCs/>
                      <w:color w:val="000000" w:themeColor="text1"/>
                      <w:kern w:val="0"/>
                      <w:sz w:val="18"/>
                      <w:szCs w:val="18"/>
                      <w:vertAlign w:val="subscript"/>
                      <w14:textFill>
                        <w14:solidFill>
                          <w14:schemeClr w14:val="tx1"/>
                        </w14:solidFill>
                      </w14:textFill>
                    </w:rPr>
                    <w:t>3</w:t>
                  </w:r>
                  <w:r>
                    <w:rPr>
                      <w:b/>
                      <w:bCs/>
                      <w:color w:val="000000" w:themeColor="text1"/>
                      <w:kern w:val="0"/>
                      <w:sz w:val="18"/>
                      <w:szCs w:val="18"/>
                      <w14:textFill>
                        <w14:solidFill>
                          <w14:schemeClr w14:val="tx1"/>
                        </w14:solidFill>
                      </w14:textFill>
                    </w:rPr>
                    <w:t>-N</w:t>
                  </w:r>
                </w:p>
              </w:tc>
              <w:tc>
                <w:tcPr>
                  <w:tcW w:w="727" w:type="pct"/>
                  <w:shd w:val="clear" w:color="auto" w:fill="D9D9D9"/>
                  <w:vAlign w:val="center"/>
                </w:tcPr>
                <w:p w14:paraId="7880E9F9">
                  <w:pPr>
                    <w:autoSpaceDE w:val="0"/>
                    <w:autoSpaceDN w:val="0"/>
                    <w:adjustRightInd w:val="0"/>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动植物油</w:t>
                  </w:r>
                </w:p>
              </w:tc>
            </w:tr>
            <w:tr w14:paraId="6BDE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2" w:type="pct"/>
                  <w:vMerge w:val="restart"/>
                  <w:shd w:val="clear" w:color="auto" w:fill="auto"/>
                  <w:vAlign w:val="center"/>
                </w:tcPr>
                <w:p w14:paraId="1432EA06">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生活污水</w:t>
                  </w:r>
                </w:p>
                <w:p w14:paraId="0048AAB8">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472.5</w:t>
                  </w:r>
                  <w:r>
                    <w:rPr>
                      <w:color w:val="000000" w:themeColor="text1"/>
                      <w:kern w:val="0"/>
                      <w:sz w:val="18"/>
                      <w:szCs w:val="18"/>
                      <w14:textFill>
                        <w14:solidFill>
                          <w14:schemeClr w14:val="tx1"/>
                        </w14:solidFill>
                      </w14:textFill>
                    </w:rPr>
                    <w:t>m</w:t>
                  </w:r>
                  <w:r>
                    <w:rPr>
                      <w:color w:val="000000" w:themeColor="text1"/>
                      <w:kern w:val="0"/>
                      <w:sz w:val="18"/>
                      <w:szCs w:val="18"/>
                      <w:vertAlign w:val="superscript"/>
                      <w14:textFill>
                        <w14:solidFill>
                          <w14:schemeClr w14:val="tx1"/>
                        </w14:solidFill>
                      </w14:textFill>
                    </w:rPr>
                    <w:t>3</w:t>
                  </w:r>
                  <w:r>
                    <w:rPr>
                      <w:color w:val="000000" w:themeColor="text1"/>
                      <w:kern w:val="0"/>
                      <w:sz w:val="18"/>
                      <w:szCs w:val="18"/>
                      <w14:textFill>
                        <w14:solidFill>
                          <w14:schemeClr w14:val="tx1"/>
                        </w14:solidFill>
                      </w14:textFill>
                    </w:rPr>
                    <w:t>/a</w:t>
                  </w:r>
                </w:p>
              </w:tc>
              <w:tc>
                <w:tcPr>
                  <w:tcW w:w="1253" w:type="pct"/>
                  <w:vAlign w:val="center"/>
                </w:tcPr>
                <w:p w14:paraId="7ECA13B5">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产生浓度（mg/L）</w:t>
                  </w:r>
                </w:p>
              </w:tc>
              <w:tc>
                <w:tcPr>
                  <w:tcW w:w="582" w:type="pct"/>
                  <w:vAlign w:val="center"/>
                </w:tcPr>
                <w:p w14:paraId="2962EFCE">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250</w:t>
                  </w:r>
                </w:p>
              </w:tc>
              <w:tc>
                <w:tcPr>
                  <w:tcW w:w="514" w:type="pct"/>
                  <w:vAlign w:val="center"/>
                </w:tcPr>
                <w:p w14:paraId="53968D06">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150</w:t>
                  </w:r>
                </w:p>
              </w:tc>
              <w:tc>
                <w:tcPr>
                  <w:tcW w:w="480" w:type="pct"/>
                  <w:vAlign w:val="center"/>
                </w:tcPr>
                <w:p w14:paraId="51ACFB31">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150</w:t>
                  </w:r>
                </w:p>
              </w:tc>
              <w:tc>
                <w:tcPr>
                  <w:tcW w:w="568" w:type="pct"/>
                  <w:vAlign w:val="center"/>
                </w:tcPr>
                <w:p w14:paraId="742D62BC">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20</w:t>
                  </w:r>
                </w:p>
              </w:tc>
              <w:tc>
                <w:tcPr>
                  <w:tcW w:w="727" w:type="pct"/>
                  <w:vAlign w:val="center"/>
                </w:tcPr>
                <w:p w14:paraId="0C31C1A2">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75</w:t>
                  </w:r>
                </w:p>
              </w:tc>
            </w:tr>
            <w:tr w14:paraId="23DCA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72" w:type="pct"/>
                  <w:vMerge w:val="continue"/>
                  <w:shd w:val="clear" w:color="auto" w:fill="auto"/>
                  <w:vAlign w:val="center"/>
                </w:tcPr>
                <w:p w14:paraId="421AC439">
                  <w:pPr>
                    <w:autoSpaceDE w:val="0"/>
                    <w:autoSpaceDN w:val="0"/>
                    <w:adjustRightInd w:val="0"/>
                    <w:jc w:val="center"/>
                    <w:rPr>
                      <w:color w:val="000000" w:themeColor="text1"/>
                      <w:kern w:val="0"/>
                      <w:sz w:val="18"/>
                      <w:szCs w:val="18"/>
                      <w14:textFill>
                        <w14:solidFill>
                          <w14:schemeClr w14:val="tx1"/>
                        </w14:solidFill>
                      </w14:textFill>
                    </w:rPr>
                  </w:pPr>
                </w:p>
              </w:tc>
              <w:tc>
                <w:tcPr>
                  <w:tcW w:w="1253" w:type="pct"/>
                  <w:vAlign w:val="center"/>
                </w:tcPr>
                <w:p w14:paraId="17E692DB">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产生量（t/a）</w:t>
                  </w:r>
                </w:p>
              </w:tc>
              <w:tc>
                <w:tcPr>
                  <w:tcW w:w="582" w:type="pct"/>
                  <w:vAlign w:val="center"/>
                </w:tcPr>
                <w:p w14:paraId="039C8E5D">
                  <w:pPr>
                    <w:jc w:val="center"/>
                    <w:rPr>
                      <w:rFonts w:eastAsia="Times New Roman"/>
                      <w:color w:val="000000" w:themeColor="text1"/>
                      <w:sz w:val="18"/>
                      <w:szCs w:val="18"/>
                      <w14:textFill>
                        <w14:solidFill>
                          <w14:schemeClr w14:val="tx1"/>
                        </w14:solidFill>
                      </w14:textFill>
                    </w:rPr>
                  </w:pPr>
                  <w:r>
                    <w:rPr>
                      <w:rFonts w:hint="eastAsia" w:eastAsia="Times New Roman"/>
                      <w:color w:val="000000" w:themeColor="text1"/>
                      <w:sz w:val="18"/>
                      <w:szCs w:val="18"/>
                      <w14:textFill>
                        <w14:solidFill>
                          <w14:schemeClr w14:val="tx1"/>
                        </w14:solidFill>
                      </w14:textFill>
                    </w:rPr>
                    <w:t>0.118</w:t>
                  </w:r>
                </w:p>
              </w:tc>
              <w:tc>
                <w:tcPr>
                  <w:tcW w:w="514" w:type="pct"/>
                  <w:vAlign w:val="center"/>
                </w:tcPr>
                <w:p w14:paraId="280E3F1B">
                  <w:pPr>
                    <w:jc w:val="center"/>
                    <w:rPr>
                      <w:rFonts w:eastAsia="Times New Roman"/>
                      <w:color w:val="000000" w:themeColor="text1"/>
                      <w:sz w:val="18"/>
                      <w:szCs w:val="18"/>
                      <w14:textFill>
                        <w14:solidFill>
                          <w14:schemeClr w14:val="tx1"/>
                        </w14:solidFill>
                      </w14:textFill>
                    </w:rPr>
                  </w:pPr>
                  <w:r>
                    <w:rPr>
                      <w:rFonts w:hint="eastAsia" w:eastAsia="Times New Roman"/>
                      <w:color w:val="000000" w:themeColor="text1"/>
                      <w:sz w:val="18"/>
                      <w:szCs w:val="18"/>
                      <w14:textFill>
                        <w14:solidFill>
                          <w14:schemeClr w14:val="tx1"/>
                        </w14:solidFill>
                      </w14:textFill>
                    </w:rPr>
                    <w:t>0.0709</w:t>
                  </w:r>
                </w:p>
              </w:tc>
              <w:tc>
                <w:tcPr>
                  <w:tcW w:w="480" w:type="pct"/>
                  <w:vAlign w:val="center"/>
                </w:tcPr>
                <w:p w14:paraId="4597C6ED">
                  <w:pPr>
                    <w:jc w:val="center"/>
                    <w:rPr>
                      <w:rFonts w:eastAsia="Times New Roman"/>
                      <w:color w:val="000000" w:themeColor="text1"/>
                      <w:sz w:val="18"/>
                      <w:szCs w:val="18"/>
                      <w14:textFill>
                        <w14:solidFill>
                          <w14:schemeClr w14:val="tx1"/>
                        </w14:solidFill>
                      </w14:textFill>
                    </w:rPr>
                  </w:pPr>
                  <w:r>
                    <w:rPr>
                      <w:rFonts w:hint="eastAsia" w:eastAsia="Times New Roman"/>
                      <w:color w:val="000000" w:themeColor="text1"/>
                      <w:sz w:val="18"/>
                      <w:szCs w:val="18"/>
                      <w14:textFill>
                        <w14:solidFill>
                          <w14:schemeClr w14:val="tx1"/>
                        </w14:solidFill>
                      </w14:textFill>
                    </w:rPr>
                    <w:t>0.0709</w:t>
                  </w:r>
                </w:p>
              </w:tc>
              <w:tc>
                <w:tcPr>
                  <w:tcW w:w="568" w:type="pct"/>
                  <w:vAlign w:val="center"/>
                </w:tcPr>
                <w:p w14:paraId="6AB73CF3">
                  <w:pPr>
                    <w:jc w:val="center"/>
                    <w:rPr>
                      <w:rFonts w:eastAsia="Times New Roman"/>
                      <w:color w:val="000000" w:themeColor="text1"/>
                      <w:sz w:val="18"/>
                      <w:szCs w:val="18"/>
                      <w14:textFill>
                        <w14:solidFill>
                          <w14:schemeClr w14:val="tx1"/>
                        </w14:solidFill>
                      </w14:textFill>
                    </w:rPr>
                  </w:pPr>
                  <w:r>
                    <w:rPr>
                      <w:rFonts w:hint="eastAsia" w:eastAsia="Times New Roman"/>
                      <w:color w:val="000000" w:themeColor="text1"/>
                      <w:sz w:val="18"/>
                      <w:szCs w:val="18"/>
                      <w14:textFill>
                        <w14:solidFill>
                          <w14:schemeClr w14:val="tx1"/>
                        </w14:solidFill>
                      </w14:textFill>
                    </w:rPr>
                    <w:t>0.00945</w:t>
                  </w:r>
                </w:p>
              </w:tc>
              <w:tc>
                <w:tcPr>
                  <w:tcW w:w="727" w:type="pct"/>
                  <w:vAlign w:val="center"/>
                </w:tcPr>
                <w:p w14:paraId="12AA21BA">
                  <w:pPr>
                    <w:jc w:val="center"/>
                    <w:rPr>
                      <w:rFonts w:eastAsia="Times New Roman"/>
                      <w:color w:val="000000" w:themeColor="text1"/>
                      <w:sz w:val="18"/>
                      <w:szCs w:val="18"/>
                      <w14:textFill>
                        <w14:solidFill>
                          <w14:schemeClr w14:val="tx1"/>
                        </w14:solidFill>
                      </w14:textFill>
                    </w:rPr>
                  </w:pPr>
                  <w:r>
                    <w:rPr>
                      <w:rFonts w:hint="eastAsia" w:eastAsia="Times New Roman"/>
                      <w:color w:val="000000" w:themeColor="text1"/>
                      <w:sz w:val="18"/>
                      <w:szCs w:val="18"/>
                      <w14:textFill>
                        <w14:solidFill>
                          <w14:schemeClr w14:val="tx1"/>
                        </w14:solidFill>
                      </w14:textFill>
                    </w:rPr>
                    <w:t>0.0354</w:t>
                  </w:r>
                </w:p>
              </w:tc>
            </w:tr>
            <w:tr w14:paraId="10E65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2" w:type="pct"/>
                  <w:vMerge w:val="continue"/>
                  <w:shd w:val="clear" w:color="auto" w:fill="auto"/>
                  <w:vAlign w:val="center"/>
                </w:tcPr>
                <w:p w14:paraId="62468EBC">
                  <w:pPr>
                    <w:autoSpaceDE w:val="0"/>
                    <w:autoSpaceDN w:val="0"/>
                    <w:adjustRightInd w:val="0"/>
                    <w:jc w:val="center"/>
                    <w:rPr>
                      <w:color w:val="000000" w:themeColor="text1"/>
                      <w:kern w:val="0"/>
                      <w:sz w:val="18"/>
                      <w:szCs w:val="18"/>
                      <w14:textFill>
                        <w14:solidFill>
                          <w14:schemeClr w14:val="tx1"/>
                        </w14:solidFill>
                      </w14:textFill>
                    </w:rPr>
                  </w:pPr>
                </w:p>
              </w:tc>
              <w:tc>
                <w:tcPr>
                  <w:tcW w:w="1253" w:type="pct"/>
                  <w:vAlign w:val="center"/>
                </w:tcPr>
                <w:p w14:paraId="47DE9BD6">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处理措施</w:t>
                  </w:r>
                </w:p>
              </w:tc>
              <w:tc>
                <w:tcPr>
                  <w:tcW w:w="2874" w:type="pct"/>
                  <w:gridSpan w:val="5"/>
                  <w:vAlign w:val="center"/>
                </w:tcPr>
                <w:p w14:paraId="420D3CE7">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三级化粪池/三级隔油池+一体化A/O生化处理</w:t>
                  </w:r>
                </w:p>
              </w:tc>
            </w:tr>
            <w:tr w14:paraId="0A87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872" w:type="pct"/>
                  <w:vMerge w:val="continue"/>
                  <w:shd w:val="clear" w:color="auto" w:fill="auto"/>
                  <w:vAlign w:val="center"/>
                </w:tcPr>
                <w:p w14:paraId="6F295F78">
                  <w:pPr>
                    <w:autoSpaceDE w:val="0"/>
                    <w:autoSpaceDN w:val="0"/>
                    <w:adjustRightInd w:val="0"/>
                    <w:jc w:val="center"/>
                    <w:rPr>
                      <w:color w:val="000000" w:themeColor="text1"/>
                      <w:kern w:val="0"/>
                      <w:sz w:val="18"/>
                      <w:szCs w:val="18"/>
                      <w14:textFill>
                        <w14:solidFill>
                          <w14:schemeClr w14:val="tx1"/>
                        </w14:solidFill>
                      </w14:textFill>
                    </w:rPr>
                  </w:pPr>
                </w:p>
              </w:tc>
              <w:tc>
                <w:tcPr>
                  <w:tcW w:w="1253" w:type="pct"/>
                  <w:vAlign w:val="center"/>
                </w:tcPr>
                <w:p w14:paraId="21407ECC">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处理效率</w:t>
                  </w:r>
                </w:p>
              </w:tc>
              <w:tc>
                <w:tcPr>
                  <w:tcW w:w="582" w:type="pct"/>
                  <w:vAlign w:val="center"/>
                </w:tcPr>
                <w:p w14:paraId="424D29DB">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76</w:t>
                  </w:r>
                </w:p>
              </w:tc>
              <w:tc>
                <w:tcPr>
                  <w:tcW w:w="514" w:type="pct"/>
                  <w:vAlign w:val="center"/>
                </w:tcPr>
                <w:p w14:paraId="254B96EB">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90</w:t>
                  </w:r>
                </w:p>
              </w:tc>
              <w:tc>
                <w:tcPr>
                  <w:tcW w:w="480" w:type="pct"/>
                  <w:vAlign w:val="center"/>
                </w:tcPr>
                <w:p w14:paraId="5FE97F79">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91.8</w:t>
                  </w:r>
                </w:p>
              </w:tc>
              <w:tc>
                <w:tcPr>
                  <w:tcW w:w="568" w:type="pct"/>
                  <w:vAlign w:val="center"/>
                </w:tcPr>
                <w:p w14:paraId="1BCC3773">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80</w:t>
                  </w:r>
                </w:p>
              </w:tc>
              <w:tc>
                <w:tcPr>
                  <w:tcW w:w="727" w:type="pct"/>
                  <w:vAlign w:val="center"/>
                </w:tcPr>
                <w:p w14:paraId="0477FF3D">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60</w:t>
                  </w:r>
                </w:p>
              </w:tc>
            </w:tr>
            <w:tr w14:paraId="70FB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872" w:type="pct"/>
                  <w:vMerge w:val="continue"/>
                  <w:shd w:val="clear" w:color="auto" w:fill="auto"/>
                  <w:vAlign w:val="center"/>
                </w:tcPr>
                <w:p w14:paraId="0870484C">
                  <w:pPr>
                    <w:autoSpaceDE w:val="0"/>
                    <w:autoSpaceDN w:val="0"/>
                    <w:adjustRightInd w:val="0"/>
                    <w:jc w:val="center"/>
                    <w:rPr>
                      <w:color w:val="000000" w:themeColor="text1"/>
                      <w:kern w:val="0"/>
                      <w:sz w:val="18"/>
                      <w:szCs w:val="18"/>
                      <w14:textFill>
                        <w14:solidFill>
                          <w14:schemeClr w14:val="tx1"/>
                        </w14:solidFill>
                      </w14:textFill>
                    </w:rPr>
                  </w:pPr>
                </w:p>
              </w:tc>
              <w:tc>
                <w:tcPr>
                  <w:tcW w:w="1253" w:type="pct"/>
                  <w:vAlign w:val="center"/>
                </w:tcPr>
                <w:p w14:paraId="56924FA5">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排放浓度（mg/L）</w:t>
                  </w:r>
                </w:p>
              </w:tc>
              <w:tc>
                <w:tcPr>
                  <w:tcW w:w="582" w:type="pct"/>
                  <w:vAlign w:val="center"/>
                </w:tcPr>
                <w:p w14:paraId="46064415">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60</w:t>
                  </w:r>
                </w:p>
              </w:tc>
              <w:tc>
                <w:tcPr>
                  <w:tcW w:w="514" w:type="pct"/>
                  <w:vAlign w:val="center"/>
                </w:tcPr>
                <w:p w14:paraId="796EBCFB">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15</w:t>
                  </w:r>
                </w:p>
              </w:tc>
              <w:tc>
                <w:tcPr>
                  <w:tcW w:w="480" w:type="pct"/>
                  <w:vAlign w:val="center"/>
                </w:tcPr>
                <w:p w14:paraId="2854E3D8">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12.3</w:t>
                  </w:r>
                </w:p>
              </w:tc>
              <w:tc>
                <w:tcPr>
                  <w:tcW w:w="568" w:type="pct"/>
                  <w:vAlign w:val="center"/>
                </w:tcPr>
                <w:p w14:paraId="5BB59648">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4</w:t>
                  </w:r>
                </w:p>
              </w:tc>
              <w:tc>
                <w:tcPr>
                  <w:tcW w:w="727" w:type="pct"/>
                  <w:vAlign w:val="center"/>
                </w:tcPr>
                <w:p w14:paraId="60532690">
                  <w:pPr>
                    <w:autoSpaceDE w:val="0"/>
                    <w:autoSpaceDN w:val="0"/>
                    <w:adjustRightInd w:val="0"/>
                    <w:jc w:val="center"/>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30</w:t>
                  </w:r>
                </w:p>
              </w:tc>
            </w:tr>
            <w:tr w14:paraId="22F6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872" w:type="pct"/>
                  <w:vMerge w:val="continue"/>
                  <w:shd w:val="clear" w:color="auto" w:fill="auto"/>
                  <w:vAlign w:val="center"/>
                </w:tcPr>
                <w:p w14:paraId="763BBC6B">
                  <w:pPr>
                    <w:autoSpaceDE w:val="0"/>
                    <w:autoSpaceDN w:val="0"/>
                    <w:adjustRightInd w:val="0"/>
                    <w:jc w:val="center"/>
                    <w:rPr>
                      <w:color w:val="000000" w:themeColor="text1"/>
                      <w:kern w:val="0"/>
                      <w:sz w:val="18"/>
                      <w:szCs w:val="18"/>
                      <w14:textFill>
                        <w14:solidFill>
                          <w14:schemeClr w14:val="tx1"/>
                        </w14:solidFill>
                      </w14:textFill>
                    </w:rPr>
                  </w:pPr>
                </w:p>
              </w:tc>
              <w:tc>
                <w:tcPr>
                  <w:tcW w:w="1253" w:type="pct"/>
                  <w:vAlign w:val="center"/>
                </w:tcPr>
                <w:p w14:paraId="6CB83A19">
                  <w:pPr>
                    <w:autoSpaceDE w:val="0"/>
                    <w:autoSpaceDN w:val="0"/>
                    <w:adjustRightInd w:val="0"/>
                    <w:jc w:val="center"/>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排放量（t/a）</w:t>
                  </w:r>
                </w:p>
              </w:tc>
              <w:tc>
                <w:tcPr>
                  <w:tcW w:w="582" w:type="pct"/>
                  <w:vAlign w:val="center"/>
                </w:tcPr>
                <w:p w14:paraId="7299BA34">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0.028</w:t>
                  </w:r>
                </w:p>
              </w:tc>
              <w:tc>
                <w:tcPr>
                  <w:tcW w:w="514" w:type="pct"/>
                  <w:vAlign w:val="center"/>
                </w:tcPr>
                <w:p w14:paraId="0E89571A">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0.007</w:t>
                  </w:r>
                </w:p>
              </w:tc>
              <w:tc>
                <w:tcPr>
                  <w:tcW w:w="480" w:type="pct"/>
                  <w:vAlign w:val="center"/>
                </w:tcPr>
                <w:p w14:paraId="45DF3DD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0.006</w:t>
                  </w:r>
                </w:p>
              </w:tc>
              <w:tc>
                <w:tcPr>
                  <w:tcW w:w="568" w:type="pct"/>
                  <w:vAlign w:val="center"/>
                </w:tcPr>
                <w:p w14:paraId="20532556">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0.002</w:t>
                  </w:r>
                </w:p>
              </w:tc>
              <w:tc>
                <w:tcPr>
                  <w:tcW w:w="727" w:type="pct"/>
                  <w:vAlign w:val="center"/>
                </w:tcPr>
                <w:p w14:paraId="30CC26BD">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0.0142</w:t>
                  </w:r>
                </w:p>
              </w:tc>
            </w:tr>
          </w:tbl>
          <w:p w14:paraId="77E0B313">
            <w:pPr>
              <w:adjustRightInd w:val="0"/>
              <w:snapToGrid w:val="0"/>
              <w:spacing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cs="宋体"/>
                <w:b/>
                <w:bCs/>
                <w:color w:val="000000" w:themeColor="text1"/>
                <w:kern w:val="0"/>
                <w:szCs w:val="21"/>
                <w:lang w:bidi="ar"/>
                <w14:textFill>
                  <w14:solidFill>
                    <w14:schemeClr w14:val="tx1"/>
                  </w14:solidFill>
                </w14:textFill>
              </w:rPr>
              <w:t>道路降尘废水</w:t>
            </w:r>
          </w:p>
          <w:p w14:paraId="0242D625">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建设单位拟在运输道路设2台雾炮机洒水降尘，台雾炮机水泵流量为</w:t>
            </w:r>
            <w:r>
              <w:rPr>
                <w:color w:val="000000" w:themeColor="text1"/>
                <w:kern w:val="0"/>
                <w:szCs w:val="21"/>
                <w:lang w:bidi="ar"/>
                <w14:textFill>
                  <w14:solidFill>
                    <w14:schemeClr w14:val="tx1"/>
                  </w14:solidFill>
                </w14:textFill>
              </w:rPr>
              <w:t>20L/min</w:t>
            </w:r>
            <w:r>
              <w:rPr>
                <w:rFonts w:hint="eastAsia" w:cs="宋体"/>
                <w:color w:val="000000" w:themeColor="text1"/>
                <w:kern w:val="0"/>
                <w:szCs w:val="21"/>
                <w:lang w:bidi="ar"/>
                <w14:textFill>
                  <w14:solidFill>
                    <w14:schemeClr w14:val="tx1"/>
                  </w14:solidFill>
                </w14:textFill>
              </w:rPr>
              <w:t>，每天喷淋时间约</w:t>
            </w:r>
            <w:r>
              <w:rPr>
                <w:rFonts w:hint="eastAsia"/>
                <w:color w:val="000000" w:themeColor="text1"/>
                <w:kern w:val="0"/>
                <w:szCs w:val="21"/>
                <w:lang w:bidi="ar"/>
                <w14:textFill>
                  <w14:solidFill>
                    <w14:schemeClr w14:val="tx1"/>
                  </w14:solidFill>
                </w14:textFill>
              </w:rPr>
              <w:t>4</w:t>
            </w:r>
            <w:r>
              <w:rPr>
                <w:color w:val="000000" w:themeColor="text1"/>
                <w:kern w:val="0"/>
                <w:szCs w:val="21"/>
                <w:lang w:bidi="ar"/>
                <w14:textFill>
                  <w14:solidFill>
                    <w14:schemeClr w14:val="tx1"/>
                  </w14:solidFill>
                </w14:textFill>
              </w:rPr>
              <w:t>h</w:t>
            </w:r>
            <w:r>
              <w:rPr>
                <w:rFonts w:hint="eastAsia" w:cs="宋体"/>
                <w:color w:val="000000" w:themeColor="text1"/>
                <w:kern w:val="0"/>
                <w:szCs w:val="21"/>
                <w:lang w:bidi="ar"/>
                <w14:textFill>
                  <w14:solidFill>
                    <w14:schemeClr w14:val="tx1"/>
                  </w14:solidFill>
                </w14:textFill>
              </w:rPr>
              <w:t>，用水量约</w:t>
            </w:r>
            <w:r>
              <w:rPr>
                <w:rFonts w:hint="eastAsia"/>
                <w:color w:val="000000" w:themeColor="text1"/>
                <w:kern w:val="0"/>
                <w:szCs w:val="21"/>
                <w:lang w:bidi="ar"/>
                <w14:textFill>
                  <w14:solidFill>
                    <w14:schemeClr w14:val="tx1"/>
                  </w14:solidFill>
                </w14:textFill>
              </w:rPr>
              <w:t>9.6</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/d</w:t>
            </w:r>
            <w:r>
              <w:rPr>
                <w:rFonts w:hint="eastAsia"/>
                <w:color w:val="000000" w:themeColor="text1"/>
                <w:kern w:val="0"/>
                <w:szCs w:val="21"/>
                <w:lang w:bidi="ar"/>
                <w14:textFill>
                  <w14:solidFill>
                    <w14:schemeClr w14:val="tx1"/>
                  </w14:solidFill>
                </w14:textFill>
              </w:rPr>
              <w:t>（2649.6m</w:t>
            </w:r>
            <w:r>
              <w:rPr>
                <w:rFonts w:hint="eastAsia"/>
                <w:color w:val="000000" w:themeColor="text1"/>
                <w:kern w:val="0"/>
                <w:szCs w:val="21"/>
                <w:vertAlign w:val="superscript"/>
                <w:lang w:bidi="ar"/>
                <w14:textFill>
                  <w14:solidFill>
                    <w14:schemeClr w14:val="tx1"/>
                  </w14:solidFill>
                </w14:textFill>
              </w:rPr>
              <w:t>3</w:t>
            </w:r>
            <w:r>
              <w:rPr>
                <w:rFonts w:hint="eastAsia"/>
                <w:color w:val="000000" w:themeColor="text1"/>
                <w:kern w:val="0"/>
                <w:szCs w:val="21"/>
                <w:lang w:bidi="ar"/>
                <w14:textFill>
                  <w14:solidFill>
                    <w14:schemeClr w14:val="tx1"/>
                  </w14:solidFill>
                </w14:textFill>
              </w:rPr>
              <w:t>/a），该部分用水全部蒸发损耗，不产生废水。</w:t>
            </w:r>
          </w:p>
          <w:p w14:paraId="591DEED4">
            <w:pPr>
              <w:widowControl/>
              <w:spacing w:line="360" w:lineRule="auto"/>
              <w:ind w:firstLine="422" w:firstLineChars="200"/>
              <w:jc w:val="left"/>
              <w:rPr>
                <w:b/>
                <w:bCs/>
                <w:color w:val="000000" w:themeColor="text1"/>
                <w:szCs w:val="21"/>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（3）车辆冲洗废水</w:t>
            </w:r>
          </w:p>
          <w:p w14:paraId="6C602D5B">
            <w:pPr>
              <w:pStyle w:val="14"/>
              <w:spacing w:before="0" w:after="0" w:line="360" w:lineRule="auto"/>
              <w:ind w:right="0" w:firstLineChars="200"/>
              <w:rPr>
                <w:rFonts w:cs="宋体"/>
                <w:color w:val="000000" w:themeColor="text1"/>
                <w:szCs w:val="21"/>
                <w:lang w:bidi="ar"/>
                <w14:textFill>
                  <w14:solidFill>
                    <w14:schemeClr w14:val="tx1"/>
                  </w14:solidFill>
                </w14:textFill>
              </w:rPr>
            </w:pPr>
            <w:r>
              <w:rPr>
                <w:rFonts w:hint="eastAsia" w:cs="宋体"/>
                <w:color w:val="000000" w:themeColor="text1"/>
                <w:szCs w:val="21"/>
                <w:lang w:bidi="ar"/>
                <w14:textFill>
                  <w14:solidFill>
                    <w14:schemeClr w14:val="tx1"/>
                  </w14:solidFill>
                </w14:textFill>
              </w:rPr>
              <w:t>本项目货车进出次数174160车次/年，运输量较大，为控制道路运输扬尘的产生，需要对进出厂货车的车轮、车身进行冲洗，减少车轮粘带的泥沙。建设单位拟在厂门口设置一处洗车台，司机可利用高压水枪对轮胎进行高压冲洗，洗车台外设置1个沉淀池用于处理车辆冲洗废水，车辆冲洗废水主要的污染因子为SS和石油类，经沉淀处理后回用于车辆冲洗用水。</w:t>
            </w:r>
          </w:p>
          <w:p w14:paraId="40B8F3F2">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根据广东省《用水定额 第</w:t>
            </w:r>
            <w:r>
              <w:rPr>
                <w:color w:val="000000" w:themeColor="text1"/>
                <w:kern w:val="0"/>
                <w:szCs w:val="21"/>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部分：生活》（</w:t>
            </w:r>
            <w:r>
              <w:rPr>
                <w:color w:val="000000" w:themeColor="text1"/>
                <w:kern w:val="0"/>
                <w:szCs w:val="21"/>
                <w:lang w:bidi="ar"/>
                <w14:textFill>
                  <w14:solidFill>
                    <w14:schemeClr w14:val="tx1"/>
                  </w14:solidFill>
                </w14:textFill>
              </w:rPr>
              <w:t>DB44/T1461.3-2021</w:t>
            </w:r>
            <w:r>
              <w:rPr>
                <w:rFonts w:hint="eastAsia" w:cs="宋体"/>
                <w:color w:val="000000" w:themeColor="text1"/>
                <w:kern w:val="0"/>
                <w:szCs w:val="21"/>
                <w:lang w:bidi="ar"/>
                <w14:textFill>
                  <w14:solidFill>
                    <w14:schemeClr w14:val="tx1"/>
                  </w14:solidFill>
                </w14:textFill>
              </w:rPr>
              <w:t>），大型车（手工自动洗车）用水定额先进值为</w:t>
            </w:r>
            <w:r>
              <w:rPr>
                <w:color w:val="000000" w:themeColor="text1"/>
                <w:kern w:val="0"/>
                <w:szCs w:val="21"/>
                <w:lang w:bidi="ar"/>
                <w14:textFill>
                  <w14:solidFill>
                    <w14:schemeClr w14:val="tx1"/>
                  </w14:solidFill>
                </w14:textFill>
              </w:rPr>
              <w:t>20L/</w:t>
            </w:r>
            <w:r>
              <w:rPr>
                <w:rFonts w:hint="eastAsia" w:cs="宋体"/>
                <w:color w:val="000000" w:themeColor="text1"/>
                <w:kern w:val="0"/>
                <w:szCs w:val="21"/>
                <w:lang w:bidi="ar"/>
                <w14:textFill>
                  <w14:solidFill>
                    <w14:schemeClr w14:val="tx1"/>
                  </w14:solidFill>
                </w14:textFill>
              </w:rPr>
              <w:t>车次，则洗车台车辆冲洗用水量为</w:t>
            </w:r>
            <w:r>
              <w:rPr>
                <w:rFonts w:hint="eastAsia" w:cs="宋体"/>
                <w:color w:val="000000" w:themeColor="text1"/>
                <w:kern w:val="0"/>
                <w:szCs w:val="21"/>
                <w:shd w:val="clear" w:color="auto" w:fill="FFFFFF" w:themeFill="background1"/>
                <w:lang w:bidi="ar"/>
                <w14:textFill>
                  <w14:solidFill>
                    <w14:schemeClr w14:val="tx1"/>
                  </w14:solidFill>
                </w14:textFill>
              </w:rPr>
              <w:t>3483.2</w:t>
            </w:r>
            <w:r>
              <w:rPr>
                <w:color w:val="000000" w:themeColor="text1"/>
                <w:kern w:val="0"/>
                <w:szCs w:val="21"/>
                <w:shd w:val="clear" w:color="auto" w:fill="FFFFFF" w:themeFill="background1"/>
                <w:lang w:bidi="ar"/>
                <w14:textFill>
                  <w14:solidFill>
                    <w14:schemeClr w14:val="tx1"/>
                  </w14:solidFill>
                </w14:textFill>
              </w:rPr>
              <w:t>m</w:t>
            </w:r>
            <w:r>
              <w:rPr>
                <w:color w:val="000000" w:themeColor="text1"/>
                <w:kern w:val="0"/>
                <w:szCs w:val="21"/>
                <w:shd w:val="clear" w:color="auto" w:fill="FFFFFF" w:themeFill="background1"/>
                <w:vertAlign w:val="superscript"/>
                <w:lang w:bidi="ar"/>
                <w14:textFill>
                  <w14:solidFill>
                    <w14:schemeClr w14:val="tx1"/>
                  </w14:solidFill>
                </w14:textFill>
              </w:rPr>
              <w:t>3</w:t>
            </w:r>
            <w:r>
              <w:rPr>
                <w:color w:val="000000" w:themeColor="text1"/>
                <w:kern w:val="0"/>
                <w:szCs w:val="21"/>
                <w:shd w:val="clear" w:color="auto" w:fill="FFFFFF" w:themeFill="background1"/>
                <w:lang w:bidi="ar"/>
                <w14:textFill>
                  <w14:solidFill>
                    <w14:schemeClr w14:val="tx1"/>
                  </w14:solidFill>
                </w14:textFill>
              </w:rPr>
              <w:t>/a</w:t>
            </w:r>
            <w:r>
              <w:rPr>
                <w:rFonts w:hint="eastAsia"/>
                <w:color w:val="000000" w:themeColor="text1"/>
                <w:kern w:val="0"/>
                <w:szCs w:val="21"/>
                <w:shd w:val="clear" w:color="auto" w:fill="FFFFFF" w:themeFill="background1"/>
                <w:lang w:bidi="ar"/>
                <w14:textFill>
                  <w14:solidFill>
                    <w14:schemeClr w14:val="tx1"/>
                  </w14:solidFill>
                </w14:textFill>
              </w:rPr>
              <w:t>（12.62m</w:t>
            </w:r>
            <w:r>
              <w:rPr>
                <w:rFonts w:hint="eastAsia"/>
                <w:color w:val="000000" w:themeColor="text1"/>
                <w:kern w:val="0"/>
                <w:szCs w:val="21"/>
                <w:shd w:val="clear" w:color="auto" w:fill="FFFFFF" w:themeFill="background1"/>
                <w:vertAlign w:val="superscript"/>
                <w:lang w:bidi="ar"/>
                <w14:textFill>
                  <w14:solidFill>
                    <w14:schemeClr w14:val="tx1"/>
                  </w14:solidFill>
                </w14:textFill>
              </w:rPr>
              <w:t>3</w:t>
            </w:r>
            <w:r>
              <w:rPr>
                <w:rFonts w:hint="eastAsia"/>
                <w:color w:val="000000" w:themeColor="text1"/>
                <w:kern w:val="0"/>
                <w:szCs w:val="21"/>
                <w:shd w:val="clear" w:color="auto" w:fill="FFFFFF" w:themeFill="background1"/>
                <w:lang w:bidi="ar"/>
                <w14:textFill>
                  <w14:solidFill>
                    <w14:schemeClr w14:val="tx1"/>
                  </w14:solidFill>
                </w14:textFill>
              </w:rPr>
              <w:t>/d）</w:t>
            </w:r>
            <w:r>
              <w:rPr>
                <w:rFonts w:hint="eastAsia" w:cs="宋体"/>
                <w:color w:val="000000" w:themeColor="text1"/>
                <w:kern w:val="0"/>
                <w:szCs w:val="21"/>
                <w:shd w:val="clear" w:color="auto" w:fill="FFFFFF" w:themeFill="background1"/>
                <w:lang w:bidi="ar"/>
                <w14:textFill>
                  <w14:solidFill>
                    <w14:schemeClr w14:val="tx1"/>
                  </w14:solidFill>
                </w14:textFill>
              </w:rPr>
              <w:t>。自然蒸发、车辆带出等造成</w:t>
            </w:r>
            <w:r>
              <w:rPr>
                <w:rFonts w:hint="eastAsia"/>
                <w:color w:val="000000" w:themeColor="text1"/>
                <w:kern w:val="0"/>
                <w:szCs w:val="21"/>
                <w:shd w:val="clear" w:color="auto" w:fill="FFFFFF" w:themeFill="background1"/>
                <w:lang w:bidi="ar"/>
                <w14:textFill>
                  <w14:solidFill>
                    <w14:schemeClr w14:val="tx1"/>
                  </w14:solidFill>
                </w14:textFill>
              </w:rPr>
              <w:t>2</w:t>
            </w:r>
            <w:r>
              <w:rPr>
                <w:color w:val="000000" w:themeColor="text1"/>
                <w:kern w:val="0"/>
                <w:szCs w:val="21"/>
                <w:shd w:val="clear" w:color="auto" w:fill="FFFFFF" w:themeFill="background1"/>
                <w:lang w:bidi="ar"/>
                <w14:textFill>
                  <w14:solidFill>
                    <w14:schemeClr w14:val="tx1"/>
                  </w14:solidFill>
                </w14:textFill>
              </w:rPr>
              <w:t>0%</w:t>
            </w:r>
            <w:r>
              <w:rPr>
                <w:rFonts w:hint="eastAsia" w:cs="宋体"/>
                <w:color w:val="000000" w:themeColor="text1"/>
                <w:kern w:val="0"/>
                <w:szCs w:val="21"/>
                <w:shd w:val="clear" w:color="auto" w:fill="FFFFFF" w:themeFill="background1"/>
                <w:lang w:bidi="ar"/>
                <w14:textFill>
                  <w14:solidFill>
                    <w14:schemeClr w14:val="tx1"/>
                  </w14:solidFill>
                </w14:textFill>
              </w:rPr>
              <w:t>的水资源损耗，则洗车废水年产生量约2786.56</w:t>
            </w:r>
            <w:r>
              <w:rPr>
                <w:color w:val="000000" w:themeColor="text1"/>
                <w:kern w:val="0"/>
                <w:szCs w:val="21"/>
                <w:shd w:val="clear" w:color="auto" w:fill="FFFFFF" w:themeFill="background1"/>
                <w:lang w:bidi="ar"/>
                <w14:textFill>
                  <w14:solidFill>
                    <w14:schemeClr w14:val="tx1"/>
                  </w14:solidFill>
                </w14:textFill>
              </w:rPr>
              <w:t>m</w:t>
            </w:r>
            <w:r>
              <w:rPr>
                <w:color w:val="000000" w:themeColor="text1"/>
                <w:kern w:val="0"/>
                <w:szCs w:val="21"/>
                <w:shd w:val="clear" w:color="auto" w:fill="FFFFFF" w:themeFill="background1"/>
                <w:vertAlign w:val="superscript"/>
                <w:lang w:bidi="ar"/>
                <w14:textFill>
                  <w14:solidFill>
                    <w14:schemeClr w14:val="tx1"/>
                  </w14:solidFill>
                </w14:textFill>
              </w:rPr>
              <w:t>3</w:t>
            </w:r>
            <w:r>
              <w:rPr>
                <w:color w:val="000000" w:themeColor="text1"/>
                <w:kern w:val="0"/>
                <w:szCs w:val="21"/>
                <w:shd w:val="clear" w:color="auto" w:fill="FFFFFF" w:themeFill="background1"/>
                <w:lang w:bidi="ar"/>
                <w14:textFill>
                  <w14:solidFill>
                    <w14:schemeClr w14:val="tx1"/>
                  </w14:solidFill>
                </w14:textFill>
              </w:rPr>
              <w:t>/a</w:t>
            </w:r>
            <w:r>
              <w:rPr>
                <w:rFonts w:hint="eastAsia"/>
                <w:color w:val="000000" w:themeColor="text1"/>
                <w:kern w:val="0"/>
                <w:szCs w:val="21"/>
                <w:shd w:val="clear" w:color="auto" w:fill="FFFFFF" w:themeFill="background1"/>
                <w:lang w:bidi="ar"/>
                <w14:textFill>
                  <w14:solidFill>
                    <w14:schemeClr w14:val="tx1"/>
                  </w14:solidFill>
                </w14:textFill>
              </w:rPr>
              <w:t>（10.1m</w:t>
            </w:r>
            <w:r>
              <w:rPr>
                <w:rFonts w:hint="eastAsia"/>
                <w:color w:val="000000" w:themeColor="text1"/>
                <w:kern w:val="0"/>
                <w:szCs w:val="21"/>
                <w:shd w:val="clear" w:color="auto" w:fill="FFFFFF" w:themeFill="background1"/>
                <w:vertAlign w:val="superscript"/>
                <w:lang w:bidi="ar"/>
                <w14:textFill>
                  <w14:solidFill>
                    <w14:schemeClr w14:val="tx1"/>
                  </w14:solidFill>
                </w14:textFill>
              </w:rPr>
              <w:t>3</w:t>
            </w:r>
            <w:r>
              <w:rPr>
                <w:rFonts w:hint="eastAsia"/>
                <w:color w:val="000000" w:themeColor="text1"/>
                <w:kern w:val="0"/>
                <w:szCs w:val="21"/>
                <w:shd w:val="clear" w:color="auto" w:fill="FFFFFF" w:themeFill="background1"/>
                <w:lang w:bidi="ar"/>
                <w14:textFill>
                  <w14:solidFill>
                    <w14:schemeClr w14:val="tx1"/>
                  </w14:solidFill>
                </w14:textFill>
              </w:rPr>
              <w:t>/d</w:t>
            </w:r>
            <w:r>
              <w:rPr>
                <w:rFonts w:hint="eastAsia"/>
                <w:color w:val="000000" w:themeColor="text1"/>
                <w:kern w:val="0"/>
                <w:szCs w:val="21"/>
                <w:lang w:bidi="ar"/>
                <w14:textFill>
                  <w14:solidFill>
                    <w14:schemeClr w14:val="tx1"/>
                  </w14:solidFill>
                </w14:textFill>
              </w:rPr>
              <w:t>）</w:t>
            </w:r>
            <w:r>
              <w:rPr>
                <w:rFonts w:hint="eastAsia" w:cs="宋体"/>
                <w:color w:val="000000" w:themeColor="text1"/>
                <w:kern w:val="0"/>
                <w:szCs w:val="21"/>
                <w:lang w:bidi="ar"/>
                <w14:textFill>
                  <w14:solidFill>
                    <w14:schemeClr w14:val="tx1"/>
                  </w14:solidFill>
                </w14:textFill>
              </w:rPr>
              <w:t>。车辆冲洗废水经三级沉淀池处理后回用到道路区域的车辆冲洗，不外排。车辆冲洗废水污染物主要为悬浮物，类比同类型项目悬浮物浓度约</w:t>
            </w:r>
            <w:r>
              <w:rPr>
                <w:color w:val="000000" w:themeColor="text1"/>
                <w:kern w:val="0"/>
                <w:szCs w:val="21"/>
                <w:lang w:bidi="ar"/>
                <w14:textFill>
                  <w14:solidFill>
                    <w14:schemeClr w14:val="tx1"/>
                  </w14:solidFill>
                </w14:textFill>
              </w:rPr>
              <w:t>500mg/L</w:t>
            </w:r>
            <w:r>
              <w:rPr>
                <w:rFonts w:hint="eastAsia"/>
                <w:color w:val="000000" w:themeColor="text1"/>
                <w:kern w:val="0"/>
                <w:szCs w:val="21"/>
                <w:lang w:bidi="ar"/>
                <w14:textFill>
                  <w14:solidFill>
                    <w14:schemeClr w14:val="tx1"/>
                  </w14:solidFill>
                </w14:textFill>
              </w:rPr>
              <w:t>。</w:t>
            </w:r>
          </w:p>
          <w:p w14:paraId="05F142B8">
            <w:pPr>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参考《云浮市石材加工废浆综合利用探讨》（张雄波云浮市环境信息中心）中不同沉降方法的</w:t>
            </w:r>
            <w:r>
              <w:rPr>
                <w:color w:val="000000" w:themeColor="text1"/>
                <w:kern w:val="0"/>
                <w:szCs w:val="21"/>
                <w:lang w:bidi="ar"/>
                <w14:textFill>
                  <w14:solidFill>
                    <w14:schemeClr w14:val="tx1"/>
                  </w14:solidFill>
                </w14:textFill>
              </w:rPr>
              <w:t>SS</w:t>
            </w:r>
            <w:r>
              <w:rPr>
                <w:rFonts w:hint="eastAsia" w:cs="宋体"/>
                <w:color w:val="000000" w:themeColor="text1"/>
                <w:kern w:val="0"/>
                <w:szCs w:val="21"/>
                <w:lang w:bidi="ar"/>
                <w14:textFill>
                  <w14:solidFill>
                    <w14:schemeClr w14:val="tx1"/>
                  </w14:solidFill>
                </w14:textFill>
              </w:rPr>
              <w:t>去除效率，沉降时间为</w:t>
            </w:r>
            <w:r>
              <w:rPr>
                <w:color w:val="000000" w:themeColor="text1"/>
                <w:kern w:val="0"/>
                <w:szCs w:val="21"/>
                <w:lang w:bidi="ar"/>
                <w14:textFill>
                  <w14:solidFill>
                    <w14:schemeClr w14:val="tx1"/>
                  </w14:solidFill>
                </w14:textFill>
              </w:rPr>
              <w:t>40min</w:t>
            </w:r>
            <w:r>
              <w:rPr>
                <w:rFonts w:hint="eastAsia" w:cs="宋体"/>
                <w:color w:val="000000" w:themeColor="text1"/>
                <w:kern w:val="0"/>
                <w:szCs w:val="21"/>
                <w:lang w:bidi="ar"/>
                <w14:textFill>
                  <w14:solidFill>
                    <w14:schemeClr w14:val="tx1"/>
                  </w14:solidFill>
                </w14:textFill>
              </w:rPr>
              <w:t>，自然沉降的</w:t>
            </w:r>
            <w:r>
              <w:rPr>
                <w:color w:val="000000" w:themeColor="text1"/>
                <w:kern w:val="0"/>
                <w:szCs w:val="21"/>
                <w:lang w:bidi="ar"/>
                <w14:textFill>
                  <w14:solidFill>
                    <w14:schemeClr w14:val="tx1"/>
                  </w14:solidFill>
                </w14:textFill>
              </w:rPr>
              <w:t>SS</w:t>
            </w:r>
            <w:r>
              <w:rPr>
                <w:rFonts w:hint="eastAsia" w:cs="宋体"/>
                <w:color w:val="000000" w:themeColor="text1"/>
                <w:kern w:val="0"/>
                <w:szCs w:val="21"/>
                <w:lang w:bidi="ar"/>
                <w14:textFill>
                  <w14:solidFill>
                    <w14:schemeClr w14:val="tx1"/>
                  </w14:solidFill>
                </w14:textFill>
              </w:rPr>
              <w:t>去除率能达到</w:t>
            </w:r>
            <w:r>
              <w:rPr>
                <w:color w:val="000000" w:themeColor="text1"/>
                <w:kern w:val="0"/>
                <w:szCs w:val="21"/>
                <w:lang w:bidi="ar"/>
                <w14:textFill>
                  <w14:solidFill>
                    <w14:schemeClr w14:val="tx1"/>
                  </w14:solidFill>
                </w14:textFill>
              </w:rPr>
              <w:t>98.5%</w:t>
            </w:r>
            <w:r>
              <w:rPr>
                <w:rFonts w:hint="eastAsia" w:cs="宋体"/>
                <w:color w:val="000000" w:themeColor="text1"/>
                <w:kern w:val="0"/>
                <w:szCs w:val="21"/>
                <w:lang w:bidi="ar"/>
                <w14:textFill>
                  <w14:solidFill>
                    <w14:schemeClr w14:val="tx1"/>
                  </w14:solidFill>
                </w14:textFill>
              </w:rPr>
              <w:t>，三级沉淀池的沉淀作用对车辆冲洗废水中悬浮物（</w:t>
            </w:r>
            <w:r>
              <w:rPr>
                <w:color w:val="000000" w:themeColor="text1"/>
                <w:kern w:val="0"/>
                <w:szCs w:val="21"/>
                <w:lang w:bidi="ar"/>
                <w14:textFill>
                  <w14:solidFill>
                    <w14:schemeClr w14:val="tx1"/>
                  </w14:solidFill>
                </w14:textFill>
              </w:rPr>
              <w:t>SS</w:t>
            </w:r>
            <w:r>
              <w:rPr>
                <w:rFonts w:hint="eastAsia" w:cs="宋体"/>
                <w:color w:val="000000" w:themeColor="text1"/>
                <w:kern w:val="0"/>
                <w:szCs w:val="21"/>
                <w:lang w:bidi="ar"/>
                <w14:textFill>
                  <w14:solidFill>
                    <w14:schemeClr w14:val="tx1"/>
                  </w14:solidFill>
                </w14:textFill>
              </w:rPr>
              <w:t>）的去除率保守取</w:t>
            </w:r>
            <w:r>
              <w:rPr>
                <w:color w:val="000000" w:themeColor="text1"/>
                <w:kern w:val="0"/>
                <w:szCs w:val="21"/>
                <w:lang w:bidi="ar"/>
                <w14:textFill>
                  <w14:solidFill>
                    <w14:schemeClr w14:val="tx1"/>
                  </w14:solidFill>
                </w14:textFill>
              </w:rPr>
              <w:t>95%</w:t>
            </w:r>
            <w:r>
              <w:rPr>
                <w:rFonts w:hint="eastAsia" w:cs="宋体"/>
                <w:color w:val="000000" w:themeColor="text1"/>
                <w:kern w:val="0"/>
                <w:szCs w:val="21"/>
                <w:lang w:bidi="ar"/>
                <w14:textFill>
                  <w14:solidFill>
                    <w14:schemeClr w14:val="tx1"/>
                  </w14:solidFill>
                </w14:textFill>
              </w:rPr>
              <w:t>。</w:t>
            </w:r>
          </w:p>
          <w:p w14:paraId="08B2BE64">
            <w:pPr>
              <w:spacing w:line="360" w:lineRule="auto"/>
              <w:ind w:firstLine="420" w:firstLineChars="200"/>
              <w:rPr>
                <w:color w:val="000000" w:themeColor="text1"/>
                <w:kern w:val="0"/>
                <w:szCs w:val="21"/>
                <w:lang w:bidi="ar"/>
                <w14:textFill>
                  <w14:solidFill>
                    <w14:schemeClr w14:val="tx1"/>
                  </w14:solidFill>
                </w14:textFill>
              </w:rPr>
            </w:pPr>
            <w:r>
              <w:rPr>
                <w:color w:val="000000" w:themeColor="text1"/>
                <w:szCs w:val="21"/>
                <w:lang w:bidi="ar"/>
                <w14:textFill>
                  <w14:solidFill>
                    <w14:schemeClr w14:val="tx1"/>
                  </w14:solidFill>
                </w14:textFill>
              </w:rPr>
              <w:t>车辆冲洗废水经沉淀池处理后SS出水浓度为25mg/L，参考《城市污水再生利用城市杂用水水质》（GB/T18920-2020）表1城市杂用水水质基本控制项目及限值中</w:t>
            </w:r>
            <w:r>
              <w:rPr>
                <w:rFonts w:hint="eastAsia"/>
                <w:color w:val="000000" w:themeColor="text1"/>
                <w:szCs w:val="21"/>
                <w:lang w:bidi="ar"/>
                <w14:textFill>
                  <w14:solidFill>
                    <w14:schemeClr w14:val="tx1"/>
                  </w14:solidFill>
                </w14:textFill>
              </w:rPr>
              <w:t>车辆冲洗</w:t>
            </w:r>
            <w:r>
              <w:rPr>
                <w:color w:val="000000" w:themeColor="text1"/>
                <w:szCs w:val="21"/>
                <w:lang w:bidi="ar"/>
                <w14:textFill>
                  <w14:solidFill>
                    <w14:schemeClr w14:val="tx1"/>
                  </w14:solidFill>
                </w14:textFill>
              </w:rPr>
              <w:t>对悬浮物SS的水质无要求</w:t>
            </w:r>
            <w:r>
              <w:rPr>
                <w:rFonts w:hint="eastAsia"/>
                <w:color w:val="000000" w:themeColor="text1"/>
                <w:szCs w:val="21"/>
                <w:lang w:bidi="ar"/>
                <w14:textFill>
                  <w14:solidFill>
                    <w14:schemeClr w14:val="tx1"/>
                  </w14:solidFill>
                </w14:textFill>
              </w:rPr>
              <w:t>，</w:t>
            </w:r>
            <w:r>
              <w:rPr>
                <w:color w:val="000000" w:themeColor="text1"/>
                <w:szCs w:val="21"/>
                <w:lang w:bidi="ar"/>
                <w14:textFill>
                  <w14:solidFill>
                    <w14:schemeClr w14:val="tx1"/>
                  </w14:solidFill>
                </w14:textFill>
              </w:rPr>
              <w:t>因此经三级沉淀池处理后的车辆冲洗废水回用于</w:t>
            </w:r>
            <w:r>
              <w:rPr>
                <w:rFonts w:hint="eastAsia"/>
                <w:color w:val="000000" w:themeColor="text1"/>
                <w:szCs w:val="21"/>
                <w:lang w:bidi="ar"/>
                <w14:textFill>
                  <w14:solidFill>
                    <w14:schemeClr w14:val="tx1"/>
                  </w14:solidFill>
                </w14:textFill>
              </w:rPr>
              <w:t>车辆冲洗</w:t>
            </w:r>
            <w:r>
              <w:rPr>
                <w:color w:val="000000" w:themeColor="text1"/>
                <w:szCs w:val="21"/>
                <w:lang w:bidi="ar"/>
                <w14:textFill>
                  <w14:solidFill>
                    <w14:schemeClr w14:val="tx1"/>
                  </w14:solidFill>
                </w14:textFill>
              </w:rPr>
              <w:t>用水可满足使用要求。因此车辆冲洗废水经处理后回用，不外排。</w:t>
            </w:r>
          </w:p>
          <w:p w14:paraId="4C3EC4A4">
            <w:pPr>
              <w:pStyle w:val="52"/>
              <w:ind w:firstLine="422"/>
              <w:rPr>
                <w:rFonts w:hint="default"/>
                <w:b/>
                <w:bCs/>
                <w:color w:val="000000" w:themeColor="text1"/>
                <w14:textFill>
                  <w14:solidFill>
                    <w14:schemeClr w14:val="tx1"/>
                  </w14:solidFill>
                </w14:textFill>
              </w:rPr>
            </w:pPr>
            <w:r>
              <w:rPr>
                <w:b/>
                <w:bCs/>
                <w:color w:val="000000" w:themeColor="text1"/>
                <w14:textFill>
                  <w14:solidFill>
                    <w14:schemeClr w14:val="tx1"/>
                  </w14:solidFill>
                </w14:textFill>
              </w:rPr>
              <w:t>（4）生产系统废水</w:t>
            </w:r>
          </w:p>
          <w:p w14:paraId="1F0A97E7">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本项目生产用水主要包括生产线喷淋用水和洗砂用水，在原料存放区、成品堆存区、生产厂房等均安装喷淋系统进行喷雾抑尘，原料存放区、成品堆存区、生产厂房的喷淋系统用水参考《室外给水设计标准》（GB50013-2018）的说明，抑尘用水可根据浇洒面积按2~3L/（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·d）计算，本评价取中间值2.5L/（m</w:t>
            </w:r>
            <w:r>
              <w:rPr>
                <w:color w:val="000000" w:themeColor="text1"/>
                <w:vertAlign w:val="superscript"/>
                <w14:textFill>
                  <w14:solidFill>
                    <w14:schemeClr w14:val="tx1"/>
                  </w14:solidFill>
                </w14:textFill>
              </w:rPr>
              <w:t>2</w:t>
            </w:r>
            <w:r>
              <w:rPr>
                <w:color w:val="000000" w:themeColor="text1"/>
                <w14:textFill>
                  <w14:solidFill>
                    <w14:schemeClr w14:val="tx1"/>
                  </w14:solidFill>
                </w14:textFill>
              </w:rPr>
              <w:t>·d），项目占地面积55551平方米，成品堆存区、生产厂房最大浇洒面积约8300平方米，项目年生产时间为276天，则项目厂区洒水用水量为5727m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/a。喷洒的水雾主要为蒸发损耗及进入产品，不产生废水。</w:t>
            </w:r>
          </w:p>
          <w:p w14:paraId="747247F7">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洗砂工序对机制砂加水冲洗后，清洗水中携带泥沙等杂质，再经洗砂细砂回收一体机脱水后会产生含泥废水。根据建设单位提供的设备参数，洗砂机单位用水量为1.25~1.875m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/t·产品，结合建设单位的实际运行状况，本项目洗砂用水量取值1.25m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/t·产品，本项目需进行水洗的产品为机制砂约为425000t/a，则洗砂用水531250m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/a（1924.82m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/d），本项目洗砂废水经污水池收集浓密罐处理后回用于生产系统，不外排。</w:t>
            </w:r>
          </w:p>
          <w:p w14:paraId="5F3FC0C5">
            <w:pPr>
              <w:pStyle w:val="52"/>
              <w:rPr>
                <w:rFonts w:hint="default" w:cs="宋体"/>
                <w:color w:val="000000" w:themeColor="text1"/>
                <w:szCs w:val="21"/>
                <w14:textFill>
                  <w14:solidFill>
                    <w14:schemeClr w14:val="tx1"/>
                  </w14:solidFill>
                </w14:textFill>
              </w:rPr>
            </w:pPr>
            <w:r>
              <w:rPr>
                <w:color w:val="000000" w:themeColor="text1"/>
                <w14:textFill>
                  <w14:solidFill>
                    <w14:schemeClr w14:val="tx1"/>
                  </w14:solidFill>
                </w14:textFill>
              </w:rPr>
              <w:t>综上所述，生产系统用水量共计536977m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w:t>
            </w:r>
            <w:r>
              <w:rPr>
                <w:rFonts w:cs="宋体"/>
                <w:color w:val="000000" w:themeColor="text1"/>
                <w:szCs w:val="21"/>
                <w14:textFill>
                  <w14:solidFill>
                    <w14:schemeClr w14:val="tx1"/>
                  </w14:solidFill>
                </w14:textFill>
              </w:rPr>
              <w:t>蒸发损耗水量约占总水量的5%，则损耗水量约为26848.85m</w:t>
            </w:r>
            <w:r>
              <w:rPr>
                <w:rFonts w:cs="宋体"/>
                <w:color w:val="000000" w:themeColor="text1"/>
                <w:szCs w:val="21"/>
                <w:vertAlign w:val="superscript"/>
                <w14:textFill>
                  <w14:solidFill>
                    <w14:schemeClr w14:val="tx1"/>
                  </w14:solidFill>
                </w14:textFill>
              </w:rPr>
              <w:t>3</w:t>
            </w:r>
            <w:r>
              <w:rPr>
                <w:rFonts w:cs="宋体"/>
                <w:color w:val="000000" w:themeColor="text1"/>
                <w:szCs w:val="21"/>
                <w14:textFill>
                  <w14:solidFill>
                    <w14:schemeClr w14:val="tx1"/>
                  </w14:solidFill>
                </w14:textFill>
              </w:rPr>
              <w:t>/a。原料花岗岩矿石含水率0.5%，产品</w:t>
            </w:r>
            <w:r>
              <w:rPr>
                <w:rFonts w:hint="eastAsia" w:cs="宋体"/>
                <w:color w:val="000000" w:themeColor="text1"/>
                <w:szCs w:val="21"/>
                <w:lang w:val="en-US" w:eastAsia="zh-CN"/>
                <w14:textFill>
                  <w14:solidFill>
                    <w14:schemeClr w14:val="tx1"/>
                  </w14:solidFill>
                </w14:textFill>
              </w:rPr>
              <w:t>碎石</w:t>
            </w:r>
            <w:r>
              <w:rPr>
                <w:rFonts w:cs="宋体"/>
                <w:color w:val="000000" w:themeColor="text1"/>
                <w:szCs w:val="21"/>
                <w14:textFill>
                  <w14:solidFill>
                    <w14:schemeClr w14:val="tx1"/>
                  </w14:solidFill>
                </w14:textFill>
              </w:rPr>
              <w:t>含水率约为5%，机制砂含水率8%，即成品带走水量约为60220m</w:t>
            </w:r>
            <w:r>
              <w:rPr>
                <w:rFonts w:cs="宋体"/>
                <w:color w:val="000000" w:themeColor="text1"/>
                <w:szCs w:val="21"/>
                <w:vertAlign w:val="superscript"/>
                <w14:textFill>
                  <w14:solidFill>
                    <w14:schemeClr w14:val="tx1"/>
                  </w14:solidFill>
                </w14:textFill>
              </w:rPr>
              <w:t>3</w:t>
            </w:r>
            <w:r>
              <w:rPr>
                <w:rFonts w:cs="宋体"/>
                <w:color w:val="000000" w:themeColor="text1"/>
                <w:szCs w:val="21"/>
                <w14:textFill>
                  <w14:solidFill>
                    <w14:schemeClr w14:val="tx1"/>
                  </w14:solidFill>
                </w14:textFill>
              </w:rPr>
              <w:t>/a。</w:t>
            </w:r>
          </w:p>
          <w:p w14:paraId="2BD33117">
            <w:pPr>
              <w:pStyle w:val="52"/>
              <w:rPr>
                <w:rFonts w:hint="default" w:cs="宋体"/>
                <w:color w:val="000000" w:themeColor="text1"/>
                <w:szCs w:val="21"/>
                <w14:textFill>
                  <w14:solidFill>
                    <w14:schemeClr w14:val="tx1"/>
                  </w14:solidFill>
                </w14:textFill>
              </w:rPr>
            </w:pPr>
            <w:r>
              <w:rPr>
                <w:rFonts w:cs="宋体"/>
                <w:color w:val="000000" w:themeColor="text1"/>
                <w:szCs w:val="21"/>
                <w14:textFill>
                  <w14:solidFill>
                    <w14:schemeClr w14:val="tx1"/>
                  </w14:solidFill>
                </w14:textFill>
              </w:rPr>
              <w:t>根据物料平衡，淤泥泥饼</w:t>
            </w: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lang w:val="en-US" w:eastAsia="zh-CN"/>
                <w14:textFill>
                  <w14:solidFill>
                    <w14:schemeClr w14:val="tx1"/>
                  </w14:solidFill>
                </w14:textFill>
              </w:rPr>
              <w:t>干重</w:t>
            </w:r>
            <w:r>
              <w:rPr>
                <w:rFonts w:hint="eastAsia" w:cs="宋体"/>
                <w:color w:val="000000" w:themeColor="text1"/>
                <w:szCs w:val="21"/>
                <w:lang w:eastAsia="zh-CN"/>
                <w14:textFill>
                  <w14:solidFill>
                    <w14:schemeClr w14:val="tx1"/>
                  </w14:solidFill>
                </w14:textFill>
              </w:rPr>
              <w:t>）</w:t>
            </w:r>
            <w:r>
              <w:rPr>
                <w:rFonts w:cs="宋体"/>
                <w:color w:val="000000" w:themeColor="text1"/>
                <w:szCs w:val="21"/>
                <w14:textFill>
                  <w14:solidFill>
                    <w14:schemeClr w14:val="tx1"/>
                  </w14:solidFill>
                </w14:textFill>
              </w:rPr>
              <w:t>产生量为26375.</w:t>
            </w:r>
            <w:r>
              <w:rPr>
                <w:rFonts w:hint="eastAsia" w:cs="宋体"/>
                <w:color w:val="000000" w:themeColor="text1"/>
                <w:szCs w:val="21"/>
                <w:lang w:val="en-US" w:eastAsia="zh-CN"/>
                <w14:textFill>
                  <w14:solidFill>
                    <w14:schemeClr w14:val="tx1"/>
                  </w14:solidFill>
                </w14:textFill>
              </w:rPr>
              <w:t>56</w:t>
            </w:r>
            <w:r>
              <w:rPr>
                <w:rFonts w:cs="宋体"/>
                <w:color w:val="000000" w:themeColor="text1"/>
                <w:szCs w:val="21"/>
                <w14:textFill>
                  <w14:solidFill>
                    <w14:schemeClr w14:val="tx1"/>
                  </w14:solidFill>
                </w14:textFill>
              </w:rPr>
              <w:t>t/a，经压滤脱水后淤泥泥饼含水率约为60%，</w:t>
            </w:r>
            <w:r>
              <w:rPr>
                <w:rFonts w:hint="eastAsia" w:cs="宋体"/>
                <w:color w:val="000000" w:themeColor="text1"/>
                <w:szCs w:val="21"/>
                <w:lang w:val="en-US" w:eastAsia="zh-CN"/>
                <w14:textFill>
                  <w14:solidFill>
                    <w14:schemeClr w14:val="tx1"/>
                  </w14:solidFill>
                </w14:textFill>
              </w:rPr>
              <w:t>可算出</w:t>
            </w:r>
            <w:r>
              <w:rPr>
                <w:rFonts w:hint="eastAsia" w:cs="宋体"/>
                <w:color w:val="000000" w:themeColor="text1"/>
                <w:szCs w:val="21"/>
                <w14:textFill>
                  <w14:solidFill>
                    <w14:schemeClr w14:val="tx1"/>
                  </w14:solidFill>
                </w14:textFill>
              </w:rPr>
              <w:t>总淤泥泥饼量</w:t>
            </w: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lang w:val="en-US" w:eastAsia="zh-CN"/>
                <w14:textFill>
                  <w14:solidFill>
                    <w14:schemeClr w14:val="tx1"/>
                  </w14:solidFill>
                </w14:textFill>
              </w:rPr>
              <w:t>含水60%</w:t>
            </w:r>
            <w:r>
              <w:rPr>
                <w:rFonts w:hint="eastAsia" w:cs="宋体"/>
                <w:color w:val="000000" w:themeColor="text1"/>
                <w:szCs w:val="21"/>
                <w:lang w:eastAsia="zh-CN"/>
                <w14:textFill>
                  <w14:solidFill>
                    <w14:schemeClr w14:val="tx1"/>
                  </w14:solidFill>
                </w14:textFill>
              </w:rPr>
              <w:t>）</w:t>
            </w:r>
            <w:r>
              <w:rPr>
                <w:rFonts w:hint="eastAsia" w:cs="宋体"/>
                <w:color w:val="000000" w:themeColor="text1"/>
                <w:szCs w:val="21"/>
                <w14:textFill>
                  <w14:solidFill>
                    <w14:schemeClr w14:val="tx1"/>
                  </w14:solidFill>
                </w14:textFill>
              </w:rPr>
              <w:t>为</w:t>
            </w:r>
            <w:r>
              <w:rPr>
                <w:rFonts w:hint="eastAsia" w:cs="宋体"/>
                <w:color w:val="000000" w:themeColor="text1"/>
                <w:szCs w:val="21"/>
                <w:lang w:val="en-US" w:eastAsia="zh-CN"/>
                <w14:textFill>
                  <w14:solidFill>
                    <w14:schemeClr w14:val="tx1"/>
                  </w14:solidFill>
                </w14:textFill>
              </w:rPr>
              <w:t>26375.56t/a÷40%=</w:t>
            </w:r>
            <w:r>
              <w:rPr>
                <w:rFonts w:hint="eastAsia" w:cs="宋体"/>
                <w:color w:val="000000" w:themeColor="text1"/>
                <w:szCs w:val="21"/>
                <w14:textFill>
                  <w14:solidFill>
                    <w14:schemeClr w14:val="tx1"/>
                  </w14:solidFill>
                </w14:textFill>
              </w:rPr>
              <w:t>65938.9t/a</w:t>
            </w:r>
            <w:r>
              <w:rPr>
                <w:rFonts w:hint="eastAsia" w:cs="宋体"/>
                <w:color w:val="000000" w:themeColor="text1"/>
                <w:szCs w:val="21"/>
                <w:lang w:eastAsia="zh-CN"/>
                <w14:textFill>
                  <w14:solidFill>
                    <w14:schemeClr w14:val="tx1"/>
                  </w14:solidFill>
                </w14:textFill>
              </w:rPr>
              <w:t>，</w:t>
            </w:r>
            <w:r>
              <w:rPr>
                <w:rFonts w:cs="宋体"/>
                <w:color w:val="000000" w:themeColor="text1"/>
                <w:szCs w:val="21"/>
                <w14:textFill>
                  <w14:solidFill>
                    <w14:schemeClr w14:val="tx1"/>
                  </w14:solidFill>
                </w14:textFill>
              </w:rPr>
              <w:t>则污泥带走水量约为</w:t>
            </w:r>
            <w:r>
              <w:rPr>
                <w:rFonts w:hint="eastAsia" w:cs="宋体"/>
                <w:color w:val="000000" w:themeColor="text1"/>
                <w:szCs w:val="21"/>
                <w:lang w:val="en-US" w:eastAsia="zh-CN"/>
                <w14:textFill>
                  <w14:solidFill>
                    <w14:schemeClr w14:val="tx1"/>
                  </w14:solidFill>
                </w14:textFill>
              </w:rPr>
              <w:t>65938.9-26375.56=</w:t>
            </w:r>
            <w:r>
              <w:rPr>
                <w:rFonts w:cs="宋体"/>
                <w:color w:val="000000" w:themeColor="text1"/>
                <w:szCs w:val="21"/>
                <w14:textFill>
                  <w14:solidFill>
                    <w14:schemeClr w14:val="tx1"/>
                  </w14:solidFill>
                </w14:textFill>
              </w:rPr>
              <w:t>39563.</w:t>
            </w:r>
            <w:r>
              <w:rPr>
                <w:rFonts w:hint="eastAsia" w:cs="宋体"/>
                <w:color w:val="000000" w:themeColor="text1"/>
                <w:szCs w:val="21"/>
                <w:lang w:val="en-US" w:eastAsia="zh-CN"/>
                <w14:textFill>
                  <w14:solidFill>
                    <w14:schemeClr w14:val="tx1"/>
                  </w14:solidFill>
                </w14:textFill>
              </w:rPr>
              <w:t>34</w:t>
            </w:r>
            <w:r>
              <w:rPr>
                <w:rFonts w:cs="宋体"/>
                <w:color w:val="000000" w:themeColor="text1"/>
                <w:szCs w:val="21"/>
                <w14:textFill>
                  <w14:solidFill>
                    <w14:schemeClr w14:val="tx1"/>
                  </w14:solidFill>
                </w14:textFill>
              </w:rPr>
              <w:t>m</w:t>
            </w:r>
            <w:r>
              <w:rPr>
                <w:rFonts w:cs="宋体"/>
                <w:color w:val="000000" w:themeColor="text1"/>
                <w:szCs w:val="21"/>
                <w:vertAlign w:val="superscript"/>
                <w14:textFill>
                  <w14:solidFill>
                    <w14:schemeClr w14:val="tx1"/>
                  </w14:solidFill>
                </w14:textFill>
              </w:rPr>
              <w:t>3</w:t>
            </w:r>
            <w:r>
              <w:rPr>
                <w:rFonts w:cs="宋体"/>
                <w:color w:val="000000" w:themeColor="text1"/>
                <w:szCs w:val="21"/>
                <w14:textFill>
                  <w14:solidFill>
                    <w14:schemeClr w14:val="tx1"/>
                  </w14:solidFill>
                </w14:textFill>
              </w:rPr>
              <w:t>/a。</w:t>
            </w:r>
          </w:p>
          <w:p w14:paraId="600F0BEE">
            <w:pPr>
              <w:keepNext/>
              <w:spacing w:line="360" w:lineRule="auto"/>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w:t>
            </w:r>
            <w:r>
              <w:rPr>
                <w:rFonts w:hint="eastAsia"/>
                <w:b/>
                <w:color w:val="000000" w:themeColor="text1"/>
                <w:sz w:val="18"/>
                <w:szCs w:val="21"/>
                <w14:textFill>
                  <w14:solidFill>
                    <w14:schemeClr w14:val="tx1"/>
                  </w14:solidFill>
                </w14:textFill>
              </w:rPr>
              <w:t>4-1</w:t>
            </w:r>
            <w:r>
              <w:rPr>
                <w:rFonts w:hint="eastAsia"/>
                <w:b/>
                <w:color w:val="000000" w:themeColor="text1"/>
                <w:sz w:val="18"/>
                <w:szCs w:val="21"/>
                <w:lang w:val="en-US" w:eastAsia="zh-CN"/>
                <w14:textFill>
                  <w14:solidFill>
                    <w14:schemeClr w14:val="tx1"/>
                  </w14:solidFill>
                </w14:textFill>
              </w:rPr>
              <w:t>5</w:t>
            </w:r>
            <w:r>
              <w:rPr>
                <w:rFonts w:hint="eastAsia"/>
                <w:b/>
                <w:color w:val="000000" w:themeColor="text1"/>
                <w:sz w:val="18"/>
                <w:szCs w:val="21"/>
                <w14:textFill>
                  <w14:solidFill>
                    <w14:schemeClr w14:val="tx1"/>
                  </w14:solidFill>
                </w14:textFill>
              </w:rPr>
              <w:t xml:space="preserve"> 喷淋、洗砂工序用水量进入原料、产品的水量计算表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5"/>
              <w:gridCol w:w="3980"/>
              <w:gridCol w:w="3993"/>
              <w:gridCol w:w="2999"/>
            </w:tblGrid>
            <w:tr w14:paraId="2521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983" w:type="pct"/>
                  <w:shd w:val="clear" w:color="auto" w:fill="D9D9D9"/>
                  <w:vAlign w:val="center"/>
                </w:tcPr>
                <w:p w14:paraId="3C499BBA">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原料</w:t>
                  </w:r>
                </w:p>
              </w:tc>
              <w:tc>
                <w:tcPr>
                  <w:tcW w:w="1457" w:type="pct"/>
                  <w:shd w:val="clear" w:color="auto" w:fill="D9D9D9"/>
                  <w:vAlign w:val="center"/>
                </w:tcPr>
                <w:p w14:paraId="6EE8087B">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原料量（t）</w:t>
                  </w:r>
                </w:p>
              </w:tc>
              <w:tc>
                <w:tcPr>
                  <w:tcW w:w="1461" w:type="pct"/>
                  <w:shd w:val="clear" w:color="auto" w:fill="D9D9D9"/>
                  <w:vAlign w:val="center"/>
                </w:tcPr>
                <w:p w14:paraId="569A55B0">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原料含水率</w:t>
                  </w:r>
                </w:p>
              </w:tc>
              <w:tc>
                <w:tcPr>
                  <w:tcW w:w="1097" w:type="pct"/>
                  <w:shd w:val="clear" w:color="auto" w:fill="D9D9D9"/>
                  <w:vAlign w:val="center"/>
                </w:tcPr>
                <w:p w14:paraId="79D61647">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原料含水量（t）</w:t>
                  </w:r>
                </w:p>
              </w:tc>
            </w:tr>
            <w:tr w14:paraId="3944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983" w:type="pct"/>
                  <w:vAlign w:val="center"/>
                </w:tcPr>
                <w:p w14:paraId="15ACACD5">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花岗岩矿石</w:t>
                  </w:r>
                </w:p>
              </w:tc>
              <w:tc>
                <w:tcPr>
                  <w:tcW w:w="1457" w:type="pct"/>
                  <w:vAlign w:val="center"/>
                </w:tcPr>
                <w:p w14:paraId="1C6F2D11">
                  <w:pPr>
                    <w:autoSpaceDE w:val="0"/>
                    <w:autoSpaceDN w:val="0"/>
                    <w:adjustRightIn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1116000</w:t>
                  </w:r>
                </w:p>
              </w:tc>
              <w:tc>
                <w:tcPr>
                  <w:tcW w:w="1461" w:type="pct"/>
                  <w:vAlign w:val="center"/>
                </w:tcPr>
                <w:p w14:paraId="702095CD">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0.5</w:t>
                  </w:r>
                  <w:r>
                    <w:rPr>
                      <w:color w:val="000000" w:themeColor="text1"/>
                      <w:sz w:val="18"/>
                      <w:szCs w:val="18"/>
                      <w14:textFill>
                        <w14:solidFill>
                          <w14:schemeClr w14:val="tx1"/>
                        </w14:solidFill>
                      </w14:textFill>
                    </w:rPr>
                    <w:t>%</w:t>
                  </w:r>
                </w:p>
              </w:tc>
              <w:tc>
                <w:tcPr>
                  <w:tcW w:w="1097" w:type="pct"/>
                  <w:vAlign w:val="center"/>
                </w:tcPr>
                <w:p w14:paraId="2D1FD54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5580</w:t>
                  </w:r>
                </w:p>
              </w:tc>
            </w:tr>
            <w:tr w14:paraId="09E4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983" w:type="pct"/>
                  <w:vAlign w:val="center"/>
                </w:tcPr>
                <w:p w14:paraId="2663C729">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1457" w:type="pct"/>
                  <w:vAlign w:val="center"/>
                </w:tcPr>
                <w:p w14:paraId="5CDC2804">
                  <w:pPr>
                    <w:autoSpaceDE w:val="0"/>
                    <w:autoSpaceDN w:val="0"/>
                    <w:adjustRightIn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1116000</w:t>
                  </w:r>
                </w:p>
              </w:tc>
              <w:tc>
                <w:tcPr>
                  <w:tcW w:w="1461" w:type="pct"/>
                  <w:vAlign w:val="center"/>
                </w:tcPr>
                <w:p w14:paraId="04F7FD2B">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1097" w:type="pct"/>
                  <w:vAlign w:val="center"/>
                </w:tcPr>
                <w:p w14:paraId="38B81AB0">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5580</w:t>
                  </w:r>
                </w:p>
              </w:tc>
            </w:tr>
            <w:tr w14:paraId="3178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14:paraId="209C9123">
                  <w:pPr>
                    <w:autoSpaceDE w:val="0"/>
                    <w:autoSpaceDN w:val="0"/>
                    <w:adjustRightInd w:val="0"/>
                    <w:rPr>
                      <w:b/>
                      <w:bCs/>
                      <w:color w:val="000000" w:themeColor="text1"/>
                      <w:sz w:val="18"/>
                      <w:szCs w:val="18"/>
                      <w14:textFill>
                        <w14:solidFill>
                          <w14:schemeClr w14:val="tx1"/>
                        </w14:solidFill>
                      </w14:textFill>
                    </w:rPr>
                  </w:pPr>
                </w:p>
              </w:tc>
            </w:tr>
            <w:tr w14:paraId="2CE83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pct"/>
                  <w:shd w:val="clear" w:color="auto" w:fill="D9D9D9"/>
                  <w:vAlign w:val="center"/>
                </w:tcPr>
                <w:p w14:paraId="7D713619">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产品</w:t>
                  </w:r>
                </w:p>
              </w:tc>
              <w:tc>
                <w:tcPr>
                  <w:tcW w:w="1457" w:type="pct"/>
                  <w:shd w:val="clear" w:color="auto" w:fill="D9D9D9"/>
                  <w:vAlign w:val="center"/>
                </w:tcPr>
                <w:p w14:paraId="7B35466E">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产品年产量（t）</w:t>
                  </w:r>
                </w:p>
              </w:tc>
              <w:tc>
                <w:tcPr>
                  <w:tcW w:w="1461" w:type="pct"/>
                  <w:shd w:val="clear" w:color="auto" w:fill="D9D9D9"/>
                  <w:vAlign w:val="center"/>
                </w:tcPr>
                <w:p w14:paraId="45DBD2C9">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产品含水率</w:t>
                  </w:r>
                </w:p>
              </w:tc>
              <w:tc>
                <w:tcPr>
                  <w:tcW w:w="1097" w:type="pct"/>
                  <w:shd w:val="clear" w:color="auto" w:fill="D9D9D9"/>
                  <w:vAlign w:val="center"/>
                </w:tcPr>
                <w:p w14:paraId="1D32475B">
                  <w:pPr>
                    <w:autoSpaceDE w:val="0"/>
                    <w:autoSpaceDN w:val="0"/>
                    <w:adjustRightInd w:val="0"/>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产品含水量（t）</w:t>
                  </w:r>
                </w:p>
              </w:tc>
            </w:tr>
            <w:tr w14:paraId="18D51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pct"/>
                  <w:shd w:val="clear" w:color="auto" w:fill="auto"/>
                  <w:vAlign w:val="center"/>
                </w:tcPr>
                <w:p w14:paraId="200F5003">
                  <w:pPr>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碎石</w:t>
                  </w:r>
                </w:p>
              </w:tc>
              <w:tc>
                <w:tcPr>
                  <w:tcW w:w="1457" w:type="pct"/>
                  <w:shd w:val="clear" w:color="auto" w:fill="auto"/>
                  <w:vAlign w:val="center"/>
                </w:tcPr>
                <w:p w14:paraId="26A48B76">
                  <w:pPr>
                    <w:widowControl/>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636000</w:t>
                  </w:r>
                </w:p>
              </w:tc>
              <w:tc>
                <w:tcPr>
                  <w:tcW w:w="1461" w:type="pct"/>
                  <w:shd w:val="clear" w:color="auto" w:fill="auto"/>
                  <w:vAlign w:val="center"/>
                </w:tcPr>
                <w:p w14:paraId="198C6B12">
                  <w:pPr>
                    <w:widowControl/>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5%</w:t>
                  </w:r>
                </w:p>
              </w:tc>
              <w:tc>
                <w:tcPr>
                  <w:tcW w:w="1097" w:type="pct"/>
                  <w:shd w:val="clear" w:color="auto" w:fill="auto"/>
                  <w:vAlign w:val="center"/>
                </w:tcPr>
                <w:p w14:paraId="093B8DE5">
                  <w:pPr>
                    <w:widowControl/>
                    <w:jc w:val="center"/>
                    <w:textAlignment w:val="center"/>
                    <w:rPr>
                      <w:rFonts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kern w:val="0"/>
                      <w:sz w:val="18"/>
                      <w:szCs w:val="18"/>
                      <w:lang w:bidi="ar"/>
                      <w14:textFill>
                        <w14:solidFill>
                          <w14:schemeClr w14:val="tx1"/>
                        </w14:solidFill>
                      </w14:textFill>
                    </w:rPr>
                    <w:t>31800</w:t>
                  </w:r>
                </w:p>
              </w:tc>
            </w:tr>
            <w:tr w14:paraId="4137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pct"/>
                  <w:vAlign w:val="center"/>
                </w:tcPr>
                <w:p w14:paraId="644C490C">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机制</w:t>
                  </w:r>
                  <w:r>
                    <w:rPr>
                      <w:color w:val="000000" w:themeColor="text1"/>
                      <w:sz w:val="18"/>
                      <w:szCs w:val="18"/>
                      <w14:textFill>
                        <w14:solidFill>
                          <w14:schemeClr w14:val="tx1"/>
                        </w14:solidFill>
                      </w14:textFill>
                    </w:rPr>
                    <w:t>砂</w:t>
                  </w:r>
                </w:p>
              </w:tc>
              <w:tc>
                <w:tcPr>
                  <w:tcW w:w="1457" w:type="pct"/>
                  <w:vAlign w:val="center"/>
                </w:tcPr>
                <w:p w14:paraId="5D9B3610">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425000</w:t>
                  </w:r>
                </w:p>
              </w:tc>
              <w:tc>
                <w:tcPr>
                  <w:tcW w:w="1461" w:type="pct"/>
                  <w:vAlign w:val="center"/>
                </w:tcPr>
                <w:p w14:paraId="2675E273">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1097" w:type="pct"/>
                  <w:vAlign w:val="center"/>
                </w:tcPr>
                <w:p w14:paraId="137D1911">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34000</w:t>
                  </w:r>
                </w:p>
              </w:tc>
            </w:tr>
            <w:tr w14:paraId="04068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 w:type="pct"/>
                  <w:vAlign w:val="center"/>
                </w:tcPr>
                <w:p w14:paraId="70788583">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合计</w:t>
                  </w:r>
                </w:p>
              </w:tc>
              <w:tc>
                <w:tcPr>
                  <w:tcW w:w="1457" w:type="pct"/>
                  <w:vAlign w:val="center"/>
                </w:tcPr>
                <w:p w14:paraId="5AA6D5A5">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1061000</w:t>
                  </w:r>
                </w:p>
              </w:tc>
              <w:tc>
                <w:tcPr>
                  <w:tcW w:w="1461" w:type="pct"/>
                  <w:vAlign w:val="center"/>
                </w:tcPr>
                <w:p w14:paraId="4D5EF9E0">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1097" w:type="pct"/>
                  <w:vAlign w:val="center"/>
                </w:tcPr>
                <w:p w14:paraId="4FA4E589">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65800</w:t>
                  </w:r>
                </w:p>
              </w:tc>
            </w:tr>
            <w:tr w14:paraId="1D21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2" w:type="pct"/>
                  <w:gridSpan w:val="3"/>
                  <w:vAlign w:val="center"/>
                </w:tcPr>
                <w:p w14:paraId="0961914C">
                  <w:pPr>
                    <w:autoSpaceDE w:val="0"/>
                    <w:autoSpaceDN w:val="0"/>
                    <w:adjustRightIn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喷淋、洗砂工序用水进入产品水量</w:t>
                  </w:r>
                </w:p>
              </w:tc>
              <w:tc>
                <w:tcPr>
                  <w:tcW w:w="1097" w:type="pct"/>
                  <w:vAlign w:val="center"/>
                </w:tcPr>
                <w:p w14:paraId="7F0FD311">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60220</w:t>
                  </w:r>
                </w:p>
              </w:tc>
            </w:tr>
          </w:tbl>
          <w:p w14:paraId="1E667A6F">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 xml:space="preserve"> 生产系统废水产排表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15"/>
              <w:gridCol w:w="3415"/>
              <w:gridCol w:w="3415"/>
              <w:gridCol w:w="3415"/>
            </w:tblGrid>
            <w:tr w14:paraId="09B4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0" w:type="dxa"/>
                  <w:gridSpan w:val="2"/>
                  <w:shd w:val="clear" w:color="auto" w:fill="D9D9D9"/>
                  <w:vAlign w:val="center"/>
                </w:tcPr>
                <w:p w14:paraId="1A63E4F6">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产生（m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/a）</w:t>
                  </w:r>
                </w:p>
              </w:tc>
              <w:tc>
                <w:tcPr>
                  <w:tcW w:w="6830" w:type="dxa"/>
                  <w:gridSpan w:val="2"/>
                  <w:shd w:val="clear" w:color="auto" w:fill="D9D9D9"/>
                  <w:vAlign w:val="center"/>
                </w:tcPr>
                <w:p w14:paraId="006F6CC7">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排放（m</w:t>
                  </w:r>
                  <w:r>
                    <w:rPr>
                      <w:rFonts w:hint="eastAsia"/>
                      <w:b/>
                      <w:bCs/>
                      <w:color w:val="000000" w:themeColor="text1"/>
                      <w:vertAlign w:val="superscript"/>
                      <w14:textFill>
                        <w14:solidFill>
                          <w14:schemeClr w14:val="tx1"/>
                        </w14:solidFill>
                      </w14:textFill>
                    </w:rPr>
                    <w:t>3</w:t>
                  </w:r>
                  <w:r>
                    <w:rPr>
                      <w:rFonts w:hint="eastAsia"/>
                      <w:b/>
                      <w:bCs/>
                      <w:color w:val="000000" w:themeColor="text1"/>
                      <w14:textFill>
                        <w14:solidFill>
                          <w14:schemeClr w14:val="tx1"/>
                        </w14:solidFill>
                      </w14:textFill>
                    </w:rPr>
                    <w:t>/a）</w:t>
                  </w:r>
                </w:p>
              </w:tc>
            </w:tr>
            <w:tr w14:paraId="432A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5" w:type="dxa"/>
                  <w:vAlign w:val="center"/>
                </w:tcPr>
                <w:p w14:paraId="621ECDC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喷淋用水</w:t>
                  </w:r>
                </w:p>
              </w:tc>
              <w:tc>
                <w:tcPr>
                  <w:tcW w:w="3415" w:type="dxa"/>
                  <w:vAlign w:val="center"/>
                </w:tcPr>
                <w:p w14:paraId="1254898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5727</w:t>
                  </w:r>
                </w:p>
              </w:tc>
              <w:tc>
                <w:tcPr>
                  <w:tcW w:w="3415" w:type="dxa"/>
                  <w:vAlign w:val="center"/>
                </w:tcPr>
                <w:p w14:paraId="5B2F11F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产品带走</w:t>
                  </w:r>
                </w:p>
              </w:tc>
              <w:tc>
                <w:tcPr>
                  <w:tcW w:w="3415" w:type="dxa"/>
                  <w:vAlign w:val="center"/>
                </w:tcPr>
                <w:p w14:paraId="7CF61BB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60220</w:t>
                  </w:r>
                </w:p>
              </w:tc>
            </w:tr>
            <w:tr w14:paraId="19E5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15" w:type="dxa"/>
                  <w:vAlign w:val="center"/>
                </w:tcPr>
                <w:p w14:paraId="259E80F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洗砂用水</w:t>
                  </w:r>
                </w:p>
              </w:tc>
              <w:tc>
                <w:tcPr>
                  <w:tcW w:w="3415" w:type="dxa"/>
                  <w:vAlign w:val="center"/>
                </w:tcPr>
                <w:p w14:paraId="3554D4E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531250</w:t>
                  </w:r>
                </w:p>
              </w:tc>
              <w:tc>
                <w:tcPr>
                  <w:tcW w:w="3415" w:type="dxa"/>
                  <w:vAlign w:val="center"/>
                </w:tcPr>
                <w:p w14:paraId="008149C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蒸发损耗</w:t>
                  </w:r>
                </w:p>
              </w:tc>
              <w:tc>
                <w:tcPr>
                  <w:tcW w:w="3415" w:type="dxa"/>
                  <w:vAlign w:val="center"/>
                </w:tcPr>
                <w:p w14:paraId="6CB5883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26848.85</w:t>
                  </w:r>
                </w:p>
              </w:tc>
            </w:tr>
            <w:tr w14:paraId="3E6BC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5" w:type="dxa"/>
                  <w:vAlign w:val="center"/>
                </w:tcPr>
                <w:p w14:paraId="4387FDEF">
                  <w:pPr>
                    <w:pStyle w:val="46"/>
                    <w:rPr>
                      <w:color w:val="000000" w:themeColor="text1"/>
                      <w14:textFill>
                        <w14:solidFill>
                          <w14:schemeClr w14:val="tx1"/>
                        </w14:solidFill>
                      </w14:textFill>
                    </w:rPr>
                  </w:pPr>
                </w:p>
              </w:tc>
              <w:tc>
                <w:tcPr>
                  <w:tcW w:w="3415" w:type="dxa"/>
                  <w:vAlign w:val="center"/>
                </w:tcPr>
                <w:p w14:paraId="0B35A628">
                  <w:pPr>
                    <w:pStyle w:val="46"/>
                    <w:rPr>
                      <w:color w:val="000000" w:themeColor="text1"/>
                      <w14:textFill>
                        <w14:solidFill>
                          <w14:schemeClr w14:val="tx1"/>
                        </w14:solidFill>
                      </w14:textFill>
                    </w:rPr>
                  </w:pPr>
                </w:p>
              </w:tc>
              <w:tc>
                <w:tcPr>
                  <w:tcW w:w="3415" w:type="dxa"/>
                  <w:vAlign w:val="center"/>
                </w:tcPr>
                <w:p w14:paraId="55086F6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污泥带走</w:t>
                  </w:r>
                </w:p>
              </w:tc>
              <w:tc>
                <w:tcPr>
                  <w:tcW w:w="3415" w:type="dxa"/>
                  <w:vAlign w:val="center"/>
                </w:tcPr>
                <w:p w14:paraId="2744CE1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39563.34</w:t>
                  </w:r>
                </w:p>
              </w:tc>
            </w:tr>
            <w:tr w14:paraId="2EF27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trPr>
              <w:tc>
                <w:tcPr>
                  <w:tcW w:w="3415" w:type="dxa"/>
                  <w:vAlign w:val="center"/>
                </w:tcPr>
                <w:p w14:paraId="35C5F456">
                  <w:pPr>
                    <w:pStyle w:val="46"/>
                    <w:rPr>
                      <w:color w:val="000000" w:themeColor="text1"/>
                      <w14:textFill>
                        <w14:solidFill>
                          <w14:schemeClr w14:val="tx1"/>
                        </w14:solidFill>
                      </w14:textFill>
                    </w:rPr>
                  </w:pPr>
                </w:p>
              </w:tc>
              <w:tc>
                <w:tcPr>
                  <w:tcW w:w="3415" w:type="dxa"/>
                  <w:vAlign w:val="center"/>
                </w:tcPr>
                <w:p w14:paraId="21890877">
                  <w:pPr>
                    <w:pStyle w:val="46"/>
                    <w:rPr>
                      <w:color w:val="000000" w:themeColor="text1"/>
                      <w14:textFill>
                        <w14:solidFill>
                          <w14:schemeClr w14:val="tx1"/>
                        </w14:solidFill>
                      </w14:textFill>
                    </w:rPr>
                  </w:pPr>
                </w:p>
              </w:tc>
              <w:tc>
                <w:tcPr>
                  <w:tcW w:w="3415" w:type="dxa"/>
                  <w:vAlign w:val="center"/>
                </w:tcPr>
                <w:p w14:paraId="4E688D4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废水量</w:t>
                  </w:r>
                </w:p>
              </w:tc>
              <w:tc>
                <w:tcPr>
                  <w:tcW w:w="3415" w:type="dxa"/>
                  <w:vAlign w:val="center"/>
                </w:tcPr>
                <w:p w14:paraId="76963EB8">
                  <w:pPr>
                    <w:pStyle w:val="46"/>
                    <w:rPr>
                      <w:rFonts w:hint="default"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410344.</w:t>
                  </w:r>
                  <w:r>
                    <w:rPr>
                      <w:rFonts w:hint="eastAsia"/>
                      <w:color w:val="000000" w:themeColor="text1"/>
                      <w:lang w:val="en-US" w:eastAsia="zh-CN"/>
                      <w14:textFill>
                        <w14:solidFill>
                          <w14:schemeClr w14:val="tx1"/>
                        </w14:solidFill>
                      </w14:textFill>
                    </w:rPr>
                    <w:t>81</w:t>
                  </w:r>
                </w:p>
              </w:tc>
            </w:tr>
            <w:tr w14:paraId="7024F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3415" w:type="dxa"/>
                  <w:shd w:val="clear" w:color="auto" w:fill="auto"/>
                  <w:vAlign w:val="center"/>
                </w:tcPr>
                <w:p w14:paraId="3F4FFBF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415" w:type="dxa"/>
                  <w:shd w:val="clear" w:color="auto" w:fill="auto"/>
                  <w:vAlign w:val="center"/>
                </w:tcPr>
                <w:p w14:paraId="17B972D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536977</w:t>
                  </w:r>
                </w:p>
              </w:tc>
              <w:tc>
                <w:tcPr>
                  <w:tcW w:w="3415" w:type="dxa"/>
                  <w:shd w:val="clear" w:color="auto" w:fill="auto"/>
                  <w:vAlign w:val="center"/>
                </w:tcPr>
                <w:p w14:paraId="3EFAC55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合计</w:t>
                  </w:r>
                </w:p>
              </w:tc>
              <w:tc>
                <w:tcPr>
                  <w:tcW w:w="3415" w:type="dxa"/>
                  <w:vAlign w:val="center"/>
                </w:tcPr>
                <w:p w14:paraId="08745E3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536977</w:t>
                  </w:r>
                </w:p>
              </w:tc>
            </w:tr>
          </w:tbl>
          <w:p w14:paraId="5C73A853">
            <w:pPr>
              <w:widowControl/>
              <w:spacing w:line="360" w:lineRule="auto"/>
              <w:ind w:firstLine="422" w:firstLineChars="200"/>
              <w:jc w:val="left"/>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（5）初期雨水</w:t>
            </w:r>
          </w:p>
          <w:p w14:paraId="6E3588F2">
            <w:pPr>
              <w:widowControl/>
              <w:spacing w:line="360" w:lineRule="auto"/>
              <w:ind w:firstLine="420" w:firstLineChars="200"/>
              <w:jc w:val="left"/>
              <w:rPr>
                <w:rFonts w:hint="eastAsia"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初期雨水是指降雨时前</w:t>
            </w:r>
            <w:r>
              <w:rPr>
                <w:color w:val="000000" w:themeColor="text1"/>
                <w:kern w:val="0"/>
                <w:szCs w:val="21"/>
                <w:lang w:bidi="ar"/>
                <w14:textFill>
                  <w14:solidFill>
                    <w14:schemeClr w14:val="tx1"/>
                  </w14:solidFill>
                </w14:textFill>
              </w:rPr>
              <w:t>15min</w:t>
            </w:r>
            <w:r>
              <w:rPr>
                <w:rFonts w:hint="eastAsia" w:cs="宋体"/>
                <w:color w:val="000000" w:themeColor="text1"/>
                <w:kern w:val="0"/>
                <w:szCs w:val="21"/>
                <w:lang w:bidi="ar"/>
                <w14:textFill>
                  <w14:solidFill>
                    <w14:schemeClr w14:val="tx1"/>
                  </w14:solidFill>
                </w14:textFill>
              </w:rPr>
              <w:t>的含尘径流雨水，根据《给水排水设计手册》（中国建筑工业出版社），初期雨水的产生量可按以下公式进行估算：</w:t>
            </w:r>
          </w:p>
          <w:p w14:paraId="06658B12">
            <w:pPr>
              <w:widowControl/>
              <w:spacing w:line="360" w:lineRule="auto"/>
              <w:ind w:firstLine="420" w:firstLineChars="200"/>
              <w:jc w:val="left"/>
              <w:rPr>
                <w:b w:val="0"/>
                <w:bCs w:val="0"/>
                <w:color w:val="000000" w:themeColor="text1"/>
                <w:szCs w:val="21"/>
                <w14:textFill>
                  <w14:solidFill>
                    <w14:schemeClr w14:val="tx1"/>
                  </w14:solidFill>
                </w14:textFill>
              </w:rPr>
            </w:pPr>
            <w:r>
              <w:rPr>
                <w:rFonts w:hint="eastAsia" w:cs="宋体"/>
                <w:b w:val="0"/>
                <w:bCs w:val="0"/>
                <w:color w:val="000000" w:themeColor="text1"/>
                <w:kern w:val="0"/>
                <w:szCs w:val="21"/>
                <w:lang w:bidi="ar"/>
                <w14:textFill>
                  <w14:solidFill>
                    <w14:schemeClr w14:val="tx1"/>
                  </w14:solidFill>
                </w14:textFill>
              </w:rPr>
              <w:t>1）雨水设计流量计算公式：</w:t>
            </w:r>
          </w:p>
          <w:p w14:paraId="0094DC07">
            <w:pPr>
              <w:widowControl/>
              <w:spacing w:line="360" w:lineRule="auto"/>
              <w:ind w:firstLine="420" w:firstLineChars="200"/>
              <w:jc w:val="center"/>
              <w:rPr>
                <w:rFonts w:cs="宋体"/>
                <w:color w:val="000000" w:themeColor="text1"/>
                <w:kern w:val="0"/>
                <w:szCs w:val="21"/>
                <w:lang w:bidi="ar"/>
                <w14:textFill>
                  <w14:solidFill>
                    <w14:schemeClr w14:val="tx1"/>
                  </w14:solidFill>
                </w14:textFill>
              </w:rPr>
            </w:pPr>
            <w:r>
              <w:rPr>
                <w:rFonts w:hint="eastAsia" w:cs="宋体"/>
                <w:color w:val="000000" w:themeColor="text1"/>
                <w:kern w:val="0"/>
                <w:position w:val="-10"/>
                <w:szCs w:val="21"/>
                <w:lang w:bidi="ar"/>
                <w14:textFill>
                  <w14:solidFill>
                    <w14:schemeClr w14:val="tx1"/>
                  </w14:solidFill>
                </w14:textFill>
              </w:rPr>
              <w:object>
                <v:shape id="_x0000_i1028" o:spt="75" type="#_x0000_t75" style="height:16.2pt;width:46.2pt;" o:ole="t" filled="f" o:preferrelative="t" stroked="f" coordsize="21600,21600">
                  <v:path/>
                  <v:fill on="f" focussize="0,0"/>
                  <v:stroke on="f"/>
                  <v:imagedata r:id="rId32" o:title=""/>
                  <o:lock v:ext="edit" aspectratio="t"/>
                  <w10:wrap type="none"/>
                  <w10:anchorlock/>
                </v:shape>
                <o:OLEObject Type="Embed" ProgID="Equation.KSEE3" ShapeID="_x0000_i1028" DrawAspect="Content" ObjectID="_1468075728" r:id="rId31">
                  <o:LockedField>false</o:LockedField>
                </o:OLEObject>
              </w:object>
            </w:r>
          </w:p>
          <w:p w14:paraId="69C9ABA4">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式中：</w:t>
            </w:r>
            <w:r>
              <w:rPr>
                <w:color w:val="000000" w:themeColor="text1"/>
                <w:kern w:val="0"/>
                <w:szCs w:val="21"/>
                <w:lang w:bidi="ar"/>
                <w14:textFill>
                  <w14:solidFill>
                    <w14:schemeClr w14:val="tx1"/>
                  </w14:solidFill>
                </w14:textFill>
              </w:rPr>
              <w:t>Q——</w:t>
            </w:r>
            <w:r>
              <w:rPr>
                <w:rFonts w:hint="eastAsia" w:cs="宋体"/>
                <w:color w:val="000000" w:themeColor="text1"/>
                <w:kern w:val="0"/>
                <w:szCs w:val="21"/>
                <w:lang w:bidi="ar"/>
                <w14:textFill>
                  <w14:solidFill>
                    <w14:schemeClr w14:val="tx1"/>
                  </w14:solidFill>
                </w14:textFill>
              </w:rPr>
              <w:t>雨水设计流量，</w:t>
            </w:r>
            <w:r>
              <w:rPr>
                <w:color w:val="000000" w:themeColor="text1"/>
                <w:kern w:val="0"/>
                <w:szCs w:val="21"/>
                <w:lang w:bidi="ar"/>
                <w14:textFill>
                  <w14:solidFill>
                    <w14:schemeClr w14:val="tx1"/>
                  </w14:solidFill>
                </w14:textFill>
              </w:rPr>
              <w:t>L/s</w:t>
            </w:r>
            <w:r>
              <w:rPr>
                <w:rFonts w:hint="eastAsia" w:cs="宋体"/>
                <w:color w:val="000000" w:themeColor="text1"/>
                <w:kern w:val="0"/>
                <w:szCs w:val="21"/>
                <w:lang w:bidi="ar"/>
                <w14:textFill>
                  <w14:solidFill>
                    <w14:schemeClr w14:val="tx1"/>
                  </w14:solidFill>
                </w14:textFill>
              </w:rPr>
              <w:t xml:space="preserve">； </w:t>
            </w:r>
          </w:p>
          <w:p w14:paraId="78CAAE22">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q——</w:t>
            </w:r>
            <w:r>
              <w:rPr>
                <w:rFonts w:hint="eastAsia" w:cs="宋体"/>
                <w:color w:val="000000" w:themeColor="text1"/>
                <w:kern w:val="0"/>
                <w:szCs w:val="21"/>
                <w:lang w:bidi="ar"/>
                <w14:textFill>
                  <w14:solidFill>
                    <w14:schemeClr w14:val="tx1"/>
                  </w14:solidFill>
                </w14:textFill>
              </w:rPr>
              <w:t>设计暴雨强度，</w:t>
            </w:r>
            <w:r>
              <w:rPr>
                <w:color w:val="000000" w:themeColor="text1"/>
                <w:kern w:val="0"/>
                <w:szCs w:val="21"/>
                <w:lang w:bidi="ar"/>
                <w14:textFill>
                  <w14:solidFill>
                    <w14:schemeClr w14:val="tx1"/>
                  </w14:solidFill>
                </w14:textFill>
              </w:rPr>
              <w:t>L/</w:t>
            </w:r>
            <w:r>
              <w:rPr>
                <w:rFonts w:hint="eastAsia"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s</w:t>
            </w:r>
            <w:r>
              <w:rPr>
                <w:rFonts w:cs="Wingdings"/>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hm</w:t>
            </w:r>
            <w:r>
              <w:rPr>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 xml:space="preserve">）； </w:t>
            </w:r>
          </w:p>
          <w:p w14:paraId="128747D0">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Ψ——</w:t>
            </w:r>
            <w:r>
              <w:rPr>
                <w:rFonts w:hint="eastAsia" w:cs="宋体"/>
                <w:color w:val="000000" w:themeColor="text1"/>
                <w:kern w:val="0"/>
                <w:szCs w:val="21"/>
                <w:lang w:bidi="ar"/>
                <w14:textFill>
                  <w14:solidFill>
                    <w14:schemeClr w14:val="tx1"/>
                  </w14:solidFill>
                </w14:textFill>
              </w:rPr>
              <w:t>径流系数，取</w:t>
            </w:r>
            <w:r>
              <w:rPr>
                <w:color w:val="000000" w:themeColor="text1"/>
                <w:kern w:val="0"/>
                <w:szCs w:val="21"/>
                <w:lang w:bidi="ar"/>
                <w14:textFill>
                  <w14:solidFill>
                    <w14:schemeClr w14:val="tx1"/>
                  </w14:solidFill>
                </w14:textFill>
              </w:rPr>
              <w:t>0</w:t>
            </w:r>
            <w:r>
              <w:rPr>
                <w:rFonts w:hint="eastAsia"/>
                <w:color w:val="000000" w:themeColor="text1"/>
                <w:kern w:val="0"/>
                <w:szCs w:val="21"/>
                <w:lang w:bidi="ar"/>
                <w14:textFill>
                  <w14:solidFill>
                    <w14:schemeClr w14:val="tx1"/>
                  </w14:solidFill>
                </w14:textFill>
              </w:rPr>
              <w:t>.9</w:t>
            </w:r>
            <w:r>
              <w:rPr>
                <w:rFonts w:hint="eastAsia" w:cs="宋体"/>
                <w:color w:val="000000" w:themeColor="text1"/>
                <w:kern w:val="0"/>
                <w:szCs w:val="21"/>
                <w:lang w:bidi="ar"/>
                <w14:textFill>
                  <w14:solidFill>
                    <w14:schemeClr w14:val="tx1"/>
                  </w14:solidFill>
                </w14:textFill>
              </w:rPr>
              <w:t>；</w:t>
            </w:r>
          </w:p>
          <w:p w14:paraId="6ADABAF8">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F——</w:t>
            </w:r>
            <w:r>
              <w:rPr>
                <w:rFonts w:hint="eastAsia" w:cs="宋体"/>
                <w:color w:val="000000" w:themeColor="text1"/>
                <w:kern w:val="0"/>
                <w:szCs w:val="21"/>
                <w:lang w:bidi="ar"/>
                <w14:textFill>
                  <w14:solidFill>
                    <w14:schemeClr w14:val="tx1"/>
                  </w14:solidFill>
                </w14:textFill>
              </w:rPr>
              <w:t>汇水面积，</w:t>
            </w:r>
            <w:r>
              <w:rPr>
                <w:color w:val="000000" w:themeColor="text1"/>
                <w:kern w:val="0"/>
                <w:szCs w:val="21"/>
                <w:lang w:bidi="ar"/>
                <w14:textFill>
                  <w14:solidFill>
                    <w14:schemeClr w14:val="tx1"/>
                  </w14:solidFill>
                </w14:textFill>
              </w:rPr>
              <w:t>hm</w:t>
            </w:r>
            <w:r>
              <w:rPr>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，本评价取</w:t>
            </w:r>
            <w:r>
              <w:rPr>
                <w:rFonts w:hint="eastAsia"/>
                <w:color w:val="000000" w:themeColor="text1"/>
                <w:kern w:val="0"/>
                <w:szCs w:val="21"/>
                <w:lang w:bidi="ar"/>
                <w14:textFill>
                  <w14:solidFill>
                    <w14:schemeClr w14:val="tx1"/>
                  </w14:solidFill>
                </w14:textFill>
              </w:rPr>
              <w:t>46800</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，即</w:t>
            </w:r>
            <w:r>
              <w:rPr>
                <w:rFonts w:hint="eastAsia"/>
                <w:color w:val="000000" w:themeColor="text1"/>
                <w:kern w:val="0"/>
                <w:szCs w:val="21"/>
                <w:lang w:bidi="ar"/>
                <w14:textFill>
                  <w14:solidFill>
                    <w14:schemeClr w14:val="tx1"/>
                  </w14:solidFill>
                </w14:textFill>
              </w:rPr>
              <w:t>4.68</w:t>
            </w:r>
            <w:r>
              <w:rPr>
                <w:color w:val="000000" w:themeColor="text1"/>
                <w:kern w:val="0"/>
                <w:szCs w:val="21"/>
                <w:lang w:bidi="ar"/>
                <w14:textFill>
                  <w14:solidFill>
                    <w14:schemeClr w14:val="tx1"/>
                  </w14:solidFill>
                </w14:textFill>
              </w:rPr>
              <w:t>hm</w:t>
            </w:r>
            <w:r>
              <w:rPr>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w:t>
            </w:r>
          </w:p>
          <w:p w14:paraId="6443B613">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2）本项目占地面积为55551m</w:t>
            </w:r>
            <w:r>
              <w:rPr>
                <w:rFonts w:hint="eastAsia" w:cs="宋体"/>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由于办公生活区楼顶基本不受原料或产品跑、冒、滴、漏等的污染，为减少项目初期雨水收集和处理量，减轻污水处理设施负荷，项目在办公生活区楼顶设集排水管，将降于办公生活区屋顶的雨水经管道直接排出项目外市政雨水管网，综上，除去办公楼和绿化区域的占地面积，项目初期雨水实际汇水面积为46800m</w:t>
            </w:r>
            <w:r>
              <w:rPr>
                <w:rFonts w:hint="eastAsia" w:cs="宋体"/>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，即F=4.68hm</w:t>
            </w:r>
            <w:r>
              <w:rPr>
                <w:rFonts w:hint="eastAsia" w:cs="宋体"/>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，根据湛江市气象局发布的《湛江市区暴雨强度公式及计算图表》（2015.11），重现期P(年)取2年，计算公式如下：</w:t>
            </w:r>
          </w:p>
          <w:p w14:paraId="14ACEC05">
            <w:pPr>
              <w:widowControl/>
              <w:spacing w:before="120" w:beforeLines="50" w:after="120" w:afterLines="50" w:line="360" w:lineRule="auto"/>
              <w:jc w:val="center"/>
              <w:rPr>
                <w:b/>
                <w:bCs/>
                <w:color w:val="000000" w:themeColor="text1"/>
                <w:kern w:val="0"/>
                <w:szCs w:val="21"/>
                <w:lang w:bidi="ar"/>
                <w14:textFill>
                  <w14:solidFill>
                    <w14:schemeClr w14:val="tx1"/>
                  </w14:solidFill>
                </w14:textFill>
              </w:rPr>
            </w:pPr>
            <w:r>
              <w:rPr>
                <w:b/>
                <w:bCs/>
                <w:color w:val="000000" w:themeColor="text1"/>
                <w:kern w:val="0"/>
                <w:position w:val="-30"/>
                <w:szCs w:val="21"/>
                <w:lang w:bidi="ar"/>
                <w14:textFill>
                  <w14:solidFill>
                    <w14:schemeClr w14:val="tx1"/>
                  </w14:solidFill>
                </w14:textFill>
              </w:rPr>
              <w:object>
                <v:shape id="_x0000_i1029" o:spt="75" type="#_x0000_t75" style="height:37.2pt;width:100.8pt;" o:ole="t" filled="f" o:preferrelative="t" stroked="f" coordsize="21600,21600">
                  <v:path/>
                  <v:fill on="f" focussize="0,0"/>
                  <v:stroke on="f"/>
                  <v:imagedata r:id="rId34" o:title=""/>
                  <o:lock v:ext="edit" aspectratio="t"/>
                  <w10:wrap type="none"/>
                  <w10:anchorlock/>
                </v:shape>
                <o:OLEObject Type="Embed" ProgID="Equation.KSEE3" ShapeID="_x0000_i1029" DrawAspect="Content" ObjectID="_1468075729" r:id="rId33">
                  <o:LockedField>false</o:LockedField>
                </o:OLEObject>
              </w:object>
            </w:r>
          </w:p>
          <w:p w14:paraId="48E72B9F">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式中：</w:t>
            </w:r>
            <w:r>
              <w:rPr>
                <w:color w:val="000000" w:themeColor="text1"/>
                <w:kern w:val="0"/>
                <w:szCs w:val="21"/>
                <w:lang w:bidi="ar"/>
                <w14:textFill>
                  <w14:solidFill>
                    <w14:schemeClr w14:val="tx1"/>
                  </w14:solidFill>
                </w14:textFill>
              </w:rPr>
              <w:t>q——</w:t>
            </w:r>
            <w:r>
              <w:rPr>
                <w:rFonts w:hint="eastAsia" w:cs="宋体"/>
                <w:color w:val="000000" w:themeColor="text1"/>
                <w:kern w:val="0"/>
                <w:szCs w:val="21"/>
                <w:lang w:bidi="ar"/>
                <w14:textFill>
                  <w14:solidFill>
                    <w14:schemeClr w14:val="tx1"/>
                  </w14:solidFill>
                </w14:textFill>
              </w:rPr>
              <w:t>设计暴雨强度，</w:t>
            </w:r>
            <w:r>
              <w:rPr>
                <w:color w:val="000000" w:themeColor="text1"/>
                <w:kern w:val="0"/>
                <w:szCs w:val="21"/>
                <w:lang w:bidi="ar"/>
                <w14:textFill>
                  <w14:solidFill>
                    <w14:schemeClr w14:val="tx1"/>
                  </w14:solidFill>
                </w14:textFill>
              </w:rPr>
              <w:t>L/s·ha</w:t>
            </w:r>
            <w:r>
              <w:rPr>
                <w:rFonts w:hint="eastAsia" w:cs="宋体"/>
                <w:color w:val="000000" w:themeColor="text1"/>
                <w:kern w:val="0"/>
                <w:szCs w:val="21"/>
                <w:lang w:bidi="ar"/>
                <w14:textFill>
                  <w14:solidFill>
                    <w14:schemeClr w14:val="tx1"/>
                  </w14:solidFill>
                </w14:textFill>
              </w:rPr>
              <w:t xml:space="preserve">； </w:t>
            </w:r>
          </w:p>
          <w:p w14:paraId="67814841">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t——</w:t>
            </w:r>
            <w:r>
              <w:rPr>
                <w:rFonts w:hint="eastAsia" w:cs="宋体"/>
                <w:color w:val="000000" w:themeColor="text1"/>
                <w:kern w:val="0"/>
                <w:szCs w:val="21"/>
                <w:lang w:bidi="ar"/>
                <w14:textFill>
                  <w14:solidFill>
                    <w14:schemeClr w14:val="tx1"/>
                  </w14:solidFill>
                </w14:textFill>
              </w:rPr>
              <w:t>降雨历时（</w:t>
            </w:r>
            <w:r>
              <w:rPr>
                <w:color w:val="000000" w:themeColor="text1"/>
                <w:kern w:val="0"/>
                <w:szCs w:val="21"/>
                <w:lang w:bidi="ar"/>
                <w14:textFill>
                  <w14:solidFill>
                    <w14:schemeClr w14:val="tx1"/>
                  </w14:solidFill>
                </w14:textFill>
              </w:rPr>
              <w:t>min</w:t>
            </w:r>
            <w:r>
              <w:rPr>
                <w:rFonts w:hint="eastAsia" w:cs="宋体"/>
                <w:color w:val="000000" w:themeColor="text1"/>
                <w:kern w:val="0"/>
                <w:szCs w:val="21"/>
                <w:lang w:bidi="ar"/>
                <w14:textFill>
                  <w14:solidFill>
                    <w14:schemeClr w14:val="tx1"/>
                  </w14:solidFill>
                </w14:textFill>
              </w:rPr>
              <w:t>），取</w:t>
            </w:r>
            <w:r>
              <w:rPr>
                <w:color w:val="000000" w:themeColor="text1"/>
                <w:kern w:val="0"/>
                <w:szCs w:val="21"/>
                <w:lang w:bidi="ar"/>
                <w14:textFill>
                  <w14:solidFill>
                    <w14:schemeClr w14:val="tx1"/>
                  </w14:solidFill>
                </w14:textFill>
              </w:rPr>
              <w:t>15min</w:t>
            </w:r>
            <w:r>
              <w:rPr>
                <w:rFonts w:hint="eastAsia" w:cs="宋体"/>
                <w:color w:val="000000" w:themeColor="text1"/>
                <w:kern w:val="0"/>
                <w:szCs w:val="21"/>
                <w:lang w:bidi="ar"/>
                <w14:textFill>
                  <w14:solidFill>
                    <w14:schemeClr w14:val="tx1"/>
                  </w14:solidFill>
                </w14:textFill>
              </w:rPr>
              <w:t>。</w:t>
            </w:r>
          </w:p>
          <w:p w14:paraId="65BDC91E">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经计算得，湛江市设计暴雨强度</w:t>
            </w:r>
            <w:r>
              <w:rPr>
                <w:color w:val="000000" w:themeColor="text1"/>
                <w:kern w:val="0"/>
                <w:szCs w:val="21"/>
                <w:lang w:bidi="ar"/>
                <w14:textFill>
                  <w14:solidFill>
                    <w14:schemeClr w14:val="tx1"/>
                  </w14:solidFill>
                </w14:textFill>
              </w:rPr>
              <w:t>q</w:t>
            </w:r>
            <w:r>
              <w:rPr>
                <w:rFonts w:hint="eastAsia" w:cs="宋体"/>
                <w:color w:val="000000" w:themeColor="text1"/>
                <w:kern w:val="0"/>
                <w:szCs w:val="21"/>
                <w:lang w:bidi="ar"/>
                <w14:textFill>
                  <w14:solidFill>
                    <w14:schemeClr w14:val="tx1"/>
                  </w14:solidFill>
                </w14:textFill>
              </w:rPr>
              <w:t>为358.414</w:t>
            </w:r>
            <w:r>
              <w:rPr>
                <w:color w:val="000000" w:themeColor="text1"/>
                <w:kern w:val="0"/>
                <w:szCs w:val="21"/>
                <w:lang w:bidi="ar"/>
                <w14:textFill>
                  <w14:solidFill>
                    <w14:schemeClr w14:val="tx1"/>
                  </w14:solidFill>
                </w14:textFill>
              </w:rPr>
              <w:t>L/</w:t>
            </w:r>
            <w:r>
              <w:rPr>
                <w:rFonts w:hint="eastAsia" w:cs="宋体"/>
                <w:color w:val="000000" w:themeColor="text1"/>
                <w:kern w:val="0"/>
                <w:szCs w:val="21"/>
                <w:lang w:bidi="ar"/>
                <w14:textFill>
                  <w14:solidFill>
                    <w14:schemeClr w14:val="tx1"/>
                  </w14:solidFill>
                </w14:textFill>
              </w:rPr>
              <w:t>（</w:t>
            </w:r>
            <w:r>
              <w:rPr>
                <w:color w:val="000000" w:themeColor="text1"/>
                <w:kern w:val="0"/>
                <w:szCs w:val="21"/>
                <w:lang w:bidi="ar"/>
                <w14:textFill>
                  <w14:solidFill>
                    <w14:schemeClr w14:val="tx1"/>
                  </w14:solidFill>
                </w14:textFill>
              </w:rPr>
              <w:t>s•hm</w:t>
            </w:r>
            <w:r>
              <w:rPr>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）。则雨水设计流量为</w:t>
            </w:r>
            <w:r>
              <w:rPr>
                <w:rFonts w:hint="eastAsia"/>
                <w:color w:val="000000" w:themeColor="text1"/>
                <w:kern w:val="0"/>
                <w:szCs w:val="21"/>
                <w:lang w:bidi="ar"/>
                <w14:textFill>
                  <w14:solidFill>
                    <w14:schemeClr w14:val="tx1"/>
                  </w14:solidFill>
                </w14:textFill>
              </w:rPr>
              <w:t>1509.64</w:t>
            </w:r>
            <w:r>
              <w:rPr>
                <w:color w:val="000000" w:themeColor="text1"/>
                <w:kern w:val="0"/>
                <w:szCs w:val="21"/>
                <w:lang w:bidi="ar"/>
                <w14:textFill>
                  <w14:solidFill>
                    <w14:schemeClr w14:val="tx1"/>
                  </w14:solidFill>
                </w14:textFill>
              </w:rPr>
              <w:t>L/s</w:t>
            </w:r>
            <w:r>
              <w:rPr>
                <w:rFonts w:hint="eastAsia" w:cs="宋体"/>
                <w:color w:val="000000" w:themeColor="text1"/>
                <w:kern w:val="0"/>
                <w:szCs w:val="21"/>
                <w:lang w:bidi="ar"/>
                <w14:textFill>
                  <w14:solidFill>
                    <w14:schemeClr w14:val="tx1"/>
                  </w14:solidFill>
                </w14:textFill>
              </w:rPr>
              <w:t>，15min初期雨水量为1358.676</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r>
              <w:rPr>
                <w:rFonts w:hint="eastAsia" w:cs="宋体"/>
                <w:color w:val="000000" w:themeColor="text1"/>
                <w:kern w:val="0"/>
                <w:szCs w:val="21"/>
                <w:lang w:bidi="ar"/>
                <w14:textFill>
                  <w14:solidFill>
                    <w14:schemeClr w14:val="tx1"/>
                  </w14:solidFill>
                </w14:textFill>
              </w:rPr>
              <w:t>次，本项目年生产276天，暴雨天数取20日计，本项目年初期雨水量为20380.14m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/a（73.84m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/d），进入雨水池沉淀处理后回用于生产。</w:t>
            </w:r>
          </w:p>
          <w:p w14:paraId="3CD96621">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2</w:t>
            </w:r>
            <w:r>
              <w:rPr>
                <w:rFonts w:hint="eastAsia" w:cs="宋体"/>
                <w:b/>
                <w:bCs/>
                <w:color w:val="000000" w:themeColor="text1"/>
                <w:kern w:val="0"/>
                <w:szCs w:val="21"/>
                <w:lang w:bidi="ar"/>
                <w14:textFill>
                  <w14:solidFill>
                    <w14:schemeClr w14:val="tx1"/>
                  </w14:solidFill>
                </w14:textFill>
              </w:rPr>
              <w:t>、水污染物排放情况</w:t>
            </w:r>
          </w:p>
          <w:p w14:paraId="7B2FDED8">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项目废水主要为生活污水、车辆冲洗废水和初期雨水。项目废水产污环节、污染物种类及污染治理设施详见下表：</w:t>
            </w:r>
          </w:p>
          <w:p w14:paraId="76850305">
            <w:pPr>
              <w:pStyle w:val="45"/>
              <w:rPr>
                <w:color w:val="000000" w:themeColor="text1"/>
                <w14:textFill>
                  <w14:solidFill>
                    <w14:schemeClr w14:val="tx1"/>
                  </w14:solidFill>
                </w14:textFill>
              </w:rPr>
            </w:pPr>
            <w:r>
              <w:rPr>
                <w:rFonts w:hint="eastAsia"/>
                <w:color w:val="000000" w:themeColor="text1"/>
                <w14:textFill>
                  <w14:solidFill>
                    <w14:schemeClr w14:val="tx1"/>
                  </w14:solidFill>
                </w14:textFill>
              </w:rPr>
              <w:t>表4-1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 xml:space="preserve"> 废水类别、污染物及污染治理设施信息表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2094"/>
              <w:gridCol w:w="1463"/>
              <w:gridCol w:w="1427"/>
              <w:gridCol w:w="2975"/>
              <w:gridCol w:w="1753"/>
              <w:gridCol w:w="895"/>
              <w:gridCol w:w="1064"/>
              <w:gridCol w:w="930"/>
            </w:tblGrid>
            <w:tr w14:paraId="450B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389" w:type="pct"/>
                  <w:vMerge w:val="restart"/>
                  <w:shd w:val="clear" w:color="auto" w:fill="D9D9D9"/>
                  <w:vAlign w:val="center"/>
                </w:tcPr>
                <w:p w14:paraId="67D1CF1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废水</w:t>
                  </w:r>
                </w:p>
                <w:p w14:paraId="7701FA45">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类别</w:t>
                  </w:r>
                </w:p>
              </w:tc>
              <w:tc>
                <w:tcPr>
                  <w:tcW w:w="767" w:type="pct"/>
                  <w:vMerge w:val="restart"/>
                  <w:shd w:val="clear" w:color="auto" w:fill="D9D9D9"/>
                  <w:vAlign w:val="center"/>
                </w:tcPr>
                <w:p w14:paraId="21EB1843">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污染物种类</w:t>
                  </w:r>
                </w:p>
              </w:tc>
              <w:tc>
                <w:tcPr>
                  <w:tcW w:w="536" w:type="pct"/>
                  <w:vMerge w:val="restart"/>
                  <w:shd w:val="clear" w:color="auto" w:fill="D9D9D9"/>
                  <w:vAlign w:val="center"/>
                </w:tcPr>
                <w:p w14:paraId="530E8B18">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排放去向</w:t>
                  </w:r>
                </w:p>
              </w:tc>
              <w:tc>
                <w:tcPr>
                  <w:tcW w:w="2254" w:type="pct"/>
                  <w:gridSpan w:val="3"/>
                  <w:shd w:val="clear" w:color="auto" w:fill="D9D9D9"/>
                  <w:vAlign w:val="center"/>
                </w:tcPr>
                <w:p w14:paraId="6FFAFFD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污染治理设施</w:t>
                  </w:r>
                </w:p>
              </w:tc>
              <w:tc>
                <w:tcPr>
                  <w:tcW w:w="319" w:type="pct"/>
                  <w:vMerge w:val="restart"/>
                  <w:shd w:val="clear" w:color="auto" w:fill="D9D9D9"/>
                  <w:vAlign w:val="center"/>
                </w:tcPr>
                <w:p w14:paraId="0B36D3EC">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处理能力</w:t>
                  </w:r>
                </w:p>
              </w:tc>
              <w:tc>
                <w:tcPr>
                  <w:tcW w:w="390" w:type="pct"/>
                  <w:vMerge w:val="restart"/>
                  <w:shd w:val="clear" w:color="auto" w:fill="D9D9D9"/>
                  <w:vAlign w:val="center"/>
                </w:tcPr>
                <w:p w14:paraId="516CCA58">
                  <w:pPr>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是否可行工艺</w:t>
                  </w:r>
                </w:p>
              </w:tc>
              <w:tc>
                <w:tcPr>
                  <w:tcW w:w="341" w:type="pct"/>
                  <w:vMerge w:val="restart"/>
                  <w:shd w:val="clear" w:color="auto" w:fill="D9D9D9"/>
                  <w:vAlign w:val="center"/>
                </w:tcPr>
                <w:p w14:paraId="559B61FE">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排放</w:t>
                  </w:r>
                  <w:r>
                    <w:rPr>
                      <w:rFonts w:hint="eastAsia"/>
                      <w:b/>
                      <w:color w:val="000000" w:themeColor="text1"/>
                      <w:sz w:val="18"/>
                      <w:szCs w:val="18"/>
                      <w14:textFill>
                        <w14:solidFill>
                          <w14:schemeClr w14:val="tx1"/>
                        </w14:solidFill>
                      </w14:textFill>
                    </w:rPr>
                    <w:t>53E3</w:t>
                  </w:r>
                  <w:r>
                    <w:rPr>
                      <w:b/>
                      <w:color w:val="000000" w:themeColor="text1"/>
                      <w:sz w:val="18"/>
                      <w:szCs w:val="18"/>
                      <w14:textFill>
                        <w14:solidFill>
                          <w14:schemeClr w14:val="tx1"/>
                        </w14:solidFill>
                      </w14:textFill>
                    </w:rPr>
                    <w:t>类型</w:t>
                  </w:r>
                </w:p>
              </w:tc>
            </w:tr>
            <w:tr w14:paraId="526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jc w:val="center"/>
              </w:trPr>
              <w:tc>
                <w:tcPr>
                  <w:tcW w:w="389" w:type="pct"/>
                  <w:vMerge w:val="continue"/>
                  <w:vAlign w:val="center"/>
                </w:tcPr>
                <w:p w14:paraId="57DCD5B9">
                  <w:pPr>
                    <w:jc w:val="center"/>
                    <w:rPr>
                      <w:b/>
                      <w:color w:val="000000" w:themeColor="text1"/>
                      <w:sz w:val="18"/>
                      <w:szCs w:val="18"/>
                      <w14:textFill>
                        <w14:solidFill>
                          <w14:schemeClr w14:val="tx1"/>
                        </w14:solidFill>
                      </w14:textFill>
                    </w:rPr>
                  </w:pPr>
                </w:p>
              </w:tc>
              <w:tc>
                <w:tcPr>
                  <w:tcW w:w="767" w:type="pct"/>
                  <w:vMerge w:val="continue"/>
                  <w:vAlign w:val="center"/>
                </w:tcPr>
                <w:p w14:paraId="4E000415">
                  <w:pPr>
                    <w:jc w:val="center"/>
                    <w:rPr>
                      <w:b/>
                      <w:color w:val="000000" w:themeColor="text1"/>
                      <w:sz w:val="18"/>
                      <w:szCs w:val="18"/>
                      <w14:textFill>
                        <w14:solidFill>
                          <w14:schemeClr w14:val="tx1"/>
                        </w14:solidFill>
                      </w14:textFill>
                    </w:rPr>
                  </w:pPr>
                </w:p>
              </w:tc>
              <w:tc>
                <w:tcPr>
                  <w:tcW w:w="536" w:type="pct"/>
                  <w:vMerge w:val="continue"/>
                  <w:vAlign w:val="center"/>
                </w:tcPr>
                <w:p w14:paraId="71A9665A">
                  <w:pPr>
                    <w:jc w:val="center"/>
                    <w:rPr>
                      <w:b/>
                      <w:color w:val="000000" w:themeColor="text1"/>
                      <w:sz w:val="18"/>
                      <w:szCs w:val="18"/>
                      <w14:textFill>
                        <w14:solidFill>
                          <w14:schemeClr w14:val="tx1"/>
                        </w14:solidFill>
                      </w14:textFill>
                    </w:rPr>
                  </w:pPr>
                </w:p>
              </w:tc>
              <w:tc>
                <w:tcPr>
                  <w:tcW w:w="523" w:type="pct"/>
                  <w:shd w:val="clear" w:color="auto" w:fill="D9D9D9"/>
                  <w:vAlign w:val="center"/>
                </w:tcPr>
                <w:p w14:paraId="0AC88AE7">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污染治理设施编号</w:t>
                  </w:r>
                </w:p>
              </w:tc>
              <w:tc>
                <w:tcPr>
                  <w:tcW w:w="1089" w:type="pct"/>
                  <w:shd w:val="clear" w:color="auto" w:fill="D9D9D9"/>
                  <w:vAlign w:val="center"/>
                </w:tcPr>
                <w:p w14:paraId="4A856B4D">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污染治理设施名称</w:t>
                  </w:r>
                </w:p>
              </w:tc>
              <w:tc>
                <w:tcPr>
                  <w:tcW w:w="640" w:type="pct"/>
                  <w:shd w:val="clear" w:color="auto" w:fill="D9D9D9"/>
                  <w:vAlign w:val="center"/>
                </w:tcPr>
                <w:p w14:paraId="7B724954">
                  <w:pPr>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污染治理设施工艺</w:t>
                  </w:r>
                </w:p>
              </w:tc>
              <w:tc>
                <w:tcPr>
                  <w:tcW w:w="319" w:type="pct"/>
                  <w:vMerge w:val="continue"/>
                  <w:vAlign w:val="center"/>
                </w:tcPr>
                <w:p w14:paraId="6A740BFB">
                  <w:pPr>
                    <w:jc w:val="center"/>
                    <w:rPr>
                      <w:bCs/>
                      <w:color w:val="000000" w:themeColor="text1"/>
                      <w:sz w:val="18"/>
                      <w:szCs w:val="18"/>
                      <w14:textFill>
                        <w14:solidFill>
                          <w14:schemeClr w14:val="tx1"/>
                        </w14:solidFill>
                      </w14:textFill>
                    </w:rPr>
                  </w:pPr>
                </w:p>
              </w:tc>
              <w:tc>
                <w:tcPr>
                  <w:tcW w:w="390" w:type="pct"/>
                  <w:vMerge w:val="continue"/>
                  <w:vAlign w:val="center"/>
                </w:tcPr>
                <w:p w14:paraId="00FC8EC1">
                  <w:pPr>
                    <w:jc w:val="center"/>
                    <w:rPr>
                      <w:bCs/>
                      <w:color w:val="000000" w:themeColor="text1"/>
                      <w:sz w:val="18"/>
                      <w:szCs w:val="18"/>
                      <w14:textFill>
                        <w14:solidFill>
                          <w14:schemeClr w14:val="tx1"/>
                        </w14:solidFill>
                      </w14:textFill>
                    </w:rPr>
                  </w:pPr>
                </w:p>
              </w:tc>
              <w:tc>
                <w:tcPr>
                  <w:tcW w:w="341" w:type="pct"/>
                  <w:vMerge w:val="continue"/>
                  <w:vAlign w:val="center"/>
                </w:tcPr>
                <w:p w14:paraId="73FD2B2C">
                  <w:pPr>
                    <w:jc w:val="center"/>
                    <w:rPr>
                      <w:bCs/>
                      <w:color w:val="000000" w:themeColor="text1"/>
                      <w:sz w:val="18"/>
                      <w:szCs w:val="18"/>
                      <w14:textFill>
                        <w14:solidFill>
                          <w14:schemeClr w14:val="tx1"/>
                        </w14:solidFill>
                      </w14:textFill>
                    </w:rPr>
                  </w:pPr>
                </w:p>
              </w:tc>
            </w:tr>
            <w:tr w14:paraId="7179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89" w:type="pct"/>
                  <w:vAlign w:val="center"/>
                </w:tcPr>
                <w:p w14:paraId="66A1A83E">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生活污水</w:t>
                  </w:r>
                </w:p>
              </w:tc>
              <w:tc>
                <w:tcPr>
                  <w:tcW w:w="767" w:type="pct"/>
                  <w:vAlign w:val="center"/>
                </w:tcPr>
                <w:p w14:paraId="62C03F51">
                  <w:pPr>
                    <w:jc w:val="center"/>
                    <w:rPr>
                      <w:rFonts w:hint="default" w:eastAsia="宋体"/>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COD</w:t>
                  </w:r>
                  <w:r>
                    <w:rPr>
                      <w:rFonts w:hint="eastAsia"/>
                      <w:color w:val="000000" w:themeColor="text1"/>
                      <w:sz w:val="18"/>
                      <w:szCs w:val="18"/>
                      <w:vertAlign w:val="subscript"/>
                      <w:lang w:val="en-US" w:eastAsia="zh-CN"/>
                      <w14:textFill>
                        <w14:solidFill>
                          <w14:schemeClr w14:val="tx1"/>
                        </w14:solidFill>
                      </w14:textFill>
                    </w:rPr>
                    <w:t>Cr</w:t>
                  </w:r>
                  <w:r>
                    <w:rPr>
                      <w:bCs/>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BOD</w:t>
                  </w:r>
                  <w:r>
                    <w:rPr>
                      <w:color w:val="000000" w:themeColor="text1"/>
                      <w:sz w:val="18"/>
                      <w:szCs w:val="18"/>
                      <w:vertAlign w:val="subscript"/>
                      <w14:textFill>
                        <w14:solidFill>
                          <w14:schemeClr w14:val="tx1"/>
                        </w14:solidFill>
                      </w14:textFill>
                    </w:rPr>
                    <w:t>5</w:t>
                  </w:r>
                  <w:r>
                    <w:rPr>
                      <w:color w:val="000000" w:themeColor="text1"/>
                      <w:sz w:val="18"/>
                      <w:szCs w:val="18"/>
                      <w14:textFill>
                        <w14:solidFill>
                          <w14:schemeClr w14:val="tx1"/>
                        </w14:solidFill>
                      </w14:textFill>
                    </w:rPr>
                    <w:t>、氨氮、SS</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动植物油</w:t>
                  </w:r>
                </w:p>
              </w:tc>
              <w:tc>
                <w:tcPr>
                  <w:tcW w:w="536" w:type="pct"/>
                  <w:vAlign w:val="center"/>
                </w:tcPr>
                <w:p w14:paraId="0449FCBE">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回用于周边林地灌溉</w:t>
                  </w:r>
                </w:p>
              </w:tc>
              <w:tc>
                <w:tcPr>
                  <w:tcW w:w="523" w:type="pct"/>
                  <w:vAlign w:val="center"/>
                </w:tcPr>
                <w:p w14:paraId="2571B13C">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TW001</w:t>
                  </w:r>
                </w:p>
              </w:tc>
              <w:tc>
                <w:tcPr>
                  <w:tcW w:w="1089" w:type="pct"/>
                  <w:vAlign w:val="center"/>
                </w:tcPr>
                <w:p w14:paraId="15A904B8">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三级化粪池</w:t>
                  </w:r>
                  <w:r>
                    <w:rPr>
                      <w:rFonts w:hint="eastAsia"/>
                      <w:bCs/>
                      <w:color w:val="000000" w:themeColor="text1"/>
                      <w:sz w:val="18"/>
                      <w:szCs w:val="18"/>
                      <w14:textFill>
                        <w14:solidFill>
                          <w14:schemeClr w14:val="tx1"/>
                        </w14:solidFill>
                      </w14:textFill>
                    </w:rPr>
                    <w:t>/三级隔油池+一体化A/O生化装置</w:t>
                  </w:r>
                </w:p>
              </w:tc>
              <w:tc>
                <w:tcPr>
                  <w:tcW w:w="640" w:type="pct"/>
                  <w:vAlign w:val="center"/>
                </w:tcPr>
                <w:p w14:paraId="1026C9FC">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沉淀+</w:t>
                  </w:r>
                  <w:r>
                    <w:rPr>
                      <w:bCs/>
                      <w:color w:val="000000" w:themeColor="text1"/>
                      <w:sz w:val="18"/>
                      <w:szCs w:val="18"/>
                      <w14:textFill>
                        <w14:solidFill>
                          <w14:schemeClr w14:val="tx1"/>
                        </w14:solidFill>
                      </w14:textFill>
                    </w:rPr>
                    <w:t>厌氧</w:t>
                  </w:r>
                  <w:r>
                    <w:rPr>
                      <w:rFonts w:hint="eastAsia"/>
                      <w:bCs/>
                      <w:color w:val="000000" w:themeColor="text1"/>
                      <w:sz w:val="18"/>
                      <w:szCs w:val="18"/>
                      <w14:textFill>
                        <w14:solidFill>
                          <w14:schemeClr w14:val="tx1"/>
                        </w14:solidFill>
                      </w14:textFill>
                    </w:rPr>
                    <w:t>+好氧生化处理</w:t>
                  </w:r>
                </w:p>
              </w:tc>
              <w:tc>
                <w:tcPr>
                  <w:tcW w:w="319" w:type="pct"/>
                  <w:vAlign w:val="center"/>
                </w:tcPr>
                <w:p w14:paraId="3B1F726F">
                  <w:pPr>
                    <w:jc w:val="center"/>
                    <w:rPr>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5m</w:t>
                  </w:r>
                  <w:r>
                    <w:rPr>
                      <w:rFonts w:hint="eastAsia"/>
                      <w:bCs/>
                      <w:color w:val="000000" w:themeColor="text1"/>
                      <w:sz w:val="18"/>
                      <w:szCs w:val="18"/>
                      <w:vertAlign w:val="superscript"/>
                      <w14:textFill>
                        <w14:solidFill>
                          <w14:schemeClr w14:val="tx1"/>
                        </w14:solidFill>
                      </w14:textFill>
                    </w:rPr>
                    <w:t>3</w:t>
                  </w:r>
                  <w:r>
                    <w:rPr>
                      <w:rFonts w:hint="eastAsia"/>
                      <w:bCs/>
                      <w:color w:val="000000" w:themeColor="text1"/>
                      <w:sz w:val="18"/>
                      <w:szCs w:val="18"/>
                      <w14:textFill>
                        <w14:solidFill>
                          <w14:schemeClr w14:val="tx1"/>
                        </w14:solidFill>
                      </w14:textFill>
                    </w:rPr>
                    <w:t>/d</w:t>
                  </w:r>
                </w:p>
              </w:tc>
              <w:tc>
                <w:tcPr>
                  <w:tcW w:w="390" w:type="pct"/>
                  <w:vAlign w:val="center"/>
                </w:tcPr>
                <w:p w14:paraId="4075D468">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是</w:t>
                  </w:r>
                </w:p>
              </w:tc>
              <w:tc>
                <w:tcPr>
                  <w:tcW w:w="341" w:type="pct"/>
                  <w:vAlign w:val="center"/>
                </w:tcPr>
                <w:p w14:paraId="03626995">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r>
            <w:tr w14:paraId="5F01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389" w:type="pct"/>
                  <w:vAlign w:val="center"/>
                </w:tcPr>
                <w:p w14:paraId="53434A5D">
                  <w:pPr>
                    <w:widowControl/>
                    <w:jc w:val="center"/>
                    <w:rPr>
                      <w:bCs/>
                      <w:color w:val="000000" w:themeColor="text1"/>
                      <w:sz w:val="18"/>
                      <w:szCs w:val="18"/>
                      <w14:textFill>
                        <w14:solidFill>
                          <w14:schemeClr w14:val="tx1"/>
                        </w14:solidFill>
                      </w14:textFill>
                    </w:rPr>
                  </w:pPr>
                  <w:r>
                    <w:rPr>
                      <w:rFonts w:hint="eastAsia" w:cs="宋体"/>
                      <w:color w:val="000000" w:themeColor="text1"/>
                      <w:kern w:val="0"/>
                      <w:sz w:val="18"/>
                      <w:szCs w:val="18"/>
                      <w:lang w:bidi="ar"/>
                      <w14:textFill>
                        <w14:solidFill>
                          <w14:schemeClr w14:val="tx1"/>
                        </w14:solidFill>
                      </w14:textFill>
                    </w:rPr>
                    <w:t>车辆冲洗废水</w:t>
                  </w:r>
                </w:p>
              </w:tc>
              <w:tc>
                <w:tcPr>
                  <w:tcW w:w="767" w:type="pct"/>
                  <w:vAlign w:val="center"/>
                </w:tcPr>
                <w:p w14:paraId="5788BA9C">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536" w:type="pct"/>
                  <w:vAlign w:val="center"/>
                </w:tcPr>
                <w:p w14:paraId="336BD0EF">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回用于车辆冲洗</w:t>
                  </w:r>
                </w:p>
              </w:tc>
              <w:tc>
                <w:tcPr>
                  <w:tcW w:w="523" w:type="pct"/>
                  <w:vAlign w:val="center"/>
                </w:tcPr>
                <w:p w14:paraId="4A3B27A2">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TW002</w:t>
                  </w:r>
                </w:p>
              </w:tc>
              <w:tc>
                <w:tcPr>
                  <w:tcW w:w="1089" w:type="pct"/>
                  <w:vAlign w:val="center"/>
                </w:tcPr>
                <w:p w14:paraId="5A6C3E47">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洗车台沉淀池</w:t>
                  </w:r>
                </w:p>
              </w:tc>
              <w:tc>
                <w:tcPr>
                  <w:tcW w:w="640" w:type="pct"/>
                  <w:vAlign w:val="center"/>
                </w:tcPr>
                <w:p w14:paraId="059E0E20">
                  <w:pPr>
                    <w:jc w:val="center"/>
                    <w:rPr>
                      <w:bCs/>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沉淀</w:t>
                  </w:r>
                </w:p>
              </w:tc>
              <w:tc>
                <w:tcPr>
                  <w:tcW w:w="319" w:type="pct"/>
                  <w:vAlign w:val="center"/>
                </w:tcPr>
                <w:p w14:paraId="1B909D6C">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150m</w:t>
                  </w:r>
                  <w:r>
                    <w:rPr>
                      <w:rFonts w:hint="eastAsia"/>
                      <w:bCs/>
                      <w:color w:val="000000" w:themeColor="text1"/>
                      <w:sz w:val="18"/>
                      <w:szCs w:val="18"/>
                      <w:vertAlign w:val="superscript"/>
                      <w14:textFill>
                        <w14:solidFill>
                          <w14:schemeClr w14:val="tx1"/>
                        </w14:solidFill>
                      </w14:textFill>
                    </w:rPr>
                    <w:t>3</w:t>
                  </w:r>
                </w:p>
              </w:tc>
              <w:tc>
                <w:tcPr>
                  <w:tcW w:w="390" w:type="pct"/>
                  <w:vAlign w:val="center"/>
                </w:tcPr>
                <w:p w14:paraId="15F3E9C4">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是</w:t>
                  </w:r>
                </w:p>
              </w:tc>
              <w:tc>
                <w:tcPr>
                  <w:tcW w:w="341" w:type="pct"/>
                  <w:vAlign w:val="center"/>
                </w:tcPr>
                <w:p w14:paraId="495BBA27">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r>
            <w:tr w14:paraId="3DB0D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389" w:type="pct"/>
                  <w:vAlign w:val="center"/>
                </w:tcPr>
                <w:p w14:paraId="4D58E0E2">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生产系统废水</w:t>
                  </w:r>
                </w:p>
              </w:tc>
              <w:tc>
                <w:tcPr>
                  <w:tcW w:w="767" w:type="pct"/>
                  <w:vAlign w:val="center"/>
                </w:tcPr>
                <w:p w14:paraId="65B818B0">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536" w:type="pct"/>
                  <w:vAlign w:val="center"/>
                </w:tcPr>
                <w:p w14:paraId="629808ED">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回用于生产系统</w:t>
                  </w:r>
                </w:p>
              </w:tc>
              <w:tc>
                <w:tcPr>
                  <w:tcW w:w="523" w:type="pct"/>
                  <w:vAlign w:val="center"/>
                </w:tcPr>
                <w:p w14:paraId="7D9B6900">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TW003</w:t>
                  </w:r>
                </w:p>
              </w:tc>
              <w:tc>
                <w:tcPr>
                  <w:tcW w:w="1089" w:type="pct"/>
                  <w:vAlign w:val="center"/>
                </w:tcPr>
                <w:p w14:paraId="4E181D56">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污水池收集+浓密罐沉淀+压泥机处理</w:t>
                  </w:r>
                </w:p>
              </w:tc>
              <w:tc>
                <w:tcPr>
                  <w:tcW w:w="640" w:type="pct"/>
                  <w:vAlign w:val="center"/>
                </w:tcPr>
                <w:p w14:paraId="0E2A3B4B">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沉淀</w:t>
                  </w:r>
                </w:p>
              </w:tc>
              <w:tc>
                <w:tcPr>
                  <w:tcW w:w="319" w:type="pct"/>
                  <w:vAlign w:val="center"/>
                </w:tcPr>
                <w:p w14:paraId="053177ED">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污水池250m</w:t>
                  </w:r>
                  <w:r>
                    <w:rPr>
                      <w:rFonts w:hint="eastAsia"/>
                      <w:bCs/>
                      <w:color w:val="000000" w:themeColor="text1"/>
                      <w:sz w:val="18"/>
                      <w:szCs w:val="18"/>
                      <w:vertAlign w:val="superscript"/>
                      <w14:textFill>
                        <w14:solidFill>
                          <w14:schemeClr w14:val="tx1"/>
                        </w14:solidFill>
                      </w14:textFill>
                    </w:rPr>
                    <w:t>3,</w:t>
                  </w:r>
                  <w:r>
                    <w:rPr>
                      <w:rFonts w:hint="eastAsia"/>
                      <w:bCs/>
                      <w:color w:val="000000" w:themeColor="text1"/>
                      <w:sz w:val="18"/>
                      <w:szCs w:val="18"/>
                      <w14:textFill>
                        <w14:solidFill>
                          <w14:schemeClr w14:val="tx1"/>
                        </w14:solidFill>
                      </w14:textFill>
                    </w:rPr>
                    <w:t>、浓密罐500m</w:t>
                  </w:r>
                  <w:r>
                    <w:rPr>
                      <w:rFonts w:hint="eastAsia"/>
                      <w:bCs/>
                      <w:color w:val="000000" w:themeColor="text1"/>
                      <w:sz w:val="18"/>
                      <w:szCs w:val="18"/>
                      <w:vertAlign w:val="superscript"/>
                      <w14:textFill>
                        <w14:solidFill>
                          <w14:schemeClr w14:val="tx1"/>
                        </w14:solidFill>
                      </w14:textFill>
                    </w:rPr>
                    <w:t>3</w:t>
                  </w:r>
                </w:p>
              </w:tc>
              <w:tc>
                <w:tcPr>
                  <w:tcW w:w="390" w:type="pct"/>
                  <w:vAlign w:val="center"/>
                </w:tcPr>
                <w:p w14:paraId="55D2841B">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是</w:t>
                  </w:r>
                </w:p>
              </w:tc>
              <w:tc>
                <w:tcPr>
                  <w:tcW w:w="341" w:type="pct"/>
                  <w:vAlign w:val="center"/>
                </w:tcPr>
                <w:p w14:paraId="0822E4D1">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r>
            <w:tr w14:paraId="1B72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389" w:type="pct"/>
                  <w:vAlign w:val="center"/>
                </w:tcPr>
                <w:p w14:paraId="43B69FEB">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初期雨水</w:t>
                  </w:r>
                </w:p>
              </w:tc>
              <w:tc>
                <w:tcPr>
                  <w:tcW w:w="767" w:type="pct"/>
                  <w:vAlign w:val="center"/>
                </w:tcPr>
                <w:p w14:paraId="5021DA0E">
                  <w:pPr>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SS</w:t>
                  </w:r>
                </w:p>
              </w:tc>
              <w:tc>
                <w:tcPr>
                  <w:tcW w:w="536" w:type="pct"/>
                  <w:vAlign w:val="center"/>
                </w:tcPr>
                <w:p w14:paraId="3DB72334">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回用于生产系统</w:t>
                  </w:r>
                </w:p>
              </w:tc>
              <w:tc>
                <w:tcPr>
                  <w:tcW w:w="523" w:type="pct"/>
                  <w:vAlign w:val="center"/>
                </w:tcPr>
                <w:p w14:paraId="35CE4CBF">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TW004</w:t>
                  </w:r>
                </w:p>
              </w:tc>
              <w:tc>
                <w:tcPr>
                  <w:tcW w:w="1089" w:type="pct"/>
                  <w:vAlign w:val="center"/>
                </w:tcPr>
                <w:p w14:paraId="46630078">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雨水池</w:t>
                  </w:r>
                </w:p>
              </w:tc>
              <w:tc>
                <w:tcPr>
                  <w:tcW w:w="640" w:type="pct"/>
                  <w:vAlign w:val="center"/>
                </w:tcPr>
                <w:p w14:paraId="5F15E790">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沉淀</w:t>
                  </w:r>
                </w:p>
              </w:tc>
              <w:tc>
                <w:tcPr>
                  <w:tcW w:w="319" w:type="pct"/>
                  <w:vAlign w:val="center"/>
                </w:tcPr>
                <w:p w14:paraId="666175B2">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1500m</w:t>
                  </w:r>
                  <w:r>
                    <w:rPr>
                      <w:rFonts w:hint="eastAsia"/>
                      <w:bCs/>
                      <w:color w:val="000000" w:themeColor="text1"/>
                      <w:sz w:val="18"/>
                      <w:szCs w:val="18"/>
                      <w:vertAlign w:val="superscript"/>
                      <w14:textFill>
                        <w14:solidFill>
                          <w14:schemeClr w14:val="tx1"/>
                        </w14:solidFill>
                      </w14:textFill>
                    </w:rPr>
                    <w:t>3</w:t>
                  </w:r>
                </w:p>
              </w:tc>
              <w:tc>
                <w:tcPr>
                  <w:tcW w:w="390" w:type="pct"/>
                  <w:vAlign w:val="center"/>
                </w:tcPr>
                <w:p w14:paraId="43ED2D91">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是</w:t>
                  </w:r>
                </w:p>
              </w:tc>
              <w:tc>
                <w:tcPr>
                  <w:tcW w:w="341" w:type="pct"/>
                  <w:vAlign w:val="center"/>
                </w:tcPr>
                <w:p w14:paraId="7CF9EFD6">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w:t>
                  </w:r>
                </w:p>
              </w:tc>
            </w:tr>
          </w:tbl>
          <w:p w14:paraId="1E6D5034">
            <w:pPr>
              <w:widowControl/>
              <w:spacing w:before="120" w:beforeLines="50"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本项目生活污水进入三级化粪池/三级隔油池+一体化A/O生化装置处理后用于厂区周边林地灌溉；车辆冲洗废水经洗车平台沉淀池处理后回用于车辆冲洗，不外排；生产系统废水与初期雨水经沉淀处理后回用于生产系统，不外排。项目不涉及废水排放口。</w:t>
            </w:r>
          </w:p>
          <w:p w14:paraId="62AA9555">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3、污染防治措施可行性分析</w:t>
            </w:r>
          </w:p>
          <w:p w14:paraId="452FD1CB">
            <w:pPr>
              <w:widowControl/>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（1）生活污水污染防治措施可行性分析</w:t>
            </w:r>
          </w:p>
          <w:p w14:paraId="56903282">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 xml:space="preserve">①生活污水回用可行性分析 </w:t>
            </w:r>
          </w:p>
          <w:p w14:paraId="74EE964A">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本项目采用的“隔油隔渣池/三级化粪池+一体化A/O生化装置”设施工艺，其中一体化处理装置采用A/O生物接触氧化工艺为主体的一体化污水处理设备，且生活污水中有机成份较高，可生化性较好，因此采用生物处理方法比较经济。</w:t>
            </w:r>
          </w:p>
          <w:p w14:paraId="000898C3">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隔油隔渣池是利用油滴与水的密度差产生上浮作用来去除含油废水中可浮性油类物质的一种废水预处理构筑物。隔油池的构造多采用平流式，含油废水通过配水槽进入平面为矩形的隔油池，沿水平方向缓慢流动，在流动中油品上浮水面，由集油管或设置在池面的刮油机推送到集油管中流入脱水罐。在隔油池中沉淀下来的重油及其他杂质，积聚到池底污泥斗中，通过排泥管进入污泥管中。经过隔油处理的废水则溢流入排水渠排出池外，进行后续处理，以去除乳化油及其他污染物。</w:t>
            </w:r>
          </w:p>
          <w:p w14:paraId="64D91853">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三级化粪池是化粪池的一种，由一级池中部通过管道上弯转入下一级池中进行二次净化，再由二次净化后的粪水再导入下一级再次净化，这样经过三次浄化后就己全部化尽为水。新鲜粪便由进粪口进入第一池，池内粪便开始发酵分解、因比重不同粪液可自然分为三层，上层为糊状粪皮，下层为块状或颗状粪渣，中层为比较澄清的粪液。在上层粪皮和下层粪渣中含细菌和寄生虫卵最多，中层含虫卵最少，初步发酵的中层粪液经过粪管溢流至第二池，而将大部分未经充分发酵的粪皮和粪渣阻留在第一池内继续发酵。流入第二池的粪液进一步发酵分解，虫卵继续下沉，病原体逐渐死亡，粪液得到进步无害化，产生的粪皮和粪厚度比第一池显著减少。流入第三池的粪液一般已经腐熟，其中病菌和寄生虫卵已基本杀灭。第三池功能主要起储存已基本无害化的粪液作用。</w:t>
            </w:r>
          </w:p>
          <w:p w14:paraId="77871DCA">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由于污水中氨氮及有机物含量较高，因此污水处理采用缺氧好氧A/O生物接触氧化工艺。生活污水通过三级化粪池处理后进入调节池，设置调节池的目的主要是调节污水的水量和水质。随后进入缺氧池进行生化处理。在缺氧池内，由于污水中有机物浓度较高，微生物处于缺氧状态，此时微生物为兼性微生物，它们将污水中有机氮转化为氨氮，同时利用有机碳源作为电子供体，将NO</w:t>
            </w:r>
            <w:r>
              <w:rPr>
                <w:rFonts w:hint="eastAsia" w:cs="宋体"/>
                <w:color w:val="000000" w:themeColor="text1"/>
                <w:kern w:val="0"/>
                <w:szCs w:val="21"/>
                <w:vertAlign w:val="sub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-N、NO</w:t>
            </w:r>
            <w:r>
              <w:rPr>
                <w:rFonts w:hint="eastAsia" w:cs="宋体"/>
                <w:color w:val="000000" w:themeColor="text1"/>
                <w:kern w:val="0"/>
                <w:szCs w:val="21"/>
                <w:vertAlign w:val="sub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-N转化为N</w:t>
            </w:r>
            <w:r>
              <w:rPr>
                <w:rFonts w:hint="eastAsia" w:cs="宋体"/>
                <w:color w:val="000000" w:themeColor="text1"/>
                <w:kern w:val="0"/>
                <w:szCs w:val="21"/>
                <w:vertAlign w:val="sub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而且还利用部分有机碳源和氨氮合成新的细胞物质。缺氧池不仅具有一定的有机物去除功能，减轻后续好氧的有机负荷，以利于硝化作用进行，而且依靠污水中的高浓度有机物，完成反硝化作用，最终消除氮的富营养化污染。好氧池中细菌将有机物分解为无机碳源或空气中的二氧化碳，将污水中的氨氮转化为NO</w:t>
            </w:r>
            <w:r>
              <w:rPr>
                <w:rFonts w:hint="eastAsia" w:cs="宋体"/>
                <w:color w:val="000000" w:themeColor="text1"/>
                <w:kern w:val="0"/>
                <w:szCs w:val="21"/>
                <w:vertAlign w:val="sub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-N、NO</w:t>
            </w:r>
            <w:r>
              <w:rPr>
                <w:rFonts w:hint="eastAsia" w:cs="宋体"/>
                <w:color w:val="000000" w:themeColor="text1"/>
                <w:kern w:val="0"/>
                <w:szCs w:val="21"/>
                <w:vertAlign w:val="sub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-N。参考文献《厌氧——好氧一体化生活污水处理装置》（彭宗银）中相关厌氧—好氧工艺去除率的研究表明，当水温在20℃左右，停留时间≥7h，处理装置正常运行情况下，COD</w:t>
            </w:r>
            <w:r>
              <w:rPr>
                <w:rFonts w:hint="eastAsia" w:cs="宋体"/>
                <w:color w:val="000000" w:themeColor="text1"/>
                <w:kern w:val="0"/>
                <w:szCs w:val="21"/>
                <w:vertAlign w:val="subscript"/>
                <w:lang w:bidi="ar"/>
                <w14:textFill>
                  <w14:solidFill>
                    <w14:schemeClr w14:val="tx1"/>
                  </w14:solidFill>
                </w14:textFill>
              </w:rPr>
              <w:t>Cr</w:t>
            </w:r>
            <w:r>
              <w:rPr>
                <w:rFonts w:hint="eastAsia" w:cs="宋体"/>
                <w:color w:val="000000" w:themeColor="text1"/>
                <w:kern w:val="0"/>
                <w:szCs w:val="21"/>
                <w:lang w:bidi="ar"/>
                <w14:textFill>
                  <w14:solidFill>
                    <w14:schemeClr w14:val="tx1"/>
                  </w14:solidFill>
                </w14:textFill>
              </w:rPr>
              <w:t>平均去除率可达76%，BOD</w:t>
            </w:r>
            <w:r>
              <w:rPr>
                <w:rFonts w:hint="eastAsia" w:cs="宋体"/>
                <w:color w:val="000000" w:themeColor="text1"/>
                <w:kern w:val="0"/>
                <w:szCs w:val="21"/>
                <w:vertAlign w:val="subscript"/>
                <w:lang w:bidi="ar"/>
                <w14:textFill>
                  <w14:solidFill>
                    <w14:schemeClr w14:val="tx1"/>
                  </w14:solidFill>
                </w14:textFill>
              </w:rPr>
              <w:t>5</w:t>
            </w:r>
            <w:r>
              <w:rPr>
                <w:rFonts w:hint="eastAsia" w:cs="宋体"/>
                <w:color w:val="000000" w:themeColor="text1"/>
                <w:kern w:val="0"/>
                <w:szCs w:val="21"/>
                <w:lang w:bidi="ar"/>
                <w14:textFill>
                  <w14:solidFill>
                    <w14:schemeClr w14:val="tx1"/>
                  </w14:solidFill>
                </w14:textFill>
              </w:rPr>
              <w:t>的平均去除率可达90%，SS的平均去除率可达91.8%；参考《厌氧−好氧活性污泥法(A/O)一体化装置处理生活污水的中试研究》（李瑾，柴立元，向仁军，成应向）相关表明，停留时间为5~8h，水温为4~14℃的条件下，NH3-N的平均去除率可达80%。</w:t>
            </w:r>
          </w:p>
          <w:p w14:paraId="158EBC9B">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综上所述，污染物浓度可符合《农田灌溉水质标准》（</w:t>
            </w:r>
            <w:r>
              <w:rPr>
                <w:color w:val="000000" w:themeColor="text1"/>
                <w:kern w:val="0"/>
                <w:szCs w:val="21"/>
                <w:lang w:bidi="ar"/>
                <w14:textFill>
                  <w14:solidFill>
                    <w14:schemeClr w14:val="tx1"/>
                  </w14:solidFill>
                </w14:textFill>
              </w:rPr>
              <w:t>GB5084-2021</w:t>
            </w:r>
            <w:r>
              <w:rPr>
                <w:rFonts w:hint="eastAsia" w:cs="宋体"/>
                <w:color w:val="000000" w:themeColor="text1"/>
                <w:kern w:val="0"/>
                <w:szCs w:val="21"/>
                <w:lang w:bidi="ar"/>
                <w14:textFill>
                  <w14:solidFill>
                    <w14:schemeClr w14:val="tx1"/>
                  </w14:solidFill>
                </w14:textFill>
              </w:rPr>
              <w:t>）中旱作标准要求。本项目灌溉用水量根据参照《广东省地方标准用水定额第1部分：农业》（DB44/T1461-2021）中表A.3果树灌溉用水定额表中GFQ03粤北和粤西北山区丘陵引蓄灌溉用水定额分区A0153柑橘169m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/（a·亩）计，本项目员工生活污水产生量为472.5m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/a，需要的浇灌面积为1867m</w:t>
            </w:r>
            <w:r>
              <w:rPr>
                <w:rFonts w:hint="eastAsia" w:cs="宋体"/>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，项目周边林地的面积远远超过1867m</w:t>
            </w:r>
            <w:r>
              <w:rPr>
                <w:rFonts w:hint="eastAsia" w:cs="宋体"/>
                <w:color w:val="000000" w:themeColor="text1"/>
                <w:kern w:val="0"/>
                <w:szCs w:val="21"/>
                <w:vertAlign w:val="superscript"/>
                <w:lang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，所需的灌溉水量远大于回用水量，可完全接纳生活污水。</w:t>
            </w:r>
          </w:p>
          <w:p w14:paraId="1FE64148">
            <w:pPr>
              <w:widowControl/>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2</w:t>
            </w:r>
            <w:r>
              <w:rPr>
                <w:b/>
                <w:bCs/>
                <w:color w:val="000000" w:themeColor="text1"/>
                <w:szCs w:val="21"/>
                <w14:textFill>
                  <w14:solidFill>
                    <w14:schemeClr w14:val="tx1"/>
                  </w14:solidFill>
                </w14:textFill>
              </w:rPr>
              <w:t>）</w:t>
            </w:r>
            <w:r>
              <w:rPr>
                <w:rFonts w:hint="eastAsia"/>
                <w:b/>
                <w:bCs/>
                <w:color w:val="000000" w:themeColor="text1"/>
                <w:kern w:val="0"/>
                <w:szCs w:val="21"/>
                <w:lang w:bidi="ar"/>
                <w14:textFill>
                  <w14:solidFill>
                    <w14:schemeClr w14:val="tx1"/>
                  </w14:solidFill>
                </w14:textFill>
              </w:rPr>
              <w:t>车辆冲洗废水、初期雨水</w:t>
            </w:r>
            <w:r>
              <w:rPr>
                <w:b/>
                <w:bCs/>
                <w:color w:val="000000" w:themeColor="text1"/>
                <w:kern w:val="0"/>
                <w:szCs w:val="21"/>
                <w:lang w:bidi="ar"/>
                <w14:textFill>
                  <w14:solidFill>
                    <w14:schemeClr w14:val="tx1"/>
                  </w14:solidFill>
                </w14:textFill>
              </w:rPr>
              <w:t>污染防治措施可行性分析</w:t>
            </w:r>
          </w:p>
          <w:p w14:paraId="5F6318C2">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项目车辆冲洗平台配套一座</w:t>
            </w:r>
            <w:r>
              <w:rPr>
                <w:color w:val="000000" w:themeColor="text1"/>
                <w:kern w:val="0"/>
                <w:szCs w:val="21"/>
                <w:lang w:bidi="ar"/>
                <w14:textFill>
                  <w14:solidFill>
                    <w14:schemeClr w14:val="tx1"/>
                  </w14:solidFill>
                </w14:textFill>
              </w:rPr>
              <w:t>1</w:t>
            </w:r>
            <w:r>
              <w:rPr>
                <w:rFonts w:hint="eastAsia" w:cs="宋体"/>
                <w:color w:val="000000" w:themeColor="text1"/>
                <w:kern w:val="0"/>
                <w:szCs w:val="21"/>
                <w:lang w:bidi="ar"/>
                <w14:textFill>
                  <w14:solidFill>
                    <w14:schemeClr w14:val="tx1"/>
                  </w14:solidFill>
                </w14:textFill>
              </w:rPr>
              <w:t>座沉淀池用于处理车辆冲洗废水，建设单位拟在厂内设置一个总容积为150m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的洗车台沉淀池，</w:t>
            </w:r>
            <w:r>
              <w:rPr>
                <w:rFonts w:hint="eastAsia"/>
                <w:color w:val="000000" w:themeColor="text1"/>
                <w:kern w:val="0"/>
                <w:szCs w:val="21"/>
                <w:lang w:bidi="ar"/>
                <w14:textFill>
                  <w14:solidFill>
                    <w14:schemeClr w14:val="tx1"/>
                  </w14:solidFill>
                </w14:textFill>
              </w:rPr>
              <w:t>参考《城市污水再生利用城市杂用水水质》（GB/T18920-2020）表1城市杂用水水质基本控制项目及限值中车辆冲洗对悬浮物SS的水质无要求，而本项目车辆冲洗废水主要污染物为悬浮物，经处理后浓度较低，可回用用于车辆冲洗。</w:t>
            </w:r>
          </w:p>
          <w:p w14:paraId="77B9ADC1">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根据前文分析，初期雨水产生量为20380.14m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/a（73.84m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/d），15min初期雨水量为1358.676</w:t>
            </w:r>
            <w:r>
              <w:rPr>
                <w:color w:val="000000" w:themeColor="text1"/>
                <w:kern w:val="0"/>
                <w:szCs w:val="21"/>
                <w:lang w:bidi="ar"/>
                <w14:textFill>
                  <w14:solidFill>
                    <w14:schemeClr w14:val="tx1"/>
                  </w14:solidFill>
                </w14:textFill>
              </w:rPr>
              <w:t>m</w:t>
            </w:r>
            <w:r>
              <w:rPr>
                <w:color w:val="000000" w:themeColor="text1"/>
                <w:kern w:val="0"/>
                <w:szCs w:val="21"/>
                <w:vertAlign w:val="superscript"/>
                <w:lang w:bidi="ar"/>
                <w14:textFill>
                  <w14:solidFill>
                    <w14:schemeClr w14:val="tx1"/>
                  </w14:solidFill>
                </w14:textFill>
              </w:rPr>
              <w:t>3</w:t>
            </w:r>
            <w:r>
              <w:rPr>
                <w:color w:val="000000" w:themeColor="text1"/>
                <w:kern w:val="0"/>
                <w:szCs w:val="21"/>
                <w:lang w:bidi="ar"/>
                <w14:textFill>
                  <w14:solidFill>
                    <w14:schemeClr w14:val="tx1"/>
                  </w14:solidFill>
                </w14:textFill>
              </w:rPr>
              <w:t>/</w:t>
            </w:r>
            <w:r>
              <w:rPr>
                <w:rFonts w:hint="eastAsia" w:cs="宋体"/>
                <w:color w:val="000000" w:themeColor="text1"/>
                <w:kern w:val="0"/>
                <w:szCs w:val="21"/>
                <w:lang w:bidi="ar"/>
                <w14:textFill>
                  <w14:solidFill>
                    <w14:schemeClr w14:val="tx1"/>
                  </w14:solidFill>
                </w14:textFill>
              </w:rPr>
              <w:t>次，建设单位拟在厂内设置一个总容积为1500m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的雨水池，有充足容量收纳厂区初期雨水</w:t>
            </w:r>
            <w:r>
              <w:rPr>
                <w:rFonts w:hint="eastAsia" w:cs="宋体"/>
                <w:color w:val="000000" w:themeColor="text1"/>
                <w:kern w:val="0"/>
                <w:szCs w:val="21"/>
                <w:lang w:eastAsia="zh-CN" w:bidi="ar"/>
                <w14:textFill>
                  <w14:solidFill>
                    <w14:schemeClr w14:val="tx1"/>
                  </w14:solidFill>
                </w14:textFill>
              </w:rPr>
              <w:t>；建设单位在厂区内按地形坡度布设初期雨水截流沟，截流沟系统覆盖厂区生产区、成品仓库等主要汇流区域，截流沟断面尺寸400mm（宽）×500mm（深），沟底坡度0.3%-0.5%，壁厚100mm；</w:t>
            </w:r>
            <w:r>
              <w:rPr>
                <w:rFonts w:hint="eastAsia" w:cs="宋体"/>
                <w:color w:val="000000" w:themeColor="text1"/>
                <w:kern w:val="0"/>
                <w:szCs w:val="21"/>
                <w:lang w:bidi="ar"/>
                <w14:textFill>
                  <w14:solidFill>
                    <w14:schemeClr w14:val="tx1"/>
                  </w14:solidFill>
                </w14:textFill>
              </w:rPr>
              <w:t>初期雨水主要污染物为SS，参考《城市污水再生利用城市杂用水水质》（GB/T18920-2020）表1再生水用作工业用水水源的水质标准中“工艺与产品用水”对悬浮物SS水质无要求，初期雨水收集至雨水池沉淀处理后回用于生产系统是可行的。</w:t>
            </w:r>
          </w:p>
          <w:p w14:paraId="294BB8CE">
            <w:pPr>
              <w:widowControl/>
              <w:spacing w:line="360" w:lineRule="auto"/>
              <w:ind w:firstLine="422" w:firstLineChars="200"/>
              <w:jc w:val="left"/>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（3）生产废水污染防治措施可行性分析</w:t>
            </w:r>
          </w:p>
          <w:p w14:paraId="58FD7BB2">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本项目生产废水经污水池收集，进入沉淀罐沉淀，上层清水进入清水池后回用于生产，不外排。底泥经压泥机处理后</w:t>
            </w:r>
            <w:r>
              <w:rPr>
                <w:rFonts w:hint="eastAsia" w:cs="宋体"/>
                <w:color w:val="000000" w:themeColor="text1"/>
                <w:kern w:val="0"/>
                <w:szCs w:val="21"/>
                <w:lang w:val="en-US" w:eastAsia="zh-CN" w:bidi="ar"/>
                <w14:textFill>
                  <w14:solidFill>
                    <w14:schemeClr w14:val="tx1"/>
                  </w14:solidFill>
                </w14:textFill>
              </w:rPr>
              <w:t>交由中铁大桥局集团有限公司新建合浦至湛江铁路（广东段）站前工程 HZGDSG-1 标项目经理部统一处理</w:t>
            </w:r>
            <w:r>
              <w:rPr>
                <w:rFonts w:hint="eastAsia" w:cs="宋体"/>
                <w:color w:val="000000" w:themeColor="text1"/>
                <w:kern w:val="0"/>
                <w:szCs w:val="21"/>
                <w:lang w:bidi="ar"/>
                <w14:textFill>
                  <w14:solidFill>
                    <w14:schemeClr w14:val="tx1"/>
                  </w14:solidFill>
                </w14:textFill>
              </w:rPr>
              <w:t>。</w:t>
            </w:r>
          </w:p>
          <w:p w14:paraId="0F7F32BC">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污水池收集的工作原理：主要用于收集和暂存生产废水。</w:t>
            </w:r>
          </w:p>
          <w:p w14:paraId="1DCA0C53">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沉淀罐沉淀的工作原理：重力沉降+絮凝浓缩的固液分离方式，洗砂废水经中心进料筒进入罐内后，与投加的絮凝剂充分混合，使细小砂粒、石粉抱团形成大絮体，在重力作用下沉降并在罐内形成上层澄清区、中层过渡区和下层浓缩区，顶部环形溢流堰排出澄清清水回用至洗砂工序，罐底刮泥机将浓缩后的高浓度矿浆刮至中心排料口，输送至压滤机进行深度脱水，以此实现废水净化与污泥减量化的双重效果。</w:t>
            </w:r>
          </w:p>
          <w:p w14:paraId="6B477E34">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压泥机的工作原理：借助于两条环绕在按顺序排列的一系列辊筒上的滤带实现挤压脱水的设备。设备系统主要包括：给料混凝系统、重力排水区、过滤压榨脱水系统、卸料装置、冲洗装置、接水装置、张紧装置、纠偏装置等。待脱水的污泥首先由泵送入混凝反应器中，与化学絮凝剂进行充分絮凝反应，形成絮团后流入重力排水段，在重力作用下脱去大部分自由水；而后污泥进人楔形预压段，污泥受到轻度挤压，逐渐受压脱水；最后污泥进人压榨脱水段，在此段污泥被夹在上下两层滤网中间，经过若干由大到小辊筒的反复压榨和剪切脱水，使污泥形成滤饼状，通过卸料装置将滤饼卸料。卸完滤饼的滤带经过自动清洗装置清洗后，再参加新的工作循环，即完成了污泥脱水工作。</w:t>
            </w:r>
          </w:p>
          <w:p w14:paraId="30C1779E">
            <w:pPr>
              <w:widowControl/>
              <w:spacing w:line="360" w:lineRule="auto"/>
              <w:ind w:firstLine="420" w:firstLineChars="200"/>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val="en-US" w:eastAsia="zh-CN" w:bidi="ar"/>
                <w14:textFill>
                  <w14:solidFill>
                    <w14:schemeClr w14:val="tx1"/>
                  </w14:solidFill>
                </w14:textFill>
              </w:rPr>
              <w:t>根据上文计算可知，</w:t>
            </w:r>
            <w:r>
              <w:rPr>
                <w:rFonts w:hint="eastAsia" w:cs="宋体"/>
                <w:color w:val="000000" w:themeColor="text1"/>
                <w:kern w:val="0"/>
                <w:szCs w:val="21"/>
                <w:lang w:bidi="ar"/>
                <w14:textFill>
                  <w14:solidFill>
                    <w14:schemeClr w14:val="tx1"/>
                  </w14:solidFill>
                </w14:textFill>
              </w:rPr>
              <w:t>本项目生产废水的产生量约410344.</w:t>
            </w:r>
            <w:r>
              <w:rPr>
                <w:rFonts w:hint="eastAsia" w:cs="宋体"/>
                <w:color w:val="000000" w:themeColor="text1"/>
                <w:kern w:val="0"/>
                <w:szCs w:val="21"/>
                <w:lang w:val="en-US" w:eastAsia="zh-CN" w:bidi="ar"/>
                <w14:textFill>
                  <w14:solidFill>
                    <w14:schemeClr w14:val="tx1"/>
                  </w14:solidFill>
                </w14:textFill>
              </w:rPr>
              <w:t>81</w:t>
            </w:r>
            <w:r>
              <w:rPr>
                <w:rFonts w:hint="eastAsia" w:cs="宋体"/>
                <w:color w:val="000000" w:themeColor="text1"/>
                <w:kern w:val="0"/>
                <w:szCs w:val="21"/>
                <w:lang w:bidi="ar"/>
                <w14:textFill>
                  <w14:solidFill>
                    <w14:schemeClr w14:val="tx1"/>
                  </w14:solidFill>
                </w14:textFill>
              </w:rPr>
              <w:t>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/a（1486.76m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/d</w:t>
            </w:r>
            <w:r>
              <w:rPr>
                <w:rFonts w:hint="eastAsia" w:cs="宋体"/>
                <w:color w:val="000000" w:themeColor="text1"/>
                <w:kern w:val="0"/>
                <w:szCs w:val="21"/>
                <w:lang w:eastAsia="zh-CN" w:bidi="ar"/>
                <w14:textFill>
                  <w14:solidFill>
                    <w14:schemeClr w14:val="tx1"/>
                  </w14:solidFill>
                </w14:textFill>
              </w:rPr>
              <w:t>、</w:t>
            </w:r>
            <w:r>
              <w:rPr>
                <w:rFonts w:hint="eastAsia" w:cs="宋体"/>
                <w:color w:val="000000" w:themeColor="text1"/>
                <w:kern w:val="0"/>
                <w:szCs w:val="21"/>
                <w:lang w:val="en-US" w:eastAsia="zh-CN" w:bidi="ar"/>
                <w14:textFill>
                  <w14:solidFill>
                    <w14:schemeClr w14:val="tx1"/>
                  </w14:solidFill>
                </w14:textFill>
              </w:rPr>
              <w:t>185.85</w:t>
            </w:r>
            <w:r>
              <w:rPr>
                <w:rFonts w:hint="eastAsia" w:cs="宋体"/>
                <w:color w:val="000000" w:themeColor="text1"/>
                <w:kern w:val="0"/>
                <w:szCs w:val="21"/>
                <w:lang w:bidi="ar"/>
                <w14:textFill>
                  <w14:solidFill>
                    <w14:schemeClr w14:val="tx1"/>
                  </w14:solidFill>
                </w14:textFill>
              </w:rPr>
              <w:t>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w:t>
            </w:r>
            <w:r>
              <w:rPr>
                <w:rFonts w:hint="eastAsia" w:cs="宋体"/>
                <w:color w:val="000000" w:themeColor="text1"/>
                <w:kern w:val="0"/>
                <w:szCs w:val="21"/>
                <w:lang w:val="en-US" w:eastAsia="zh-CN" w:bidi="ar"/>
                <w14:textFill>
                  <w14:solidFill>
                    <w14:schemeClr w14:val="tx1"/>
                  </w14:solidFill>
                </w14:textFill>
              </w:rPr>
              <w:t>h</w:t>
            </w:r>
            <w:r>
              <w:rPr>
                <w:rFonts w:hint="eastAsia" w:cs="宋体"/>
                <w:color w:val="000000" w:themeColor="text1"/>
                <w:kern w:val="0"/>
                <w:szCs w:val="21"/>
                <w:lang w:bidi="ar"/>
                <w14:textFill>
                  <w14:solidFill>
                    <w14:schemeClr w14:val="tx1"/>
                  </w14:solidFill>
                </w14:textFill>
              </w:rPr>
              <w:t>），项目在生产线设置一个污水池及浓密罐，浓密罐四周设置防渗漏截流沟</w:t>
            </w:r>
            <w:r>
              <w:rPr>
                <w:rFonts w:hint="eastAsia" w:cs="宋体"/>
                <w:color w:val="000000" w:themeColor="text1"/>
                <w:kern w:val="0"/>
                <w:szCs w:val="21"/>
                <w:lang w:eastAsia="zh-CN" w:bidi="ar"/>
                <w14:textFill>
                  <w14:solidFill>
                    <w14:schemeClr w14:val="tx1"/>
                  </w14:solidFill>
                </w14:textFill>
              </w:rPr>
              <w:t>，断面尺寸</w:t>
            </w:r>
            <w:r>
              <w:rPr>
                <w:rFonts w:hint="eastAsia" w:cs="宋体"/>
                <w:color w:val="000000" w:themeColor="text1"/>
                <w:kern w:val="0"/>
                <w:szCs w:val="21"/>
                <w:lang w:val="en-US" w:eastAsia="zh-CN" w:bidi="ar"/>
                <w14:textFill>
                  <w14:solidFill>
                    <w14:schemeClr w14:val="tx1"/>
                  </w14:solidFill>
                </w14:textFill>
              </w:rPr>
              <w:t>为</w:t>
            </w:r>
            <w:r>
              <w:rPr>
                <w:rFonts w:hint="eastAsia" w:cs="宋体"/>
                <w:color w:val="000000" w:themeColor="text1"/>
                <w:kern w:val="0"/>
                <w:szCs w:val="21"/>
                <w:lang w:eastAsia="zh-CN" w:bidi="ar"/>
                <w14:textFill>
                  <w14:solidFill>
                    <w14:schemeClr w14:val="tx1"/>
                  </w14:solidFill>
                </w14:textFill>
              </w:rPr>
              <w:t>300mm（宽）×400mm（深），沟底坡度0.5%，壁厚100mm，截流沟围绕浓密罐形成闭合回路，渗漏废水收集</w:t>
            </w:r>
            <w:r>
              <w:rPr>
                <w:rFonts w:hint="eastAsia" w:cs="宋体"/>
                <w:color w:val="000000" w:themeColor="text1"/>
                <w:kern w:val="0"/>
                <w:szCs w:val="21"/>
                <w:lang w:val="en-US" w:eastAsia="zh-CN" w:bidi="ar"/>
                <w14:textFill>
                  <w14:solidFill>
                    <w14:schemeClr w14:val="tx1"/>
                  </w14:solidFill>
                </w14:textFill>
              </w:rPr>
              <w:t>到渗漏收集池（1m</w:t>
            </w:r>
            <w:r>
              <w:rPr>
                <w:rFonts w:hint="eastAsia" w:cs="宋体"/>
                <w:color w:val="000000" w:themeColor="text1"/>
                <w:kern w:val="0"/>
                <w:szCs w:val="21"/>
                <w:vertAlign w:val="superscript"/>
                <w:lang w:val="en-US" w:eastAsia="zh-CN" w:bidi="ar"/>
                <w14:textFill>
                  <w14:solidFill>
                    <w14:schemeClr w14:val="tx1"/>
                  </w14:solidFill>
                </w14:textFill>
              </w:rPr>
              <w:t>3</w:t>
            </w:r>
            <w:r>
              <w:rPr>
                <w:rFonts w:hint="eastAsia" w:cs="宋体"/>
                <w:color w:val="000000" w:themeColor="text1"/>
                <w:kern w:val="0"/>
                <w:szCs w:val="21"/>
                <w:lang w:val="en-US" w:eastAsia="zh-CN" w:bidi="ar"/>
                <w14:textFill>
                  <w14:solidFill>
                    <w14:schemeClr w14:val="tx1"/>
                  </w14:solidFill>
                </w14:textFill>
              </w:rPr>
              <w:t>）后通过水泵抽至浓密罐</w:t>
            </w:r>
            <w:r>
              <w:rPr>
                <w:rFonts w:hint="eastAsia" w:cs="宋体"/>
                <w:color w:val="000000" w:themeColor="text1"/>
                <w:kern w:val="0"/>
                <w:szCs w:val="21"/>
                <w:lang w:eastAsia="zh-CN" w:bidi="ar"/>
                <w14:textFill>
                  <w14:solidFill>
                    <w14:schemeClr w14:val="tx1"/>
                  </w14:solidFill>
                </w14:textFill>
              </w:rPr>
              <w:t>处理；</w:t>
            </w:r>
            <w:r>
              <w:rPr>
                <w:rFonts w:hint="eastAsia" w:cs="宋体"/>
                <w:color w:val="000000" w:themeColor="text1"/>
                <w:kern w:val="0"/>
                <w:szCs w:val="21"/>
                <w:lang w:val="en-US" w:eastAsia="zh-CN" w:bidi="ar"/>
                <w14:textFill>
                  <w14:solidFill>
                    <w14:schemeClr w14:val="tx1"/>
                  </w14:solidFill>
                </w14:textFill>
              </w:rPr>
              <w:t>根据建设单位提供的资料，</w:t>
            </w:r>
            <w:r>
              <w:rPr>
                <w:rFonts w:hint="eastAsia" w:cs="宋体"/>
                <w:color w:val="000000" w:themeColor="text1"/>
                <w:kern w:val="0"/>
                <w:szCs w:val="21"/>
                <w:lang w:bidi="ar"/>
                <w14:textFill>
                  <w14:solidFill>
                    <w14:schemeClr w14:val="tx1"/>
                  </w14:solidFill>
                </w14:textFill>
              </w:rPr>
              <w:t>污水池有效容积为250m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，暂存时间</w:t>
            </w:r>
            <w:r>
              <w:rPr>
                <w:rFonts w:hint="eastAsia" w:cs="宋体"/>
                <w:color w:val="000000" w:themeColor="text1"/>
                <w:kern w:val="0"/>
                <w:szCs w:val="21"/>
                <w:lang w:val="en-US" w:eastAsia="zh-CN" w:bidi="ar"/>
                <w14:textFill>
                  <w14:solidFill>
                    <w14:schemeClr w14:val="tx1"/>
                  </w14:solidFill>
                </w14:textFill>
              </w:rPr>
              <w:t>为1</w:t>
            </w:r>
            <w:r>
              <w:rPr>
                <w:rFonts w:hint="eastAsia" w:cs="宋体"/>
                <w:color w:val="000000" w:themeColor="text1"/>
                <w:kern w:val="0"/>
                <w:szCs w:val="21"/>
                <w:lang w:bidi="ar"/>
                <w14:textFill>
                  <w14:solidFill>
                    <w14:schemeClr w14:val="tx1"/>
                  </w14:solidFill>
                </w14:textFill>
              </w:rPr>
              <w:t>小时，最大日储水量为</w:t>
            </w:r>
            <w:r>
              <w:rPr>
                <w:rFonts w:hint="eastAsia" w:cs="宋体"/>
                <w:color w:val="000000" w:themeColor="text1"/>
                <w:kern w:val="0"/>
                <w:szCs w:val="21"/>
                <w:lang w:val="en-US" w:eastAsia="zh-CN" w:bidi="ar"/>
                <w14:textFill>
                  <w14:solidFill>
                    <w14:schemeClr w14:val="tx1"/>
                  </w14:solidFill>
                </w14:textFill>
              </w:rPr>
              <w:t>2</w:t>
            </w:r>
            <w:r>
              <w:rPr>
                <w:rFonts w:hint="eastAsia" w:cs="宋体"/>
                <w:color w:val="000000" w:themeColor="text1"/>
                <w:kern w:val="0"/>
                <w:szCs w:val="21"/>
                <w:lang w:bidi="ar"/>
                <w14:textFill>
                  <w14:solidFill>
                    <w14:schemeClr w14:val="tx1"/>
                  </w14:solidFill>
                </w14:textFill>
              </w:rPr>
              <w:t>000m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vertAlign w:val="baseline"/>
                <w:lang w:val="en-US" w:eastAsia="zh-CN" w:bidi="ar"/>
                <w14:textFill>
                  <w14:solidFill>
                    <w14:schemeClr w14:val="tx1"/>
                  </w14:solidFill>
                </w14:textFill>
              </w:rPr>
              <w:t>＞1486.76m</w:t>
            </w:r>
            <w:r>
              <w:rPr>
                <w:rFonts w:hint="eastAsia" w:cs="宋体"/>
                <w:color w:val="000000" w:themeColor="text1"/>
                <w:kern w:val="0"/>
                <w:szCs w:val="21"/>
                <w:vertAlign w:val="superscript"/>
                <w:lang w:val="en-US" w:eastAsia="zh-CN"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；浓密罐有效容积为500m</w:t>
            </w:r>
            <w:r>
              <w:rPr>
                <w:rFonts w:hint="eastAsia" w:cs="宋体"/>
                <w:color w:val="000000" w:themeColor="text1"/>
                <w:kern w:val="0"/>
                <w:szCs w:val="21"/>
                <w:vertAlign w:val="superscript"/>
                <w:lang w:bidi="ar"/>
                <w14:textFill>
                  <w14:solidFill>
                    <w14:schemeClr w14:val="tx1"/>
                  </w14:solidFill>
                </w14:textFill>
              </w:rPr>
              <w:t>3</w:t>
            </w:r>
            <w:r>
              <w:rPr>
                <w:rFonts w:hint="eastAsia" w:cs="宋体"/>
                <w:color w:val="000000" w:themeColor="text1"/>
                <w:kern w:val="0"/>
                <w:szCs w:val="21"/>
                <w:lang w:bidi="ar"/>
                <w14:textFill>
                  <w14:solidFill>
                    <w14:schemeClr w14:val="tx1"/>
                  </w14:solidFill>
                </w14:textFill>
              </w:rPr>
              <w:t>，按小时废水量核算实际沉淀时间为500÷185.85≈2.69h，</w:t>
            </w:r>
            <w:r>
              <w:rPr>
                <w:rFonts w:hint="eastAsia" w:cs="宋体"/>
                <w:color w:val="000000" w:themeColor="text1"/>
                <w:kern w:val="0"/>
                <w:szCs w:val="21"/>
                <w:lang w:val="en-US" w:eastAsia="zh-CN" w:bidi="ar"/>
                <w14:textFill>
                  <w14:solidFill>
                    <w14:schemeClr w14:val="tx1"/>
                  </w14:solidFill>
                </w14:textFill>
              </w:rPr>
              <w:t>满足</w:t>
            </w:r>
            <w:r>
              <w:rPr>
                <w:rFonts w:hint="eastAsia" w:cs="宋体"/>
                <w:color w:val="000000" w:themeColor="text1"/>
                <w:kern w:val="0"/>
                <w:szCs w:val="21"/>
                <w:lang w:bidi="ar"/>
                <w14:textFill>
                  <w14:solidFill>
                    <w14:schemeClr w14:val="tx1"/>
                  </w14:solidFill>
                </w14:textFill>
              </w:rPr>
              <w:t>《室外排水设计标准》（GB50014-2021）</w:t>
            </w:r>
            <w:r>
              <w:rPr>
                <w:rFonts w:hint="eastAsia" w:cs="宋体"/>
                <w:color w:val="000000" w:themeColor="text1"/>
                <w:kern w:val="0"/>
                <w:szCs w:val="21"/>
                <w:lang w:val="en-US" w:eastAsia="zh-CN" w:bidi="ar"/>
                <w14:textFill>
                  <w14:solidFill>
                    <w14:schemeClr w14:val="tx1"/>
                  </w14:solidFill>
                </w14:textFill>
              </w:rPr>
              <w:t>中</w:t>
            </w:r>
            <w:r>
              <w:rPr>
                <w:rFonts w:hint="eastAsia" w:cs="宋体"/>
                <w:color w:val="000000" w:themeColor="text1"/>
                <w:kern w:val="0"/>
                <w:szCs w:val="21"/>
                <w:lang w:bidi="ar"/>
                <w14:textFill>
                  <w14:solidFill>
                    <w14:schemeClr w14:val="tx1"/>
                  </w14:solidFill>
                </w14:textFill>
              </w:rPr>
              <w:t>初级沉淀池沉淀时间为0.5~2.0h的要求</w:t>
            </w:r>
            <w:r>
              <w:rPr>
                <w:rFonts w:hint="eastAsia" w:cs="宋体"/>
                <w:color w:val="000000" w:themeColor="text1"/>
                <w:kern w:val="0"/>
                <w:szCs w:val="21"/>
                <w:lang w:eastAsia="zh-CN" w:bidi="ar"/>
                <w14:textFill>
                  <w14:solidFill>
                    <w14:schemeClr w14:val="tx1"/>
                  </w14:solidFill>
                </w14:textFill>
              </w:rPr>
              <w:t>，</w:t>
            </w:r>
            <w:r>
              <w:rPr>
                <w:rFonts w:hint="eastAsia" w:cs="宋体"/>
                <w:color w:val="000000" w:themeColor="text1"/>
                <w:kern w:val="0"/>
                <w:szCs w:val="21"/>
                <w:lang w:val="en-US" w:eastAsia="zh-CN" w:bidi="ar"/>
                <w14:textFill>
                  <w14:solidFill>
                    <w14:schemeClr w14:val="tx1"/>
                  </w14:solidFill>
                </w14:textFill>
              </w:rPr>
              <w:t>因此</w:t>
            </w:r>
            <w:r>
              <w:rPr>
                <w:rFonts w:hint="eastAsia" w:cs="宋体"/>
                <w:color w:val="000000" w:themeColor="text1"/>
                <w:kern w:val="0"/>
                <w:szCs w:val="21"/>
                <w:lang w:bidi="ar"/>
                <w14:textFill>
                  <w14:solidFill>
                    <w14:schemeClr w14:val="tx1"/>
                  </w14:solidFill>
                </w14:textFill>
              </w:rPr>
              <w:t>污水池、浓密罐的有效容积</w:t>
            </w:r>
            <w:r>
              <w:rPr>
                <w:rFonts w:hint="eastAsia" w:cs="宋体"/>
                <w:color w:val="000000" w:themeColor="text1"/>
                <w:kern w:val="0"/>
                <w:szCs w:val="21"/>
                <w:lang w:val="en-US" w:eastAsia="zh-CN" w:bidi="ar"/>
                <w14:textFill>
                  <w14:solidFill>
                    <w14:schemeClr w14:val="tx1"/>
                  </w14:solidFill>
                </w14:textFill>
              </w:rPr>
              <w:t>均</w:t>
            </w:r>
            <w:r>
              <w:rPr>
                <w:rFonts w:hint="eastAsia" w:cs="宋体"/>
                <w:color w:val="000000" w:themeColor="text1"/>
                <w:kern w:val="0"/>
                <w:szCs w:val="21"/>
                <w:lang w:bidi="ar"/>
                <w14:textFill>
                  <w14:solidFill>
                    <w14:schemeClr w14:val="tx1"/>
                  </w14:solidFill>
                </w14:textFill>
              </w:rPr>
              <w:t>满足每日生产废水</w:t>
            </w:r>
            <w:r>
              <w:rPr>
                <w:rFonts w:hint="eastAsia" w:cs="宋体"/>
                <w:color w:val="000000" w:themeColor="text1"/>
                <w:kern w:val="0"/>
                <w:szCs w:val="21"/>
                <w:lang w:val="en-US" w:eastAsia="zh-CN" w:bidi="ar"/>
                <w14:textFill>
                  <w14:solidFill>
                    <w14:schemeClr w14:val="tx1"/>
                  </w14:solidFill>
                </w14:textFill>
              </w:rPr>
              <w:t>处理</w:t>
            </w:r>
            <w:r>
              <w:rPr>
                <w:rFonts w:hint="eastAsia" w:cs="宋体"/>
                <w:color w:val="000000" w:themeColor="text1"/>
                <w:kern w:val="0"/>
                <w:szCs w:val="21"/>
                <w:lang w:bidi="ar"/>
                <w14:textFill>
                  <w14:solidFill>
                    <w14:schemeClr w14:val="tx1"/>
                  </w14:solidFill>
                </w14:textFill>
              </w:rPr>
              <w:t>量的需求</w:t>
            </w:r>
            <w:r>
              <w:rPr>
                <w:rFonts w:hint="eastAsia" w:cs="宋体"/>
                <w:color w:val="000000" w:themeColor="text1"/>
                <w:kern w:val="0"/>
                <w:szCs w:val="21"/>
                <w:lang w:eastAsia="zh-CN" w:bidi="ar"/>
                <w14:textFill>
                  <w14:solidFill>
                    <w14:schemeClr w14:val="tx1"/>
                  </w14:solidFill>
                </w14:textFill>
              </w:rPr>
              <w:t>；</w:t>
            </w:r>
            <w:r>
              <w:rPr>
                <w:rFonts w:hint="eastAsia" w:cs="宋体"/>
                <w:color w:val="000000" w:themeColor="text1"/>
                <w:kern w:val="0"/>
                <w:szCs w:val="21"/>
                <w:lang w:bidi="ar"/>
                <w14:textFill>
                  <w14:solidFill>
                    <w14:schemeClr w14:val="tx1"/>
                  </w14:solidFill>
                </w14:textFill>
              </w:rPr>
              <w:t>生产废水主要污染物为SS，参考《城市污水再生利用城市杂用水水质》（GB/T18920-2020）表1再生水用作工业用水水源的水质标准中“工艺与产品用水”对悬浮物SS水质无要求，因此，项目生产废水经沉淀处理后回用于生产是可行的。</w:t>
            </w:r>
          </w:p>
          <w:p w14:paraId="0916C371">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综上所述，本项目生活污水经三级化粪池/三级隔油池+一体化A/O生化装置处理后用于厂周边林地灌溉，车辆冲洗废水、初期雨水、生产系统废水经合理处置后回用，本项目不会对周边水体造成明显影响。</w:t>
            </w:r>
          </w:p>
          <w:p w14:paraId="49546DC3">
            <w:pPr>
              <w:widowControl/>
              <w:spacing w:line="360" w:lineRule="auto"/>
              <w:ind w:firstLine="422" w:firstLineChars="200"/>
              <w:jc w:val="left"/>
              <w:rPr>
                <w:color w:val="000000" w:themeColor="text1"/>
                <w:szCs w:val="21"/>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4、项目废水监测计划</w:t>
            </w:r>
          </w:p>
          <w:p w14:paraId="4703B605">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本项目生活污水经三级化粪池</w:t>
            </w:r>
            <w:r>
              <w:rPr>
                <w:rFonts w:hint="eastAsia" w:cs="宋体"/>
                <w:color w:val="000000" w:themeColor="text1"/>
                <w:kern w:val="0"/>
                <w:szCs w:val="21"/>
                <w:lang w:val="en-US" w:eastAsia="zh-CN" w:bidi="ar"/>
                <w14:textFill>
                  <w14:solidFill>
                    <w14:schemeClr w14:val="tx1"/>
                  </w14:solidFill>
                </w14:textFill>
              </w:rPr>
              <w:t>/三级隔油池</w:t>
            </w:r>
            <w:r>
              <w:rPr>
                <w:rFonts w:hint="eastAsia" w:cs="宋体"/>
                <w:color w:val="000000" w:themeColor="text1"/>
                <w:kern w:val="0"/>
                <w:szCs w:val="21"/>
                <w:lang w:bidi="ar"/>
                <w14:textFill>
                  <w14:solidFill>
                    <w14:schemeClr w14:val="tx1"/>
                  </w14:solidFill>
                </w14:textFill>
              </w:rPr>
              <w:t>+一体化A/O生化装置处理后用于周边林地灌溉，车辆冲洗废水、初期雨水、生产系统废水经合理处置后回用，不设废水排放口，故不设置监测计划。</w:t>
            </w:r>
          </w:p>
          <w:p w14:paraId="746AB208">
            <w:pPr>
              <w:widowControl/>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三、</w:t>
            </w:r>
            <w:r>
              <w:rPr>
                <w:rFonts w:hint="eastAsia" w:cs="宋体"/>
                <w:b/>
                <w:bCs/>
                <w:color w:val="000000" w:themeColor="text1"/>
                <w:kern w:val="0"/>
                <w:szCs w:val="21"/>
                <w:lang w:bidi="ar"/>
                <w14:textFill>
                  <w14:solidFill>
                    <w14:schemeClr w14:val="tx1"/>
                  </w14:solidFill>
                </w14:textFill>
              </w:rPr>
              <w:t>固体</w:t>
            </w:r>
            <w:r>
              <w:rPr>
                <w:b/>
                <w:bCs/>
                <w:color w:val="000000" w:themeColor="text1"/>
                <w:szCs w:val="21"/>
                <w14:textFill>
                  <w14:solidFill>
                    <w14:schemeClr w14:val="tx1"/>
                  </w14:solidFill>
                </w14:textFill>
              </w:rPr>
              <w:t>废物</w:t>
            </w:r>
          </w:p>
          <w:p w14:paraId="3C3CE367">
            <w:pPr>
              <w:widowControl/>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1、源强核算</w:t>
            </w:r>
          </w:p>
          <w:p w14:paraId="06ECC20F">
            <w:pPr>
              <w:widowControl/>
              <w:spacing w:line="360" w:lineRule="auto"/>
              <w:ind w:firstLine="420" w:firstLineChars="200"/>
              <w:jc w:val="left"/>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本项目产生的固废包括生活垃圾、</w:t>
            </w:r>
            <w:r>
              <w:rPr>
                <w:rFonts w:hint="eastAsia"/>
                <w:color w:val="000000" w:themeColor="text1"/>
                <w:kern w:val="0"/>
                <w:szCs w:val="21"/>
                <w14:textFill>
                  <w14:solidFill>
                    <w14:schemeClr w14:val="tx1"/>
                  </w14:solidFill>
                </w14:textFill>
              </w:rPr>
              <w:t>餐厨垃圾及废油脂、</w:t>
            </w:r>
            <w:r>
              <w:rPr>
                <w:color w:val="000000" w:themeColor="text1"/>
                <w:kern w:val="0"/>
                <w:szCs w:val="21"/>
                <w14:textFill>
                  <w14:solidFill>
                    <w14:schemeClr w14:val="tx1"/>
                  </w14:solidFill>
                </w14:textFill>
              </w:rPr>
              <w:t>一般工业固体废物</w:t>
            </w:r>
            <w:r>
              <w:rPr>
                <w:rFonts w:hint="eastAsia"/>
                <w:color w:val="000000" w:themeColor="text1"/>
                <w:kern w:val="0"/>
                <w:szCs w:val="21"/>
                <w14:textFill>
                  <w14:solidFill>
                    <w14:schemeClr w14:val="tx1"/>
                  </w14:solidFill>
                </w14:textFill>
              </w:rPr>
              <w:t>、危险废物</w:t>
            </w:r>
            <w:r>
              <w:rPr>
                <w:color w:val="000000" w:themeColor="text1"/>
                <w:kern w:val="0"/>
                <w:szCs w:val="21"/>
                <w14:textFill>
                  <w14:solidFill>
                    <w14:schemeClr w14:val="tx1"/>
                  </w14:solidFill>
                </w14:textFill>
              </w:rPr>
              <w:t>。</w:t>
            </w:r>
          </w:p>
          <w:p w14:paraId="43DD728B">
            <w:pPr>
              <w:widowControl/>
              <w:spacing w:line="360" w:lineRule="auto"/>
              <w:ind w:firstLine="422" w:firstLineChars="200"/>
              <w:jc w:val="left"/>
              <w:rPr>
                <w:b/>
                <w:bCs/>
                <w:color w:val="000000" w:themeColor="text1"/>
                <w:kern w:val="0"/>
                <w:szCs w:val="21"/>
                <w14:textFill>
                  <w14:solidFill>
                    <w14:schemeClr w14:val="tx1"/>
                  </w14:solidFill>
                </w14:textFill>
              </w:rPr>
            </w:pPr>
            <w:r>
              <w:rPr>
                <w:b/>
                <w:bCs/>
                <w:color w:val="000000" w:themeColor="text1"/>
                <w:kern w:val="0"/>
                <w:szCs w:val="21"/>
                <w14:textFill>
                  <w14:solidFill>
                    <w14:schemeClr w14:val="tx1"/>
                  </w14:solidFill>
                </w14:textFill>
              </w:rPr>
              <w:t>（1）生活垃圾</w:t>
            </w:r>
          </w:p>
          <w:p w14:paraId="21802812">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color w:val="000000" w:themeColor="text1"/>
                <w:kern w:val="0"/>
                <w:szCs w:val="21"/>
                <w14:textFill>
                  <w14:solidFill>
                    <w14:schemeClr w14:val="tx1"/>
                  </w14:solidFill>
                </w14:textFill>
              </w:rPr>
              <w:t>本项目劳动定员共</w:t>
            </w:r>
            <w:r>
              <w:rPr>
                <w:rFonts w:hint="eastAsia"/>
                <w:color w:val="000000" w:themeColor="text1"/>
                <w:kern w:val="0"/>
                <w:szCs w:val="21"/>
                <w14:textFill>
                  <w14:solidFill>
                    <w14:schemeClr w14:val="tx1"/>
                  </w14:solidFill>
                </w14:textFill>
              </w:rPr>
              <w:t>35</w:t>
            </w:r>
            <w:r>
              <w:rPr>
                <w:color w:val="000000" w:themeColor="text1"/>
                <w:kern w:val="0"/>
                <w:szCs w:val="21"/>
                <w14:textFill>
                  <w14:solidFill>
                    <w14:schemeClr w14:val="tx1"/>
                  </w14:solidFill>
                </w14:textFill>
              </w:rPr>
              <w:t>人，</w:t>
            </w:r>
            <w:r>
              <w:rPr>
                <w:rFonts w:hint="eastAsia" w:cs="宋体"/>
                <w:color w:val="000000" w:themeColor="text1"/>
                <w:kern w:val="0"/>
                <w:szCs w:val="21"/>
                <w:lang w:bidi="ar"/>
                <w14:textFill>
                  <w14:solidFill>
                    <w14:schemeClr w14:val="tx1"/>
                  </w14:solidFill>
                </w14:textFill>
              </w:rPr>
              <w:t>员工生活垃圾按</w:t>
            </w:r>
            <w:r>
              <w:rPr>
                <w:color w:val="000000" w:themeColor="text1"/>
                <w:kern w:val="0"/>
                <w:szCs w:val="21"/>
                <w:lang w:bidi="ar"/>
                <w14:textFill>
                  <w14:solidFill>
                    <w14:schemeClr w14:val="tx1"/>
                  </w14:solidFill>
                </w14:textFill>
              </w:rPr>
              <w:t>0.5kg/</w:t>
            </w:r>
            <w:r>
              <w:rPr>
                <w:rFonts w:hint="eastAsia" w:cs="宋体"/>
                <w:color w:val="000000" w:themeColor="text1"/>
                <w:kern w:val="0"/>
                <w:szCs w:val="21"/>
                <w:lang w:bidi="ar"/>
                <w14:textFill>
                  <w14:solidFill>
                    <w14:schemeClr w14:val="tx1"/>
                  </w14:solidFill>
                </w14:textFill>
              </w:rPr>
              <w:t xml:space="preserve">人 </w:t>
            </w:r>
            <w:r>
              <w:rPr>
                <w:color w:val="000000" w:themeColor="text1"/>
                <w:kern w:val="0"/>
                <w:szCs w:val="21"/>
                <w:lang w:bidi="ar"/>
                <w14:textFill>
                  <w14:solidFill>
                    <w14:schemeClr w14:val="tx1"/>
                  </w14:solidFill>
                </w14:textFill>
              </w:rPr>
              <w:t>d</w:t>
            </w:r>
            <w:r>
              <w:rPr>
                <w:rFonts w:hint="eastAsia" w:cs="宋体"/>
                <w:color w:val="000000" w:themeColor="text1"/>
                <w:kern w:val="0"/>
                <w:szCs w:val="21"/>
                <w:lang w:bidi="ar"/>
                <w14:textFill>
                  <w14:solidFill>
                    <w14:schemeClr w14:val="tx1"/>
                  </w14:solidFill>
                </w14:textFill>
              </w:rPr>
              <w:t>计，则生活垃圾的产生量约为4.83</w:t>
            </w:r>
            <w:r>
              <w:rPr>
                <w:color w:val="000000" w:themeColor="text1"/>
                <w:kern w:val="0"/>
                <w:szCs w:val="21"/>
                <w:lang w:bidi="ar"/>
                <w14:textFill>
                  <w14:solidFill>
                    <w14:schemeClr w14:val="tx1"/>
                  </w14:solidFill>
                </w14:textFill>
              </w:rPr>
              <w:t>t/a</w:t>
            </w:r>
            <w:r>
              <w:rPr>
                <w:rFonts w:hint="eastAsia" w:cs="宋体"/>
                <w:color w:val="000000" w:themeColor="text1"/>
                <w:kern w:val="0"/>
                <w:szCs w:val="21"/>
                <w:lang w:bidi="ar"/>
                <w14:textFill>
                  <w14:solidFill>
                    <w14:schemeClr w14:val="tx1"/>
                  </w14:solidFill>
                </w14:textFill>
              </w:rPr>
              <w:t>。生活垃圾应及时集中收集，交由环卫部门统一清运处理，不对外随意排放，以最大限度的减少生活垃圾对环境的影响。</w:t>
            </w:r>
          </w:p>
          <w:p w14:paraId="7308DB10">
            <w:pPr>
              <w:widowControl/>
              <w:spacing w:line="360" w:lineRule="auto"/>
              <w:ind w:firstLine="422" w:firstLineChars="200"/>
              <w:jc w:val="left"/>
              <w:rPr>
                <w:rFonts w:cs="宋体"/>
                <w:b/>
                <w:bCs/>
                <w:color w:val="000000" w:themeColor="text1"/>
                <w:kern w:val="0"/>
                <w:szCs w:val="21"/>
                <w:lang w:bidi="ar"/>
                <w14:textFill>
                  <w14:solidFill>
                    <w14:schemeClr w14:val="tx1"/>
                  </w14:solidFill>
                </w14:textFill>
              </w:rPr>
            </w:pPr>
            <w:r>
              <w:rPr>
                <w:rFonts w:hint="eastAsia" w:cs="宋体"/>
                <w:b/>
                <w:bCs/>
                <w:color w:val="000000" w:themeColor="text1"/>
                <w:kern w:val="0"/>
                <w:szCs w:val="21"/>
                <w:lang w:bidi="ar"/>
                <w14:textFill>
                  <w14:solidFill>
                    <w14:schemeClr w14:val="tx1"/>
                  </w14:solidFill>
                </w14:textFill>
              </w:rPr>
              <w:t>（2）餐厨垃圾及废油脂</w:t>
            </w:r>
          </w:p>
          <w:p w14:paraId="089A06F6">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项目有员工35人，约有20人在厂区就餐，项目餐厨垃圾产生量按0.5kg/人·d计。项目年工作276天，则项目餐厨垃圾产生量为2.76t/a，成分主要为残余果蔬、饭菜等。</w:t>
            </w:r>
          </w:p>
          <w:p w14:paraId="0823BC3E">
            <w:pPr>
              <w:widowControl/>
              <w:spacing w:line="360" w:lineRule="auto"/>
              <w:ind w:firstLine="420" w:firstLineChars="200"/>
              <w:jc w:val="left"/>
              <w:rPr>
                <w:rFonts w:cs="宋体"/>
                <w:color w:val="000000" w:themeColor="text1"/>
                <w:kern w:val="0"/>
                <w:szCs w:val="21"/>
                <w:lang w:bidi="ar"/>
                <w14:textFill>
                  <w14:solidFill>
                    <w14:schemeClr w14:val="tx1"/>
                  </w14:solidFill>
                </w14:textFill>
              </w:rPr>
            </w:pPr>
            <w:r>
              <w:rPr>
                <w:rFonts w:hint="eastAsia" w:cs="宋体"/>
                <w:color w:val="000000" w:themeColor="text1"/>
                <w:kern w:val="0"/>
                <w:szCs w:val="21"/>
                <w:lang w:bidi="ar"/>
                <w14:textFill>
                  <w14:solidFill>
                    <w14:schemeClr w14:val="tx1"/>
                  </w14:solidFill>
                </w14:textFill>
              </w:rPr>
              <w:t>项目厨房油烟废气经静电油烟净化</w:t>
            </w:r>
            <w:r>
              <w:rPr>
                <w:rFonts w:hint="eastAsia" w:cs="宋体"/>
                <w:color w:val="000000" w:themeColor="text1"/>
                <w:kern w:val="0"/>
                <w:szCs w:val="21"/>
                <w:lang w:val="en-US" w:eastAsia="zh-CN" w:bidi="ar"/>
                <w14:textFill>
                  <w14:solidFill>
                    <w14:schemeClr w14:val="tx1"/>
                  </w14:solidFill>
                </w14:textFill>
              </w:rPr>
              <w:t>装置</w:t>
            </w:r>
            <w:r>
              <w:rPr>
                <w:rFonts w:hint="eastAsia" w:cs="宋体"/>
                <w:color w:val="000000" w:themeColor="text1"/>
                <w:kern w:val="0"/>
                <w:szCs w:val="21"/>
                <w:lang w:bidi="ar"/>
                <w14:textFill>
                  <w14:solidFill>
                    <w14:schemeClr w14:val="tx1"/>
                  </w14:solidFill>
                </w14:textFill>
              </w:rPr>
              <w:t>处理后，会产生一定量的废油脂，经上文分析，项目厨房油烟去除量为0.000792t/a，则项目废油脂产生量为0.000792t/a。本项目餐厨垃圾和废油脂合计产生量为2.7</w:t>
            </w:r>
            <w:r>
              <w:rPr>
                <w:rFonts w:hint="eastAsia" w:cs="宋体"/>
                <w:color w:val="000000" w:themeColor="text1"/>
                <w:kern w:val="0"/>
                <w:szCs w:val="21"/>
                <w:lang w:val="en-US" w:eastAsia="zh-CN" w:bidi="ar"/>
                <w14:textFill>
                  <w14:solidFill>
                    <w14:schemeClr w14:val="tx1"/>
                  </w14:solidFill>
                </w14:textFill>
              </w:rPr>
              <w:t>61</w:t>
            </w:r>
            <w:r>
              <w:rPr>
                <w:rFonts w:hint="eastAsia" w:cs="宋体"/>
                <w:color w:val="000000" w:themeColor="text1"/>
                <w:kern w:val="0"/>
                <w:szCs w:val="21"/>
                <w:lang w:bidi="ar"/>
                <w14:textFill>
                  <w14:solidFill>
                    <w14:schemeClr w14:val="tx1"/>
                  </w14:solidFill>
                </w14:textFill>
              </w:rPr>
              <w:t>t/a，收集后定期交由有相关处理能力的单位回收处理。</w:t>
            </w:r>
          </w:p>
          <w:p w14:paraId="4C8E11C1">
            <w:pPr>
              <w:spacing w:line="360" w:lineRule="auto"/>
              <w:ind w:firstLine="422" w:firstLineChars="200"/>
              <w:jc w:val="lef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b/>
                <w:bCs/>
                <w:color w:val="000000" w:themeColor="text1"/>
                <w:kern w:val="0"/>
                <w:szCs w:val="21"/>
                <w14:textFill>
                  <w14:solidFill>
                    <w14:schemeClr w14:val="tx1"/>
                  </w14:solidFill>
                </w14:textFill>
              </w:rPr>
              <w:t>一般工业固体废物</w:t>
            </w:r>
          </w:p>
          <w:p w14:paraId="014C0371">
            <w:pPr>
              <w:spacing w:line="360" w:lineRule="auto"/>
              <w:ind w:firstLine="422" w:firstLineChars="200"/>
              <w:jc w:val="left"/>
              <w:rPr>
                <w:rFonts w:cs="宋体"/>
                <w:b/>
                <w:bCs/>
                <w:color w:val="000000" w:themeColor="text1"/>
                <w:kern w:val="0"/>
                <w:szCs w:val="21"/>
                <w14:textFill>
                  <w14:solidFill>
                    <w14:schemeClr w14:val="tx1"/>
                  </w14:solidFill>
                </w14:textFill>
              </w:rPr>
            </w:pPr>
            <w:r>
              <w:rPr>
                <w:rFonts w:hint="eastAsia" w:ascii="宋体" w:hAnsi="宋体" w:cs="宋体"/>
                <w:b/>
                <w:bCs/>
                <w:color w:val="000000" w:themeColor="text1"/>
                <w:kern w:val="0"/>
                <w:szCs w:val="21"/>
                <w14:textFill>
                  <w14:solidFill>
                    <w14:schemeClr w14:val="tx1"/>
                  </w14:solidFill>
                </w14:textFill>
              </w:rPr>
              <w:t>①</w:t>
            </w:r>
            <w:r>
              <w:rPr>
                <w:rFonts w:hint="eastAsia" w:cs="宋体"/>
                <w:b/>
                <w:bCs/>
                <w:color w:val="000000" w:themeColor="text1"/>
                <w:kern w:val="0"/>
                <w:szCs w:val="21"/>
                <w14:textFill>
                  <w14:solidFill>
                    <w14:schemeClr w14:val="tx1"/>
                  </w14:solidFill>
                </w14:textFill>
              </w:rPr>
              <w:t>淤泥泥饼</w:t>
            </w:r>
            <w:r>
              <w:rPr>
                <w:rFonts w:hint="eastAsia" w:cs="宋体"/>
                <w:b/>
                <w:bCs/>
                <w:color w:val="000000" w:themeColor="text1"/>
                <w:kern w:val="0"/>
                <w:szCs w:val="21"/>
                <w:lang w:eastAsia="zh-CN"/>
                <w14:textFill>
                  <w14:solidFill>
                    <w14:schemeClr w14:val="tx1"/>
                  </w14:solidFill>
                </w14:textFill>
              </w:rPr>
              <w:t>（</w:t>
            </w:r>
            <w:r>
              <w:rPr>
                <w:rFonts w:hint="eastAsia" w:cs="宋体"/>
                <w:b/>
                <w:bCs/>
                <w:color w:val="000000" w:themeColor="text1"/>
                <w:kern w:val="0"/>
                <w:szCs w:val="21"/>
                <w:lang w:val="en-US" w:eastAsia="zh-CN"/>
                <w14:textFill>
                  <w14:solidFill>
                    <w14:schemeClr w14:val="tx1"/>
                  </w14:solidFill>
                </w14:textFill>
              </w:rPr>
              <w:t>含水60%</w:t>
            </w:r>
            <w:r>
              <w:rPr>
                <w:rFonts w:hint="eastAsia" w:cs="宋体"/>
                <w:b/>
                <w:bCs/>
                <w:color w:val="000000" w:themeColor="text1"/>
                <w:kern w:val="0"/>
                <w:szCs w:val="21"/>
                <w:lang w:eastAsia="zh-CN"/>
                <w14:textFill>
                  <w14:solidFill>
                    <w14:schemeClr w14:val="tx1"/>
                  </w14:solidFill>
                </w14:textFill>
              </w:rPr>
              <w:t>）</w:t>
            </w:r>
          </w:p>
          <w:p w14:paraId="2D74C526">
            <w:pPr>
              <w:adjustRightInd w:val="0"/>
              <w:snapToGrid w:val="0"/>
              <w:spacing w:line="360" w:lineRule="auto"/>
              <w:ind w:firstLine="420" w:firstLineChars="200"/>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主要为污水池沉淀的底泥经压泥机压滤后制成的泥饼。根据上文物料平衡分析，项目运营产生的淤泥泥饼（不含水部分）为26375.56t/a，本项目使用压泥机将污水处理后的泥饼压至含水60%，</w:t>
            </w:r>
            <w:r>
              <w:rPr>
                <w:rFonts w:hint="eastAsia"/>
                <w:color w:val="000000" w:themeColor="text1"/>
                <w:szCs w:val="21"/>
                <w:lang w:val="en-US" w:eastAsia="zh-CN"/>
                <w14:textFill>
                  <w14:solidFill>
                    <w14:schemeClr w14:val="tx1"/>
                  </w14:solidFill>
                </w14:textFill>
              </w:rPr>
              <w:t>则可算出</w:t>
            </w:r>
            <w:r>
              <w:rPr>
                <w:rFonts w:hint="eastAsia"/>
                <w:color w:val="000000" w:themeColor="text1"/>
                <w:szCs w:val="21"/>
                <w14:textFill>
                  <w14:solidFill>
                    <w14:schemeClr w14:val="tx1"/>
                  </w14:solidFill>
                </w14:textFill>
              </w:rPr>
              <w:t>总淤泥泥饼量</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含水60%</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为</w:t>
            </w:r>
            <w:r>
              <w:rPr>
                <w:rFonts w:hint="eastAsia"/>
                <w:color w:val="000000" w:themeColor="text1"/>
                <w:szCs w:val="21"/>
                <w:lang w:val="en-US" w:eastAsia="zh-CN"/>
                <w14:textFill>
                  <w14:solidFill>
                    <w14:schemeClr w14:val="tx1"/>
                  </w14:solidFill>
                </w14:textFill>
              </w:rPr>
              <w:t>26375.56t/a÷40%=</w:t>
            </w:r>
            <w:r>
              <w:rPr>
                <w:rFonts w:hint="eastAsia"/>
                <w:color w:val="000000" w:themeColor="text1"/>
                <w:szCs w:val="21"/>
                <w14:textFill>
                  <w14:solidFill>
                    <w14:schemeClr w14:val="tx1"/>
                  </w14:solidFill>
                </w14:textFill>
              </w:rPr>
              <w:t>65938.9t/a</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238.91t/d</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，暂存于厂区西南侧一般工业固废暂存</w:t>
            </w:r>
            <w:r>
              <w:rPr>
                <w:rFonts w:hint="eastAsia"/>
                <w:color w:val="000000" w:themeColor="text1"/>
                <w:szCs w:val="21"/>
                <w:lang w:val="en-US" w:eastAsia="zh-CN"/>
                <w14:textFill>
                  <w14:solidFill>
                    <w14:schemeClr w14:val="tx1"/>
                  </w14:solidFill>
                </w14:textFill>
              </w:rPr>
              <w:t>间</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定期运至中铁大桥局集团有限公司新建合浦至湛江铁路（广东段）站前工程 HZGDSG-1 标项目经理部的临时弃土场临时暂存，由中铁大桥局集团有限公司新建合浦至湛江铁路（广东段）站前工程 HZGDSG-1 标项目经理部统一处理</w:t>
            </w:r>
            <w:r>
              <w:rPr>
                <w:rFonts w:hint="eastAsia"/>
                <w:color w:val="000000" w:themeColor="text1"/>
                <w:szCs w:val="21"/>
                <w:lang w:eastAsia="zh-CN"/>
                <w14:textFill>
                  <w14:solidFill>
                    <w14:schemeClr w14:val="tx1"/>
                  </w14:solidFill>
                </w14:textFill>
              </w:rPr>
              <w:t>。</w:t>
            </w:r>
          </w:p>
          <w:p w14:paraId="230FA024">
            <w:pPr>
              <w:adjustRightInd w:val="0"/>
              <w:snapToGrid w:val="0"/>
              <w:spacing w:line="360" w:lineRule="auto"/>
              <w:ind w:firstLine="420" w:firstLineChars="20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根据建设单位提供的资料，淤泥泥饼5天周转一次，</w:t>
            </w:r>
            <w:r>
              <w:rPr>
                <w:rFonts w:hint="eastAsia" w:cs="Times New Roman"/>
                <w:color w:val="000000" w:themeColor="text1"/>
                <w:szCs w:val="21"/>
                <w:lang w:val="en-US" w:eastAsia="zh-CN"/>
                <w14:textFill>
                  <w14:solidFill>
                    <w14:schemeClr w14:val="tx1"/>
                  </w14:solidFill>
                </w14:textFill>
              </w:rPr>
              <w:t>则</w:t>
            </w:r>
            <w:r>
              <w:rPr>
                <w:rFonts w:hint="eastAsia" w:ascii="Times New Roman" w:hAnsi="Times New Roman" w:eastAsia="宋体" w:cs="Times New Roman"/>
                <w:color w:val="000000" w:themeColor="text1"/>
                <w:szCs w:val="21"/>
                <w:lang w:val="en-US" w:eastAsia="zh-CN"/>
                <w14:textFill>
                  <w14:solidFill>
                    <w14:schemeClr w14:val="tx1"/>
                  </w14:solidFill>
                </w14:textFill>
              </w:rPr>
              <w:t>产生量为716.73t，一般工业固废暂存间占地面积310m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Cs w:val="21"/>
                <w:lang w:val="en-US" w:eastAsia="zh-CN"/>
                <w14:textFill>
                  <w14:solidFill>
                    <w14:schemeClr w14:val="tx1"/>
                  </w14:solidFill>
                </w14:textFill>
              </w:rPr>
              <w:t>，设计堆放高度1.8m，有效容积558m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，按压滤泥饼堆积密度1.3t/m</w:t>
            </w:r>
            <w:r>
              <w:rPr>
                <w:rFonts w:hint="eastAsia" w:ascii="Times New Roman" w:hAnsi="Times New Roman" w:eastAsia="宋体" w:cs="Times New Roman"/>
                <w:color w:val="000000" w:themeColor="text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Cs w:val="21"/>
                <w:lang w:val="en-US" w:eastAsia="zh-CN"/>
                <w14:textFill>
                  <w14:solidFill>
                    <w14:schemeClr w14:val="tx1"/>
                  </w14:solidFill>
                </w14:textFill>
              </w:rPr>
              <w:t>核算，最大暂存量约725.4t，可满足5天周转的存放需求。</w:t>
            </w:r>
          </w:p>
          <w:p w14:paraId="39637266">
            <w:pPr>
              <w:adjustRightInd w:val="0"/>
              <w:snapToGrid w:val="0"/>
              <w:spacing w:line="360" w:lineRule="auto"/>
              <w:ind w:firstLine="422" w:firstLineChars="200"/>
              <w:rPr>
                <w:b/>
                <w:bCs/>
                <w:color w:val="000000" w:themeColor="text1"/>
                <w:szCs w:val="21"/>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②</w:t>
            </w:r>
            <w:r>
              <w:rPr>
                <w:rFonts w:hint="eastAsia"/>
                <w:b/>
                <w:bCs/>
                <w:color w:val="000000" w:themeColor="text1"/>
                <w:szCs w:val="21"/>
                <w14:textFill>
                  <w14:solidFill>
                    <w14:schemeClr w14:val="tx1"/>
                  </w14:solidFill>
                </w14:textFill>
              </w:rPr>
              <w:t>弃土</w:t>
            </w:r>
          </w:p>
          <w:p w14:paraId="37289270">
            <w:pPr>
              <w:adjustRightInd w:val="0"/>
              <w:snapToGrid w:val="0"/>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本项目所用花岗岩矿石自身携带有表层附着土，根据建设单位提供的资料，土壤组分占原矿总重量比例约为8%，本项目花岗岩矿石用量为111.6万吨/年，则弃土产生量为88833.6t/a</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321.86t/d</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，暂存于厂区弃土堆棚内，</w:t>
            </w:r>
            <w:r>
              <w:rPr>
                <w:rFonts w:hint="eastAsia"/>
                <w:color w:val="000000" w:themeColor="text1"/>
                <w:szCs w:val="21"/>
                <w:lang w:val="en-US" w:eastAsia="zh-CN"/>
                <w14:textFill>
                  <w14:solidFill>
                    <w14:schemeClr w14:val="tx1"/>
                  </w14:solidFill>
                </w14:textFill>
              </w:rPr>
              <w:t>定期运至中铁大桥局集团有限公司新建合浦至湛江铁路（广东段）站前工程 HZGDSG-1 标项目经理部的临时弃土场临时暂存，由中铁大桥局集团有限公司新建合浦至湛江铁路（广东段）站前工程 HZGDSG-1 标项目经理部统一处理。</w:t>
            </w:r>
          </w:p>
          <w:p w14:paraId="5F8C614B">
            <w:pPr>
              <w:adjustRightInd w:val="0"/>
              <w:snapToGrid w:val="0"/>
              <w:spacing w:line="360" w:lineRule="auto"/>
              <w:ind w:firstLine="420" w:firstLineChars="200"/>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根据建设单位提供的资料，弃土5天周转一次，则产生量为1609.3t，弃土堆棚占地面积600m</w:t>
            </w:r>
            <w:r>
              <w:rPr>
                <w:rFonts w:hint="eastAsia"/>
                <w:color w:val="000000" w:themeColor="text1"/>
                <w:szCs w:val="21"/>
                <w:vertAlign w:val="superscript"/>
                <w:lang w:val="en-US" w:eastAsia="zh-CN"/>
                <w14:textFill>
                  <w14:solidFill>
                    <w14:schemeClr w14:val="tx1"/>
                  </w14:solidFill>
                </w14:textFill>
              </w:rPr>
              <w:t>2</w:t>
            </w:r>
            <w:r>
              <w:rPr>
                <w:rFonts w:hint="eastAsia"/>
                <w:color w:val="000000" w:themeColor="text1"/>
                <w:szCs w:val="21"/>
                <w:lang w:val="en-US" w:eastAsia="zh-CN"/>
                <w14:textFill>
                  <w14:solidFill>
                    <w14:schemeClr w14:val="tx1"/>
                  </w14:solidFill>
                </w14:textFill>
              </w:rPr>
              <w:t>，设计堆放高度1.8m，有效容积1080m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，按表层土堆积密度1.5t/m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核算，最大暂存量约1620t，可满足5天周转的存放需求。</w:t>
            </w:r>
          </w:p>
          <w:p w14:paraId="2A86B54B">
            <w:pPr>
              <w:widowControl/>
              <w:spacing w:line="360" w:lineRule="auto"/>
              <w:ind w:firstLine="422" w:firstLineChars="200"/>
              <w:jc w:val="left"/>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w:t>
            </w:r>
            <w:r>
              <w:rPr>
                <w:rFonts w:hint="eastAsia"/>
                <w:b/>
                <w:bCs/>
                <w:color w:val="000000" w:themeColor="text1"/>
                <w:kern w:val="0"/>
                <w:szCs w:val="21"/>
                <w:lang w:bidi="ar"/>
                <w14:textFill>
                  <w14:solidFill>
                    <w14:schemeClr w14:val="tx1"/>
                  </w14:solidFill>
                </w14:textFill>
              </w:rPr>
              <w:t>4</w:t>
            </w:r>
            <w:r>
              <w:rPr>
                <w:b/>
                <w:bCs/>
                <w:color w:val="000000" w:themeColor="text1"/>
                <w:kern w:val="0"/>
                <w:szCs w:val="21"/>
                <w:lang w:bidi="ar"/>
                <w14:textFill>
                  <w14:solidFill>
                    <w14:schemeClr w14:val="tx1"/>
                  </w14:solidFill>
                </w14:textFill>
              </w:rPr>
              <w:t>）</w:t>
            </w:r>
            <w:r>
              <w:rPr>
                <w:rFonts w:hint="eastAsia"/>
                <w:b/>
                <w:bCs/>
                <w:color w:val="000000" w:themeColor="text1"/>
                <w:kern w:val="0"/>
                <w:szCs w:val="21"/>
                <w:lang w:bidi="ar"/>
                <w14:textFill>
                  <w14:solidFill>
                    <w14:schemeClr w14:val="tx1"/>
                  </w14:solidFill>
                </w14:textFill>
              </w:rPr>
              <w:t>危险废物</w:t>
            </w:r>
          </w:p>
          <w:p w14:paraId="0CE5D996">
            <w:pPr>
              <w:widowControl/>
              <w:spacing w:line="360" w:lineRule="auto"/>
              <w:ind w:firstLine="422" w:firstLineChars="200"/>
              <w:jc w:val="left"/>
              <w:rPr>
                <w:color w:val="000000" w:themeColor="text1"/>
                <w:szCs w:val="21"/>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①</w:t>
            </w:r>
            <w:r>
              <w:rPr>
                <w:rFonts w:hint="eastAsia"/>
                <w:b/>
                <w:bCs/>
                <w:color w:val="000000" w:themeColor="text1"/>
                <w:kern w:val="0"/>
                <w:szCs w:val="21"/>
                <w:lang w:bidi="ar"/>
                <w14:textFill>
                  <w14:solidFill>
                    <w14:schemeClr w14:val="tx1"/>
                  </w14:solidFill>
                </w14:textFill>
              </w:rPr>
              <w:t>废机油</w:t>
            </w:r>
          </w:p>
          <w:p w14:paraId="68D91313">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设备维护保养产生的废机油约为0.</w:t>
            </w:r>
            <w:r>
              <w:rPr>
                <w:rFonts w:hint="eastAsia"/>
                <w:color w:val="000000" w:themeColor="text1"/>
                <w:kern w:val="0"/>
                <w:szCs w:val="21"/>
                <w:lang w:bidi="ar"/>
                <w14:textFill>
                  <w14:solidFill>
                    <w14:schemeClr w14:val="tx1"/>
                  </w14:solidFill>
                </w14:textFill>
              </w:rPr>
              <w:t>05</w:t>
            </w:r>
            <w:r>
              <w:rPr>
                <w:color w:val="000000" w:themeColor="text1"/>
                <w:kern w:val="0"/>
                <w:szCs w:val="21"/>
                <w:lang w:bidi="ar"/>
                <w14:textFill>
                  <w14:solidFill>
                    <w14:schemeClr w14:val="tx1"/>
                  </w14:solidFill>
                </w14:textFill>
              </w:rPr>
              <w:t>t</w:t>
            </w:r>
            <w:r>
              <w:rPr>
                <w:rFonts w:hint="eastAsia"/>
                <w:color w:val="000000" w:themeColor="text1"/>
                <w:kern w:val="0"/>
                <w:szCs w:val="21"/>
                <w:lang w:bidi="ar"/>
                <w14:textFill>
                  <w14:solidFill>
                    <w14:schemeClr w14:val="tx1"/>
                  </w14:solidFill>
                </w14:textFill>
              </w:rPr>
              <w:t>/a，废机油属于《国家危险废物名录（2025年版）》中</w:t>
            </w:r>
            <w:r>
              <w:rPr>
                <w:rFonts w:hint="eastAsia" w:cs="宋体"/>
                <w:color w:val="000000" w:themeColor="text1"/>
                <w:kern w:val="0"/>
                <w:szCs w:val="21"/>
                <w:lang w:bidi="ar"/>
                <w14:textFill>
                  <w14:solidFill>
                    <w14:schemeClr w14:val="tx1"/>
                  </w14:solidFill>
                </w14:textFill>
              </w:rPr>
              <w:t>编号为</w:t>
            </w:r>
            <w:r>
              <w:rPr>
                <w:color w:val="000000" w:themeColor="text1"/>
                <w:kern w:val="0"/>
                <w:szCs w:val="21"/>
                <w:lang w:bidi="ar"/>
                <w14:textFill>
                  <w14:solidFill>
                    <w14:schemeClr w14:val="tx1"/>
                  </w14:solidFill>
                </w14:textFill>
              </w:rPr>
              <w:t>HW08废矿物油与含矿物油废物，危废代码为900-2</w:t>
            </w:r>
            <w:r>
              <w:rPr>
                <w:rFonts w:hint="eastAsia"/>
                <w:color w:val="000000" w:themeColor="text1"/>
                <w:kern w:val="0"/>
                <w:szCs w:val="21"/>
                <w:lang w:bidi="ar"/>
                <w14:textFill>
                  <w14:solidFill>
                    <w14:schemeClr w14:val="tx1"/>
                  </w14:solidFill>
                </w14:textFill>
              </w:rPr>
              <w:t>14</w:t>
            </w:r>
            <w:r>
              <w:rPr>
                <w:color w:val="000000" w:themeColor="text1"/>
                <w:kern w:val="0"/>
                <w:szCs w:val="21"/>
                <w:lang w:bidi="ar"/>
                <w14:textFill>
                  <w14:solidFill>
                    <w14:schemeClr w14:val="tx1"/>
                  </w14:solidFill>
                </w14:textFill>
              </w:rPr>
              <w:t>-08，</w:t>
            </w:r>
            <w:r>
              <w:rPr>
                <w:color w:val="000000" w:themeColor="text1"/>
                <w:kern w:val="0"/>
                <w:szCs w:val="21"/>
                <w14:textFill>
                  <w14:solidFill>
                    <w14:schemeClr w14:val="tx1"/>
                  </w14:solidFill>
                </w14:textFill>
              </w:rPr>
              <w:t>收集后暂存于危废间，定期交由有资质单</w:t>
            </w:r>
            <w:r>
              <w:rPr>
                <w:rFonts w:hint="eastAsia"/>
                <w:color w:val="000000" w:themeColor="text1"/>
                <w:kern w:val="0"/>
                <w:szCs w:val="21"/>
                <w14:textFill>
                  <w14:solidFill>
                    <w14:schemeClr w14:val="tx1"/>
                  </w14:solidFill>
                </w14:textFill>
              </w:rPr>
              <w:t>收运</w:t>
            </w:r>
            <w:r>
              <w:rPr>
                <w:color w:val="000000" w:themeColor="text1"/>
                <w:kern w:val="0"/>
                <w:szCs w:val="21"/>
                <w14:textFill>
                  <w14:solidFill>
                    <w14:schemeClr w14:val="tx1"/>
                  </w14:solidFill>
                </w14:textFill>
              </w:rPr>
              <w:t>处置</w:t>
            </w:r>
            <w:r>
              <w:rPr>
                <w:color w:val="000000" w:themeColor="text1"/>
                <w:kern w:val="0"/>
                <w:szCs w:val="21"/>
                <w:lang w:bidi="ar"/>
                <w14:textFill>
                  <w14:solidFill>
                    <w14:schemeClr w14:val="tx1"/>
                  </w14:solidFill>
                </w14:textFill>
              </w:rPr>
              <w:t>。</w:t>
            </w:r>
          </w:p>
          <w:p w14:paraId="6ABDB9F5">
            <w:pPr>
              <w:widowControl/>
              <w:spacing w:line="360" w:lineRule="auto"/>
              <w:ind w:firstLine="422" w:firstLineChars="200"/>
              <w:jc w:val="left"/>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②废含油手套、抹布</w:t>
            </w:r>
          </w:p>
          <w:p w14:paraId="0B93E817">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运营期设备维修保养环节会产生含油废抹布及手套，含油废抹布及手套产生量约为0.005t/a，废含油手套、抹布属于《国家危险废物名录（2025年版）》中编号为HW49其他废物，废物代码为900-041-49的危险废物，收集暂存于危险废物暂存间内，定期交由有资质单位收运处置。</w:t>
            </w:r>
          </w:p>
          <w:p w14:paraId="443B660A">
            <w:pPr>
              <w:widowControl/>
              <w:spacing w:line="360" w:lineRule="auto"/>
              <w:ind w:firstLine="422" w:firstLineChars="200"/>
              <w:jc w:val="left"/>
              <w:rPr>
                <w:rFonts w:ascii="宋体" w:hAnsi="宋体" w:cs="宋体"/>
                <w:b/>
                <w:bCs/>
                <w:color w:val="000000" w:themeColor="text1"/>
                <w:kern w:val="0"/>
                <w:szCs w:val="21"/>
                <w:lang w:bidi="ar"/>
                <w14:textFill>
                  <w14:solidFill>
                    <w14:schemeClr w14:val="tx1"/>
                  </w14:solidFill>
                </w14:textFill>
              </w:rPr>
            </w:pPr>
            <w:r>
              <w:rPr>
                <w:rFonts w:hint="eastAsia" w:ascii="宋体" w:hAnsi="宋体" w:cs="宋体"/>
                <w:b/>
                <w:bCs/>
                <w:color w:val="000000" w:themeColor="text1"/>
                <w:kern w:val="0"/>
                <w:szCs w:val="21"/>
                <w:lang w:bidi="ar"/>
                <w14:textFill>
                  <w14:solidFill>
                    <w14:schemeClr w14:val="tx1"/>
                  </w14:solidFill>
                </w14:textFill>
              </w:rPr>
              <w:t>③废油桶</w:t>
            </w:r>
          </w:p>
          <w:p w14:paraId="35C66380">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运营期设备维修保养环节会产生废油桶，油桶产生量约为0.01t/a。废油桶属于《国家危险废物名录（2025年版）》中编号为HW08废矿物油与含矿物油废物，废物代码900-249-08的危险废物，收集暂存于危险废物暂存间内，定期交由有资质单位收运处置。</w:t>
            </w:r>
          </w:p>
          <w:p w14:paraId="44B333AC">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kern w:val="0"/>
                <w:szCs w:val="21"/>
                <w:lang w:bidi="ar"/>
                <w14:textFill>
                  <w14:solidFill>
                    <w14:schemeClr w14:val="tx1"/>
                  </w14:solidFill>
                </w14:textFill>
              </w:rPr>
              <w:t xml:space="preserve">（4）固体废物环境影响评价 </w:t>
            </w:r>
          </w:p>
          <w:p w14:paraId="29D22E38">
            <w:pPr>
              <w:adjustRightInd w:val="0"/>
              <w:snapToGrid w:val="0"/>
              <w:spacing w:line="360" w:lineRule="auto"/>
              <w:ind w:firstLine="420" w:firstLineChars="200"/>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本项目运营期固体废物产生情况详见表4-</w:t>
            </w:r>
            <w:r>
              <w:rPr>
                <w:rFonts w:hint="eastAsia"/>
                <w:bCs/>
                <w:color w:val="000000" w:themeColor="text1"/>
                <w:szCs w:val="21"/>
                <w14:textFill>
                  <w14:solidFill>
                    <w14:schemeClr w14:val="tx1"/>
                  </w14:solidFill>
                </w14:textFill>
              </w:rPr>
              <w:t>1</w:t>
            </w:r>
            <w:r>
              <w:rPr>
                <w:rFonts w:hint="eastAsia"/>
                <w:bCs/>
                <w:color w:val="000000" w:themeColor="text1"/>
                <w:szCs w:val="21"/>
                <w:lang w:val="en-US" w:eastAsia="zh-CN"/>
                <w14:textFill>
                  <w14:solidFill>
                    <w14:schemeClr w14:val="tx1"/>
                  </w14:solidFill>
                </w14:textFill>
              </w:rPr>
              <w:t>8</w:t>
            </w:r>
            <w:r>
              <w:rPr>
                <w:bCs/>
                <w:color w:val="000000" w:themeColor="text1"/>
                <w:szCs w:val="21"/>
                <w14:textFill>
                  <w14:solidFill>
                    <w14:schemeClr w14:val="tx1"/>
                  </w14:solidFill>
                </w14:textFill>
              </w:rPr>
              <w:t>。</w:t>
            </w:r>
          </w:p>
          <w:p w14:paraId="7F43E0EC">
            <w:pPr>
              <w:keepNext/>
              <w:spacing w:line="360" w:lineRule="auto"/>
              <w:jc w:val="center"/>
              <w:rPr>
                <w:b/>
                <w:color w:val="000000" w:themeColor="text1"/>
                <w:sz w:val="18"/>
                <w:szCs w:val="21"/>
                <w14:textFill>
                  <w14:solidFill>
                    <w14:schemeClr w14:val="tx1"/>
                  </w14:solidFill>
                </w14:textFill>
              </w:rPr>
            </w:pPr>
            <w:r>
              <w:rPr>
                <w:b/>
                <w:color w:val="000000" w:themeColor="text1"/>
                <w:sz w:val="18"/>
                <w:szCs w:val="21"/>
                <w14:textFill>
                  <w14:solidFill>
                    <w14:schemeClr w14:val="tx1"/>
                  </w14:solidFill>
                </w14:textFill>
              </w:rPr>
              <w:t>表4-</w:t>
            </w:r>
            <w:r>
              <w:rPr>
                <w:rFonts w:hint="eastAsia"/>
                <w:b/>
                <w:color w:val="000000" w:themeColor="text1"/>
                <w:sz w:val="18"/>
                <w:szCs w:val="21"/>
                <w14:textFill>
                  <w14:solidFill>
                    <w14:schemeClr w14:val="tx1"/>
                  </w14:solidFill>
                </w14:textFill>
              </w:rPr>
              <w:t>1</w:t>
            </w:r>
            <w:r>
              <w:rPr>
                <w:rFonts w:hint="eastAsia"/>
                <w:b/>
                <w:color w:val="000000" w:themeColor="text1"/>
                <w:sz w:val="18"/>
                <w:szCs w:val="21"/>
                <w:lang w:val="en-US" w:eastAsia="zh-CN"/>
                <w14:textFill>
                  <w14:solidFill>
                    <w14:schemeClr w14:val="tx1"/>
                  </w14:solidFill>
                </w14:textFill>
              </w:rPr>
              <w:t>8</w:t>
            </w:r>
            <w:r>
              <w:rPr>
                <w:b/>
                <w:color w:val="000000" w:themeColor="text1"/>
                <w:sz w:val="18"/>
                <w:szCs w:val="21"/>
                <w14:textFill>
                  <w14:solidFill>
                    <w14:schemeClr w14:val="tx1"/>
                  </w14:solidFill>
                </w14:textFill>
              </w:rPr>
              <w:t xml:space="preserve"> 项目固体废物信息表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290"/>
              <w:gridCol w:w="1864"/>
              <w:gridCol w:w="1544"/>
              <w:gridCol w:w="1211"/>
              <w:gridCol w:w="987"/>
              <w:gridCol w:w="1159"/>
              <w:gridCol w:w="1036"/>
              <w:gridCol w:w="3374"/>
            </w:tblGrid>
            <w:tr w14:paraId="68F8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shd w:val="clear" w:color="auto" w:fill="D9D9D9"/>
                  <w:vAlign w:val="center"/>
                </w:tcPr>
                <w:p w14:paraId="6A18C1FB">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工序/生产线</w:t>
                  </w:r>
                </w:p>
              </w:tc>
              <w:tc>
                <w:tcPr>
                  <w:tcW w:w="472" w:type="pct"/>
                  <w:vMerge w:val="restart"/>
                  <w:shd w:val="clear" w:color="auto" w:fill="D9D9D9"/>
                  <w:vAlign w:val="center"/>
                </w:tcPr>
                <w:p w14:paraId="52D6AAF3">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装置</w:t>
                  </w:r>
                </w:p>
              </w:tc>
              <w:tc>
                <w:tcPr>
                  <w:tcW w:w="682" w:type="pct"/>
                  <w:vMerge w:val="restart"/>
                  <w:shd w:val="clear" w:color="auto" w:fill="D9D9D9"/>
                  <w:vAlign w:val="center"/>
                </w:tcPr>
                <w:p w14:paraId="10691448">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固体废物名称</w:t>
                  </w:r>
                </w:p>
              </w:tc>
              <w:tc>
                <w:tcPr>
                  <w:tcW w:w="565" w:type="pct"/>
                  <w:vMerge w:val="restart"/>
                  <w:shd w:val="clear" w:color="auto" w:fill="D9D9D9"/>
                  <w:vAlign w:val="center"/>
                </w:tcPr>
                <w:p w14:paraId="2A3BC621">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固废属性</w:t>
                  </w:r>
                </w:p>
              </w:tc>
              <w:tc>
                <w:tcPr>
                  <w:tcW w:w="804" w:type="pct"/>
                  <w:gridSpan w:val="2"/>
                  <w:shd w:val="clear" w:color="auto" w:fill="D9D9D9"/>
                  <w:vAlign w:val="center"/>
                </w:tcPr>
                <w:p w14:paraId="522CADC3">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产生情况</w:t>
                  </w:r>
                </w:p>
              </w:tc>
              <w:tc>
                <w:tcPr>
                  <w:tcW w:w="803" w:type="pct"/>
                  <w:gridSpan w:val="2"/>
                  <w:shd w:val="clear" w:color="auto" w:fill="D9D9D9"/>
                  <w:vAlign w:val="center"/>
                </w:tcPr>
                <w:p w14:paraId="17130083">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处置措施</w:t>
                  </w:r>
                </w:p>
              </w:tc>
              <w:tc>
                <w:tcPr>
                  <w:tcW w:w="1234" w:type="pct"/>
                  <w:vMerge w:val="restart"/>
                  <w:shd w:val="clear" w:color="auto" w:fill="D9D9D9"/>
                  <w:vAlign w:val="center"/>
                </w:tcPr>
                <w:p w14:paraId="4F075FEE">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最终去向</w:t>
                  </w:r>
                </w:p>
              </w:tc>
            </w:tr>
            <w:tr w14:paraId="06DAA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0EF4DE5F">
                  <w:pPr>
                    <w:adjustRightInd w:val="0"/>
                    <w:snapToGrid w:val="0"/>
                    <w:jc w:val="center"/>
                    <w:rPr>
                      <w:color w:val="000000" w:themeColor="text1"/>
                      <w:sz w:val="18"/>
                      <w:szCs w:val="18"/>
                      <w14:textFill>
                        <w14:solidFill>
                          <w14:schemeClr w14:val="tx1"/>
                        </w14:solidFill>
                      </w14:textFill>
                    </w:rPr>
                  </w:pPr>
                </w:p>
              </w:tc>
              <w:tc>
                <w:tcPr>
                  <w:tcW w:w="472" w:type="pct"/>
                  <w:vMerge w:val="continue"/>
                  <w:vAlign w:val="center"/>
                </w:tcPr>
                <w:p w14:paraId="63039A55">
                  <w:pPr>
                    <w:adjustRightInd w:val="0"/>
                    <w:snapToGrid w:val="0"/>
                    <w:jc w:val="center"/>
                    <w:rPr>
                      <w:color w:val="000000" w:themeColor="text1"/>
                      <w:sz w:val="18"/>
                      <w:szCs w:val="18"/>
                      <w14:textFill>
                        <w14:solidFill>
                          <w14:schemeClr w14:val="tx1"/>
                        </w14:solidFill>
                      </w14:textFill>
                    </w:rPr>
                  </w:pPr>
                </w:p>
              </w:tc>
              <w:tc>
                <w:tcPr>
                  <w:tcW w:w="682" w:type="pct"/>
                  <w:vMerge w:val="continue"/>
                  <w:vAlign w:val="center"/>
                </w:tcPr>
                <w:p w14:paraId="1C449515">
                  <w:pPr>
                    <w:adjustRightInd w:val="0"/>
                    <w:snapToGrid w:val="0"/>
                    <w:jc w:val="center"/>
                    <w:rPr>
                      <w:color w:val="000000" w:themeColor="text1"/>
                      <w:sz w:val="18"/>
                      <w:szCs w:val="18"/>
                      <w14:textFill>
                        <w14:solidFill>
                          <w14:schemeClr w14:val="tx1"/>
                        </w14:solidFill>
                      </w14:textFill>
                    </w:rPr>
                  </w:pPr>
                </w:p>
              </w:tc>
              <w:tc>
                <w:tcPr>
                  <w:tcW w:w="565" w:type="pct"/>
                  <w:vMerge w:val="continue"/>
                  <w:vAlign w:val="center"/>
                </w:tcPr>
                <w:p w14:paraId="0E18172E">
                  <w:pPr>
                    <w:adjustRightInd w:val="0"/>
                    <w:snapToGrid w:val="0"/>
                    <w:jc w:val="center"/>
                    <w:rPr>
                      <w:color w:val="000000" w:themeColor="text1"/>
                      <w:sz w:val="18"/>
                      <w:szCs w:val="18"/>
                      <w14:textFill>
                        <w14:solidFill>
                          <w14:schemeClr w14:val="tx1"/>
                        </w14:solidFill>
                      </w14:textFill>
                    </w:rPr>
                  </w:pPr>
                </w:p>
              </w:tc>
              <w:tc>
                <w:tcPr>
                  <w:tcW w:w="443" w:type="pct"/>
                  <w:shd w:val="clear" w:color="auto" w:fill="D9D9D9"/>
                  <w:vAlign w:val="center"/>
                </w:tcPr>
                <w:p w14:paraId="4D3DFD4D">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核算方法</w:t>
                  </w:r>
                </w:p>
              </w:tc>
              <w:tc>
                <w:tcPr>
                  <w:tcW w:w="361" w:type="pct"/>
                  <w:shd w:val="clear" w:color="auto" w:fill="D9D9D9"/>
                  <w:vAlign w:val="center"/>
                </w:tcPr>
                <w:p w14:paraId="5E2B58A6">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产生量t/a</w:t>
                  </w:r>
                </w:p>
              </w:tc>
              <w:tc>
                <w:tcPr>
                  <w:tcW w:w="424" w:type="pct"/>
                  <w:shd w:val="clear" w:color="auto" w:fill="D9D9D9"/>
                  <w:vAlign w:val="center"/>
                </w:tcPr>
                <w:p w14:paraId="3FF4C4CD">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工艺</w:t>
                  </w:r>
                </w:p>
              </w:tc>
              <w:tc>
                <w:tcPr>
                  <w:tcW w:w="379" w:type="pct"/>
                  <w:shd w:val="clear" w:color="auto" w:fill="D9D9D9"/>
                  <w:vAlign w:val="center"/>
                </w:tcPr>
                <w:p w14:paraId="2C2EC6EA">
                  <w:pPr>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处置量t/a</w:t>
                  </w:r>
                </w:p>
              </w:tc>
              <w:tc>
                <w:tcPr>
                  <w:tcW w:w="1234" w:type="pct"/>
                  <w:vMerge w:val="continue"/>
                  <w:vAlign w:val="center"/>
                </w:tcPr>
                <w:p w14:paraId="1991BBB4">
                  <w:pPr>
                    <w:adjustRightInd w:val="0"/>
                    <w:snapToGrid w:val="0"/>
                    <w:jc w:val="center"/>
                    <w:rPr>
                      <w:color w:val="000000" w:themeColor="text1"/>
                      <w:sz w:val="18"/>
                      <w:szCs w:val="18"/>
                      <w14:textFill>
                        <w14:solidFill>
                          <w14:schemeClr w14:val="tx1"/>
                        </w14:solidFill>
                      </w14:textFill>
                    </w:rPr>
                  </w:pPr>
                </w:p>
              </w:tc>
            </w:tr>
            <w:tr w14:paraId="4FB4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0C581CCA">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员工生活</w:t>
                  </w:r>
                </w:p>
              </w:tc>
              <w:tc>
                <w:tcPr>
                  <w:tcW w:w="472" w:type="pct"/>
                  <w:vAlign w:val="center"/>
                </w:tcPr>
                <w:p w14:paraId="2B5520F7">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82" w:type="pct"/>
                  <w:vAlign w:val="center"/>
                </w:tcPr>
                <w:p w14:paraId="7BDE6451">
                  <w:pPr>
                    <w:tabs>
                      <w:tab w:val="left" w:pos="425"/>
                    </w:tabs>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生活垃圾</w:t>
                  </w:r>
                </w:p>
              </w:tc>
              <w:tc>
                <w:tcPr>
                  <w:tcW w:w="565" w:type="pct"/>
                  <w:vAlign w:val="center"/>
                </w:tcPr>
                <w:p w14:paraId="1DBB674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员工生活垃圾</w:t>
                  </w:r>
                </w:p>
              </w:tc>
              <w:tc>
                <w:tcPr>
                  <w:tcW w:w="443" w:type="pct"/>
                  <w:vAlign w:val="center"/>
                </w:tcPr>
                <w:p w14:paraId="3976896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产污系数法</w:t>
                  </w:r>
                </w:p>
              </w:tc>
              <w:tc>
                <w:tcPr>
                  <w:tcW w:w="361" w:type="pct"/>
                  <w:vAlign w:val="center"/>
                </w:tcPr>
                <w:p w14:paraId="13830AFE">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4.83</w:t>
                  </w:r>
                </w:p>
              </w:tc>
              <w:tc>
                <w:tcPr>
                  <w:tcW w:w="424" w:type="pct"/>
                  <w:vAlign w:val="center"/>
                </w:tcPr>
                <w:p w14:paraId="2549776F">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委托处置</w:t>
                  </w:r>
                </w:p>
              </w:tc>
              <w:tc>
                <w:tcPr>
                  <w:tcW w:w="379" w:type="pct"/>
                  <w:vAlign w:val="center"/>
                </w:tcPr>
                <w:p w14:paraId="0E77A9E7">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4.83</w:t>
                  </w:r>
                </w:p>
              </w:tc>
              <w:tc>
                <w:tcPr>
                  <w:tcW w:w="1234" w:type="pct"/>
                  <w:vAlign w:val="center"/>
                </w:tcPr>
                <w:p w14:paraId="1FBDCED3">
                  <w:pPr>
                    <w:adjustRightInd w:val="0"/>
                    <w:snapToGrid w:val="0"/>
                    <w:jc w:val="center"/>
                    <w:rPr>
                      <w:bCs/>
                      <w:color w:val="000000" w:themeColor="text1"/>
                      <w:sz w:val="18"/>
                      <w:szCs w:val="18"/>
                      <w:lang w:bidi="ar"/>
                      <w14:textFill>
                        <w14:solidFill>
                          <w14:schemeClr w14:val="tx1"/>
                        </w14:solidFill>
                      </w14:textFill>
                    </w:rPr>
                  </w:pPr>
                  <w:r>
                    <w:rPr>
                      <w:bCs/>
                      <w:color w:val="000000" w:themeColor="text1"/>
                      <w:sz w:val="18"/>
                      <w:szCs w:val="18"/>
                      <w:lang w:bidi="ar"/>
                      <w14:textFill>
                        <w14:solidFill>
                          <w14:schemeClr w14:val="tx1"/>
                        </w14:solidFill>
                      </w14:textFill>
                    </w:rPr>
                    <w:t>交由环卫部门统一清运处理</w:t>
                  </w:r>
                </w:p>
              </w:tc>
            </w:tr>
            <w:tr w14:paraId="245C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shd w:val="clear" w:color="auto" w:fill="auto"/>
                  <w:vAlign w:val="center"/>
                </w:tcPr>
                <w:p w14:paraId="58BAC3EA">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食堂</w:t>
                  </w:r>
                </w:p>
              </w:tc>
              <w:tc>
                <w:tcPr>
                  <w:tcW w:w="472" w:type="pct"/>
                  <w:shd w:val="clear" w:color="auto" w:fill="auto"/>
                  <w:vAlign w:val="center"/>
                </w:tcPr>
                <w:p w14:paraId="6597D2F3">
                  <w:pPr>
                    <w:adjustRightInd w:val="0"/>
                    <w:snapToGrid w:val="0"/>
                    <w:jc w:val="center"/>
                    <w:rPr>
                      <w:color w:val="000000" w:themeColor="text1"/>
                      <w:sz w:val="18"/>
                      <w:szCs w:val="18"/>
                      <w14:textFill>
                        <w14:solidFill>
                          <w14:schemeClr w14:val="tx1"/>
                        </w14:solidFill>
                      </w14:textFill>
                    </w:rPr>
                  </w:pPr>
                </w:p>
              </w:tc>
              <w:tc>
                <w:tcPr>
                  <w:tcW w:w="682" w:type="pct"/>
                  <w:shd w:val="clear" w:color="auto" w:fill="auto"/>
                  <w:vAlign w:val="center"/>
                </w:tcPr>
                <w:p w14:paraId="15257543">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餐厨垃圾及废油脂</w:t>
                  </w:r>
                </w:p>
              </w:tc>
              <w:tc>
                <w:tcPr>
                  <w:tcW w:w="565" w:type="pct"/>
                  <w:shd w:val="clear" w:color="auto" w:fill="auto"/>
                  <w:vAlign w:val="center"/>
                </w:tcPr>
                <w:p w14:paraId="3E9F27FB">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员工生活垃圾</w:t>
                  </w:r>
                </w:p>
              </w:tc>
              <w:tc>
                <w:tcPr>
                  <w:tcW w:w="443" w:type="pct"/>
                  <w:shd w:val="clear" w:color="auto" w:fill="auto"/>
                  <w:vAlign w:val="center"/>
                </w:tcPr>
                <w:p w14:paraId="3FCE454C">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shd w:val="clear" w:color="auto" w:fill="auto"/>
                  <w:vAlign w:val="center"/>
                </w:tcPr>
                <w:p w14:paraId="582AF283">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2.7</w:t>
                  </w:r>
                  <w:r>
                    <w:rPr>
                      <w:rFonts w:hint="eastAsia"/>
                      <w:color w:val="000000" w:themeColor="text1"/>
                      <w:sz w:val="18"/>
                      <w:szCs w:val="18"/>
                      <w:lang w:val="en-US" w:eastAsia="zh-CN"/>
                      <w14:textFill>
                        <w14:solidFill>
                          <w14:schemeClr w14:val="tx1"/>
                        </w14:solidFill>
                      </w14:textFill>
                    </w:rPr>
                    <w:t>61</w:t>
                  </w:r>
                </w:p>
              </w:tc>
              <w:tc>
                <w:tcPr>
                  <w:tcW w:w="424" w:type="pct"/>
                  <w:shd w:val="clear" w:color="auto" w:fill="auto"/>
                  <w:vAlign w:val="center"/>
                </w:tcPr>
                <w:p w14:paraId="2608B405">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委托处置</w:t>
                  </w:r>
                </w:p>
              </w:tc>
              <w:tc>
                <w:tcPr>
                  <w:tcW w:w="379" w:type="pct"/>
                  <w:shd w:val="clear" w:color="auto" w:fill="auto"/>
                  <w:vAlign w:val="center"/>
                </w:tcPr>
                <w:p w14:paraId="1FA03714">
                  <w:pPr>
                    <w:adjustRightInd w:val="0"/>
                    <w:snapToGrid w:val="0"/>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14:textFill>
                        <w14:solidFill>
                          <w14:schemeClr w14:val="tx1"/>
                        </w14:solidFill>
                      </w14:textFill>
                    </w:rPr>
                    <w:t>2.7</w:t>
                  </w:r>
                  <w:r>
                    <w:rPr>
                      <w:rFonts w:hint="eastAsia"/>
                      <w:color w:val="000000" w:themeColor="text1"/>
                      <w:sz w:val="18"/>
                      <w:szCs w:val="18"/>
                      <w:lang w:val="en-US" w:eastAsia="zh-CN"/>
                      <w14:textFill>
                        <w14:solidFill>
                          <w14:schemeClr w14:val="tx1"/>
                        </w14:solidFill>
                      </w14:textFill>
                    </w:rPr>
                    <w:t>61</w:t>
                  </w:r>
                </w:p>
              </w:tc>
              <w:tc>
                <w:tcPr>
                  <w:tcW w:w="1234" w:type="pct"/>
                  <w:shd w:val="clear" w:color="auto" w:fill="auto"/>
                  <w:vAlign w:val="center"/>
                </w:tcPr>
                <w:p w14:paraId="173A9485">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交由有相关处理能力的单位回收处理</w:t>
                  </w:r>
                </w:p>
              </w:tc>
            </w:tr>
            <w:tr w14:paraId="1C7F2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Align w:val="center"/>
                </w:tcPr>
                <w:p w14:paraId="4D772B88">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废水处理</w:t>
                  </w:r>
                </w:p>
              </w:tc>
              <w:tc>
                <w:tcPr>
                  <w:tcW w:w="472" w:type="pct"/>
                  <w:vAlign w:val="center"/>
                </w:tcPr>
                <w:p w14:paraId="6FCDD5AC">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压滤机</w:t>
                  </w:r>
                </w:p>
              </w:tc>
              <w:tc>
                <w:tcPr>
                  <w:tcW w:w="682" w:type="pct"/>
                  <w:vAlign w:val="center"/>
                </w:tcPr>
                <w:p w14:paraId="468B1C73">
                  <w:pPr>
                    <w:adjustRightInd w:val="0"/>
                    <w:snapToGrid w:val="0"/>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14:textFill>
                        <w14:solidFill>
                          <w14:schemeClr w14:val="tx1"/>
                        </w14:solidFill>
                      </w14:textFill>
                    </w:rPr>
                    <w:t>淤泥泥饼</w:t>
                  </w:r>
                  <w:r>
                    <w:rPr>
                      <w:rFonts w:hint="eastAsia"/>
                      <w:color w:val="000000" w:themeColor="text1"/>
                      <w:sz w:val="18"/>
                      <w:szCs w:val="18"/>
                      <w:lang w:eastAsia="zh-CN"/>
                      <w14:textFill>
                        <w14:solidFill>
                          <w14:schemeClr w14:val="tx1"/>
                        </w14:solidFill>
                      </w14:textFill>
                    </w:rPr>
                    <w:t>（</w:t>
                  </w:r>
                  <w:r>
                    <w:rPr>
                      <w:rFonts w:hint="eastAsia"/>
                      <w:color w:val="000000" w:themeColor="text1"/>
                      <w:sz w:val="18"/>
                      <w:szCs w:val="18"/>
                      <w:lang w:val="en-US" w:eastAsia="zh-CN"/>
                      <w14:textFill>
                        <w14:solidFill>
                          <w14:schemeClr w14:val="tx1"/>
                        </w14:solidFill>
                      </w14:textFill>
                    </w:rPr>
                    <w:t>含水60%</w:t>
                  </w:r>
                  <w:r>
                    <w:rPr>
                      <w:rFonts w:hint="eastAsia"/>
                      <w:color w:val="000000" w:themeColor="text1"/>
                      <w:sz w:val="18"/>
                      <w:szCs w:val="18"/>
                      <w:lang w:eastAsia="zh-CN"/>
                      <w14:textFill>
                        <w14:solidFill>
                          <w14:schemeClr w14:val="tx1"/>
                        </w14:solidFill>
                      </w14:textFill>
                    </w:rPr>
                    <w:t>）</w:t>
                  </w:r>
                </w:p>
              </w:tc>
              <w:tc>
                <w:tcPr>
                  <w:tcW w:w="565" w:type="pct"/>
                  <w:vAlign w:val="center"/>
                </w:tcPr>
                <w:p w14:paraId="61CF301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一般工业固废</w:t>
                  </w:r>
                </w:p>
              </w:tc>
              <w:tc>
                <w:tcPr>
                  <w:tcW w:w="443" w:type="pct"/>
                  <w:vAlign w:val="center"/>
                </w:tcPr>
                <w:p w14:paraId="64747A5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vAlign w:val="center"/>
                </w:tcPr>
                <w:p w14:paraId="6385ED83">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65938.9</w:t>
                  </w:r>
                </w:p>
              </w:tc>
              <w:tc>
                <w:tcPr>
                  <w:tcW w:w="424" w:type="pct"/>
                  <w:vAlign w:val="center"/>
                </w:tcPr>
                <w:p w14:paraId="23F5A43E">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委托处置</w:t>
                  </w:r>
                </w:p>
              </w:tc>
              <w:tc>
                <w:tcPr>
                  <w:tcW w:w="379" w:type="pct"/>
                  <w:vAlign w:val="center"/>
                </w:tcPr>
                <w:p w14:paraId="21AA9659">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65938.9</w:t>
                  </w:r>
                </w:p>
              </w:tc>
              <w:tc>
                <w:tcPr>
                  <w:tcW w:w="1234" w:type="pct"/>
                  <w:vAlign w:val="center"/>
                </w:tcPr>
                <w:p w14:paraId="2856942C">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交由中铁大桥局集团有限公司新建合浦至湛江铁路（广东段）站前工程 HZGDSG-1 标项目经理部统一处理</w:t>
                  </w:r>
                </w:p>
              </w:tc>
            </w:tr>
            <w:tr w14:paraId="62B6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pct"/>
                  <w:vAlign w:val="center"/>
                </w:tcPr>
                <w:p w14:paraId="55DC415C">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初级筛分</w:t>
                  </w:r>
                </w:p>
              </w:tc>
              <w:tc>
                <w:tcPr>
                  <w:tcW w:w="472" w:type="pct"/>
                  <w:vAlign w:val="center"/>
                </w:tcPr>
                <w:p w14:paraId="7DC44C19">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82" w:type="pct"/>
                  <w:vAlign w:val="center"/>
                </w:tcPr>
                <w:p w14:paraId="6EA84793">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弃土</w:t>
                  </w:r>
                </w:p>
              </w:tc>
              <w:tc>
                <w:tcPr>
                  <w:tcW w:w="565" w:type="pct"/>
                  <w:shd w:val="clear" w:color="auto" w:fill="auto"/>
                  <w:vAlign w:val="center"/>
                </w:tcPr>
                <w:p w14:paraId="48CED33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一般工业固废</w:t>
                  </w:r>
                </w:p>
              </w:tc>
              <w:tc>
                <w:tcPr>
                  <w:tcW w:w="443" w:type="pct"/>
                  <w:shd w:val="clear" w:color="auto" w:fill="auto"/>
                  <w:vAlign w:val="center"/>
                </w:tcPr>
                <w:p w14:paraId="41895505">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vAlign w:val="center"/>
                </w:tcPr>
                <w:p w14:paraId="4C8F8692">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88833.6</w:t>
                  </w:r>
                </w:p>
              </w:tc>
              <w:tc>
                <w:tcPr>
                  <w:tcW w:w="424" w:type="pct"/>
                  <w:vAlign w:val="center"/>
                </w:tcPr>
                <w:p w14:paraId="392A5C24">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委托处置</w:t>
                  </w:r>
                </w:p>
              </w:tc>
              <w:tc>
                <w:tcPr>
                  <w:tcW w:w="379" w:type="pct"/>
                  <w:vAlign w:val="center"/>
                </w:tcPr>
                <w:p w14:paraId="291DA766">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88833.6</w:t>
                  </w:r>
                </w:p>
              </w:tc>
              <w:tc>
                <w:tcPr>
                  <w:tcW w:w="1234" w:type="pct"/>
                  <w:vAlign w:val="center"/>
                </w:tcPr>
                <w:p w14:paraId="71ABB11E">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交由中铁大桥局集团有限公司新建合浦至湛江铁路（广东段）站前工程 HZGDSG-1 标项目经理部统一处理</w:t>
                  </w:r>
                </w:p>
              </w:tc>
            </w:tr>
            <w:tr w14:paraId="5350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restart"/>
                  <w:vAlign w:val="center"/>
                </w:tcPr>
                <w:p w14:paraId="19F770D0">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设备维护</w:t>
                  </w:r>
                </w:p>
              </w:tc>
              <w:tc>
                <w:tcPr>
                  <w:tcW w:w="472" w:type="pct"/>
                  <w:vAlign w:val="center"/>
                </w:tcPr>
                <w:p w14:paraId="44AF9AF4">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82" w:type="pct"/>
                  <w:shd w:val="clear" w:color="auto" w:fill="auto"/>
                  <w:vAlign w:val="center"/>
                </w:tcPr>
                <w:p w14:paraId="1FD84FBE">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废机油</w:t>
                  </w:r>
                </w:p>
              </w:tc>
              <w:tc>
                <w:tcPr>
                  <w:tcW w:w="565" w:type="pct"/>
                  <w:shd w:val="clear" w:color="auto" w:fill="auto"/>
                  <w:vAlign w:val="center"/>
                </w:tcPr>
                <w:p w14:paraId="48780257">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危险废物</w:t>
                  </w:r>
                </w:p>
              </w:tc>
              <w:tc>
                <w:tcPr>
                  <w:tcW w:w="443" w:type="pct"/>
                  <w:shd w:val="clear" w:color="auto" w:fill="auto"/>
                  <w:vAlign w:val="center"/>
                </w:tcPr>
                <w:p w14:paraId="3EFEA709">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shd w:val="clear" w:color="auto" w:fill="auto"/>
                  <w:vAlign w:val="center"/>
                </w:tcPr>
                <w:p w14:paraId="4A5ADF88">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0.05</w:t>
                  </w:r>
                </w:p>
              </w:tc>
              <w:tc>
                <w:tcPr>
                  <w:tcW w:w="424" w:type="pct"/>
                  <w:shd w:val="clear" w:color="auto" w:fill="auto"/>
                  <w:vAlign w:val="center"/>
                </w:tcPr>
                <w:p w14:paraId="1B3E4764">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委托处置</w:t>
                  </w:r>
                </w:p>
              </w:tc>
              <w:tc>
                <w:tcPr>
                  <w:tcW w:w="379" w:type="pct"/>
                  <w:shd w:val="clear" w:color="auto" w:fill="auto"/>
                  <w:vAlign w:val="center"/>
                </w:tcPr>
                <w:p w14:paraId="3F4578C8">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0.05</w:t>
                  </w:r>
                </w:p>
              </w:tc>
              <w:tc>
                <w:tcPr>
                  <w:tcW w:w="1234" w:type="pct"/>
                  <w:shd w:val="clear" w:color="auto" w:fill="auto"/>
                  <w:vAlign w:val="center"/>
                </w:tcPr>
                <w:p w14:paraId="673765FF">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交由有危废处理资质单位处理</w:t>
                  </w:r>
                </w:p>
              </w:tc>
            </w:tr>
            <w:tr w14:paraId="731C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61371C26">
                  <w:pPr>
                    <w:adjustRightInd w:val="0"/>
                    <w:snapToGrid w:val="0"/>
                    <w:jc w:val="center"/>
                    <w:rPr>
                      <w:color w:val="000000" w:themeColor="text1"/>
                      <w:sz w:val="18"/>
                      <w:szCs w:val="18"/>
                      <w14:textFill>
                        <w14:solidFill>
                          <w14:schemeClr w14:val="tx1"/>
                        </w14:solidFill>
                      </w14:textFill>
                    </w:rPr>
                  </w:pPr>
                </w:p>
              </w:tc>
              <w:tc>
                <w:tcPr>
                  <w:tcW w:w="472" w:type="pct"/>
                  <w:vAlign w:val="center"/>
                </w:tcPr>
                <w:p w14:paraId="1A3FBBEB">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82" w:type="pct"/>
                  <w:shd w:val="clear" w:color="auto" w:fill="auto"/>
                  <w:vAlign w:val="center"/>
                </w:tcPr>
                <w:p w14:paraId="1A18DF3F">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废含油抹布及手套</w:t>
                  </w:r>
                </w:p>
              </w:tc>
              <w:tc>
                <w:tcPr>
                  <w:tcW w:w="565" w:type="pct"/>
                  <w:shd w:val="clear" w:color="auto" w:fill="auto"/>
                  <w:vAlign w:val="center"/>
                </w:tcPr>
                <w:p w14:paraId="47392231">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危险废物</w:t>
                  </w:r>
                </w:p>
              </w:tc>
              <w:tc>
                <w:tcPr>
                  <w:tcW w:w="443" w:type="pct"/>
                  <w:shd w:val="clear" w:color="auto" w:fill="auto"/>
                  <w:vAlign w:val="center"/>
                </w:tcPr>
                <w:p w14:paraId="75E19561">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shd w:val="clear" w:color="auto" w:fill="auto"/>
                  <w:vAlign w:val="center"/>
                </w:tcPr>
                <w:p w14:paraId="6A2C936F">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0.005</w:t>
                  </w:r>
                </w:p>
              </w:tc>
              <w:tc>
                <w:tcPr>
                  <w:tcW w:w="424" w:type="pct"/>
                  <w:shd w:val="clear" w:color="auto" w:fill="auto"/>
                  <w:vAlign w:val="center"/>
                </w:tcPr>
                <w:p w14:paraId="4B210A6D">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委托处置</w:t>
                  </w:r>
                </w:p>
              </w:tc>
              <w:tc>
                <w:tcPr>
                  <w:tcW w:w="379" w:type="pct"/>
                  <w:shd w:val="clear" w:color="auto" w:fill="auto"/>
                  <w:vAlign w:val="center"/>
                </w:tcPr>
                <w:p w14:paraId="4D99D02A">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0.005</w:t>
                  </w:r>
                </w:p>
              </w:tc>
              <w:tc>
                <w:tcPr>
                  <w:tcW w:w="1234" w:type="pct"/>
                  <w:shd w:val="clear" w:color="auto" w:fill="auto"/>
                  <w:vAlign w:val="center"/>
                </w:tcPr>
                <w:p w14:paraId="20D3A98F">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交由有危废处理资质单位处理</w:t>
                  </w:r>
                </w:p>
              </w:tc>
            </w:tr>
            <w:tr w14:paraId="55A8C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8" w:type="pct"/>
                  <w:vMerge w:val="continue"/>
                  <w:vAlign w:val="center"/>
                </w:tcPr>
                <w:p w14:paraId="2D0C7F58">
                  <w:pPr>
                    <w:adjustRightInd w:val="0"/>
                    <w:snapToGrid w:val="0"/>
                    <w:jc w:val="center"/>
                    <w:rPr>
                      <w:color w:val="000000" w:themeColor="text1"/>
                      <w:sz w:val="18"/>
                      <w:szCs w:val="18"/>
                      <w14:textFill>
                        <w14:solidFill>
                          <w14:schemeClr w14:val="tx1"/>
                        </w14:solidFill>
                      </w14:textFill>
                    </w:rPr>
                  </w:pPr>
                </w:p>
              </w:tc>
              <w:tc>
                <w:tcPr>
                  <w:tcW w:w="472" w:type="pct"/>
                  <w:vAlign w:val="center"/>
                </w:tcPr>
                <w:p w14:paraId="537E0DF0">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w:t>
                  </w:r>
                </w:p>
              </w:tc>
              <w:tc>
                <w:tcPr>
                  <w:tcW w:w="682" w:type="pct"/>
                  <w:shd w:val="clear" w:color="auto" w:fill="auto"/>
                  <w:vAlign w:val="center"/>
                </w:tcPr>
                <w:p w14:paraId="25E98828">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废油桶</w:t>
                  </w:r>
                </w:p>
              </w:tc>
              <w:tc>
                <w:tcPr>
                  <w:tcW w:w="565" w:type="pct"/>
                  <w:shd w:val="clear" w:color="auto" w:fill="auto"/>
                  <w:vAlign w:val="center"/>
                </w:tcPr>
                <w:p w14:paraId="0B192374">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危险废物</w:t>
                  </w:r>
                </w:p>
              </w:tc>
              <w:tc>
                <w:tcPr>
                  <w:tcW w:w="443" w:type="pct"/>
                  <w:shd w:val="clear" w:color="auto" w:fill="auto"/>
                  <w:vAlign w:val="center"/>
                </w:tcPr>
                <w:p w14:paraId="5E71C01A">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物料衡算法</w:t>
                  </w:r>
                </w:p>
              </w:tc>
              <w:tc>
                <w:tcPr>
                  <w:tcW w:w="361" w:type="pct"/>
                  <w:shd w:val="clear" w:color="auto" w:fill="auto"/>
                  <w:vAlign w:val="center"/>
                </w:tcPr>
                <w:p w14:paraId="4CE390AB">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0.01</w:t>
                  </w:r>
                </w:p>
              </w:tc>
              <w:tc>
                <w:tcPr>
                  <w:tcW w:w="424" w:type="pct"/>
                  <w:shd w:val="clear" w:color="auto" w:fill="auto"/>
                  <w:vAlign w:val="center"/>
                </w:tcPr>
                <w:p w14:paraId="5131C730">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委托处置</w:t>
                  </w:r>
                </w:p>
              </w:tc>
              <w:tc>
                <w:tcPr>
                  <w:tcW w:w="379" w:type="pct"/>
                  <w:shd w:val="clear" w:color="auto" w:fill="auto"/>
                  <w:vAlign w:val="center"/>
                </w:tcPr>
                <w:p w14:paraId="7DB358D2">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0.01</w:t>
                  </w:r>
                </w:p>
              </w:tc>
              <w:tc>
                <w:tcPr>
                  <w:tcW w:w="1234" w:type="pct"/>
                  <w:shd w:val="clear" w:color="auto" w:fill="auto"/>
                  <w:vAlign w:val="center"/>
                </w:tcPr>
                <w:p w14:paraId="64636F11">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交由有危废处理资质单位处理</w:t>
                  </w:r>
                </w:p>
              </w:tc>
            </w:tr>
          </w:tbl>
          <w:p w14:paraId="46BD09E1">
            <w:pPr>
              <w:widowControl/>
              <w:spacing w:line="360" w:lineRule="auto"/>
              <w:ind w:firstLine="422" w:firstLineChars="200"/>
              <w:jc w:val="left"/>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2、</w:t>
            </w:r>
            <w:r>
              <w:rPr>
                <w:b/>
                <w:bCs/>
                <w:color w:val="000000" w:themeColor="text1"/>
                <w:kern w:val="0"/>
                <w:szCs w:val="21"/>
                <w:lang w:bidi="ar"/>
                <w14:textFill>
                  <w14:solidFill>
                    <w14:schemeClr w14:val="tx1"/>
                  </w14:solidFill>
                </w14:textFill>
              </w:rPr>
              <w:t>处置去向及环境管理要求</w:t>
            </w:r>
          </w:p>
          <w:p w14:paraId="5D30EA35">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生活垃圾：项目员工生活垃圾纳入镇区环卫清运系统统一处理，并对垃圾堆放点进行消毒，消灭害虫，避免散发恶臭，孳生蚊蝇。因此，该建设单位产生的生活垃圾经处理后不会直接对环境造成明显不利影响。</w:t>
            </w:r>
          </w:p>
          <w:p w14:paraId="3895DB8E">
            <w:pPr>
              <w:adjustRightInd w:val="0"/>
              <w:snapToGrid w:val="0"/>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2）一般工业固废：一般工业固体申报管理应认真落实《中华人民共和国固体废物污染环境防治法》第三十二条：国家实行工业固体废物申报登记制度。产生工业固体废物的单位必须按照国务院环境保护行政主管部门的规定，向所在地县级以上人民政府环境保护行政主管部门提供工业固体废物的种类、产生量、流向、贮存、处置等有关资料。</w:t>
            </w:r>
          </w:p>
          <w:p w14:paraId="6814AA6E">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一般工业固体废物产生单位必须如实申报正常作业条件下工业固体废物的种类、产生量、流向、贮存、利用、处置状况等有关资料，以及执行有关法律、法规的真实情况，不得隐瞒不报或者虚报、谎报。一般工业固体废物产生单位应按要求在网上申报登记上一年度的信息，通过省固体废物管理信息平台依法申报固体废物的种类、产生量、流向、交接、贮存、利用、处置情况；根据固废法分析申报即可，申报企业要签署承诺书，依法向县级环保部门申报登记信息，确保申报数据的真实性、准确性和完整性。</w:t>
            </w:r>
          </w:p>
          <w:p w14:paraId="7BDB219D">
            <w:pPr>
              <w:adjustRightInd w:val="0"/>
              <w:snapToGrid w:val="0"/>
              <w:spacing w:line="360" w:lineRule="auto"/>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般工业固体废物在厂内采用库房或包装工具贮存，贮存过程应满足相应防渗漏、防雨淋、防扬尘等环境保护要求，必须符合国家环境保护标准，并对未处理的固体废物做出妥善处理，安全存放。对暂时不利用或者不能回收利用的一般工业固体废物，必须配套建设防雨淋、防渗漏、易识别等符合环境保护标准和管理要求的贮存设施或场所，以及足够的流转空间，按照国家环境保护的技术和管理要求，有专人看管，建立便于核查的进、出物料的台账记录和固体废物明细表。</w:t>
            </w:r>
          </w:p>
          <w:p w14:paraId="20A57434">
            <w:pPr>
              <w:widowControl/>
              <w:numPr>
                <w:ilvl w:val="0"/>
                <w:numId w:val="4"/>
              </w:numPr>
              <w:adjustRightInd w:val="0"/>
              <w:snapToGrid w:val="0"/>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危险废物：危险废物经集中收集后交有危险废物经营许可证的单位处理，并执行危险废物、转移联单制度。</w:t>
            </w:r>
          </w:p>
          <w:p w14:paraId="0667C596">
            <w:pPr>
              <w:widowControl/>
              <w:adjustRightInd w:val="0"/>
              <w:snapToGrid w:val="0"/>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根据《建设项目危险废物环境影响评价指南》（环境保护部公告[2017]43号），对危险废物的收集、贮存和运输作以下要求：</w:t>
            </w:r>
          </w:p>
          <w:p w14:paraId="5613C509">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①</w:t>
            </w:r>
            <w:r>
              <w:rPr>
                <w:color w:val="000000" w:themeColor="text1"/>
                <w:kern w:val="0"/>
                <w:szCs w:val="21"/>
                <w:lang w:bidi="ar"/>
                <w14:textFill>
                  <w14:solidFill>
                    <w14:schemeClr w14:val="tx1"/>
                  </w14:solidFill>
                </w14:textFill>
              </w:rPr>
              <w:t>危险废物的收集要求</w:t>
            </w:r>
          </w:p>
          <w:p w14:paraId="4F7AD74A">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1）性质类似的废物收集到同一容器中，性质不相容的危险废物分别存放；</w:t>
            </w:r>
          </w:p>
          <w:p w14:paraId="36A216BD">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2）危险废物包装应能有效隔断危险废物迁移扩散途径，并达到防渗、防漏要求；</w:t>
            </w:r>
          </w:p>
          <w:p w14:paraId="034F16DF">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3）在危险废物的收集和转运过程中，应采取相应的安全防护和污染防治措施，包括防爆、防火、防泄漏、防风、防雨或其它防止污染环境的措施；</w:t>
            </w:r>
          </w:p>
          <w:p w14:paraId="0C2D240F">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4）危险废物内部转运应综合考虑厂区的实际情况确定转运路线，尽量避开办公区和生活区；</w:t>
            </w:r>
          </w:p>
          <w:p w14:paraId="3ACD0C06">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5）危险废物内部转运结束后，应对转运路线进行检查和清理，确保无危险废物遗失在转运路线上，并对转运工具进行清洗；</w:t>
            </w:r>
          </w:p>
          <w:p w14:paraId="675311F8">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6）收集过危险废物的容器、设备、设施、场所及其他物品转作他用时，应消除污染，确保其使用安全。</w:t>
            </w:r>
          </w:p>
          <w:p w14:paraId="78E532CE">
            <w:pPr>
              <w:widowControl/>
              <w:spacing w:line="360" w:lineRule="auto"/>
              <w:ind w:firstLine="420" w:firstLineChars="200"/>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②</w:t>
            </w:r>
            <w:r>
              <w:rPr>
                <w:color w:val="000000" w:themeColor="text1"/>
                <w:kern w:val="0"/>
                <w:szCs w:val="21"/>
                <w:lang w:bidi="ar"/>
                <w14:textFill>
                  <w14:solidFill>
                    <w14:schemeClr w14:val="tx1"/>
                  </w14:solidFill>
                </w14:textFill>
              </w:rPr>
              <w:t>危废贮存场所的要求</w:t>
            </w:r>
          </w:p>
          <w:p w14:paraId="0BDAEF44">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项目运营期产生的危险废物应委托具有危险废物经营资质的单位统一收集并妥善处置；同时，项目需设置专门的危险固废收集设施，与普通的城市生活垃圾区别开来。危险废物临时贮存设施要符合《危险废物贮存污染控制标准》（GB18597-2023）的有关规定。</w:t>
            </w:r>
          </w:p>
          <w:p w14:paraId="6919C2DE">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项目危险废物均采用防渗容器盛装，在贮存过程中不会产生浸出液，因此无须设置浸出液收集系统。盛装危险废物的容器上必须粘贴标签，标签内容应包括废物类别、行业来源、废物代码、危险废物和危险特性。为降低危废渗漏的影响，建设单位拟在危废房设置防水、防腐特殊保护层，危险废物在厂区内收集后，暂存于防风、防雨、</w:t>
            </w:r>
            <w:r>
              <w:rPr>
                <w:rFonts w:hint="eastAsia"/>
                <w:color w:val="000000" w:themeColor="text1"/>
                <w:kern w:val="0"/>
                <w:szCs w:val="21"/>
                <w:lang w:bidi="ar"/>
                <w14:textFill>
                  <w14:solidFill>
                    <w14:schemeClr w14:val="tx1"/>
                  </w14:solidFill>
                </w14:textFill>
              </w:rPr>
              <w:t>防腐、</w:t>
            </w:r>
            <w:r>
              <w:rPr>
                <w:color w:val="000000" w:themeColor="text1"/>
                <w:kern w:val="0"/>
                <w:szCs w:val="21"/>
                <w:lang w:bidi="ar"/>
                <w14:textFill>
                  <w14:solidFill>
                    <w14:schemeClr w14:val="tx1"/>
                  </w14:solidFill>
                </w14:textFill>
              </w:rPr>
              <w:t>防渗、防</w:t>
            </w:r>
            <w:r>
              <w:rPr>
                <w:rFonts w:hint="eastAsia"/>
                <w:bCs/>
                <w:color w:val="000000" w:themeColor="text1"/>
                <w:kern w:val="0"/>
                <w:szCs w:val="21"/>
                <w14:textFill>
                  <w14:solidFill>
                    <w14:schemeClr w14:val="tx1"/>
                  </w14:solidFill>
                </w14:textFill>
              </w:rPr>
              <w:t>盗</w:t>
            </w:r>
            <w:r>
              <w:rPr>
                <w:color w:val="000000" w:themeColor="text1"/>
                <w:kern w:val="0"/>
                <w:szCs w:val="21"/>
                <w:lang w:bidi="ar"/>
                <w14:textFill>
                  <w14:solidFill>
                    <w14:schemeClr w14:val="tx1"/>
                  </w14:solidFill>
                </w14:textFill>
              </w:rPr>
              <w:t>的危废暂存场所。</w:t>
            </w:r>
          </w:p>
          <w:p w14:paraId="1C559D36">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危险废物在堆放时若管理不当容易发生扩散和泄漏，进而对环境造成污染，甚至损害人们的健康。因此，根据《危险废物贮存污染控制标准》（GB18597-2023）的相关要求，本评价建议项目贮存设施应符合以下要求：</w:t>
            </w:r>
          </w:p>
          <w:p w14:paraId="1B7CDCF0">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1)危险废物集中贮存场所的选址位于项目生产车间内，贮存设施底部高于地下水最高水位。</w:t>
            </w:r>
          </w:p>
          <w:p w14:paraId="20349F22">
            <w:pPr>
              <w:widowControl/>
              <w:spacing w:line="360" w:lineRule="auto"/>
              <w:ind w:firstLine="420" w:firstLineChars="200"/>
              <w:jc w:val="left"/>
              <w:rPr>
                <w:color w:val="000000" w:themeColor="text1"/>
                <w:szCs w:val="21"/>
                <w14:textFill>
                  <w14:solidFill>
                    <w14:schemeClr w14:val="tx1"/>
                  </w14:solidFill>
                </w14:textFill>
              </w:rPr>
            </w:pPr>
            <w:r>
              <w:rPr>
                <w:color w:val="000000" w:themeColor="text1"/>
                <w:kern w:val="0"/>
                <w:szCs w:val="21"/>
                <w:lang w:bidi="ar"/>
                <w14:textFill>
                  <w14:solidFill>
                    <w14:schemeClr w14:val="tx1"/>
                  </w14:solidFill>
                </w14:textFill>
              </w:rPr>
              <w:t>2)危险废物贮存设施要用坚固、防渗的材料建造，建筑材料必须与危险废物相容。</w:t>
            </w:r>
          </w:p>
          <w:p w14:paraId="1DC99AD1">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4)性质类似的废物收集到同一容器中，性质不相容的危险废物分别存放；</w:t>
            </w:r>
          </w:p>
          <w:p w14:paraId="5A4517FE">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5)危险废物采用密闭桶包装/散装堆放贮存在危险废物仓库内，危险废物仓库位于室内，防风、防雨、防</w:t>
            </w:r>
            <w:r>
              <w:rPr>
                <w:rFonts w:hint="eastAsia"/>
                <w:bCs/>
                <w:color w:val="000000" w:themeColor="text1"/>
                <w:kern w:val="0"/>
                <w:szCs w:val="21"/>
                <w14:textFill>
                  <w14:solidFill>
                    <w14:schemeClr w14:val="tx1"/>
                  </w14:solidFill>
                </w14:textFill>
              </w:rPr>
              <w:t>盗窃</w:t>
            </w:r>
            <w:r>
              <w:rPr>
                <w:bCs/>
                <w:color w:val="000000" w:themeColor="text1"/>
                <w:kern w:val="0"/>
                <w:szCs w:val="21"/>
                <w14:textFill>
                  <w14:solidFill>
                    <w14:schemeClr w14:val="tx1"/>
                  </w14:solidFill>
                </w14:textFill>
              </w:rPr>
              <w:t>；</w:t>
            </w:r>
          </w:p>
          <w:p w14:paraId="27B663D6">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6)按《环境保护图形标志（固体废物贮存场）》的规定设置警示标志；</w:t>
            </w:r>
          </w:p>
          <w:p w14:paraId="1B20C630">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7)定期对所贮存的危险废物包装容器及贮存设施进行检查，如发现破损，及时采取措施进行清理更换；</w:t>
            </w:r>
          </w:p>
          <w:p w14:paraId="535FD0D0">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8)根据生产需要合理设置贮存量，减少厂内的物料贮存量，产生的危险废物实行分类收集后置于贮存设施内，贮存时限一般不超过一年，并设专人管理；</w:t>
            </w:r>
          </w:p>
          <w:p w14:paraId="1DDAB04E">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9)室内上墙固废管理制度和固废产生工艺流程图及固废台账，台账如实记载产生危险废物的种类、数量、利用、贮存、处置、流向等信息，以此作为向当地生态环境部门申报危险废物管理计划的编制依据。</w:t>
            </w:r>
          </w:p>
          <w:p w14:paraId="69AA53A9">
            <w:pPr>
              <w:widowControl/>
              <w:adjustRightInd w:val="0"/>
              <w:snapToGrid w:val="0"/>
              <w:spacing w:line="360" w:lineRule="auto"/>
              <w:ind w:firstLine="420" w:firstLineChars="200"/>
              <w:jc w:val="left"/>
              <w:rPr>
                <w:bCs/>
                <w:color w:val="000000" w:themeColor="text1"/>
                <w:kern w:val="0"/>
                <w:szCs w:val="21"/>
                <w14:textFill>
                  <w14:solidFill>
                    <w14:schemeClr w14:val="tx1"/>
                  </w14:solidFill>
                </w14:textFill>
              </w:rPr>
            </w:pPr>
            <w:r>
              <w:rPr>
                <w:bCs/>
                <w:color w:val="000000" w:themeColor="text1"/>
                <w:kern w:val="0"/>
                <w:szCs w:val="21"/>
                <w14:textFill>
                  <w14:solidFill>
                    <w14:schemeClr w14:val="tx1"/>
                  </w14:solidFill>
                </w14:textFill>
              </w:rPr>
              <w:t>危险废物仓库（设施）基本情况见下表：</w:t>
            </w:r>
          </w:p>
          <w:p w14:paraId="4658647E">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建设项目危险废物贮存场所（设施）基本情况表</w:t>
            </w:r>
          </w:p>
          <w:tbl>
            <w:tblPr>
              <w:tblStyle w:val="2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7"/>
              <w:gridCol w:w="967"/>
              <w:gridCol w:w="931"/>
              <w:gridCol w:w="1172"/>
              <w:gridCol w:w="683"/>
              <w:gridCol w:w="784"/>
              <w:gridCol w:w="593"/>
              <w:gridCol w:w="593"/>
              <w:gridCol w:w="593"/>
              <w:gridCol w:w="6244"/>
            </w:tblGrid>
            <w:tr w14:paraId="379A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shd w:val="clear" w:color="auto" w:fill="D9D9D9"/>
                  <w:vAlign w:val="center"/>
                </w:tcPr>
                <w:p w14:paraId="48141768">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贮存场所</w:t>
                  </w:r>
                  <w:r>
                    <w:rPr>
                      <w:rFonts w:hint="eastAsia"/>
                      <w:b/>
                      <w:color w:val="000000" w:themeColor="text1"/>
                      <w:sz w:val="18"/>
                      <w:szCs w:val="18"/>
                      <w14:textFill>
                        <w14:solidFill>
                          <w14:schemeClr w14:val="tx1"/>
                        </w14:solidFill>
                      </w14:textFill>
                    </w:rPr>
                    <w:t>（设施）</w:t>
                  </w:r>
                  <w:r>
                    <w:rPr>
                      <w:b/>
                      <w:color w:val="000000" w:themeColor="text1"/>
                      <w:sz w:val="18"/>
                      <w:szCs w:val="18"/>
                      <w14:textFill>
                        <w14:solidFill>
                          <w14:schemeClr w14:val="tx1"/>
                        </w14:solidFill>
                      </w14:textFill>
                    </w:rPr>
                    <w:t>名称</w:t>
                  </w:r>
                </w:p>
              </w:tc>
              <w:tc>
                <w:tcPr>
                  <w:tcW w:w="354" w:type="pct"/>
                  <w:shd w:val="clear" w:color="auto" w:fill="D9D9D9"/>
                  <w:vAlign w:val="center"/>
                </w:tcPr>
                <w:p w14:paraId="45D2BE42">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危险废物名称</w:t>
                  </w:r>
                </w:p>
              </w:tc>
              <w:tc>
                <w:tcPr>
                  <w:tcW w:w="341" w:type="pct"/>
                  <w:shd w:val="clear" w:color="auto" w:fill="D9D9D9"/>
                  <w:vAlign w:val="center"/>
                </w:tcPr>
                <w:p w14:paraId="40D9BCC6">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危险废物类别</w:t>
                  </w:r>
                </w:p>
              </w:tc>
              <w:tc>
                <w:tcPr>
                  <w:tcW w:w="429" w:type="pct"/>
                  <w:shd w:val="clear" w:color="auto" w:fill="D9D9D9"/>
                  <w:vAlign w:val="center"/>
                </w:tcPr>
                <w:p w14:paraId="7C2BC6C0">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危险废物代码</w:t>
                  </w:r>
                </w:p>
              </w:tc>
              <w:tc>
                <w:tcPr>
                  <w:tcW w:w="250" w:type="pct"/>
                  <w:shd w:val="clear" w:color="auto" w:fill="D9D9D9"/>
                  <w:vAlign w:val="center"/>
                </w:tcPr>
                <w:p w14:paraId="3674B740">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危险特性</w:t>
                  </w:r>
                </w:p>
              </w:tc>
              <w:tc>
                <w:tcPr>
                  <w:tcW w:w="287" w:type="pct"/>
                  <w:shd w:val="clear" w:color="auto" w:fill="D9D9D9"/>
                  <w:vAlign w:val="center"/>
                </w:tcPr>
                <w:p w14:paraId="36A6E3B3">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贮存方式</w:t>
                  </w:r>
                </w:p>
              </w:tc>
              <w:tc>
                <w:tcPr>
                  <w:tcW w:w="217" w:type="pct"/>
                  <w:shd w:val="clear" w:color="auto" w:fill="D9D9D9"/>
                  <w:vAlign w:val="center"/>
                </w:tcPr>
                <w:p w14:paraId="3B7A0E83">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贮存能力</w:t>
                  </w:r>
                </w:p>
              </w:tc>
              <w:tc>
                <w:tcPr>
                  <w:tcW w:w="217" w:type="pct"/>
                  <w:shd w:val="clear" w:color="auto" w:fill="D9D9D9"/>
                  <w:vAlign w:val="center"/>
                </w:tcPr>
                <w:p w14:paraId="0F20560C">
                  <w:pPr>
                    <w:topLinePunct/>
                    <w:adjustRightInd w:val="0"/>
                    <w:snapToGrid w:val="0"/>
                    <w:jc w:val="center"/>
                    <w:rPr>
                      <w:rFonts w:hint="default" w:eastAsia="宋体"/>
                      <w:b/>
                      <w:color w:val="000000" w:themeColor="text1"/>
                      <w:sz w:val="18"/>
                      <w:szCs w:val="18"/>
                      <w:lang w:val="en-US" w:eastAsia="zh-CN"/>
                      <w14:textFill>
                        <w14:solidFill>
                          <w14:schemeClr w14:val="tx1"/>
                        </w14:solidFill>
                      </w14:textFill>
                    </w:rPr>
                  </w:pPr>
                  <w:r>
                    <w:rPr>
                      <w:rFonts w:hint="eastAsia"/>
                      <w:b/>
                      <w:color w:val="000000" w:themeColor="text1"/>
                      <w:sz w:val="18"/>
                      <w:szCs w:val="18"/>
                      <w:lang w:val="en-US" w:eastAsia="zh-CN"/>
                      <w14:textFill>
                        <w14:solidFill>
                          <w14:schemeClr w14:val="tx1"/>
                        </w14:solidFill>
                      </w14:textFill>
                    </w:rPr>
                    <w:t>面积</w:t>
                  </w:r>
                </w:p>
              </w:tc>
              <w:tc>
                <w:tcPr>
                  <w:tcW w:w="217" w:type="pct"/>
                  <w:shd w:val="clear" w:color="auto" w:fill="D9D9D9"/>
                  <w:vAlign w:val="center"/>
                </w:tcPr>
                <w:p w14:paraId="548B922D">
                  <w:pPr>
                    <w:topLinePunct/>
                    <w:adjustRightInd w:val="0"/>
                    <w:snapToGrid w:val="0"/>
                    <w:jc w:val="center"/>
                    <w:rPr>
                      <w:b/>
                      <w:color w:val="000000" w:themeColor="text1"/>
                      <w:sz w:val="18"/>
                      <w:szCs w:val="18"/>
                      <w14:textFill>
                        <w14:solidFill>
                          <w14:schemeClr w14:val="tx1"/>
                        </w14:solidFill>
                      </w14:textFill>
                    </w:rPr>
                  </w:pPr>
                  <w:r>
                    <w:rPr>
                      <w:b/>
                      <w:color w:val="000000" w:themeColor="text1"/>
                      <w:sz w:val="18"/>
                      <w:szCs w:val="18"/>
                      <w14:textFill>
                        <w14:solidFill>
                          <w14:schemeClr w14:val="tx1"/>
                        </w14:solidFill>
                      </w14:textFill>
                    </w:rPr>
                    <w:t>贮存周期</w:t>
                  </w:r>
                </w:p>
              </w:tc>
              <w:tc>
                <w:tcPr>
                  <w:tcW w:w="2284" w:type="pct"/>
                  <w:shd w:val="clear" w:color="auto" w:fill="D9D9D9"/>
                  <w:vAlign w:val="center"/>
                </w:tcPr>
                <w:p w14:paraId="0973B958">
                  <w:pPr>
                    <w:topLinePunct/>
                    <w:adjustRightInd w:val="0"/>
                    <w:snapToGrid w:val="0"/>
                    <w:jc w:val="center"/>
                    <w:rPr>
                      <w:b/>
                      <w:color w:val="000000" w:themeColor="text1"/>
                      <w:sz w:val="18"/>
                      <w:szCs w:val="18"/>
                      <w14:textFill>
                        <w14:solidFill>
                          <w14:schemeClr w14:val="tx1"/>
                        </w14:solidFill>
                      </w14:textFill>
                    </w:rPr>
                  </w:pPr>
                  <w:r>
                    <w:rPr>
                      <w:rFonts w:hint="eastAsia"/>
                      <w:b/>
                      <w:color w:val="000000" w:themeColor="text1"/>
                      <w:sz w:val="18"/>
                      <w:szCs w:val="18"/>
                      <w14:textFill>
                        <w14:solidFill>
                          <w14:schemeClr w14:val="tx1"/>
                        </w14:solidFill>
                      </w14:textFill>
                    </w:rPr>
                    <w:t>污染防治措施</w:t>
                  </w:r>
                </w:p>
              </w:tc>
            </w:tr>
            <w:tr w14:paraId="4C38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restart"/>
                  <w:vAlign w:val="center"/>
                </w:tcPr>
                <w:p w14:paraId="2D2A24C7">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危废暂存间</w:t>
                  </w:r>
                </w:p>
              </w:tc>
              <w:tc>
                <w:tcPr>
                  <w:tcW w:w="354" w:type="pct"/>
                  <w:shd w:val="clear" w:color="auto" w:fill="auto"/>
                  <w:vAlign w:val="center"/>
                </w:tcPr>
                <w:p w14:paraId="44D1B531">
                  <w:pPr>
                    <w:pStyle w:val="46"/>
                    <w:rPr>
                      <w:color w:val="000000" w:themeColor="text1"/>
                      <w:szCs w:val="18"/>
                      <w:lang w:bidi="ar"/>
                      <w14:textFill>
                        <w14:solidFill>
                          <w14:schemeClr w14:val="tx1"/>
                        </w14:solidFill>
                      </w14:textFill>
                    </w:rPr>
                  </w:pPr>
                  <w:r>
                    <w:rPr>
                      <w:color w:val="000000" w:themeColor="text1"/>
                      <w14:textFill>
                        <w14:solidFill>
                          <w14:schemeClr w14:val="tx1"/>
                        </w14:solidFill>
                      </w14:textFill>
                    </w:rPr>
                    <w:t>废含油抹布、手套</w:t>
                  </w:r>
                </w:p>
              </w:tc>
              <w:tc>
                <w:tcPr>
                  <w:tcW w:w="341" w:type="pct"/>
                  <w:shd w:val="clear" w:color="auto" w:fill="auto"/>
                  <w:vAlign w:val="center"/>
                </w:tcPr>
                <w:p w14:paraId="3C20FCE8">
                  <w:pPr>
                    <w:topLinePunct/>
                    <w:adjustRightInd w:val="0"/>
                    <w:snapToGrid w:val="0"/>
                    <w:jc w:val="center"/>
                    <w:rPr>
                      <w:rFonts w:hint="default" w:eastAsia="宋体"/>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49</w:t>
                  </w:r>
                </w:p>
              </w:tc>
              <w:tc>
                <w:tcPr>
                  <w:tcW w:w="429" w:type="pct"/>
                  <w:shd w:val="clear" w:color="auto" w:fill="auto"/>
                  <w:vAlign w:val="center"/>
                </w:tcPr>
                <w:p w14:paraId="58931D88">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900-041-49</w:t>
                  </w:r>
                </w:p>
              </w:tc>
              <w:tc>
                <w:tcPr>
                  <w:tcW w:w="250" w:type="pct"/>
                  <w:shd w:val="clear" w:color="auto" w:fill="auto"/>
                  <w:vAlign w:val="center"/>
                </w:tcPr>
                <w:p w14:paraId="1EE0CEAA">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r>
                    <w:rPr>
                      <w:rFonts w:hint="eastAsia"/>
                      <w:color w:val="000000" w:themeColor="text1"/>
                      <w:sz w:val="18"/>
                      <w:szCs w:val="18"/>
                      <w14:textFill>
                        <w14:solidFill>
                          <w14:schemeClr w14:val="tx1"/>
                        </w14:solidFill>
                      </w14:textFill>
                    </w:rPr>
                    <w:t>/In</w:t>
                  </w:r>
                </w:p>
              </w:tc>
              <w:tc>
                <w:tcPr>
                  <w:tcW w:w="287" w:type="pct"/>
                  <w:shd w:val="clear" w:color="auto" w:fill="auto"/>
                  <w:vAlign w:val="center"/>
                </w:tcPr>
                <w:p w14:paraId="31650495">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固态，桶装</w:t>
                  </w:r>
                </w:p>
              </w:tc>
              <w:tc>
                <w:tcPr>
                  <w:tcW w:w="217" w:type="pct"/>
                  <w:vMerge w:val="restart"/>
                  <w:vAlign w:val="center"/>
                </w:tcPr>
                <w:p w14:paraId="0B6DA425">
                  <w:pPr>
                    <w:topLinePunct/>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r>
                    <w:rPr>
                      <w:color w:val="000000" w:themeColor="text1"/>
                      <w:sz w:val="18"/>
                      <w:szCs w:val="18"/>
                      <w14:textFill>
                        <w14:solidFill>
                          <w14:schemeClr w14:val="tx1"/>
                        </w14:solidFill>
                      </w14:textFill>
                    </w:rPr>
                    <w:t>t</w:t>
                  </w:r>
                </w:p>
              </w:tc>
              <w:tc>
                <w:tcPr>
                  <w:tcW w:w="217" w:type="pct"/>
                  <w:vMerge w:val="restart"/>
                  <w:vAlign w:val="center"/>
                </w:tcPr>
                <w:p w14:paraId="42821AA1">
                  <w:pPr>
                    <w:topLinePunct/>
                    <w:adjustRightInd w:val="0"/>
                    <w:snapToGrid w:val="0"/>
                    <w:jc w:val="center"/>
                    <w:rPr>
                      <w:rFonts w:hint="default" w:eastAsia="宋体"/>
                      <w:color w:val="000000" w:themeColor="text1"/>
                      <w:sz w:val="18"/>
                      <w:szCs w:val="18"/>
                      <w:vertAlign w:val="baseli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5m</w:t>
                  </w:r>
                  <w:r>
                    <w:rPr>
                      <w:rFonts w:hint="eastAsia"/>
                      <w:color w:val="000000" w:themeColor="text1"/>
                      <w:sz w:val="18"/>
                      <w:szCs w:val="18"/>
                      <w:vertAlign w:val="superscript"/>
                      <w:lang w:val="en-US" w:eastAsia="zh-CN"/>
                      <w14:textFill>
                        <w14:solidFill>
                          <w14:schemeClr w14:val="tx1"/>
                        </w14:solidFill>
                      </w14:textFill>
                    </w:rPr>
                    <w:t>2</w:t>
                  </w:r>
                </w:p>
              </w:tc>
              <w:tc>
                <w:tcPr>
                  <w:tcW w:w="217" w:type="pct"/>
                  <w:vMerge w:val="restart"/>
                  <w:vAlign w:val="center"/>
                </w:tcPr>
                <w:p w14:paraId="083ED505">
                  <w:pPr>
                    <w:topLinePunct/>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1年</w:t>
                  </w:r>
                </w:p>
              </w:tc>
              <w:tc>
                <w:tcPr>
                  <w:tcW w:w="2284" w:type="pct"/>
                  <w:vMerge w:val="restart"/>
                  <w:vAlign w:val="center"/>
                </w:tcPr>
                <w:p w14:paraId="6D7ECF6B">
                  <w:pPr>
                    <w:topLinePunct/>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1、贮存方式：危险废物分类存放于不同的塑料桶中并加盖封存、塑料桶上粘贴危险废物类别、代码、特性等标签。危废间底部为混凝土结构，具有防渗作用。危废间设置为密闭间，起到防雨和防晒作用。</w:t>
                  </w:r>
                </w:p>
                <w:p w14:paraId="34E83B53">
                  <w:pPr>
                    <w:topLinePunct/>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2、处置方式：在项目危废间暂存到一定量时交由相应处理类别的资质单位外运处理</w:t>
                  </w:r>
                </w:p>
              </w:tc>
            </w:tr>
            <w:tr w14:paraId="7C6C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vAlign w:val="center"/>
                </w:tcPr>
                <w:p w14:paraId="36F57BC2">
                  <w:pPr>
                    <w:topLinePunct/>
                    <w:adjustRightInd w:val="0"/>
                    <w:snapToGrid w:val="0"/>
                    <w:jc w:val="center"/>
                    <w:rPr>
                      <w:color w:val="000000" w:themeColor="text1"/>
                      <w:sz w:val="18"/>
                      <w:szCs w:val="18"/>
                      <w14:textFill>
                        <w14:solidFill>
                          <w14:schemeClr w14:val="tx1"/>
                        </w14:solidFill>
                      </w14:textFill>
                    </w:rPr>
                  </w:pPr>
                </w:p>
              </w:tc>
              <w:tc>
                <w:tcPr>
                  <w:tcW w:w="354" w:type="pct"/>
                  <w:shd w:val="clear" w:color="auto" w:fill="auto"/>
                  <w:vAlign w:val="center"/>
                </w:tcPr>
                <w:p w14:paraId="029987D7">
                  <w:pPr>
                    <w:pStyle w:val="46"/>
                    <w:rPr>
                      <w:color w:val="000000" w:themeColor="text1"/>
                      <w:szCs w:val="18"/>
                      <w:lang w:bidi="ar"/>
                      <w14:textFill>
                        <w14:solidFill>
                          <w14:schemeClr w14:val="tx1"/>
                        </w14:solidFill>
                      </w14:textFill>
                    </w:rPr>
                  </w:pPr>
                  <w:r>
                    <w:rPr>
                      <w:rFonts w:hint="eastAsia"/>
                      <w:color w:val="000000" w:themeColor="text1"/>
                      <w14:textFill>
                        <w14:solidFill>
                          <w14:schemeClr w14:val="tx1"/>
                        </w14:solidFill>
                      </w14:textFill>
                    </w:rPr>
                    <w:t>废机油</w:t>
                  </w:r>
                </w:p>
              </w:tc>
              <w:tc>
                <w:tcPr>
                  <w:tcW w:w="341" w:type="pct"/>
                  <w:shd w:val="clear" w:color="auto" w:fill="auto"/>
                  <w:vAlign w:val="center"/>
                </w:tcPr>
                <w:p w14:paraId="56FCE5B9">
                  <w:pPr>
                    <w:topLinePunct/>
                    <w:adjustRightInd w:val="0"/>
                    <w:snapToGrid w:val="0"/>
                    <w:jc w:val="center"/>
                    <w:rPr>
                      <w:rFonts w:hint="default" w:eastAsia="宋体"/>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08</w:t>
                  </w:r>
                </w:p>
              </w:tc>
              <w:tc>
                <w:tcPr>
                  <w:tcW w:w="429" w:type="pct"/>
                  <w:shd w:val="clear" w:color="auto" w:fill="auto"/>
                  <w:vAlign w:val="center"/>
                </w:tcPr>
                <w:p w14:paraId="3F05C0E7">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900-2</w:t>
                  </w:r>
                  <w:r>
                    <w:rPr>
                      <w:rFonts w:hint="eastAsia"/>
                      <w:color w:val="000000" w:themeColor="text1"/>
                      <w:sz w:val="18"/>
                      <w:szCs w:val="18"/>
                      <w14:textFill>
                        <w14:solidFill>
                          <w14:schemeClr w14:val="tx1"/>
                        </w14:solidFill>
                      </w14:textFill>
                    </w:rPr>
                    <w:t>14</w:t>
                  </w:r>
                  <w:r>
                    <w:rPr>
                      <w:color w:val="000000" w:themeColor="text1"/>
                      <w:sz w:val="18"/>
                      <w:szCs w:val="18"/>
                      <w14:textFill>
                        <w14:solidFill>
                          <w14:schemeClr w14:val="tx1"/>
                        </w14:solidFill>
                      </w14:textFill>
                    </w:rPr>
                    <w:t>-08</w:t>
                  </w:r>
                </w:p>
              </w:tc>
              <w:tc>
                <w:tcPr>
                  <w:tcW w:w="250" w:type="pct"/>
                  <w:shd w:val="clear" w:color="auto" w:fill="auto"/>
                  <w:vAlign w:val="center"/>
                </w:tcPr>
                <w:p w14:paraId="5AC62E77">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T,I</w:t>
                  </w:r>
                </w:p>
              </w:tc>
              <w:tc>
                <w:tcPr>
                  <w:tcW w:w="287" w:type="pct"/>
                  <w:shd w:val="clear" w:color="auto" w:fill="auto"/>
                  <w:vAlign w:val="center"/>
                </w:tcPr>
                <w:p w14:paraId="7FF16F2E">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液态，桶装</w:t>
                  </w:r>
                </w:p>
              </w:tc>
              <w:tc>
                <w:tcPr>
                  <w:tcW w:w="217" w:type="pct"/>
                  <w:vMerge w:val="continue"/>
                  <w:vAlign w:val="center"/>
                </w:tcPr>
                <w:p w14:paraId="6C4343C0">
                  <w:pPr>
                    <w:topLinePunct/>
                    <w:adjustRightInd w:val="0"/>
                    <w:snapToGrid w:val="0"/>
                    <w:jc w:val="center"/>
                    <w:rPr>
                      <w:color w:val="000000" w:themeColor="text1"/>
                      <w:sz w:val="18"/>
                      <w:szCs w:val="18"/>
                      <w14:textFill>
                        <w14:solidFill>
                          <w14:schemeClr w14:val="tx1"/>
                        </w14:solidFill>
                      </w14:textFill>
                    </w:rPr>
                  </w:pPr>
                </w:p>
              </w:tc>
              <w:tc>
                <w:tcPr>
                  <w:tcW w:w="217" w:type="pct"/>
                  <w:vMerge w:val="continue"/>
                  <w:vAlign w:val="center"/>
                </w:tcPr>
                <w:p w14:paraId="6B8B0952">
                  <w:pPr>
                    <w:topLinePunct/>
                    <w:adjustRightInd w:val="0"/>
                    <w:snapToGrid w:val="0"/>
                    <w:jc w:val="center"/>
                    <w:rPr>
                      <w:color w:val="000000" w:themeColor="text1"/>
                      <w:sz w:val="18"/>
                      <w:szCs w:val="18"/>
                      <w14:textFill>
                        <w14:solidFill>
                          <w14:schemeClr w14:val="tx1"/>
                        </w14:solidFill>
                      </w14:textFill>
                    </w:rPr>
                  </w:pPr>
                </w:p>
              </w:tc>
              <w:tc>
                <w:tcPr>
                  <w:tcW w:w="217" w:type="pct"/>
                  <w:vMerge w:val="continue"/>
                  <w:vAlign w:val="center"/>
                </w:tcPr>
                <w:p w14:paraId="59D397DB">
                  <w:pPr>
                    <w:topLinePunct/>
                    <w:adjustRightInd w:val="0"/>
                    <w:snapToGrid w:val="0"/>
                    <w:jc w:val="center"/>
                    <w:rPr>
                      <w:color w:val="000000" w:themeColor="text1"/>
                      <w:sz w:val="18"/>
                      <w:szCs w:val="18"/>
                      <w14:textFill>
                        <w14:solidFill>
                          <w14:schemeClr w14:val="tx1"/>
                        </w14:solidFill>
                      </w14:textFill>
                    </w:rPr>
                  </w:pPr>
                </w:p>
              </w:tc>
              <w:tc>
                <w:tcPr>
                  <w:tcW w:w="2284" w:type="pct"/>
                  <w:vMerge w:val="continue"/>
                  <w:vAlign w:val="center"/>
                </w:tcPr>
                <w:p w14:paraId="4FF17045">
                  <w:pPr>
                    <w:topLinePunct/>
                    <w:adjustRightInd w:val="0"/>
                    <w:snapToGrid w:val="0"/>
                    <w:jc w:val="center"/>
                    <w:rPr>
                      <w:color w:val="000000" w:themeColor="text1"/>
                      <w:sz w:val="18"/>
                      <w:szCs w:val="18"/>
                      <w14:textFill>
                        <w14:solidFill>
                          <w14:schemeClr w14:val="tx1"/>
                        </w14:solidFill>
                      </w14:textFill>
                    </w:rPr>
                  </w:pPr>
                </w:p>
              </w:tc>
            </w:tr>
            <w:tr w14:paraId="3A15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vAlign w:val="center"/>
                </w:tcPr>
                <w:p w14:paraId="79CEA100">
                  <w:pPr>
                    <w:topLinePunct/>
                    <w:adjustRightInd w:val="0"/>
                    <w:snapToGrid w:val="0"/>
                    <w:jc w:val="center"/>
                    <w:rPr>
                      <w:color w:val="000000" w:themeColor="text1"/>
                      <w:sz w:val="18"/>
                      <w:szCs w:val="18"/>
                      <w14:textFill>
                        <w14:solidFill>
                          <w14:schemeClr w14:val="tx1"/>
                        </w14:solidFill>
                      </w14:textFill>
                    </w:rPr>
                  </w:pPr>
                </w:p>
              </w:tc>
              <w:tc>
                <w:tcPr>
                  <w:tcW w:w="354" w:type="pct"/>
                  <w:shd w:val="clear" w:color="auto" w:fill="auto"/>
                  <w:vAlign w:val="center"/>
                </w:tcPr>
                <w:p w14:paraId="07036D52">
                  <w:pPr>
                    <w:pStyle w:val="46"/>
                    <w:rPr>
                      <w:color w:val="000000" w:themeColor="text1"/>
                      <w:szCs w:val="18"/>
                      <w:lang w:bidi="ar"/>
                      <w14:textFill>
                        <w14:solidFill>
                          <w14:schemeClr w14:val="tx1"/>
                        </w14:solidFill>
                      </w14:textFill>
                    </w:rPr>
                  </w:pPr>
                  <w:r>
                    <w:rPr>
                      <w:color w:val="000000" w:themeColor="text1"/>
                      <w14:textFill>
                        <w14:solidFill>
                          <w14:schemeClr w14:val="tx1"/>
                        </w14:solidFill>
                      </w14:textFill>
                    </w:rPr>
                    <w:t>废油桶</w:t>
                  </w:r>
                </w:p>
              </w:tc>
              <w:tc>
                <w:tcPr>
                  <w:tcW w:w="341" w:type="pct"/>
                  <w:shd w:val="clear" w:color="auto" w:fill="auto"/>
                  <w:vAlign w:val="center"/>
                </w:tcPr>
                <w:p w14:paraId="2985A10E">
                  <w:pPr>
                    <w:topLinePunct/>
                    <w:adjustRightInd w:val="0"/>
                    <w:snapToGrid w:val="0"/>
                    <w:jc w:val="center"/>
                    <w:rPr>
                      <w:rFonts w:hint="default" w:eastAsia="宋体"/>
                      <w:color w:val="000000" w:themeColor="text1"/>
                      <w:sz w:val="18"/>
                      <w:szCs w:val="18"/>
                      <w:lang w:val="en-US" w:eastAsia="zh-CN"/>
                      <w14:textFill>
                        <w14:solidFill>
                          <w14:schemeClr w14:val="tx1"/>
                        </w14:solidFill>
                      </w14:textFill>
                    </w:rPr>
                  </w:pPr>
                  <w:r>
                    <w:rPr>
                      <w:color w:val="000000" w:themeColor="text1"/>
                      <w:sz w:val="18"/>
                      <w:szCs w:val="18"/>
                      <w14:textFill>
                        <w14:solidFill>
                          <w14:schemeClr w14:val="tx1"/>
                        </w14:solidFill>
                      </w14:textFill>
                    </w:rPr>
                    <w:t>HW</w:t>
                  </w:r>
                  <w:r>
                    <w:rPr>
                      <w:rFonts w:hint="eastAsia"/>
                      <w:color w:val="000000" w:themeColor="text1"/>
                      <w:sz w:val="18"/>
                      <w:szCs w:val="18"/>
                      <w:lang w:val="en-US" w:eastAsia="zh-CN"/>
                      <w14:textFill>
                        <w14:solidFill>
                          <w14:schemeClr w14:val="tx1"/>
                        </w14:solidFill>
                      </w14:textFill>
                    </w:rPr>
                    <w:t>08</w:t>
                  </w:r>
                </w:p>
              </w:tc>
              <w:tc>
                <w:tcPr>
                  <w:tcW w:w="429" w:type="pct"/>
                  <w:shd w:val="clear" w:color="auto" w:fill="auto"/>
                  <w:vAlign w:val="center"/>
                </w:tcPr>
                <w:p w14:paraId="06806DC2">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900-249-08</w:t>
                  </w:r>
                </w:p>
              </w:tc>
              <w:tc>
                <w:tcPr>
                  <w:tcW w:w="250" w:type="pct"/>
                  <w:shd w:val="clear" w:color="auto" w:fill="auto"/>
                  <w:vAlign w:val="center"/>
                </w:tcPr>
                <w:p w14:paraId="07FF4C86">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T</w:t>
                  </w:r>
                  <w:r>
                    <w:rPr>
                      <w:rStyle w:val="27"/>
                      <w:rFonts w:hint="eastAsia"/>
                      <w:color w:val="000000" w:themeColor="text1"/>
                      <w:kern w:val="0"/>
                      <w14:textFill>
                        <w14:solidFill>
                          <w14:schemeClr w14:val="tx1"/>
                        </w14:solidFill>
                      </w14:textFill>
                    </w:rPr>
                    <w:t>,</w:t>
                  </w:r>
                  <w:r>
                    <w:rPr>
                      <w:rFonts w:hint="eastAsia"/>
                      <w:color w:val="000000" w:themeColor="text1"/>
                      <w:sz w:val="18"/>
                      <w:szCs w:val="18"/>
                      <w14:textFill>
                        <w14:solidFill>
                          <w14:schemeClr w14:val="tx1"/>
                        </w14:solidFill>
                      </w14:textFill>
                    </w:rPr>
                    <w:t>I</w:t>
                  </w:r>
                </w:p>
              </w:tc>
              <w:tc>
                <w:tcPr>
                  <w:tcW w:w="287" w:type="pct"/>
                  <w:shd w:val="clear" w:color="auto" w:fill="auto"/>
                  <w:vAlign w:val="center"/>
                </w:tcPr>
                <w:p w14:paraId="68276820">
                  <w:pPr>
                    <w:topLinePunct/>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固态，桶装</w:t>
                  </w:r>
                </w:p>
              </w:tc>
              <w:tc>
                <w:tcPr>
                  <w:tcW w:w="217" w:type="pct"/>
                  <w:vMerge w:val="continue"/>
                  <w:vAlign w:val="center"/>
                </w:tcPr>
                <w:p w14:paraId="4AD27D59">
                  <w:pPr>
                    <w:topLinePunct/>
                    <w:adjustRightInd w:val="0"/>
                    <w:snapToGrid w:val="0"/>
                    <w:jc w:val="center"/>
                    <w:rPr>
                      <w:color w:val="000000" w:themeColor="text1"/>
                      <w:sz w:val="18"/>
                      <w:szCs w:val="18"/>
                      <w14:textFill>
                        <w14:solidFill>
                          <w14:schemeClr w14:val="tx1"/>
                        </w14:solidFill>
                      </w14:textFill>
                    </w:rPr>
                  </w:pPr>
                </w:p>
              </w:tc>
              <w:tc>
                <w:tcPr>
                  <w:tcW w:w="217" w:type="pct"/>
                  <w:vMerge w:val="continue"/>
                  <w:vAlign w:val="center"/>
                </w:tcPr>
                <w:p w14:paraId="081FA47D">
                  <w:pPr>
                    <w:topLinePunct/>
                    <w:adjustRightInd w:val="0"/>
                    <w:snapToGrid w:val="0"/>
                    <w:jc w:val="center"/>
                    <w:rPr>
                      <w:color w:val="000000" w:themeColor="text1"/>
                      <w:sz w:val="18"/>
                      <w:szCs w:val="18"/>
                      <w14:textFill>
                        <w14:solidFill>
                          <w14:schemeClr w14:val="tx1"/>
                        </w14:solidFill>
                      </w14:textFill>
                    </w:rPr>
                  </w:pPr>
                </w:p>
              </w:tc>
              <w:tc>
                <w:tcPr>
                  <w:tcW w:w="217" w:type="pct"/>
                  <w:vMerge w:val="continue"/>
                  <w:vAlign w:val="center"/>
                </w:tcPr>
                <w:p w14:paraId="75A41807">
                  <w:pPr>
                    <w:topLinePunct/>
                    <w:adjustRightInd w:val="0"/>
                    <w:snapToGrid w:val="0"/>
                    <w:jc w:val="center"/>
                    <w:rPr>
                      <w:color w:val="000000" w:themeColor="text1"/>
                      <w:sz w:val="18"/>
                      <w:szCs w:val="18"/>
                      <w14:textFill>
                        <w14:solidFill>
                          <w14:schemeClr w14:val="tx1"/>
                        </w14:solidFill>
                      </w14:textFill>
                    </w:rPr>
                  </w:pPr>
                </w:p>
              </w:tc>
              <w:tc>
                <w:tcPr>
                  <w:tcW w:w="2284" w:type="pct"/>
                  <w:vMerge w:val="continue"/>
                  <w:vAlign w:val="center"/>
                </w:tcPr>
                <w:p w14:paraId="40F60B21">
                  <w:pPr>
                    <w:topLinePunct/>
                    <w:adjustRightInd w:val="0"/>
                    <w:snapToGrid w:val="0"/>
                    <w:jc w:val="center"/>
                    <w:rPr>
                      <w:color w:val="000000" w:themeColor="text1"/>
                      <w:sz w:val="18"/>
                      <w:szCs w:val="18"/>
                      <w14:textFill>
                        <w14:solidFill>
                          <w14:schemeClr w14:val="tx1"/>
                        </w14:solidFill>
                      </w14:textFill>
                    </w:rPr>
                  </w:pPr>
                </w:p>
              </w:tc>
            </w:tr>
            <w:tr w14:paraId="3D20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10"/>
                  <w:vAlign w:val="center"/>
                </w:tcPr>
                <w:p w14:paraId="6FBCE813">
                  <w:pPr>
                    <w:adjustRightInd w:val="0"/>
                    <w:snapToGrid w:val="0"/>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注：T：毒性；C：腐蚀性；I：易燃性；R：反应性；In：感染性</w:t>
                  </w:r>
                  <w:r>
                    <w:rPr>
                      <w:rFonts w:hint="eastAsia"/>
                      <w:color w:val="000000" w:themeColor="text1"/>
                      <w:sz w:val="18"/>
                      <w:szCs w:val="18"/>
                      <w14:textFill>
                        <w14:solidFill>
                          <w14:schemeClr w14:val="tx1"/>
                        </w14:solidFill>
                      </w14:textFill>
                    </w:rPr>
                    <w:t>。</w:t>
                  </w:r>
                </w:p>
              </w:tc>
            </w:tr>
          </w:tbl>
          <w:p w14:paraId="135289C4">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从上述表格可知，项目危险废物贮存场所选址可行，场所贮存能力满足要求。项目危险废物通过各污染防治措施，贮存符合相关要求，不会对周围环境空气、地表水、地下水、土壤以及环境敏感保护目标造成影响。</w:t>
            </w:r>
          </w:p>
          <w:p w14:paraId="607BD49B">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③</w:t>
            </w:r>
            <w:r>
              <w:rPr>
                <w:color w:val="000000" w:themeColor="text1"/>
                <w14:textFill>
                  <w14:solidFill>
                    <w14:schemeClr w14:val="tx1"/>
                  </w14:solidFill>
                </w14:textFill>
              </w:rPr>
              <w:t>危险废物的运输要求</w:t>
            </w:r>
          </w:p>
          <w:p w14:paraId="09982530">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按照《危险废物收集贮存运输技术规范》（HJ2025-2012），本项目危险废物的运输由持有危险废物经营许可证的单位按照其许可证的经营范围组织，并由获得交通运输部门颁发的危险货物运输资质的单位承担运输。危险废物运输时的中转、装卸过程应遵守规范技术要求：</w:t>
            </w:r>
          </w:p>
          <w:p w14:paraId="2CD764FA">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1）装卸区的工作人员应熟悉废物的危险特性并配备适当的个人防护装备；</w:t>
            </w:r>
          </w:p>
          <w:p w14:paraId="5E4989AF">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2）装卸区应配备必要的消防设备和设施，并设置明显的指示标志；</w:t>
            </w:r>
          </w:p>
          <w:p w14:paraId="4633E7A0">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3）危险废物装卸区应设置隔离设施。项目产生的危险废物严格按照危险废物运输的管理规定进行运输，减少运输过程中的二次污染和可能造成的环境风险，因此采取的污染防治措施可行。</w:t>
            </w:r>
          </w:p>
          <w:p w14:paraId="5049B1ED">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④</w:t>
            </w:r>
            <w:r>
              <w:rPr>
                <w:color w:val="000000" w:themeColor="text1"/>
                <w14:textFill>
                  <w14:solidFill>
                    <w14:schemeClr w14:val="tx1"/>
                  </w14:solidFill>
                </w14:textFill>
              </w:rPr>
              <w:t>危险废物的管理要求</w:t>
            </w:r>
          </w:p>
          <w:p w14:paraId="363BB1E8">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加强对危险废物的管理，对危险废物的产生、利用、收集、运输、贮存处置等环节建立追踪性的账目和手续，并纳入生态环境部门的监督管理：</w:t>
            </w:r>
          </w:p>
          <w:p w14:paraId="2B24DED5">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1）危险废物管理计划制定程序：</w:t>
            </w:r>
          </w:p>
          <w:p w14:paraId="40856B25">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a.管理计划应由具有法人资格的产废单位制定。对拥有子公司（具有独立法人资格）、分公司（不具有独立法人资格）或者生产基地的集团公司（统称集团公司），按以下规则进行制定：1）子公司单独制定。2）分公司或者生产基地（统称所属单位），按照属地管理原则划分制定单位。所属单位可与集团公司一起制定，也可分别单独制定。原则上。所属单位与集团公司不在同一社区的市的，应当分别单独制定。</w:t>
            </w:r>
          </w:p>
          <w:p w14:paraId="596C3525">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b.管理计划应以书面形式制定并装订成册，封面和正文的排版使用既定格式（封面可增加企业标志）。按照填表说明填写《危险废物管理计划》，并附《危险废物管理计划备案登记表》。危险废物源头减量计划和措施：产废单位根据自身产品生产和危险废物产生情况，在借鉴同行业发展水平和经验的基础上，提出减少危险废物产生量和危害性的计划，明确改进原料、工艺、技术、管理等方面的具体措施</w:t>
            </w:r>
          </w:p>
          <w:p w14:paraId="273FA9F4">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2）危险废物转移环节：</w:t>
            </w:r>
          </w:p>
          <w:p w14:paraId="5067C37E">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危险废物贮存情况：产废单位应明确危险废物贮存设施现状，包括设施名称、数量、类型、面积及贮存能力，掌握贮存危险废物的类别、名称、数量及贮存原因，提出危险废物贮存过程的污染防治和事故预防措施等内容。</w:t>
            </w:r>
          </w:p>
          <w:p w14:paraId="37C3880C">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危险废物运输情况：危险废物运输应遵守危险货物运输管理的相关规定，按照危险废物特性分类运输。自行运输危险废物的应描述拟采用运输工具状，包括工具种类、载重量、使用年限、危险货物运输资质、污染防治和事故预防措施等；委托外单位运输危险废物的，应描述委托运输具体状况，包括委托运输单位、危险货物运输资质等。</w:t>
            </w:r>
          </w:p>
          <w:p w14:paraId="634714F1">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危险废物转移情况：产废单位需要将危险废物转移出厂区的，应制定转移计划，其内容包括：危险废物数量、种类；拟接收危险废物的经营单位等。</w:t>
            </w:r>
          </w:p>
          <w:p w14:paraId="38FB4090">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3）危险废物利用处置环节：</w:t>
            </w:r>
          </w:p>
          <w:p w14:paraId="19E89414">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危险废物自行利用处置情况主要包括：设施名称、利用处置废物方式、总投资、设计能力、设计使用年限、投入运行时间、运行费用、主要设备及数量、利用处置效果、利用处置废物的名称和数量、工艺流程、二次环境污染控制和事故预防措施等。危险废物委托利用处置情况主要包括：委托利用处置单位名称、经营单位许可证编号、委托利用处置危险废物名称、利用处置方式、本年度计划委托量和上年度委托量等。</w:t>
            </w:r>
          </w:p>
          <w:p w14:paraId="0A858CD9">
            <w:pPr>
              <w:pStyle w:val="42"/>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四、声环境影响分析</w:t>
            </w:r>
          </w:p>
          <w:p w14:paraId="4079228B">
            <w:pPr>
              <w:pStyle w:val="42"/>
              <w:ind w:firstLine="422"/>
              <w:rPr>
                <w:b/>
                <w:bCs/>
                <w:color w:val="000000" w:themeColor="text1"/>
                <w14:textFill>
                  <w14:solidFill>
                    <w14:schemeClr w14:val="tx1"/>
                  </w14:solidFill>
                </w14:textFill>
              </w:rPr>
            </w:pPr>
            <w:r>
              <w:rPr>
                <w:b/>
                <w:bCs/>
                <w:color w:val="000000" w:themeColor="text1"/>
                <w14:textFill>
                  <w14:solidFill>
                    <w14:schemeClr w14:val="tx1"/>
                  </w14:solidFill>
                </w14:textFill>
              </w:rPr>
              <w:t>1、噪声污染源源强核算</w:t>
            </w:r>
          </w:p>
          <w:p w14:paraId="022F13CE">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本项目主要噪声源为机器设备运行时产生的噪声，根据</w:t>
            </w:r>
            <w:r>
              <w:rPr>
                <w:rFonts w:hint="eastAsia"/>
                <w:color w:val="000000" w:themeColor="text1"/>
                <w14:textFill>
                  <w14:solidFill>
                    <w14:schemeClr w14:val="tx1"/>
                  </w14:solidFill>
                </w14:textFill>
              </w:rPr>
              <w:t>设备的参数，</w:t>
            </w:r>
            <w:r>
              <w:rPr>
                <w:color w:val="000000" w:themeColor="text1"/>
                <w14:textFill>
                  <w14:solidFill>
                    <w14:schemeClr w14:val="tx1"/>
                  </w14:solidFill>
                </w14:textFill>
              </w:rPr>
              <w:t>噪声综合源强约为70~90dB（A），建设单位通过</w:t>
            </w:r>
            <w:r>
              <w:rPr>
                <w:rFonts w:hint="eastAsia"/>
                <w:color w:val="000000" w:themeColor="text1"/>
                <w14:textFill>
                  <w14:solidFill>
                    <w14:schemeClr w14:val="tx1"/>
                  </w14:solidFill>
                </w14:textFill>
              </w:rPr>
              <w:t>采用低噪声设备，安装减震基座，厂房隔声，生产设备合理布局，削减量可达20</w:t>
            </w:r>
            <w:r>
              <w:rPr>
                <w:color w:val="000000" w:themeColor="text1"/>
                <w14:textFill>
                  <w14:solidFill>
                    <w14:schemeClr w14:val="tx1"/>
                  </w14:solidFill>
                </w14:textFill>
              </w:rPr>
              <w:t>dB(A</w:t>
            </w:r>
            <w:r>
              <w:rPr>
                <w:rFonts w:hint="eastAsia"/>
                <w:color w:val="000000" w:themeColor="text1"/>
                <w14:textFill>
                  <w14:solidFill>
                    <w14:schemeClr w14:val="tx1"/>
                  </w14:solidFill>
                </w14:textFill>
              </w:rPr>
              <w:t>）以上</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项目设备噪声，建设项目主要设备噪声源强情况如下表所示。</w:t>
            </w:r>
          </w:p>
          <w:p w14:paraId="63176920">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项目主要噪声源强一览表单位dB（A）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670"/>
              <w:gridCol w:w="2642"/>
              <w:gridCol w:w="1043"/>
              <w:gridCol w:w="756"/>
              <w:gridCol w:w="759"/>
              <w:gridCol w:w="486"/>
              <w:gridCol w:w="493"/>
              <w:gridCol w:w="1085"/>
              <w:gridCol w:w="1311"/>
              <w:gridCol w:w="671"/>
              <w:gridCol w:w="1376"/>
              <w:gridCol w:w="1024"/>
              <w:gridCol w:w="857"/>
            </w:tblGrid>
            <w:tr w14:paraId="16ED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D9D9D9"/>
                  <w:vAlign w:val="center"/>
                </w:tcPr>
                <w:p w14:paraId="1428DFAD">
                  <w:pPr>
                    <w:pStyle w:val="46"/>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序号</w:t>
                  </w:r>
                </w:p>
              </w:tc>
              <w:tc>
                <w:tcPr>
                  <w:tcW w:w="0" w:type="auto"/>
                  <w:vMerge w:val="restart"/>
                  <w:shd w:val="clear" w:color="auto" w:fill="D9D9D9"/>
                  <w:vAlign w:val="center"/>
                </w:tcPr>
                <w:p w14:paraId="7F199B4D">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建筑物</w:t>
                  </w:r>
                </w:p>
              </w:tc>
              <w:tc>
                <w:tcPr>
                  <w:tcW w:w="0" w:type="auto"/>
                  <w:vMerge w:val="restart"/>
                  <w:shd w:val="clear" w:color="auto" w:fill="D9D9D9"/>
                  <w:vAlign w:val="center"/>
                </w:tcPr>
                <w:p w14:paraId="1467E6AA">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设备名称</w:t>
                  </w:r>
                </w:p>
              </w:tc>
              <w:tc>
                <w:tcPr>
                  <w:tcW w:w="1043" w:type="dxa"/>
                  <w:shd w:val="clear" w:color="auto" w:fill="D9D9D9"/>
                  <w:vAlign w:val="center"/>
                </w:tcPr>
                <w:p w14:paraId="7108CDD0">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声源源强</w:t>
                  </w:r>
                </w:p>
              </w:tc>
              <w:tc>
                <w:tcPr>
                  <w:tcW w:w="2001" w:type="dxa"/>
                  <w:gridSpan w:val="3"/>
                  <w:shd w:val="clear" w:color="auto" w:fill="D9D9D9"/>
                  <w:vAlign w:val="center"/>
                </w:tcPr>
                <w:p w14:paraId="79CC9E65">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空间相对位置/m</w:t>
                  </w:r>
                </w:p>
              </w:tc>
              <w:tc>
                <w:tcPr>
                  <w:tcW w:w="493" w:type="dxa"/>
                  <w:vMerge w:val="restart"/>
                  <w:shd w:val="clear" w:color="auto" w:fill="D9D9D9"/>
                  <w:vAlign w:val="center"/>
                </w:tcPr>
                <w:p w14:paraId="39E57005">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方向</w:t>
                  </w:r>
                </w:p>
              </w:tc>
              <w:tc>
                <w:tcPr>
                  <w:tcW w:w="0" w:type="auto"/>
                  <w:vMerge w:val="restart"/>
                  <w:shd w:val="clear" w:color="auto" w:fill="D9D9D9"/>
                  <w:vAlign w:val="center"/>
                </w:tcPr>
                <w:p w14:paraId="320735E0">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距室内边界距离/m</w:t>
                  </w:r>
                </w:p>
              </w:tc>
              <w:tc>
                <w:tcPr>
                  <w:tcW w:w="0" w:type="auto"/>
                  <w:vMerge w:val="restart"/>
                  <w:shd w:val="clear" w:color="auto" w:fill="D9D9D9"/>
                  <w:vAlign w:val="center"/>
                </w:tcPr>
                <w:p w14:paraId="59AAA5D8">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室内边界声级/dB(A)</w:t>
                  </w:r>
                </w:p>
              </w:tc>
              <w:tc>
                <w:tcPr>
                  <w:tcW w:w="0" w:type="auto"/>
                  <w:vMerge w:val="restart"/>
                  <w:shd w:val="clear" w:color="auto" w:fill="D9D9D9"/>
                  <w:vAlign w:val="center"/>
                </w:tcPr>
                <w:p w14:paraId="02A936A6">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运行时段</w:t>
                  </w:r>
                </w:p>
              </w:tc>
              <w:tc>
                <w:tcPr>
                  <w:tcW w:w="0" w:type="auto"/>
                  <w:vMerge w:val="restart"/>
                  <w:shd w:val="clear" w:color="auto" w:fill="D9D9D9"/>
                  <w:vAlign w:val="center"/>
                </w:tcPr>
                <w:p w14:paraId="30A2365A">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建筑物插入损失/dB(A)</w:t>
                  </w:r>
                </w:p>
              </w:tc>
              <w:tc>
                <w:tcPr>
                  <w:tcW w:w="0" w:type="auto"/>
                  <w:gridSpan w:val="2"/>
                  <w:shd w:val="clear" w:color="auto" w:fill="D9D9D9"/>
                  <w:vAlign w:val="center"/>
                </w:tcPr>
                <w:p w14:paraId="5A0BEF71">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建筑物外噪声</w:t>
                  </w:r>
                </w:p>
              </w:tc>
            </w:tr>
            <w:tr w14:paraId="7F81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D9D9D9"/>
                  <w:vAlign w:val="center"/>
                </w:tcPr>
                <w:p w14:paraId="34B6092C">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468AB8EC">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52E50AB4">
                  <w:pPr>
                    <w:pStyle w:val="46"/>
                    <w:rPr>
                      <w:b/>
                      <w:bCs/>
                      <w:color w:val="000000" w:themeColor="text1"/>
                      <w14:textFill>
                        <w14:solidFill>
                          <w14:schemeClr w14:val="tx1"/>
                        </w14:solidFill>
                      </w14:textFill>
                    </w:rPr>
                  </w:pPr>
                </w:p>
              </w:tc>
              <w:tc>
                <w:tcPr>
                  <w:tcW w:w="1043" w:type="dxa"/>
                  <w:shd w:val="clear" w:color="auto" w:fill="D9D9D9"/>
                  <w:vAlign w:val="center"/>
                </w:tcPr>
                <w:p w14:paraId="37D8747B">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声功率级/dB(A</w:t>
                  </w:r>
                </w:p>
              </w:tc>
              <w:tc>
                <w:tcPr>
                  <w:tcW w:w="756" w:type="dxa"/>
                  <w:shd w:val="clear" w:color="auto" w:fill="D9D9D9"/>
                  <w:vAlign w:val="center"/>
                </w:tcPr>
                <w:p w14:paraId="05F96B67">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0" w:type="auto"/>
                  <w:shd w:val="clear" w:color="auto" w:fill="D9D9D9"/>
                  <w:vAlign w:val="center"/>
                </w:tcPr>
                <w:p w14:paraId="4C9A044A">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486" w:type="dxa"/>
                  <w:shd w:val="clear" w:color="auto" w:fill="D9D9D9"/>
                  <w:vAlign w:val="center"/>
                </w:tcPr>
                <w:p w14:paraId="4BA37BB9">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Z</w:t>
                  </w:r>
                </w:p>
              </w:tc>
              <w:tc>
                <w:tcPr>
                  <w:tcW w:w="493" w:type="dxa"/>
                  <w:vMerge w:val="continue"/>
                  <w:shd w:val="clear" w:color="auto" w:fill="D9D9D9"/>
                  <w:vAlign w:val="center"/>
                </w:tcPr>
                <w:p w14:paraId="59CE572D">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5BF3338F">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1C0DE977">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5CC23F03">
                  <w:pPr>
                    <w:pStyle w:val="46"/>
                    <w:rPr>
                      <w:b/>
                      <w:bCs/>
                      <w:color w:val="000000" w:themeColor="text1"/>
                      <w14:textFill>
                        <w14:solidFill>
                          <w14:schemeClr w14:val="tx1"/>
                        </w14:solidFill>
                      </w14:textFill>
                    </w:rPr>
                  </w:pPr>
                </w:p>
              </w:tc>
              <w:tc>
                <w:tcPr>
                  <w:tcW w:w="0" w:type="auto"/>
                  <w:vMerge w:val="continue"/>
                  <w:shd w:val="clear" w:color="auto" w:fill="D9D9D9"/>
                  <w:vAlign w:val="center"/>
                </w:tcPr>
                <w:p w14:paraId="22F84C8E">
                  <w:pPr>
                    <w:pStyle w:val="46"/>
                    <w:rPr>
                      <w:b/>
                      <w:bCs/>
                      <w:color w:val="000000" w:themeColor="text1"/>
                      <w14:textFill>
                        <w14:solidFill>
                          <w14:schemeClr w14:val="tx1"/>
                        </w14:solidFill>
                      </w14:textFill>
                    </w:rPr>
                  </w:pPr>
                </w:p>
              </w:tc>
              <w:tc>
                <w:tcPr>
                  <w:tcW w:w="1024" w:type="dxa"/>
                  <w:shd w:val="clear" w:color="auto" w:fill="D9D9D9"/>
                  <w:vAlign w:val="center"/>
                </w:tcPr>
                <w:p w14:paraId="2A9D9DBB">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声压级/dB(A)</w:t>
                  </w:r>
                </w:p>
              </w:tc>
              <w:tc>
                <w:tcPr>
                  <w:tcW w:w="857" w:type="dxa"/>
                  <w:shd w:val="clear" w:color="auto" w:fill="D9D9D9"/>
                  <w:vAlign w:val="center"/>
                </w:tcPr>
                <w:p w14:paraId="7BB8E6F9">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建筑物外距离</w:t>
                  </w:r>
                </w:p>
              </w:tc>
            </w:tr>
            <w:tr w14:paraId="50B5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restart"/>
                  <w:shd w:val="clear" w:color="auto" w:fill="auto"/>
                  <w:vAlign w:val="center"/>
                </w:tcPr>
                <w:p w14:paraId="30FD911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c>
                <w:tcPr>
                  <w:tcW w:w="670" w:type="dxa"/>
                  <w:vMerge w:val="restart"/>
                  <w:shd w:val="clear" w:color="auto" w:fill="auto"/>
                  <w:vAlign w:val="center"/>
                </w:tcPr>
                <w:p w14:paraId="0AB4B26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生产车间</w:t>
                  </w:r>
                </w:p>
              </w:tc>
              <w:tc>
                <w:tcPr>
                  <w:tcW w:w="2642" w:type="dxa"/>
                  <w:vMerge w:val="restart"/>
                  <w:shd w:val="clear" w:color="auto" w:fill="auto"/>
                  <w:vAlign w:val="center"/>
                </w:tcPr>
                <w:p w14:paraId="512D852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棒条振动给料机</w:t>
                  </w:r>
                </w:p>
              </w:tc>
              <w:tc>
                <w:tcPr>
                  <w:tcW w:w="1043" w:type="dxa"/>
                  <w:vMerge w:val="restart"/>
                  <w:shd w:val="clear" w:color="auto" w:fill="auto"/>
                  <w:vAlign w:val="center"/>
                </w:tcPr>
                <w:p w14:paraId="5A59A0D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3B7C9ED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232.28</w:t>
                  </w:r>
                </w:p>
              </w:tc>
              <w:tc>
                <w:tcPr>
                  <w:tcW w:w="759" w:type="dxa"/>
                  <w:vMerge w:val="restart"/>
                  <w:shd w:val="clear" w:color="auto" w:fill="auto"/>
                  <w:vAlign w:val="center"/>
                </w:tcPr>
                <w:p w14:paraId="36E586A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-7.42</w:t>
                  </w:r>
                </w:p>
              </w:tc>
              <w:tc>
                <w:tcPr>
                  <w:tcW w:w="486" w:type="dxa"/>
                  <w:vMerge w:val="restart"/>
                  <w:shd w:val="clear" w:color="auto" w:fill="auto"/>
                  <w:vAlign w:val="center"/>
                </w:tcPr>
                <w:p w14:paraId="1E6C710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41387BF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085" w:type="dxa"/>
                  <w:shd w:val="clear" w:color="auto" w:fill="auto"/>
                  <w:vAlign w:val="center"/>
                </w:tcPr>
                <w:p w14:paraId="2EF7D66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131.91</w:t>
                  </w:r>
                </w:p>
              </w:tc>
              <w:tc>
                <w:tcPr>
                  <w:tcW w:w="1311" w:type="dxa"/>
                  <w:shd w:val="clear" w:color="auto" w:fill="auto"/>
                  <w:vAlign w:val="center"/>
                </w:tcPr>
                <w:p w14:paraId="74E9A91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restart"/>
                  <w:shd w:val="clear" w:color="auto" w:fill="auto"/>
                  <w:vAlign w:val="center"/>
                </w:tcPr>
                <w:p w14:paraId="4309294E">
                  <w:pPr>
                    <w:pStyle w:val="46"/>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1376" w:type="dxa"/>
                  <w:vMerge w:val="restart"/>
                  <w:shd w:val="clear" w:color="auto" w:fill="auto"/>
                  <w:vAlign w:val="center"/>
                </w:tcPr>
                <w:p w14:paraId="51826DA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25</w:t>
                  </w:r>
                </w:p>
              </w:tc>
              <w:tc>
                <w:tcPr>
                  <w:tcW w:w="1024" w:type="dxa"/>
                  <w:shd w:val="clear" w:color="auto" w:fill="auto"/>
                  <w:vAlign w:val="center"/>
                </w:tcPr>
                <w:p w14:paraId="13B6659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5764CA64">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E341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61B5A0E">
                  <w:pPr>
                    <w:pStyle w:val="46"/>
                    <w:rPr>
                      <w:color w:val="000000" w:themeColor="text1"/>
                      <w14:textFill>
                        <w14:solidFill>
                          <w14:schemeClr w14:val="tx1"/>
                        </w14:solidFill>
                      </w14:textFill>
                    </w:rPr>
                  </w:pPr>
                </w:p>
              </w:tc>
              <w:tc>
                <w:tcPr>
                  <w:tcW w:w="670" w:type="dxa"/>
                  <w:vMerge w:val="continue"/>
                  <w:shd w:val="clear" w:color="auto" w:fill="auto"/>
                  <w:vAlign w:val="center"/>
                </w:tcPr>
                <w:p w14:paraId="725AB389">
                  <w:pPr>
                    <w:pStyle w:val="46"/>
                    <w:rPr>
                      <w:color w:val="000000" w:themeColor="text1"/>
                      <w14:textFill>
                        <w14:solidFill>
                          <w14:schemeClr w14:val="tx1"/>
                        </w14:solidFill>
                      </w14:textFill>
                    </w:rPr>
                  </w:pPr>
                </w:p>
              </w:tc>
              <w:tc>
                <w:tcPr>
                  <w:tcW w:w="0" w:type="auto"/>
                  <w:vMerge w:val="continue"/>
                  <w:shd w:val="clear" w:color="auto" w:fill="auto"/>
                  <w:vAlign w:val="center"/>
                </w:tcPr>
                <w:p w14:paraId="1CA6708E">
                  <w:pPr>
                    <w:pStyle w:val="46"/>
                    <w:rPr>
                      <w:color w:val="000000" w:themeColor="text1"/>
                      <w14:textFill>
                        <w14:solidFill>
                          <w14:schemeClr w14:val="tx1"/>
                        </w14:solidFill>
                      </w14:textFill>
                    </w:rPr>
                  </w:pPr>
                </w:p>
              </w:tc>
              <w:tc>
                <w:tcPr>
                  <w:tcW w:w="1043" w:type="dxa"/>
                  <w:vMerge w:val="continue"/>
                  <w:shd w:val="clear" w:color="auto" w:fill="auto"/>
                  <w:vAlign w:val="center"/>
                </w:tcPr>
                <w:p w14:paraId="3838ACB6">
                  <w:pPr>
                    <w:pStyle w:val="46"/>
                    <w:rPr>
                      <w:color w:val="000000" w:themeColor="text1"/>
                      <w14:textFill>
                        <w14:solidFill>
                          <w14:schemeClr w14:val="tx1"/>
                        </w14:solidFill>
                      </w14:textFill>
                    </w:rPr>
                  </w:pPr>
                </w:p>
              </w:tc>
              <w:tc>
                <w:tcPr>
                  <w:tcW w:w="756" w:type="dxa"/>
                  <w:vMerge w:val="continue"/>
                  <w:shd w:val="clear" w:color="auto" w:fill="auto"/>
                  <w:vAlign w:val="center"/>
                </w:tcPr>
                <w:p w14:paraId="714693A3">
                  <w:pPr>
                    <w:pStyle w:val="46"/>
                    <w:rPr>
                      <w:color w:val="000000" w:themeColor="text1"/>
                      <w14:textFill>
                        <w14:solidFill>
                          <w14:schemeClr w14:val="tx1"/>
                        </w14:solidFill>
                      </w14:textFill>
                    </w:rPr>
                  </w:pPr>
                </w:p>
              </w:tc>
              <w:tc>
                <w:tcPr>
                  <w:tcW w:w="0" w:type="auto"/>
                  <w:vMerge w:val="continue"/>
                  <w:shd w:val="clear" w:color="auto" w:fill="auto"/>
                  <w:vAlign w:val="center"/>
                </w:tcPr>
                <w:p w14:paraId="3B9AC608">
                  <w:pPr>
                    <w:pStyle w:val="46"/>
                    <w:rPr>
                      <w:color w:val="000000" w:themeColor="text1"/>
                      <w14:textFill>
                        <w14:solidFill>
                          <w14:schemeClr w14:val="tx1"/>
                        </w14:solidFill>
                      </w14:textFill>
                    </w:rPr>
                  </w:pPr>
                </w:p>
              </w:tc>
              <w:tc>
                <w:tcPr>
                  <w:tcW w:w="486" w:type="dxa"/>
                  <w:vMerge w:val="continue"/>
                  <w:shd w:val="clear" w:color="auto" w:fill="auto"/>
                  <w:vAlign w:val="center"/>
                </w:tcPr>
                <w:p w14:paraId="3BABF773">
                  <w:pPr>
                    <w:pStyle w:val="46"/>
                    <w:rPr>
                      <w:color w:val="000000" w:themeColor="text1"/>
                      <w14:textFill>
                        <w14:solidFill>
                          <w14:schemeClr w14:val="tx1"/>
                        </w14:solidFill>
                      </w14:textFill>
                    </w:rPr>
                  </w:pPr>
                </w:p>
              </w:tc>
              <w:tc>
                <w:tcPr>
                  <w:tcW w:w="493" w:type="dxa"/>
                  <w:shd w:val="clear" w:color="auto" w:fill="auto"/>
                  <w:vAlign w:val="center"/>
                </w:tcPr>
                <w:p w14:paraId="4F40C8C0">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1085" w:type="dxa"/>
                  <w:shd w:val="clear" w:color="auto" w:fill="auto"/>
                  <w:vAlign w:val="center"/>
                </w:tcPr>
                <w:p w14:paraId="03623CA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154.39</w:t>
                  </w:r>
                </w:p>
              </w:tc>
              <w:tc>
                <w:tcPr>
                  <w:tcW w:w="1311" w:type="dxa"/>
                  <w:shd w:val="clear" w:color="auto" w:fill="auto"/>
                  <w:vAlign w:val="center"/>
                </w:tcPr>
                <w:p w14:paraId="6ABD90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0559D966">
                  <w:pPr>
                    <w:pStyle w:val="46"/>
                    <w:rPr>
                      <w:color w:val="000000" w:themeColor="text1"/>
                      <w14:textFill>
                        <w14:solidFill>
                          <w14:schemeClr w14:val="tx1"/>
                        </w14:solidFill>
                      </w14:textFill>
                    </w:rPr>
                  </w:pPr>
                </w:p>
              </w:tc>
              <w:tc>
                <w:tcPr>
                  <w:tcW w:w="1376" w:type="dxa"/>
                  <w:vMerge w:val="continue"/>
                  <w:shd w:val="clear" w:color="auto" w:fill="auto"/>
                  <w:vAlign w:val="center"/>
                </w:tcPr>
                <w:p w14:paraId="62F5DBF2">
                  <w:pPr>
                    <w:pStyle w:val="46"/>
                    <w:rPr>
                      <w:color w:val="000000" w:themeColor="text1"/>
                      <w14:textFill>
                        <w14:solidFill>
                          <w14:schemeClr w14:val="tx1"/>
                        </w14:solidFill>
                      </w14:textFill>
                    </w:rPr>
                  </w:pPr>
                </w:p>
              </w:tc>
              <w:tc>
                <w:tcPr>
                  <w:tcW w:w="1024" w:type="dxa"/>
                  <w:shd w:val="clear" w:color="auto" w:fill="auto"/>
                  <w:vAlign w:val="center"/>
                </w:tcPr>
                <w:p w14:paraId="0D03AE1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613AF775">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33A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20A70706">
                  <w:pPr>
                    <w:pStyle w:val="46"/>
                    <w:rPr>
                      <w:color w:val="000000" w:themeColor="text1"/>
                      <w14:textFill>
                        <w14:solidFill>
                          <w14:schemeClr w14:val="tx1"/>
                        </w14:solidFill>
                      </w14:textFill>
                    </w:rPr>
                  </w:pPr>
                </w:p>
              </w:tc>
              <w:tc>
                <w:tcPr>
                  <w:tcW w:w="670" w:type="dxa"/>
                  <w:vMerge w:val="continue"/>
                  <w:shd w:val="clear" w:color="auto" w:fill="auto"/>
                  <w:vAlign w:val="center"/>
                </w:tcPr>
                <w:p w14:paraId="42C523E8">
                  <w:pPr>
                    <w:pStyle w:val="46"/>
                    <w:rPr>
                      <w:color w:val="000000" w:themeColor="text1"/>
                      <w14:textFill>
                        <w14:solidFill>
                          <w14:schemeClr w14:val="tx1"/>
                        </w14:solidFill>
                      </w14:textFill>
                    </w:rPr>
                  </w:pPr>
                </w:p>
              </w:tc>
              <w:tc>
                <w:tcPr>
                  <w:tcW w:w="0" w:type="auto"/>
                  <w:vMerge w:val="continue"/>
                  <w:shd w:val="clear" w:color="auto" w:fill="auto"/>
                  <w:vAlign w:val="center"/>
                </w:tcPr>
                <w:p w14:paraId="1FFF5400">
                  <w:pPr>
                    <w:pStyle w:val="46"/>
                    <w:rPr>
                      <w:color w:val="000000" w:themeColor="text1"/>
                      <w14:textFill>
                        <w14:solidFill>
                          <w14:schemeClr w14:val="tx1"/>
                        </w14:solidFill>
                      </w14:textFill>
                    </w:rPr>
                  </w:pPr>
                </w:p>
              </w:tc>
              <w:tc>
                <w:tcPr>
                  <w:tcW w:w="1043" w:type="dxa"/>
                  <w:vMerge w:val="continue"/>
                  <w:shd w:val="clear" w:color="auto" w:fill="auto"/>
                  <w:vAlign w:val="center"/>
                </w:tcPr>
                <w:p w14:paraId="214639E0">
                  <w:pPr>
                    <w:pStyle w:val="46"/>
                    <w:rPr>
                      <w:color w:val="000000" w:themeColor="text1"/>
                      <w14:textFill>
                        <w14:solidFill>
                          <w14:schemeClr w14:val="tx1"/>
                        </w14:solidFill>
                      </w14:textFill>
                    </w:rPr>
                  </w:pPr>
                </w:p>
              </w:tc>
              <w:tc>
                <w:tcPr>
                  <w:tcW w:w="756" w:type="dxa"/>
                  <w:vMerge w:val="continue"/>
                  <w:shd w:val="clear" w:color="auto" w:fill="auto"/>
                  <w:vAlign w:val="center"/>
                </w:tcPr>
                <w:p w14:paraId="1E2710DB">
                  <w:pPr>
                    <w:pStyle w:val="46"/>
                    <w:rPr>
                      <w:color w:val="000000" w:themeColor="text1"/>
                      <w14:textFill>
                        <w14:solidFill>
                          <w14:schemeClr w14:val="tx1"/>
                        </w14:solidFill>
                      </w14:textFill>
                    </w:rPr>
                  </w:pPr>
                </w:p>
              </w:tc>
              <w:tc>
                <w:tcPr>
                  <w:tcW w:w="0" w:type="auto"/>
                  <w:vMerge w:val="continue"/>
                  <w:shd w:val="clear" w:color="auto" w:fill="auto"/>
                  <w:vAlign w:val="center"/>
                </w:tcPr>
                <w:p w14:paraId="5BBE6A2A">
                  <w:pPr>
                    <w:pStyle w:val="46"/>
                    <w:rPr>
                      <w:color w:val="000000" w:themeColor="text1"/>
                      <w14:textFill>
                        <w14:solidFill>
                          <w14:schemeClr w14:val="tx1"/>
                        </w14:solidFill>
                      </w14:textFill>
                    </w:rPr>
                  </w:pPr>
                </w:p>
              </w:tc>
              <w:tc>
                <w:tcPr>
                  <w:tcW w:w="486" w:type="dxa"/>
                  <w:vMerge w:val="continue"/>
                  <w:shd w:val="clear" w:color="auto" w:fill="auto"/>
                  <w:vAlign w:val="center"/>
                </w:tcPr>
                <w:p w14:paraId="32FBA779">
                  <w:pPr>
                    <w:pStyle w:val="46"/>
                    <w:rPr>
                      <w:color w:val="000000" w:themeColor="text1"/>
                      <w14:textFill>
                        <w14:solidFill>
                          <w14:schemeClr w14:val="tx1"/>
                        </w14:solidFill>
                      </w14:textFill>
                    </w:rPr>
                  </w:pPr>
                </w:p>
              </w:tc>
              <w:tc>
                <w:tcPr>
                  <w:tcW w:w="493" w:type="dxa"/>
                  <w:shd w:val="clear" w:color="auto" w:fill="auto"/>
                  <w:vAlign w:val="center"/>
                </w:tcPr>
                <w:p w14:paraId="7B549B1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85" w:type="dxa"/>
                  <w:shd w:val="clear" w:color="auto" w:fill="auto"/>
                  <w:vAlign w:val="center"/>
                </w:tcPr>
                <w:p w14:paraId="77CF45F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84.08</w:t>
                  </w:r>
                </w:p>
              </w:tc>
              <w:tc>
                <w:tcPr>
                  <w:tcW w:w="1311" w:type="dxa"/>
                  <w:shd w:val="clear" w:color="auto" w:fill="auto"/>
                  <w:vAlign w:val="center"/>
                </w:tcPr>
                <w:p w14:paraId="65BB984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55.33</w:t>
                  </w:r>
                </w:p>
              </w:tc>
              <w:tc>
                <w:tcPr>
                  <w:tcW w:w="671" w:type="dxa"/>
                  <w:vMerge w:val="continue"/>
                  <w:shd w:val="clear" w:color="auto" w:fill="auto"/>
                  <w:vAlign w:val="center"/>
                </w:tcPr>
                <w:p w14:paraId="68CCBDC4">
                  <w:pPr>
                    <w:pStyle w:val="46"/>
                    <w:rPr>
                      <w:color w:val="000000" w:themeColor="text1"/>
                      <w14:textFill>
                        <w14:solidFill>
                          <w14:schemeClr w14:val="tx1"/>
                        </w14:solidFill>
                      </w14:textFill>
                    </w:rPr>
                  </w:pPr>
                </w:p>
              </w:tc>
              <w:tc>
                <w:tcPr>
                  <w:tcW w:w="1376" w:type="dxa"/>
                  <w:vMerge w:val="continue"/>
                  <w:shd w:val="clear" w:color="auto" w:fill="auto"/>
                  <w:vAlign w:val="center"/>
                </w:tcPr>
                <w:p w14:paraId="11990556">
                  <w:pPr>
                    <w:pStyle w:val="46"/>
                    <w:rPr>
                      <w:color w:val="000000" w:themeColor="text1"/>
                      <w14:textFill>
                        <w14:solidFill>
                          <w14:schemeClr w14:val="tx1"/>
                        </w14:solidFill>
                      </w14:textFill>
                    </w:rPr>
                  </w:pPr>
                </w:p>
              </w:tc>
              <w:tc>
                <w:tcPr>
                  <w:tcW w:w="1024" w:type="dxa"/>
                  <w:shd w:val="clear" w:color="auto" w:fill="auto"/>
                  <w:vAlign w:val="center"/>
                </w:tcPr>
                <w:p w14:paraId="366E74C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24.33</w:t>
                  </w:r>
                </w:p>
              </w:tc>
              <w:tc>
                <w:tcPr>
                  <w:tcW w:w="857" w:type="dxa"/>
                  <w:shd w:val="clear" w:color="auto" w:fill="auto"/>
                  <w:vAlign w:val="center"/>
                </w:tcPr>
                <w:p w14:paraId="4681F903">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04EB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01E3857B">
                  <w:pPr>
                    <w:pStyle w:val="46"/>
                    <w:rPr>
                      <w:color w:val="000000" w:themeColor="text1"/>
                      <w14:textFill>
                        <w14:solidFill>
                          <w14:schemeClr w14:val="tx1"/>
                        </w14:solidFill>
                      </w14:textFill>
                    </w:rPr>
                  </w:pPr>
                </w:p>
              </w:tc>
              <w:tc>
                <w:tcPr>
                  <w:tcW w:w="670" w:type="dxa"/>
                  <w:vMerge w:val="continue"/>
                  <w:shd w:val="clear" w:color="auto" w:fill="auto"/>
                  <w:vAlign w:val="center"/>
                </w:tcPr>
                <w:p w14:paraId="10846621">
                  <w:pPr>
                    <w:pStyle w:val="46"/>
                    <w:rPr>
                      <w:color w:val="000000" w:themeColor="text1"/>
                      <w14:textFill>
                        <w14:solidFill>
                          <w14:schemeClr w14:val="tx1"/>
                        </w14:solidFill>
                      </w14:textFill>
                    </w:rPr>
                  </w:pPr>
                </w:p>
              </w:tc>
              <w:tc>
                <w:tcPr>
                  <w:tcW w:w="0" w:type="auto"/>
                  <w:vMerge w:val="continue"/>
                  <w:shd w:val="clear" w:color="auto" w:fill="auto"/>
                  <w:vAlign w:val="center"/>
                </w:tcPr>
                <w:p w14:paraId="424EAB11">
                  <w:pPr>
                    <w:pStyle w:val="46"/>
                    <w:rPr>
                      <w:color w:val="000000" w:themeColor="text1"/>
                      <w14:textFill>
                        <w14:solidFill>
                          <w14:schemeClr w14:val="tx1"/>
                        </w14:solidFill>
                      </w14:textFill>
                    </w:rPr>
                  </w:pPr>
                </w:p>
              </w:tc>
              <w:tc>
                <w:tcPr>
                  <w:tcW w:w="1043" w:type="dxa"/>
                  <w:vMerge w:val="continue"/>
                  <w:shd w:val="clear" w:color="auto" w:fill="auto"/>
                  <w:vAlign w:val="center"/>
                </w:tcPr>
                <w:p w14:paraId="5F058E66">
                  <w:pPr>
                    <w:pStyle w:val="46"/>
                    <w:rPr>
                      <w:color w:val="000000" w:themeColor="text1"/>
                      <w14:textFill>
                        <w14:solidFill>
                          <w14:schemeClr w14:val="tx1"/>
                        </w14:solidFill>
                      </w14:textFill>
                    </w:rPr>
                  </w:pPr>
                </w:p>
              </w:tc>
              <w:tc>
                <w:tcPr>
                  <w:tcW w:w="756" w:type="dxa"/>
                  <w:vMerge w:val="continue"/>
                  <w:shd w:val="clear" w:color="auto" w:fill="auto"/>
                  <w:vAlign w:val="center"/>
                </w:tcPr>
                <w:p w14:paraId="7334C3E8">
                  <w:pPr>
                    <w:pStyle w:val="46"/>
                    <w:rPr>
                      <w:color w:val="000000" w:themeColor="text1"/>
                      <w14:textFill>
                        <w14:solidFill>
                          <w14:schemeClr w14:val="tx1"/>
                        </w14:solidFill>
                      </w14:textFill>
                    </w:rPr>
                  </w:pPr>
                </w:p>
              </w:tc>
              <w:tc>
                <w:tcPr>
                  <w:tcW w:w="0" w:type="auto"/>
                  <w:vMerge w:val="continue"/>
                  <w:shd w:val="clear" w:color="auto" w:fill="auto"/>
                  <w:vAlign w:val="center"/>
                </w:tcPr>
                <w:p w14:paraId="4A4C87DA">
                  <w:pPr>
                    <w:pStyle w:val="46"/>
                    <w:rPr>
                      <w:color w:val="000000" w:themeColor="text1"/>
                      <w14:textFill>
                        <w14:solidFill>
                          <w14:schemeClr w14:val="tx1"/>
                        </w14:solidFill>
                      </w14:textFill>
                    </w:rPr>
                  </w:pPr>
                </w:p>
              </w:tc>
              <w:tc>
                <w:tcPr>
                  <w:tcW w:w="486" w:type="dxa"/>
                  <w:vMerge w:val="continue"/>
                  <w:shd w:val="clear" w:color="auto" w:fill="auto"/>
                  <w:vAlign w:val="center"/>
                </w:tcPr>
                <w:p w14:paraId="750497AD">
                  <w:pPr>
                    <w:pStyle w:val="46"/>
                    <w:rPr>
                      <w:color w:val="000000" w:themeColor="text1"/>
                      <w14:textFill>
                        <w14:solidFill>
                          <w14:schemeClr w14:val="tx1"/>
                        </w14:solidFill>
                      </w14:textFill>
                    </w:rPr>
                  </w:pPr>
                </w:p>
              </w:tc>
              <w:tc>
                <w:tcPr>
                  <w:tcW w:w="493" w:type="dxa"/>
                  <w:shd w:val="clear" w:color="auto" w:fill="auto"/>
                  <w:vAlign w:val="center"/>
                </w:tcPr>
                <w:p w14:paraId="4C3BADC0">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1085" w:type="dxa"/>
                  <w:shd w:val="clear" w:color="auto" w:fill="auto"/>
                  <w:vAlign w:val="center"/>
                </w:tcPr>
                <w:p w14:paraId="288579C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72.76</w:t>
                  </w:r>
                </w:p>
              </w:tc>
              <w:tc>
                <w:tcPr>
                  <w:tcW w:w="1311" w:type="dxa"/>
                  <w:shd w:val="clear" w:color="auto" w:fill="auto"/>
                  <w:vAlign w:val="center"/>
                </w:tcPr>
                <w:p w14:paraId="239E087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55.34</w:t>
                  </w:r>
                </w:p>
              </w:tc>
              <w:tc>
                <w:tcPr>
                  <w:tcW w:w="671" w:type="dxa"/>
                  <w:vMerge w:val="continue"/>
                  <w:shd w:val="clear" w:color="auto" w:fill="auto"/>
                  <w:vAlign w:val="center"/>
                </w:tcPr>
                <w:p w14:paraId="00B754B0">
                  <w:pPr>
                    <w:pStyle w:val="46"/>
                    <w:rPr>
                      <w:color w:val="000000" w:themeColor="text1"/>
                      <w14:textFill>
                        <w14:solidFill>
                          <w14:schemeClr w14:val="tx1"/>
                        </w14:solidFill>
                      </w14:textFill>
                    </w:rPr>
                  </w:pPr>
                </w:p>
              </w:tc>
              <w:tc>
                <w:tcPr>
                  <w:tcW w:w="1376" w:type="dxa"/>
                  <w:vMerge w:val="continue"/>
                  <w:shd w:val="clear" w:color="auto" w:fill="auto"/>
                  <w:vAlign w:val="center"/>
                </w:tcPr>
                <w:p w14:paraId="143891CC">
                  <w:pPr>
                    <w:pStyle w:val="46"/>
                    <w:rPr>
                      <w:color w:val="000000" w:themeColor="text1"/>
                      <w14:textFill>
                        <w14:solidFill>
                          <w14:schemeClr w14:val="tx1"/>
                        </w14:solidFill>
                      </w14:textFill>
                    </w:rPr>
                  </w:pPr>
                </w:p>
              </w:tc>
              <w:tc>
                <w:tcPr>
                  <w:tcW w:w="1024" w:type="dxa"/>
                  <w:shd w:val="clear" w:color="auto" w:fill="auto"/>
                  <w:vAlign w:val="center"/>
                </w:tcPr>
                <w:p w14:paraId="593DF8E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24.34</w:t>
                  </w:r>
                </w:p>
              </w:tc>
              <w:tc>
                <w:tcPr>
                  <w:tcW w:w="857" w:type="dxa"/>
                  <w:shd w:val="clear" w:color="auto" w:fill="auto"/>
                  <w:vAlign w:val="center"/>
                </w:tcPr>
                <w:p w14:paraId="3981B6CE">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C75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27CB87D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w:t>
                  </w:r>
                </w:p>
              </w:tc>
              <w:tc>
                <w:tcPr>
                  <w:tcW w:w="670" w:type="dxa"/>
                  <w:vMerge w:val="continue"/>
                  <w:shd w:val="clear" w:color="auto" w:fill="auto"/>
                  <w:vAlign w:val="center"/>
                </w:tcPr>
                <w:p w14:paraId="46274255">
                  <w:pPr>
                    <w:pStyle w:val="46"/>
                    <w:rPr>
                      <w:color w:val="000000" w:themeColor="text1"/>
                      <w14:textFill>
                        <w14:solidFill>
                          <w14:schemeClr w14:val="tx1"/>
                        </w14:solidFill>
                      </w14:textFill>
                    </w:rPr>
                  </w:pPr>
                </w:p>
              </w:tc>
              <w:tc>
                <w:tcPr>
                  <w:tcW w:w="2642" w:type="dxa"/>
                  <w:vMerge w:val="restart"/>
                  <w:shd w:val="clear" w:color="auto" w:fill="auto"/>
                  <w:vAlign w:val="center"/>
                </w:tcPr>
                <w:p w14:paraId="6B28A10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颚式破碎机</w:t>
                  </w:r>
                </w:p>
              </w:tc>
              <w:tc>
                <w:tcPr>
                  <w:tcW w:w="1043" w:type="dxa"/>
                  <w:vMerge w:val="restart"/>
                  <w:shd w:val="clear" w:color="auto" w:fill="auto"/>
                  <w:vAlign w:val="center"/>
                </w:tcPr>
                <w:p w14:paraId="10B7585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64C4318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220.7</w:t>
                  </w:r>
                </w:p>
              </w:tc>
              <w:tc>
                <w:tcPr>
                  <w:tcW w:w="759" w:type="dxa"/>
                  <w:vMerge w:val="restart"/>
                  <w:shd w:val="clear" w:color="auto" w:fill="auto"/>
                  <w:vAlign w:val="center"/>
                </w:tcPr>
                <w:p w14:paraId="55AC1B6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-7.42</w:t>
                  </w:r>
                </w:p>
              </w:tc>
              <w:tc>
                <w:tcPr>
                  <w:tcW w:w="486" w:type="dxa"/>
                  <w:vMerge w:val="restart"/>
                  <w:shd w:val="clear" w:color="auto" w:fill="auto"/>
                  <w:vAlign w:val="center"/>
                </w:tcPr>
                <w:p w14:paraId="46A3E35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185608F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37A24BE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125.71</w:t>
                  </w:r>
                </w:p>
              </w:tc>
              <w:tc>
                <w:tcPr>
                  <w:tcW w:w="0" w:type="auto"/>
                  <w:shd w:val="clear" w:color="auto" w:fill="auto"/>
                  <w:vAlign w:val="center"/>
                </w:tcPr>
                <w:p w14:paraId="684615B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63BCB811">
                  <w:pPr>
                    <w:pStyle w:val="46"/>
                    <w:rPr>
                      <w:color w:val="000000" w:themeColor="text1"/>
                      <w14:textFill>
                        <w14:solidFill>
                          <w14:schemeClr w14:val="tx1"/>
                        </w14:solidFill>
                      </w14:textFill>
                    </w:rPr>
                  </w:pPr>
                </w:p>
              </w:tc>
              <w:tc>
                <w:tcPr>
                  <w:tcW w:w="1376" w:type="dxa"/>
                  <w:vMerge w:val="continue"/>
                  <w:shd w:val="clear" w:color="auto" w:fill="auto"/>
                  <w:vAlign w:val="center"/>
                </w:tcPr>
                <w:p w14:paraId="59EE5E28">
                  <w:pPr>
                    <w:pStyle w:val="46"/>
                    <w:rPr>
                      <w:color w:val="000000" w:themeColor="text1"/>
                      <w14:textFill>
                        <w14:solidFill>
                          <w14:schemeClr w14:val="tx1"/>
                        </w14:solidFill>
                      </w14:textFill>
                    </w:rPr>
                  </w:pPr>
                </w:p>
              </w:tc>
              <w:tc>
                <w:tcPr>
                  <w:tcW w:w="1024" w:type="dxa"/>
                  <w:shd w:val="clear" w:color="auto" w:fill="auto"/>
                  <w:vAlign w:val="center"/>
                </w:tcPr>
                <w:p w14:paraId="289F19A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7AA7A51B">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E3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24D17557">
                  <w:pPr>
                    <w:pStyle w:val="46"/>
                    <w:rPr>
                      <w:color w:val="000000" w:themeColor="text1"/>
                      <w14:textFill>
                        <w14:solidFill>
                          <w14:schemeClr w14:val="tx1"/>
                        </w14:solidFill>
                      </w14:textFill>
                    </w:rPr>
                  </w:pPr>
                </w:p>
              </w:tc>
              <w:tc>
                <w:tcPr>
                  <w:tcW w:w="670" w:type="dxa"/>
                  <w:vMerge w:val="continue"/>
                  <w:shd w:val="clear" w:color="auto" w:fill="auto"/>
                  <w:vAlign w:val="center"/>
                </w:tcPr>
                <w:p w14:paraId="128F4D72">
                  <w:pPr>
                    <w:pStyle w:val="46"/>
                    <w:rPr>
                      <w:color w:val="000000" w:themeColor="text1"/>
                      <w14:textFill>
                        <w14:solidFill>
                          <w14:schemeClr w14:val="tx1"/>
                        </w14:solidFill>
                      </w14:textFill>
                    </w:rPr>
                  </w:pPr>
                </w:p>
              </w:tc>
              <w:tc>
                <w:tcPr>
                  <w:tcW w:w="0" w:type="auto"/>
                  <w:vMerge w:val="continue"/>
                  <w:shd w:val="clear" w:color="auto" w:fill="auto"/>
                  <w:vAlign w:val="center"/>
                </w:tcPr>
                <w:p w14:paraId="1E9AC2CB">
                  <w:pPr>
                    <w:pStyle w:val="46"/>
                    <w:rPr>
                      <w:color w:val="000000" w:themeColor="text1"/>
                      <w14:textFill>
                        <w14:solidFill>
                          <w14:schemeClr w14:val="tx1"/>
                        </w14:solidFill>
                      </w14:textFill>
                    </w:rPr>
                  </w:pPr>
                </w:p>
              </w:tc>
              <w:tc>
                <w:tcPr>
                  <w:tcW w:w="1043" w:type="dxa"/>
                  <w:vMerge w:val="continue"/>
                  <w:shd w:val="clear" w:color="auto" w:fill="auto"/>
                  <w:vAlign w:val="center"/>
                </w:tcPr>
                <w:p w14:paraId="322F97F3">
                  <w:pPr>
                    <w:pStyle w:val="46"/>
                    <w:rPr>
                      <w:color w:val="000000" w:themeColor="text1"/>
                      <w14:textFill>
                        <w14:solidFill>
                          <w14:schemeClr w14:val="tx1"/>
                        </w14:solidFill>
                      </w14:textFill>
                    </w:rPr>
                  </w:pPr>
                </w:p>
              </w:tc>
              <w:tc>
                <w:tcPr>
                  <w:tcW w:w="756" w:type="dxa"/>
                  <w:vMerge w:val="continue"/>
                  <w:shd w:val="clear" w:color="auto" w:fill="auto"/>
                  <w:vAlign w:val="center"/>
                </w:tcPr>
                <w:p w14:paraId="66E51393">
                  <w:pPr>
                    <w:pStyle w:val="46"/>
                    <w:rPr>
                      <w:color w:val="000000" w:themeColor="text1"/>
                      <w14:textFill>
                        <w14:solidFill>
                          <w14:schemeClr w14:val="tx1"/>
                        </w14:solidFill>
                      </w14:textFill>
                    </w:rPr>
                  </w:pPr>
                </w:p>
              </w:tc>
              <w:tc>
                <w:tcPr>
                  <w:tcW w:w="0" w:type="auto"/>
                  <w:vMerge w:val="continue"/>
                  <w:shd w:val="clear" w:color="auto" w:fill="auto"/>
                  <w:vAlign w:val="center"/>
                </w:tcPr>
                <w:p w14:paraId="7D2CE77C">
                  <w:pPr>
                    <w:pStyle w:val="46"/>
                    <w:rPr>
                      <w:color w:val="000000" w:themeColor="text1"/>
                      <w14:textFill>
                        <w14:solidFill>
                          <w14:schemeClr w14:val="tx1"/>
                        </w14:solidFill>
                      </w14:textFill>
                    </w:rPr>
                  </w:pPr>
                </w:p>
              </w:tc>
              <w:tc>
                <w:tcPr>
                  <w:tcW w:w="486" w:type="dxa"/>
                  <w:vMerge w:val="continue"/>
                  <w:shd w:val="clear" w:color="auto" w:fill="auto"/>
                  <w:vAlign w:val="center"/>
                </w:tcPr>
                <w:p w14:paraId="3EB96E44">
                  <w:pPr>
                    <w:pStyle w:val="46"/>
                    <w:rPr>
                      <w:color w:val="000000" w:themeColor="text1"/>
                      <w14:textFill>
                        <w14:solidFill>
                          <w14:schemeClr w14:val="tx1"/>
                        </w14:solidFill>
                      </w14:textFill>
                    </w:rPr>
                  </w:pPr>
                </w:p>
              </w:tc>
              <w:tc>
                <w:tcPr>
                  <w:tcW w:w="493" w:type="dxa"/>
                  <w:shd w:val="clear" w:color="auto" w:fill="auto"/>
                  <w:vAlign w:val="center"/>
                </w:tcPr>
                <w:p w14:paraId="6AC80808">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16E9193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146.44</w:t>
                  </w:r>
                </w:p>
              </w:tc>
              <w:tc>
                <w:tcPr>
                  <w:tcW w:w="0" w:type="auto"/>
                  <w:shd w:val="clear" w:color="auto" w:fill="auto"/>
                  <w:vAlign w:val="center"/>
                </w:tcPr>
                <w:p w14:paraId="0779F6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6CE7EA55">
                  <w:pPr>
                    <w:pStyle w:val="46"/>
                    <w:rPr>
                      <w:color w:val="000000" w:themeColor="text1"/>
                      <w14:textFill>
                        <w14:solidFill>
                          <w14:schemeClr w14:val="tx1"/>
                        </w14:solidFill>
                      </w14:textFill>
                    </w:rPr>
                  </w:pPr>
                </w:p>
              </w:tc>
              <w:tc>
                <w:tcPr>
                  <w:tcW w:w="1376" w:type="dxa"/>
                  <w:vMerge w:val="continue"/>
                  <w:shd w:val="clear" w:color="auto" w:fill="auto"/>
                  <w:vAlign w:val="center"/>
                </w:tcPr>
                <w:p w14:paraId="1815A1DD">
                  <w:pPr>
                    <w:pStyle w:val="46"/>
                    <w:rPr>
                      <w:color w:val="000000" w:themeColor="text1"/>
                      <w14:textFill>
                        <w14:solidFill>
                          <w14:schemeClr w14:val="tx1"/>
                        </w14:solidFill>
                      </w14:textFill>
                    </w:rPr>
                  </w:pPr>
                </w:p>
              </w:tc>
              <w:tc>
                <w:tcPr>
                  <w:tcW w:w="1024" w:type="dxa"/>
                  <w:shd w:val="clear" w:color="auto" w:fill="auto"/>
                  <w:vAlign w:val="center"/>
                </w:tcPr>
                <w:p w14:paraId="10EF4CD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4762A3E0">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8CA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95AF823">
                  <w:pPr>
                    <w:pStyle w:val="46"/>
                    <w:rPr>
                      <w:color w:val="000000" w:themeColor="text1"/>
                      <w14:textFill>
                        <w14:solidFill>
                          <w14:schemeClr w14:val="tx1"/>
                        </w14:solidFill>
                      </w14:textFill>
                    </w:rPr>
                  </w:pPr>
                </w:p>
              </w:tc>
              <w:tc>
                <w:tcPr>
                  <w:tcW w:w="670" w:type="dxa"/>
                  <w:vMerge w:val="continue"/>
                  <w:shd w:val="clear" w:color="auto" w:fill="auto"/>
                  <w:vAlign w:val="center"/>
                </w:tcPr>
                <w:p w14:paraId="11EE314E">
                  <w:pPr>
                    <w:pStyle w:val="46"/>
                    <w:rPr>
                      <w:color w:val="000000" w:themeColor="text1"/>
                      <w14:textFill>
                        <w14:solidFill>
                          <w14:schemeClr w14:val="tx1"/>
                        </w14:solidFill>
                      </w14:textFill>
                    </w:rPr>
                  </w:pPr>
                </w:p>
              </w:tc>
              <w:tc>
                <w:tcPr>
                  <w:tcW w:w="0" w:type="auto"/>
                  <w:vMerge w:val="continue"/>
                  <w:shd w:val="clear" w:color="auto" w:fill="auto"/>
                  <w:vAlign w:val="center"/>
                </w:tcPr>
                <w:p w14:paraId="79E647F6">
                  <w:pPr>
                    <w:pStyle w:val="46"/>
                    <w:rPr>
                      <w:color w:val="000000" w:themeColor="text1"/>
                      <w14:textFill>
                        <w14:solidFill>
                          <w14:schemeClr w14:val="tx1"/>
                        </w14:solidFill>
                      </w14:textFill>
                    </w:rPr>
                  </w:pPr>
                </w:p>
              </w:tc>
              <w:tc>
                <w:tcPr>
                  <w:tcW w:w="1043" w:type="dxa"/>
                  <w:vMerge w:val="continue"/>
                  <w:shd w:val="clear" w:color="auto" w:fill="auto"/>
                  <w:vAlign w:val="center"/>
                </w:tcPr>
                <w:p w14:paraId="1263A547">
                  <w:pPr>
                    <w:pStyle w:val="46"/>
                    <w:rPr>
                      <w:color w:val="000000" w:themeColor="text1"/>
                      <w14:textFill>
                        <w14:solidFill>
                          <w14:schemeClr w14:val="tx1"/>
                        </w14:solidFill>
                      </w14:textFill>
                    </w:rPr>
                  </w:pPr>
                </w:p>
              </w:tc>
              <w:tc>
                <w:tcPr>
                  <w:tcW w:w="756" w:type="dxa"/>
                  <w:vMerge w:val="continue"/>
                  <w:shd w:val="clear" w:color="auto" w:fill="auto"/>
                  <w:vAlign w:val="center"/>
                </w:tcPr>
                <w:p w14:paraId="13C8407B">
                  <w:pPr>
                    <w:pStyle w:val="46"/>
                    <w:rPr>
                      <w:color w:val="000000" w:themeColor="text1"/>
                      <w14:textFill>
                        <w14:solidFill>
                          <w14:schemeClr w14:val="tx1"/>
                        </w14:solidFill>
                      </w14:textFill>
                    </w:rPr>
                  </w:pPr>
                </w:p>
              </w:tc>
              <w:tc>
                <w:tcPr>
                  <w:tcW w:w="0" w:type="auto"/>
                  <w:vMerge w:val="continue"/>
                  <w:shd w:val="clear" w:color="auto" w:fill="auto"/>
                  <w:vAlign w:val="center"/>
                </w:tcPr>
                <w:p w14:paraId="045E5E31">
                  <w:pPr>
                    <w:pStyle w:val="46"/>
                    <w:rPr>
                      <w:color w:val="000000" w:themeColor="text1"/>
                      <w14:textFill>
                        <w14:solidFill>
                          <w14:schemeClr w14:val="tx1"/>
                        </w14:solidFill>
                      </w14:textFill>
                    </w:rPr>
                  </w:pPr>
                </w:p>
              </w:tc>
              <w:tc>
                <w:tcPr>
                  <w:tcW w:w="486" w:type="dxa"/>
                  <w:vMerge w:val="continue"/>
                  <w:shd w:val="clear" w:color="auto" w:fill="auto"/>
                  <w:vAlign w:val="center"/>
                </w:tcPr>
                <w:p w14:paraId="3350376C">
                  <w:pPr>
                    <w:pStyle w:val="46"/>
                    <w:rPr>
                      <w:color w:val="000000" w:themeColor="text1"/>
                      <w14:textFill>
                        <w14:solidFill>
                          <w14:schemeClr w14:val="tx1"/>
                        </w14:solidFill>
                      </w14:textFill>
                    </w:rPr>
                  </w:pPr>
                </w:p>
              </w:tc>
              <w:tc>
                <w:tcPr>
                  <w:tcW w:w="493" w:type="dxa"/>
                  <w:shd w:val="clear" w:color="auto" w:fill="auto"/>
                  <w:vAlign w:val="center"/>
                </w:tcPr>
                <w:p w14:paraId="276AF7D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4DB393A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94.02</w:t>
                  </w:r>
                </w:p>
              </w:tc>
              <w:tc>
                <w:tcPr>
                  <w:tcW w:w="0" w:type="auto"/>
                  <w:shd w:val="clear" w:color="auto" w:fill="auto"/>
                  <w:vAlign w:val="center"/>
                </w:tcPr>
                <w:p w14:paraId="7D345A9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5C8516EB">
                  <w:pPr>
                    <w:pStyle w:val="46"/>
                    <w:rPr>
                      <w:color w:val="000000" w:themeColor="text1"/>
                      <w14:textFill>
                        <w14:solidFill>
                          <w14:schemeClr w14:val="tx1"/>
                        </w14:solidFill>
                      </w14:textFill>
                    </w:rPr>
                  </w:pPr>
                </w:p>
              </w:tc>
              <w:tc>
                <w:tcPr>
                  <w:tcW w:w="1376" w:type="dxa"/>
                  <w:vMerge w:val="continue"/>
                  <w:shd w:val="clear" w:color="auto" w:fill="auto"/>
                  <w:vAlign w:val="center"/>
                </w:tcPr>
                <w:p w14:paraId="78CD2623">
                  <w:pPr>
                    <w:pStyle w:val="46"/>
                    <w:rPr>
                      <w:color w:val="000000" w:themeColor="text1"/>
                      <w14:textFill>
                        <w14:solidFill>
                          <w14:schemeClr w14:val="tx1"/>
                        </w14:solidFill>
                      </w14:textFill>
                    </w:rPr>
                  </w:pPr>
                </w:p>
              </w:tc>
              <w:tc>
                <w:tcPr>
                  <w:tcW w:w="1024" w:type="dxa"/>
                  <w:shd w:val="clear" w:color="auto" w:fill="auto"/>
                  <w:vAlign w:val="center"/>
                </w:tcPr>
                <w:p w14:paraId="713CF4B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4A84EED1">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1498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EE0C291">
                  <w:pPr>
                    <w:pStyle w:val="46"/>
                    <w:rPr>
                      <w:color w:val="000000" w:themeColor="text1"/>
                      <w14:textFill>
                        <w14:solidFill>
                          <w14:schemeClr w14:val="tx1"/>
                        </w14:solidFill>
                      </w14:textFill>
                    </w:rPr>
                  </w:pPr>
                </w:p>
              </w:tc>
              <w:tc>
                <w:tcPr>
                  <w:tcW w:w="670" w:type="dxa"/>
                  <w:vMerge w:val="continue"/>
                  <w:shd w:val="clear" w:color="auto" w:fill="auto"/>
                  <w:vAlign w:val="center"/>
                </w:tcPr>
                <w:p w14:paraId="4F951542">
                  <w:pPr>
                    <w:pStyle w:val="46"/>
                    <w:rPr>
                      <w:color w:val="000000" w:themeColor="text1"/>
                      <w14:textFill>
                        <w14:solidFill>
                          <w14:schemeClr w14:val="tx1"/>
                        </w14:solidFill>
                      </w14:textFill>
                    </w:rPr>
                  </w:pPr>
                </w:p>
              </w:tc>
              <w:tc>
                <w:tcPr>
                  <w:tcW w:w="0" w:type="auto"/>
                  <w:vMerge w:val="continue"/>
                  <w:shd w:val="clear" w:color="auto" w:fill="auto"/>
                  <w:vAlign w:val="center"/>
                </w:tcPr>
                <w:p w14:paraId="255D63FD">
                  <w:pPr>
                    <w:pStyle w:val="46"/>
                    <w:rPr>
                      <w:color w:val="000000" w:themeColor="text1"/>
                      <w14:textFill>
                        <w14:solidFill>
                          <w14:schemeClr w14:val="tx1"/>
                        </w14:solidFill>
                      </w14:textFill>
                    </w:rPr>
                  </w:pPr>
                </w:p>
              </w:tc>
              <w:tc>
                <w:tcPr>
                  <w:tcW w:w="1043" w:type="dxa"/>
                  <w:vMerge w:val="continue"/>
                  <w:shd w:val="clear" w:color="auto" w:fill="auto"/>
                  <w:vAlign w:val="center"/>
                </w:tcPr>
                <w:p w14:paraId="0AD1A0AD">
                  <w:pPr>
                    <w:pStyle w:val="46"/>
                    <w:rPr>
                      <w:color w:val="000000" w:themeColor="text1"/>
                      <w14:textFill>
                        <w14:solidFill>
                          <w14:schemeClr w14:val="tx1"/>
                        </w14:solidFill>
                      </w14:textFill>
                    </w:rPr>
                  </w:pPr>
                </w:p>
              </w:tc>
              <w:tc>
                <w:tcPr>
                  <w:tcW w:w="756" w:type="dxa"/>
                  <w:vMerge w:val="continue"/>
                  <w:shd w:val="clear" w:color="auto" w:fill="auto"/>
                  <w:vAlign w:val="center"/>
                </w:tcPr>
                <w:p w14:paraId="270DD66E">
                  <w:pPr>
                    <w:pStyle w:val="46"/>
                    <w:rPr>
                      <w:color w:val="000000" w:themeColor="text1"/>
                      <w14:textFill>
                        <w14:solidFill>
                          <w14:schemeClr w14:val="tx1"/>
                        </w14:solidFill>
                      </w14:textFill>
                    </w:rPr>
                  </w:pPr>
                </w:p>
              </w:tc>
              <w:tc>
                <w:tcPr>
                  <w:tcW w:w="0" w:type="auto"/>
                  <w:vMerge w:val="continue"/>
                  <w:shd w:val="clear" w:color="auto" w:fill="auto"/>
                  <w:vAlign w:val="center"/>
                </w:tcPr>
                <w:p w14:paraId="58E7FBAC">
                  <w:pPr>
                    <w:pStyle w:val="46"/>
                    <w:rPr>
                      <w:color w:val="000000" w:themeColor="text1"/>
                      <w14:textFill>
                        <w14:solidFill>
                          <w14:schemeClr w14:val="tx1"/>
                        </w14:solidFill>
                      </w14:textFill>
                    </w:rPr>
                  </w:pPr>
                </w:p>
              </w:tc>
              <w:tc>
                <w:tcPr>
                  <w:tcW w:w="486" w:type="dxa"/>
                  <w:vMerge w:val="continue"/>
                  <w:shd w:val="clear" w:color="auto" w:fill="auto"/>
                  <w:vAlign w:val="center"/>
                </w:tcPr>
                <w:p w14:paraId="56AEDAC9">
                  <w:pPr>
                    <w:pStyle w:val="46"/>
                    <w:rPr>
                      <w:color w:val="000000" w:themeColor="text1"/>
                      <w14:textFill>
                        <w14:solidFill>
                          <w14:schemeClr w14:val="tx1"/>
                        </w14:solidFill>
                      </w14:textFill>
                    </w:rPr>
                  </w:pPr>
                </w:p>
              </w:tc>
              <w:tc>
                <w:tcPr>
                  <w:tcW w:w="493" w:type="dxa"/>
                  <w:shd w:val="clear" w:color="auto" w:fill="auto"/>
                  <w:vAlign w:val="center"/>
                </w:tcPr>
                <w:p w14:paraId="0D0C410A">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2A27E55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76.49</w:t>
                  </w:r>
                </w:p>
              </w:tc>
              <w:tc>
                <w:tcPr>
                  <w:tcW w:w="0" w:type="auto"/>
                  <w:shd w:val="clear" w:color="auto" w:fill="auto"/>
                  <w:vAlign w:val="center"/>
                </w:tcPr>
                <w:p w14:paraId="57950F3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60.34</w:t>
                  </w:r>
                </w:p>
              </w:tc>
              <w:tc>
                <w:tcPr>
                  <w:tcW w:w="671" w:type="dxa"/>
                  <w:vMerge w:val="continue"/>
                  <w:shd w:val="clear" w:color="auto" w:fill="auto"/>
                  <w:vAlign w:val="center"/>
                </w:tcPr>
                <w:p w14:paraId="0C76ADEB">
                  <w:pPr>
                    <w:pStyle w:val="46"/>
                    <w:rPr>
                      <w:color w:val="000000" w:themeColor="text1"/>
                      <w14:textFill>
                        <w14:solidFill>
                          <w14:schemeClr w14:val="tx1"/>
                        </w14:solidFill>
                      </w14:textFill>
                    </w:rPr>
                  </w:pPr>
                </w:p>
              </w:tc>
              <w:tc>
                <w:tcPr>
                  <w:tcW w:w="1376" w:type="dxa"/>
                  <w:vMerge w:val="continue"/>
                  <w:shd w:val="clear" w:color="auto" w:fill="auto"/>
                  <w:vAlign w:val="center"/>
                </w:tcPr>
                <w:p w14:paraId="3FFAD588">
                  <w:pPr>
                    <w:pStyle w:val="46"/>
                    <w:rPr>
                      <w:color w:val="000000" w:themeColor="text1"/>
                      <w14:textFill>
                        <w14:solidFill>
                          <w14:schemeClr w14:val="tx1"/>
                        </w14:solidFill>
                      </w14:textFill>
                    </w:rPr>
                  </w:pPr>
                </w:p>
              </w:tc>
              <w:tc>
                <w:tcPr>
                  <w:tcW w:w="1024" w:type="dxa"/>
                  <w:shd w:val="clear" w:color="auto" w:fill="auto"/>
                  <w:vAlign w:val="center"/>
                </w:tcPr>
                <w:p w14:paraId="14DE8EF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29.34</w:t>
                  </w:r>
                </w:p>
              </w:tc>
              <w:tc>
                <w:tcPr>
                  <w:tcW w:w="857" w:type="dxa"/>
                  <w:shd w:val="clear" w:color="auto" w:fill="auto"/>
                  <w:vAlign w:val="center"/>
                </w:tcPr>
                <w:p w14:paraId="39202573">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D50A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1CC10CF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w:t>
                  </w:r>
                </w:p>
              </w:tc>
              <w:tc>
                <w:tcPr>
                  <w:tcW w:w="670" w:type="dxa"/>
                  <w:vMerge w:val="continue"/>
                  <w:shd w:val="clear" w:color="auto" w:fill="auto"/>
                  <w:vAlign w:val="center"/>
                </w:tcPr>
                <w:p w14:paraId="351A4ED2">
                  <w:pPr>
                    <w:pStyle w:val="46"/>
                    <w:rPr>
                      <w:color w:val="000000" w:themeColor="text1"/>
                      <w14:textFill>
                        <w14:solidFill>
                          <w14:schemeClr w14:val="tx1"/>
                        </w14:solidFill>
                      </w14:textFill>
                    </w:rPr>
                  </w:pPr>
                </w:p>
              </w:tc>
              <w:tc>
                <w:tcPr>
                  <w:tcW w:w="2642" w:type="dxa"/>
                  <w:vMerge w:val="restart"/>
                  <w:shd w:val="clear" w:color="auto" w:fill="auto"/>
                  <w:vAlign w:val="center"/>
                </w:tcPr>
                <w:p w14:paraId="4D4E9CE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1#圆锥破碎机</w:t>
                  </w:r>
                </w:p>
              </w:tc>
              <w:tc>
                <w:tcPr>
                  <w:tcW w:w="1043" w:type="dxa"/>
                  <w:vMerge w:val="restart"/>
                  <w:shd w:val="clear" w:color="auto" w:fill="auto"/>
                  <w:vAlign w:val="center"/>
                </w:tcPr>
                <w:p w14:paraId="5BE59F0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1313E03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108.32</w:t>
                  </w:r>
                </w:p>
              </w:tc>
              <w:tc>
                <w:tcPr>
                  <w:tcW w:w="759" w:type="dxa"/>
                  <w:vMerge w:val="restart"/>
                  <w:shd w:val="clear" w:color="auto" w:fill="auto"/>
                  <w:vAlign w:val="center"/>
                </w:tcPr>
                <w:p w14:paraId="7C8C4DD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18.82</w:t>
                  </w:r>
                </w:p>
              </w:tc>
              <w:tc>
                <w:tcPr>
                  <w:tcW w:w="486" w:type="dxa"/>
                  <w:vMerge w:val="restart"/>
                  <w:shd w:val="clear" w:color="auto" w:fill="auto"/>
                  <w:vAlign w:val="center"/>
                </w:tcPr>
                <w:p w14:paraId="2D92A74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6E28A3A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281B8C2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43.39</w:t>
                  </w:r>
                </w:p>
              </w:tc>
              <w:tc>
                <w:tcPr>
                  <w:tcW w:w="0" w:type="auto"/>
                  <w:shd w:val="clear" w:color="auto" w:fill="auto"/>
                  <w:vAlign w:val="center"/>
                </w:tcPr>
                <w:p w14:paraId="43DD3E8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60.37</w:t>
                  </w:r>
                </w:p>
              </w:tc>
              <w:tc>
                <w:tcPr>
                  <w:tcW w:w="671" w:type="dxa"/>
                  <w:vMerge w:val="continue"/>
                  <w:shd w:val="clear" w:color="auto" w:fill="auto"/>
                  <w:vAlign w:val="center"/>
                </w:tcPr>
                <w:p w14:paraId="19B503B6">
                  <w:pPr>
                    <w:pStyle w:val="46"/>
                    <w:rPr>
                      <w:color w:val="000000" w:themeColor="text1"/>
                      <w14:textFill>
                        <w14:solidFill>
                          <w14:schemeClr w14:val="tx1"/>
                        </w14:solidFill>
                      </w14:textFill>
                    </w:rPr>
                  </w:pPr>
                </w:p>
              </w:tc>
              <w:tc>
                <w:tcPr>
                  <w:tcW w:w="1376" w:type="dxa"/>
                  <w:vMerge w:val="continue"/>
                  <w:shd w:val="clear" w:color="auto" w:fill="auto"/>
                  <w:vAlign w:val="center"/>
                </w:tcPr>
                <w:p w14:paraId="505C0CD9">
                  <w:pPr>
                    <w:pStyle w:val="46"/>
                    <w:rPr>
                      <w:color w:val="000000" w:themeColor="text1"/>
                      <w14:textFill>
                        <w14:solidFill>
                          <w14:schemeClr w14:val="tx1"/>
                        </w14:solidFill>
                      </w14:textFill>
                    </w:rPr>
                  </w:pPr>
                </w:p>
              </w:tc>
              <w:tc>
                <w:tcPr>
                  <w:tcW w:w="1024" w:type="dxa"/>
                  <w:shd w:val="clear" w:color="auto" w:fill="auto"/>
                  <w:vAlign w:val="bottom"/>
                </w:tcPr>
                <w:p w14:paraId="7665AF5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29.37</w:t>
                  </w:r>
                </w:p>
              </w:tc>
              <w:tc>
                <w:tcPr>
                  <w:tcW w:w="857" w:type="dxa"/>
                  <w:shd w:val="clear" w:color="auto" w:fill="auto"/>
                  <w:vAlign w:val="center"/>
                </w:tcPr>
                <w:p w14:paraId="36051DAF">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213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9C3D237">
                  <w:pPr>
                    <w:pStyle w:val="46"/>
                    <w:rPr>
                      <w:color w:val="000000" w:themeColor="text1"/>
                      <w14:textFill>
                        <w14:solidFill>
                          <w14:schemeClr w14:val="tx1"/>
                        </w14:solidFill>
                      </w14:textFill>
                    </w:rPr>
                  </w:pPr>
                </w:p>
              </w:tc>
              <w:tc>
                <w:tcPr>
                  <w:tcW w:w="670" w:type="dxa"/>
                  <w:vMerge w:val="continue"/>
                  <w:shd w:val="clear" w:color="auto" w:fill="auto"/>
                  <w:vAlign w:val="center"/>
                </w:tcPr>
                <w:p w14:paraId="08644A72">
                  <w:pPr>
                    <w:pStyle w:val="46"/>
                    <w:rPr>
                      <w:color w:val="000000" w:themeColor="text1"/>
                      <w14:textFill>
                        <w14:solidFill>
                          <w14:schemeClr w14:val="tx1"/>
                        </w14:solidFill>
                      </w14:textFill>
                    </w:rPr>
                  </w:pPr>
                </w:p>
              </w:tc>
              <w:tc>
                <w:tcPr>
                  <w:tcW w:w="0" w:type="auto"/>
                  <w:vMerge w:val="continue"/>
                  <w:shd w:val="clear" w:color="auto" w:fill="auto"/>
                  <w:vAlign w:val="center"/>
                </w:tcPr>
                <w:p w14:paraId="0A88AF50">
                  <w:pPr>
                    <w:pStyle w:val="46"/>
                    <w:rPr>
                      <w:color w:val="000000" w:themeColor="text1"/>
                      <w14:textFill>
                        <w14:solidFill>
                          <w14:schemeClr w14:val="tx1"/>
                        </w14:solidFill>
                      </w14:textFill>
                    </w:rPr>
                  </w:pPr>
                </w:p>
              </w:tc>
              <w:tc>
                <w:tcPr>
                  <w:tcW w:w="1043" w:type="dxa"/>
                  <w:vMerge w:val="continue"/>
                  <w:shd w:val="clear" w:color="auto" w:fill="auto"/>
                  <w:vAlign w:val="center"/>
                </w:tcPr>
                <w:p w14:paraId="38BA56DF">
                  <w:pPr>
                    <w:pStyle w:val="46"/>
                    <w:rPr>
                      <w:color w:val="000000" w:themeColor="text1"/>
                      <w14:textFill>
                        <w14:solidFill>
                          <w14:schemeClr w14:val="tx1"/>
                        </w14:solidFill>
                      </w14:textFill>
                    </w:rPr>
                  </w:pPr>
                </w:p>
              </w:tc>
              <w:tc>
                <w:tcPr>
                  <w:tcW w:w="756" w:type="dxa"/>
                  <w:vMerge w:val="continue"/>
                  <w:shd w:val="clear" w:color="auto" w:fill="auto"/>
                  <w:vAlign w:val="center"/>
                </w:tcPr>
                <w:p w14:paraId="5FA37570">
                  <w:pPr>
                    <w:pStyle w:val="46"/>
                    <w:rPr>
                      <w:color w:val="000000" w:themeColor="text1"/>
                      <w14:textFill>
                        <w14:solidFill>
                          <w14:schemeClr w14:val="tx1"/>
                        </w14:solidFill>
                      </w14:textFill>
                    </w:rPr>
                  </w:pPr>
                </w:p>
              </w:tc>
              <w:tc>
                <w:tcPr>
                  <w:tcW w:w="0" w:type="auto"/>
                  <w:vMerge w:val="continue"/>
                  <w:shd w:val="clear" w:color="auto" w:fill="auto"/>
                  <w:vAlign w:val="center"/>
                </w:tcPr>
                <w:p w14:paraId="1CDD2E05">
                  <w:pPr>
                    <w:pStyle w:val="46"/>
                    <w:rPr>
                      <w:color w:val="000000" w:themeColor="text1"/>
                      <w14:textFill>
                        <w14:solidFill>
                          <w14:schemeClr w14:val="tx1"/>
                        </w14:solidFill>
                      </w14:textFill>
                    </w:rPr>
                  </w:pPr>
                </w:p>
              </w:tc>
              <w:tc>
                <w:tcPr>
                  <w:tcW w:w="486" w:type="dxa"/>
                  <w:vMerge w:val="continue"/>
                  <w:shd w:val="clear" w:color="auto" w:fill="auto"/>
                  <w:vAlign w:val="center"/>
                </w:tcPr>
                <w:p w14:paraId="6C3B319B">
                  <w:pPr>
                    <w:pStyle w:val="46"/>
                    <w:rPr>
                      <w:color w:val="000000" w:themeColor="text1"/>
                      <w14:textFill>
                        <w14:solidFill>
                          <w14:schemeClr w14:val="tx1"/>
                        </w14:solidFill>
                      </w14:textFill>
                    </w:rPr>
                  </w:pPr>
                </w:p>
              </w:tc>
              <w:tc>
                <w:tcPr>
                  <w:tcW w:w="493" w:type="dxa"/>
                  <w:shd w:val="clear" w:color="auto" w:fill="auto"/>
                  <w:vAlign w:val="center"/>
                </w:tcPr>
                <w:p w14:paraId="35EB0590">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144141B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88.38</w:t>
                  </w:r>
                </w:p>
              </w:tc>
              <w:tc>
                <w:tcPr>
                  <w:tcW w:w="0" w:type="auto"/>
                  <w:shd w:val="clear" w:color="auto" w:fill="auto"/>
                  <w:vAlign w:val="center"/>
                </w:tcPr>
                <w:p w14:paraId="2682487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6F21FDC6">
                  <w:pPr>
                    <w:pStyle w:val="46"/>
                    <w:rPr>
                      <w:color w:val="000000" w:themeColor="text1"/>
                      <w14:textFill>
                        <w14:solidFill>
                          <w14:schemeClr w14:val="tx1"/>
                        </w14:solidFill>
                      </w14:textFill>
                    </w:rPr>
                  </w:pPr>
                </w:p>
              </w:tc>
              <w:tc>
                <w:tcPr>
                  <w:tcW w:w="1376" w:type="dxa"/>
                  <w:vMerge w:val="continue"/>
                  <w:shd w:val="clear" w:color="auto" w:fill="auto"/>
                  <w:vAlign w:val="center"/>
                </w:tcPr>
                <w:p w14:paraId="06119643">
                  <w:pPr>
                    <w:pStyle w:val="46"/>
                    <w:rPr>
                      <w:color w:val="000000" w:themeColor="text1"/>
                      <w14:textFill>
                        <w14:solidFill>
                          <w14:schemeClr w14:val="tx1"/>
                        </w14:solidFill>
                      </w14:textFill>
                    </w:rPr>
                  </w:pPr>
                </w:p>
              </w:tc>
              <w:tc>
                <w:tcPr>
                  <w:tcW w:w="1024" w:type="dxa"/>
                  <w:shd w:val="clear" w:color="auto" w:fill="auto"/>
                  <w:vAlign w:val="bottom"/>
                </w:tcPr>
                <w:p w14:paraId="6BBE29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7940B2AB">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00B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76FABC36">
                  <w:pPr>
                    <w:pStyle w:val="46"/>
                    <w:rPr>
                      <w:color w:val="000000" w:themeColor="text1"/>
                      <w14:textFill>
                        <w14:solidFill>
                          <w14:schemeClr w14:val="tx1"/>
                        </w14:solidFill>
                      </w14:textFill>
                    </w:rPr>
                  </w:pPr>
                </w:p>
              </w:tc>
              <w:tc>
                <w:tcPr>
                  <w:tcW w:w="670" w:type="dxa"/>
                  <w:vMerge w:val="continue"/>
                  <w:shd w:val="clear" w:color="auto" w:fill="auto"/>
                  <w:vAlign w:val="center"/>
                </w:tcPr>
                <w:p w14:paraId="0C134B79">
                  <w:pPr>
                    <w:pStyle w:val="46"/>
                    <w:rPr>
                      <w:color w:val="000000" w:themeColor="text1"/>
                      <w14:textFill>
                        <w14:solidFill>
                          <w14:schemeClr w14:val="tx1"/>
                        </w14:solidFill>
                      </w14:textFill>
                    </w:rPr>
                  </w:pPr>
                </w:p>
              </w:tc>
              <w:tc>
                <w:tcPr>
                  <w:tcW w:w="0" w:type="auto"/>
                  <w:vMerge w:val="continue"/>
                  <w:shd w:val="clear" w:color="auto" w:fill="auto"/>
                  <w:vAlign w:val="center"/>
                </w:tcPr>
                <w:p w14:paraId="5B430B24">
                  <w:pPr>
                    <w:pStyle w:val="46"/>
                    <w:rPr>
                      <w:color w:val="000000" w:themeColor="text1"/>
                      <w14:textFill>
                        <w14:solidFill>
                          <w14:schemeClr w14:val="tx1"/>
                        </w14:solidFill>
                      </w14:textFill>
                    </w:rPr>
                  </w:pPr>
                </w:p>
              </w:tc>
              <w:tc>
                <w:tcPr>
                  <w:tcW w:w="1043" w:type="dxa"/>
                  <w:vMerge w:val="continue"/>
                  <w:shd w:val="clear" w:color="auto" w:fill="auto"/>
                  <w:vAlign w:val="center"/>
                </w:tcPr>
                <w:p w14:paraId="360F4809">
                  <w:pPr>
                    <w:pStyle w:val="46"/>
                    <w:rPr>
                      <w:color w:val="000000" w:themeColor="text1"/>
                      <w14:textFill>
                        <w14:solidFill>
                          <w14:schemeClr w14:val="tx1"/>
                        </w14:solidFill>
                      </w14:textFill>
                    </w:rPr>
                  </w:pPr>
                </w:p>
              </w:tc>
              <w:tc>
                <w:tcPr>
                  <w:tcW w:w="756" w:type="dxa"/>
                  <w:vMerge w:val="continue"/>
                  <w:shd w:val="clear" w:color="auto" w:fill="auto"/>
                  <w:vAlign w:val="center"/>
                </w:tcPr>
                <w:p w14:paraId="034B4097">
                  <w:pPr>
                    <w:pStyle w:val="46"/>
                    <w:rPr>
                      <w:color w:val="000000" w:themeColor="text1"/>
                      <w14:textFill>
                        <w14:solidFill>
                          <w14:schemeClr w14:val="tx1"/>
                        </w14:solidFill>
                      </w14:textFill>
                    </w:rPr>
                  </w:pPr>
                </w:p>
              </w:tc>
              <w:tc>
                <w:tcPr>
                  <w:tcW w:w="0" w:type="auto"/>
                  <w:vMerge w:val="continue"/>
                  <w:shd w:val="clear" w:color="auto" w:fill="auto"/>
                  <w:vAlign w:val="center"/>
                </w:tcPr>
                <w:p w14:paraId="78F9809F">
                  <w:pPr>
                    <w:pStyle w:val="46"/>
                    <w:rPr>
                      <w:color w:val="000000" w:themeColor="text1"/>
                      <w14:textFill>
                        <w14:solidFill>
                          <w14:schemeClr w14:val="tx1"/>
                        </w14:solidFill>
                      </w14:textFill>
                    </w:rPr>
                  </w:pPr>
                </w:p>
              </w:tc>
              <w:tc>
                <w:tcPr>
                  <w:tcW w:w="486" w:type="dxa"/>
                  <w:vMerge w:val="continue"/>
                  <w:shd w:val="clear" w:color="auto" w:fill="auto"/>
                  <w:vAlign w:val="center"/>
                </w:tcPr>
                <w:p w14:paraId="16C85492">
                  <w:pPr>
                    <w:pStyle w:val="46"/>
                    <w:rPr>
                      <w:color w:val="000000" w:themeColor="text1"/>
                      <w14:textFill>
                        <w14:solidFill>
                          <w14:schemeClr w14:val="tx1"/>
                        </w14:solidFill>
                      </w14:textFill>
                    </w:rPr>
                  </w:pPr>
                </w:p>
              </w:tc>
              <w:tc>
                <w:tcPr>
                  <w:tcW w:w="493" w:type="dxa"/>
                  <w:shd w:val="clear" w:color="auto" w:fill="auto"/>
                  <w:vAlign w:val="center"/>
                </w:tcPr>
                <w:p w14:paraId="1E61126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0D0A9C3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203.98</w:t>
                  </w:r>
                </w:p>
              </w:tc>
              <w:tc>
                <w:tcPr>
                  <w:tcW w:w="0" w:type="auto"/>
                  <w:shd w:val="clear" w:color="auto" w:fill="auto"/>
                  <w:vAlign w:val="center"/>
                </w:tcPr>
                <w:p w14:paraId="6B18557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1F94258E">
                  <w:pPr>
                    <w:pStyle w:val="46"/>
                    <w:rPr>
                      <w:color w:val="000000" w:themeColor="text1"/>
                      <w14:textFill>
                        <w14:solidFill>
                          <w14:schemeClr w14:val="tx1"/>
                        </w14:solidFill>
                      </w14:textFill>
                    </w:rPr>
                  </w:pPr>
                </w:p>
              </w:tc>
              <w:tc>
                <w:tcPr>
                  <w:tcW w:w="1376" w:type="dxa"/>
                  <w:vMerge w:val="continue"/>
                  <w:shd w:val="clear" w:color="auto" w:fill="auto"/>
                  <w:vAlign w:val="center"/>
                </w:tcPr>
                <w:p w14:paraId="1171725C">
                  <w:pPr>
                    <w:pStyle w:val="46"/>
                    <w:rPr>
                      <w:color w:val="000000" w:themeColor="text1"/>
                      <w14:textFill>
                        <w14:solidFill>
                          <w14:schemeClr w14:val="tx1"/>
                        </w14:solidFill>
                      </w14:textFill>
                    </w:rPr>
                  </w:pPr>
                </w:p>
              </w:tc>
              <w:tc>
                <w:tcPr>
                  <w:tcW w:w="1024" w:type="dxa"/>
                  <w:shd w:val="clear" w:color="auto" w:fill="auto"/>
                  <w:vAlign w:val="bottom"/>
                </w:tcPr>
                <w:p w14:paraId="483CE89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63B4F440">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EDBA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72EA2C2">
                  <w:pPr>
                    <w:pStyle w:val="46"/>
                    <w:rPr>
                      <w:color w:val="000000" w:themeColor="text1"/>
                      <w14:textFill>
                        <w14:solidFill>
                          <w14:schemeClr w14:val="tx1"/>
                        </w14:solidFill>
                      </w14:textFill>
                    </w:rPr>
                  </w:pPr>
                </w:p>
              </w:tc>
              <w:tc>
                <w:tcPr>
                  <w:tcW w:w="670" w:type="dxa"/>
                  <w:vMerge w:val="continue"/>
                  <w:shd w:val="clear" w:color="auto" w:fill="auto"/>
                  <w:vAlign w:val="center"/>
                </w:tcPr>
                <w:p w14:paraId="1326B3F6">
                  <w:pPr>
                    <w:pStyle w:val="46"/>
                    <w:rPr>
                      <w:color w:val="000000" w:themeColor="text1"/>
                      <w14:textFill>
                        <w14:solidFill>
                          <w14:schemeClr w14:val="tx1"/>
                        </w14:solidFill>
                      </w14:textFill>
                    </w:rPr>
                  </w:pPr>
                </w:p>
              </w:tc>
              <w:tc>
                <w:tcPr>
                  <w:tcW w:w="0" w:type="auto"/>
                  <w:vMerge w:val="continue"/>
                  <w:shd w:val="clear" w:color="auto" w:fill="auto"/>
                  <w:vAlign w:val="center"/>
                </w:tcPr>
                <w:p w14:paraId="4ED2A2C8">
                  <w:pPr>
                    <w:pStyle w:val="46"/>
                    <w:rPr>
                      <w:color w:val="000000" w:themeColor="text1"/>
                      <w14:textFill>
                        <w14:solidFill>
                          <w14:schemeClr w14:val="tx1"/>
                        </w14:solidFill>
                      </w14:textFill>
                    </w:rPr>
                  </w:pPr>
                </w:p>
              </w:tc>
              <w:tc>
                <w:tcPr>
                  <w:tcW w:w="1043" w:type="dxa"/>
                  <w:vMerge w:val="continue"/>
                  <w:shd w:val="clear" w:color="auto" w:fill="auto"/>
                  <w:vAlign w:val="center"/>
                </w:tcPr>
                <w:p w14:paraId="01BBB843">
                  <w:pPr>
                    <w:pStyle w:val="46"/>
                    <w:rPr>
                      <w:color w:val="000000" w:themeColor="text1"/>
                      <w14:textFill>
                        <w14:solidFill>
                          <w14:schemeClr w14:val="tx1"/>
                        </w14:solidFill>
                      </w14:textFill>
                    </w:rPr>
                  </w:pPr>
                </w:p>
              </w:tc>
              <w:tc>
                <w:tcPr>
                  <w:tcW w:w="756" w:type="dxa"/>
                  <w:vMerge w:val="continue"/>
                  <w:shd w:val="clear" w:color="auto" w:fill="auto"/>
                  <w:vAlign w:val="center"/>
                </w:tcPr>
                <w:p w14:paraId="1998A182">
                  <w:pPr>
                    <w:pStyle w:val="46"/>
                    <w:rPr>
                      <w:color w:val="000000" w:themeColor="text1"/>
                      <w14:textFill>
                        <w14:solidFill>
                          <w14:schemeClr w14:val="tx1"/>
                        </w14:solidFill>
                      </w14:textFill>
                    </w:rPr>
                  </w:pPr>
                </w:p>
              </w:tc>
              <w:tc>
                <w:tcPr>
                  <w:tcW w:w="0" w:type="auto"/>
                  <w:vMerge w:val="continue"/>
                  <w:shd w:val="clear" w:color="auto" w:fill="auto"/>
                  <w:vAlign w:val="center"/>
                </w:tcPr>
                <w:p w14:paraId="0F78B06E">
                  <w:pPr>
                    <w:pStyle w:val="46"/>
                    <w:rPr>
                      <w:color w:val="000000" w:themeColor="text1"/>
                      <w14:textFill>
                        <w14:solidFill>
                          <w14:schemeClr w14:val="tx1"/>
                        </w14:solidFill>
                      </w14:textFill>
                    </w:rPr>
                  </w:pPr>
                </w:p>
              </w:tc>
              <w:tc>
                <w:tcPr>
                  <w:tcW w:w="486" w:type="dxa"/>
                  <w:vMerge w:val="continue"/>
                  <w:shd w:val="clear" w:color="auto" w:fill="auto"/>
                  <w:vAlign w:val="center"/>
                </w:tcPr>
                <w:p w14:paraId="241518EC">
                  <w:pPr>
                    <w:pStyle w:val="46"/>
                    <w:rPr>
                      <w:color w:val="000000" w:themeColor="text1"/>
                      <w14:textFill>
                        <w14:solidFill>
                          <w14:schemeClr w14:val="tx1"/>
                        </w14:solidFill>
                      </w14:textFill>
                    </w:rPr>
                  </w:pPr>
                </w:p>
              </w:tc>
              <w:tc>
                <w:tcPr>
                  <w:tcW w:w="493" w:type="dxa"/>
                  <w:shd w:val="clear" w:color="auto" w:fill="auto"/>
                  <w:vAlign w:val="center"/>
                </w:tcPr>
                <w:p w14:paraId="5869C89C">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6D41EF5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87.79</w:t>
                  </w:r>
                </w:p>
              </w:tc>
              <w:tc>
                <w:tcPr>
                  <w:tcW w:w="0" w:type="auto"/>
                  <w:shd w:val="clear" w:color="auto" w:fill="auto"/>
                  <w:vAlign w:val="center"/>
                </w:tcPr>
                <w:p w14:paraId="1587172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7A8FD81B">
                  <w:pPr>
                    <w:pStyle w:val="46"/>
                    <w:rPr>
                      <w:color w:val="000000" w:themeColor="text1"/>
                      <w14:textFill>
                        <w14:solidFill>
                          <w14:schemeClr w14:val="tx1"/>
                        </w14:solidFill>
                      </w14:textFill>
                    </w:rPr>
                  </w:pPr>
                </w:p>
              </w:tc>
              <w:tc>
                <w:tcPr>
                  <w:tcW w:w="1376" w:type="dxa"/>
                  <w:vMerge w:val="continue"/>
                  <w:shd w:val="clear" w:color="auto" w:fill="auto"/>
                  <w:vAlign w:val="center"/>
                </w:tcPr>
                <w:p w14:paraId="7B6272B3">
                  <w:pPr>
                    <w:pStyle w:val="46"/>
                    <w:rPr>
                      <w:color w:val="000000" w:themeColor="text1"/>
                      <w14:textFill>
                        <w14:solidFill>
                          <w14:schemeClr w14:val="tx1"/>
                        </w14:solidFill>
                      </w14:textFill>
                    </w:rPr>
                  </w:pPr>
                </w:p>
              </w:tc>
              <w:tc>
                <w:tcPr>
                  <w:tcW w:w="1024" w:type="dxa"/>
                  <w:shd w:val="clear" w:color="auto" w:fill="auto"/>
                  <w:vAlign w:val="bottom"/>
                </w:tcPr>
                <w:p w14:paraId="0AD736A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7D57DD8F">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14B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3BE35DF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w:t>
                  </w:r>
                </w:p>
              </w:tc>
              <w:tc>
                <w:tcPr>
                  <w:tcW w:w="670" w:type="dxa"/>
                  <w:vMerge w:val="continue"/>
                  <w:shd w:val="clear" w:color="auto" w:fill="auto"/>
                  <w:vAlign w:val="center"/>
                </w:tcPr>
                <w:p w14:paraId="1C981057">
                  <w:pPr>
                    <w:pStyle w:val="46"/>
                    <w:rPr>
                      <w:color w:val="000000" w:themeColor="text1"/>
                      <w14:textFill>
                        <w14:solidFill>
                          <w14:schemeClr w14:val="tx1"/>
                        </w14:solidFill>
                      </w14:textFill>
                    </w:rPr>
                  </w:pPr>
                </w:p>
              </w:tc>
              <w:tc>
                <w:tcPr>
                  <w:tcW w:w="2642" w:type="dxa"/>
                  <w:vMerge w:val="restart"/>
                  <w:shd w:val="clear" w:color="auto" w:fill="auto"/>
                  <w:vAlign w:val="center"/>
                </w:tcPr>
                <w:p w14:paraId="10B7A40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2#圆锥破碎机</w:t>
                  </w:r>
                </w:p>
              </w:tc>
              <w:tc>
                <w:tcPr>
                  <w:tcW w:w="1043" w:type="dxa"/>
                  <w:vMerge w:val="restart"/>
                  <w:shd w:val="clear" w:color="auto" w:fill="auto"/>
                  <w:vAlign w:val="center"/>
                </w:tcPr>
                <w:p w14:paraId="701BC8B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74F065E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104.81</w:t>
                  </w:r>
                </w:p>
              </w:tc>
              <w:tc>
                <w:tcPr>
                  <w:tcW w:w="759" w:type="dxa"/>
                  <w:vMerge w:val="restart"/>
                  <w:shd w:val="clear" w:color="auto" w:fill="auto"/>
                  <w:vAlign w:val="center"/>
                </w:tcPr>
                <w:p w14:paraId="4582432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15.31</w:t>
                  </w:r>
                </w:p>
              </w:tc>
              <w:tc>
                <w:tcPr>
                  <w:tcW w:w="486" w:type="dxa"/>
                  <w:vMerge w:val="restart"/>
                  <w:shd w:val="clear" w:color="auto" w:fill="auto"/>
                  <w:vAlign w:val="center"/>
                </w:tcPr>
                <w:p w14:paraId="31563EB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54B0409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085" w:type="dxa"/>
                  <w:shd w:val="clear" w:color="auto" w:fill="auto"/>
                  <w:vAlign w:val="center"/>
                </w:tcPr>
                <w:p w14:paraId="08AA48A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44.47</w:t>
                  </w:r>
                </w:p>
              </w:tc>
              <w:tc>
                <w:tcPr>
                  <w:tcW w:w="1311" w:type="dxa"/>
                  <w:shd w:val="clear" w:color="auto" w:fill="auto"/>
                  <w:vAlign w:val="center"/>
                </w:tcPr>
                <w:p w14:paraId="07B2152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60.37</w:t>
                  </w:r>
                </w:p>
              </w:tc>
              <w:tc>
                <w:tcPr>
                  <w:tcW w:w="671" w:type="dxa"/>
                  <w:vMerge w:val="continue"/>
                  <w:shd w:val="clear" w:color="auto" w:fill="auto"/>
                  <w:vAlign w:val="center"/>
                </w:tcPr>
                <w:p w14:paraId="55E2FF0B">
                  <w:pPr>
                    <w:pStyle w:val="46"/>
                    <w:rPr>
                      <w:color w:val="000000" w:themeColor="text1"/>
                      <w14:textFill>
                        <w14:solidFill>
                          <w14:schemeClr w14:val="tx1"/>
                        </w14:solidFill>
                      </w14:textFill>
                    </w:rPr>
                  </w:pPr>
                </w:p>
              </w:tc>
              <w:tc>
                <w:tcPr>
                  <w:tcW w:w="1376" w:type="dxa"/>
                  <w:vMerge w:val="continue"/>
                  <w:shd w:val="clear" w:color="auto" w:fill="auto"/>
                  <w:vAlign w:val="center"/>
                </w:tcPr>
                <w:p w14:paraId="005F1C78">
                  <w:pPr>
                    <w:pStyle w:val="46"/>
                    <w:rPr>
                      <w:color w:val="000000" w:themeColor="text1"/>
                      <w14:textFill>
                        <w14:solidFill>
                          <w14:schemeClr w14:val="tx1"/>
                        </w14:solidFill>
                      </w14:textFill>
                    </w:rPr>
                  </w:pPr>
                </w:p>
              </w:tc>
              <w:tc>
                <w:tcPr>
                  <w:tcW w:w="1024" w:type="dxa"/>
                  <w:shd w:val="clear" w:color="auto" w:fill="auto"/>
                  <w:vAlign w:val="bottom"/>
                </w:tcPr>
                <w:p w14:paraId="5BD3E8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29.37</w:t>
                  </w:r>
                </w:p>
              </w:tc>
              <w:tc>
                <w:tcPr>
                  <w:tcW w:w="857" w:type="dxa"/>
                  <w:shd w:val="clear" w:color="auto" w:fill="auto"/>
                  <w:vAlign w:val="center"/>
                </w:tcPr>
                <w:p w14:paraId="6B87BC31">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671D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9843E4A">
                  <w:pPr>
                    <w:pStyle w:val="46"/>
                    <w:rPr>
                      <w:color w:val="000000" w:themeColor="text1"/>
                      <w14:textFill>
                        <w14:solidFill>
                          <w14:schemeClr w14:val="tx1"/>
                        </w14:solidFill>
                      </w14:textFill>
                    </w:rPr>
                  </w:pPr>
                </w:p>
              </w:tc>
              <w:tc>
                <w:tcPr>
                  <w:tcW w:w="670" w:type="dxa"/>
                  <w:vMerge w:val="continue"/>
                  <w:shd w:val="clear" w:color="auto" w:fill="auto"/>
                  <w:vAlign w:val="center"/>
                </w:tcPr>
                <w:p w14:paraId="415670F4">
                  <w:pPr>
                    <w:pStyle w:val="46"/>
                    <w:rPr>
                      <w:color w:val="000000" w:themeColor="text1"/>
                      <w14:textFill>
                        <w14:solidFill>
                          <w14:schemeClr w14:val="tx1"/>
                        </w14:solidFill>
                      </w14:textFill>
                    </w:rPr>
                  </w:pPr>
                </w:p>
              </w:tc>
              <w:tc>
                <w:tcPr>
                  <w:tcW w:w="0" w:type="auto"/>
                  <w:vMerge w:val="continue"/>
                  <w:shd w:val="clear" w:color="auto" w:fill="auto"/>
                  <w:vAlign w:val="center"/>
                </w:tcPr>
                <w:p w14:paraId="2C3812D7">
                  <w:pPr>
                    <w:pStyle w:val="46"/>
                    <w:rPr>
                      <w:color w:val="000000" w:themeColor="text1"/>
                      <w14:textFill>
                        <w14:solidFill>
                          <w14:schemeClr w14:val="tx1"/>
                        </w14:solidFill>
                      </w14:textFill>
                    </w:rPr>
                  </w:pPr>
                </w:p>
              </w:tc>
              <w:tc>
                <w:tcPr>
                  <w:tcW w:w="1043" w:type="dxa"/>
                  <w:vMerge w:val="continue"/>
                  <w:shd w:val="clear" w:color="auto" w:fill="auto"/>
                  <w:vAlign w:val="center"/>
                </w:tcPr>
                <w:p w14:paraId="7E377F8B">
                  <w:pPr>
                    <w:pStyle w:val="46"/>
                    <w:rPr>
                      <w:color w:val="000000" w:themeColor="text1"/>
                      <w14:textFill>
                        <w14:solidFill>
                          <w14:schemeClr w14:val="tx1"/>
                        </w14:solidFill>
                      </w14:textFill>
                    </w:rPr>
                  </w:pPr>
                </w:p>
              </w:tc>
              <w:tc>
                <w:tcPr>
                  <w:tcW w:w="756" w:type="dxa"/>
                  <w:vMerge w:val="continue"/>
                  <w:shd w:val="clear" w:color="auto" w:fill="auto"/>
                  <w:vAlign w:val="center"/>
                </w:tcPr>
                <w:p w14:paraId="3224F59A">
                  <w:pPr>
                    <w:pStyle w:val="46"/>
                    <w:rPr>
                      <w:color w:val="000000" w:themeColor="text1"/>
                      <w14:textFill>
                        <w14:solidFill>
                          <w14:schemeClr w14:val="tx1"/>
                        </w14:solidFill>
                      </w14:textFill>
                    </w:rPr>
                  </w:pPr>
                </w:p>
              </w:tc>
              <w:tc>
                <w:tcPr>
                  <w:tcW w:w="0" w:type="auto"/>
                  <w:vMerge w:val="continue"/>
                  <w:shd w:val="clear" w:color="auto" w:fill="auto"/>
                  <w:vAlign w:val="center"/>
                </w:tcPr>
                <w:p w14:paraId="4EEEE365">
                  <w:pPr>
                    <w:pStyle w:val="46"/>
                    <w:rPr>
                      <w:color w:val="000000" w:themeColor="text1"/>
                      <w14:textFill>
                        <w14:solidFill>
                          <w14:schemeClr w14:val="tx1"/>
                        </w14:solidFill>
                      </w14:textFill>
                    </w:rPr>
                  </w:pPr>
                </w:p>
              </w:tc>
              <w:tc>
                <w:tcPr>
                  <w:tcW w:w="486" w:type="dxa"/>
                  <w:vMerge w:val="continue"/>
                  <w:shd w:val="clear" w:color="auto" w:fill="auto"/>
                  <w:vAlign w:val="center"/>
                </w:tcPr>
                <w:p w14:paraId="3D967A59">
                  <w:pPr>
                    <w:pStyle w:val="46"/>
                    <w:rPr>
                      <w:color w:val="000000" w:themeColor="text1"/>
                      <w14:textFill>
                        <w14:solidFill>
                          <w14:schemeClr w14:val="tx1"/>
                        </w14:solidFill>
                      </w14:textFill>
                    </w:rPr>
                  </w:pPr>
                </w:p>
              </w:tc>
              <w:tc>
                <w:tcPr>
                  <w:tcW w:w="493" w:type="dxa"/>
                  <w:shd w:val="clear" w:color="auto" w:fill="auto"/>
                  <w:vAlign w:val="center"/>
                </w:tcPr>
                <w:p w14:paraId="50E08E4F">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1085" w:type="dxa"/>
                  <w:shd w:val="clear" w:color="auto" w:fill="auto"/>
                  <w:vAlign w:val="center"/>
                </w:tcPr>
                <w:p w14:paraId="51C04EB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83.42</w:t>
                  </w:r>
                </w:p>
              </w:tc>
              <w:tc>
                <w:tcPr>
                  <w:tcW w:w="1311" w:type="dxa"/>
                  <w:shd w:val="clear" w:color="auto" w:fill="auto"/>
                  <w:vAlign w:val="center"/>
                </w:tcPr>
                <w:p w14:paraId="59983FB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40D0E74F">
                  <w:pPr>
                    <w:pStyle w:val="46"/>
                    <w:rPr>
                      <w:color w:val="000000" w:themeColor="text1"/>
                      <w14:textFill>
                        <w14:solidFill>
                          <w14:schemeClr w14:val="tx1"/>
                        </w14:solidFill>
                      </w14:textFill>
                    </w:rPr>
                  </w:pPr>
                </w:p>
              </w:tc>
              <w:tc>
                <w:tcPr>
                  <w:tcW w:w="1376" w:type="dxa"/>
                  <w:vMerge w:val="continue"/>
                  <w:shd w:val="clear" w:color="auto" w:fill="auto"/>
                  <w:vAlign w:val="center"/>
                </w:tcPr>
                <w:p w14:paraId="29469266">
                  <w:pPr>
                    <w:pStyle w:val="46"/>
                    <w:rPr>
                      <w:color w:val="000000" w:themeColor="text1"/>
                      <w14:textFill>
                        <w14:solidFill>
                          <w14:schemeClr w14:val="tx1"/>
                        </w14:solidFill>
                      </w14:textFill>
                    </w:rPr>
                  </w:pPr>
                </w:p>
              </w:tc>
              <w:tc>
                <w:tcPr>
                  <w:tcW w:w="1024" w:type="dxa"/>
                  <w:shd w:val="clear" w:color="auto" w:fill="auto"/>
                  <w:vAlign w:val="bottom"/>
                </w:tcPr>
                <w:p w14:paraId="136B1E9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0F811791">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3B7F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9272D58">
                  <w:pPr>
                    <w:pStyle w:val="46"/>
                    <w:rPr>
                      <w:color w:val="000000" w:themeColor="text1"/>
                      <w14:textFill>
                        <w14:solidFill>
                          <w14:schemeClr w14:val="tx1"/>
                        </w14:solidFill>
                      </w14:textFill>
                    </w:rPr>
                  </w:pPr>
                </w:p>
              </w:tc>
              <w:tc>
                <w:tcPr>
                  <w:tcW w:w="670" w:type="dxa"/>
                  <w:vMerge w:val="continue"/>
                  <w:shd w:val="clear" w:color="auto" w:fill="auto"/>
                  <w:vAlign w:val="center"/>
                </w:tcPr>
                <w:p w14:paraId="2F03692E">
                  <w:pPr>
                    <w:pStyle w:val="46"/>
                    <w:rPr>
                      <w:color w:val="000000" w:themeColor="text1"/>
                      <w14:textFill>
                        <w14:solidFill>
                          <w14:schemeClr w14:val="tx1"/>
                        </w14:solidFill>
                      </w14:textFill>
                    </w:rPr>
                  </w:pPr>
                </w:p>
              </w:tc>
              <w:tc>
                <w:tcPr>
                  <w:tcW w:w="0" w:type="auto"/>
                  <w:vMerge w:val="continue"/>
                  <w:shd w:val="clear" w:color="auto" w:fill="auto"/>
                  <w:vAlign w:val="center"/>
                </w:tcPr>
                <w:p w14:paraId="30E6C5E1">
                  <w:pPr>
                    <w:pStyle w:val="46"/>
                    <w:rPr>
                      <w:color w:val="000000" w:themeColor="text1"/>
                      <w14:textFill>
                        <w14:solidFill>
                          <w14:schemeClr w14:val="tx1"/>
                        </w14:solidFill>
                      </w14:textFill>
                    </w:rPr>
                  </w:pPr>
                </w:p>
              </w:tc>
              <w:tc>
                <w:tcPr>
                  <w:tcW w:w="1043" w:type="dxa"/>
                  <w:vMerge w:val="continue"/>
                  <w:shd w:val="clear" w:color="auto" w:fill="auto"/>
                  <w:vAlign w:val="center"/>
                </w:tcPr>
                <w:p w14:paraId="20421D1C">
                  <w:pPr>
                    <w:pStyle w:val="46"/>
                    <w:rPr>
                      <w:color w:val="000000" w:themeColor="text1"/>
                      <w14:textFill>
                        <w14:solidFill>
                          <w14:schemeClr w14:val="tx1"/>
                        </w14:solidFill>
                      </w14:textFill>
                    </w:rPr>
                  </w:pPr>
                </w:p>
              </w:tc>
              <w:tc>
                <w:tcPr>
                  <w:tcW w:w="756" w:type="dxa"/>
                  <w:vMerge w:val="continue"/>
                  <w:shd w:val="clear" w:color="auto" w:fill="auto"/>
                  <w:vAlign w:val="center"/>
                </w:tcPr>
                <w:p w14:paraId="236382E1">
                  <w:pPr>
                    <w:pStyle w:val="46"/>
                    <w:rPr>
                      <w:color w:val="000000" w:themeColor="text1"/>
                      <w14:textFill>
                        <w14:solidFill>
                          <w14:schemeClr w14:val="tx1"/>
                        </w14:solidFill>
                      </w14:textFill>
                    </w:rPr>
                  </w:pPr>
                </w:p>
              </w:tc>
              <w:tc>
                <w:tcPr>
                  <w:tcW w:w="0" w:type="auto"/>
                  <w:vMerge w:val="continue"/>
                  <w:shd w:val="clear" w:color="auto" w:fill="auto"/>
                  <w:vAlign w:val="center"/>
                </w:tcPr>
                <w:p w14:paraId="3BA0C50F">
                  <w:pPr>
                    <w:pStyle w:val="46"/>
                    <w:rPr>
                      <w:color w:val="000000" w:themeColor="text1"/>
                      <w14:textFill>
                        <w14:solidFill>
                          <w14:schemeClr w14:val="tx1"/>
                        </w14:solidFill>
                      </w14:textFill>
                    </w:rPr>
                  </w:pPr>
                </w:p>
              </w:tc>
              <w:tc>
                <w:tcPr>
                  <w:tcW w:w="486" w:type="dxa"/>
                  <w:vMerge w:val="continue"/>
                  <w:shd w:val="clear" w:color="auto" w:fill="auto"/>
                  <w:vAlign w:val="center"/>
                </w:tcPr>
                <w:p w14:paraId="21B4A9B1">
                  <w:pPr>
                    <w:pStyle w:val="46"/>
                    <w:rPr>
                      <w:color w:val="000000" w:themeColor="text1"/>
                      <w14:textFill>
                        <w14:solidFill>
                          <w14:schemeClr w14:val="tx1"/>
                        </w14:solidFill>
                      </w14:textFill>
                    </w:rPr>
                  </w:pPr>
                </w:p>
              </w:tc>
              <w:tc>
                <w:tcPr>
                  <w:tcW w:w="493" w:type="dxa"/>
                  <w:shd w:val="clear" w:color="auto" w:fill="auto"/>
                  <w:vAlign w:val="center"/>
                </w:tcPr>
                <w:p w14:paraId="2ADEAB9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85" w:type="dxa"/>
                  <w:shd w:val="clear" w:color="auto" w:fill="auto"/>
                  <w:vAlign w:val="center"/>
                </w:tcPr>
                <w:p w14:paraId="3B6993D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205.2</w:t>
                  </w:r>
                </w:p>
              </w:tc>
              <w:tc>
                <w:tcPr>
                  <w:tcW w:w="1311" w:type="dxa"/>
                  <w:shd w:val="clear" w:color="auto" w:fill="auto"/>
                  <w:vAlign w:val="center"/>
                </w:tcPr>
                <w:p w14:paraId="5C59DD6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7E906028">
                  <w:pPr>
                    <w:pStyle w:val="46"/>
                    <w:rPr>
                      <w:color w:val="000000" w:themeColor="text1"/>
                      <w14:textFill>
                        <w14:solidFill>
                          <w14:schemeClr w14:val="tx1"/>
                        </w14:solidFill>
                      </w14:textFill>
                    </w:rPr>
                  </w:pPr>
                </w:p>
              </w:tc>
              <w:tc>
                <w:tcPr>
                  <w:tcW w:w="1376" w:type="dxa"/>
                  <w:vMerge w:val="continue"/>
                  <w:shd w:val="clear" w:color="auto" w:fill="auto"/>
                  <w:vAlign w:val="center"/>
                </w:tcPr>
                <w:p w14:paraId="03C5DC44">
                  <w:pPr>
                    <w:pStyle w:val="46"/>
                    <w:rPr>
                      <w:color w:val="000000" w:themeColor="text1"/>
                      <w14:textFill>
                        <w14:solidFill>
                          <w14:schemeClr w14:val="tx1"/>
                        </w14:solidFill>
                      </w14:textFill>
                    </w:rPr>
                  </w:pPr>
                </w:p>
              </w:tc>
              <w:tc>
                <w:tcPr>
                  <w:tcW w:w="1024" w:type="dxa"/>
                  <w:shd w:val="clear" w:color="auto" w:fill="auto"/>
                  <w:vAlign w:val="bottom"/>
                </w:tcPr>
                <w:p w14:paraId="589FC86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04D753D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0E9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2D9A769">
                  <w:pPr>
                    <w:pStyle w:val="46"/>
                    <w:rPr>
                      <w:color w:val="000000" w:themeColor="text1"/>
                      <w14:textFill>
                        <w14:solidFill>
                          <w14:schemeClr w14:val="tx1"/>
                        </w14:solidFill>
                      </w14:textFill>
                    </w:rPr>
                  </w:pPr>
                </w:p>
              </w:tc>
              <w:tc>
                <w:tcPr>
                  <w:tcW w:w="670" w:type="dxa"/>
                  <w:vMerge w:val="continue"/>
                  <w:shd w:val="clear" w:color="auto" w:fill="auto"/>
                  <w:vAlign w:val="center"/>
                </w:tcPr>
                <w:p w14:paraId="02F847E2">
                  <w:pPr>
                    <w:pStyle w:val="46"/>
                    <w:rPr>
                      <w:color w:val="000000" w:themeColor="text1"/>
                      <w14:textFill>
                        <w14:solidFill>
                          <w14:schemeClr w14:val="tx1"/>
                        </w14:solidFill>
                      </w14:textFill>
                    </w:rPr>
                  </w:pPr>
                </w:p>
              </w:tc>
              <w:tc>
                <w:tcPr>
                  <w:tcW w:w="0" w:type="auto"/>
                  <w:vMerge w:val="continue"/>
                  <w:shd w:val="clear" w:color="auto" w:fill="auto"/>
                  <w:vAlign w:val="center"/>
                </w:tcPr>
                <w:p w14:paraId="09EA4953">
                  <w:pPr>
                    <w:pStyle w:val="46"/>
                    <w:rPr>
                      <w:color w:val="000000" w:themeColor="text1"/>
                      <w14:textFill>
                        <w14:solidFill>
                          <w14:schemeClr w14:val="tx1"/>
                        </w14:solidFill>
                      </w14:textFill>
                    </w:rPr>
                  </w:pPr>
                </w:p>
              </w:tc>
              <w:tc>
                <w:tcPr>
                  <w:tcW w:w="1043" w:type="dxa"/>
                  <w:vMerge w:val="continue"/>
                  <w:shd w:val="clear" w:color="auto" w:fill="auto"/>
                  <w:vAlign w:val="center"/>
                </w:tcPr>
                <w:p w14:paraId="7C0BACAC">
                  <w:pPr>
                    <w:pStyle w:val="46"/>
                    <w:rPr>
                      <w:color w:val="000000" w:themeColor="text1"/>
                      <w14:textFill>
                        <w14:solidFill>
                          <w14:schemeClr w14:val="tx1"/>
                        </w14:solidFill>
                      </w14:textFill>
                    </w:rPr>
                  </w:pPr>
                </w:p>
              </w:tc>
              <w:tc>
                <w:tcPr>
                  <w:tcW w:w="756" w:type="dxa"/>
                  <w:vMerge w:val="continue"/>
                  <w:shd w:val="clear" w:color="auto" w:fill="auto"/>
                  <w:vAlign w:val="center"/>
                </w:tcPr>
                <w:p w14:paraId="66EC4A2B">
                  <w:pPr>
                    <w:pStyle w:val="46"/>
                    <w:rPr>
                      <w:color w:val="000000" w:themeColor="text1"/>
                      <w14:textFill>
                        <w14:solidFill>
                          <w14:schemeClr w14:val="tx1"/>
                        </w14:solidFill>
                      </w14:textFill>
                    </w:rPr>
                  </w:pPr>
                </w:p>
              </w:tc>
              <w:tc>
                <w:tcPr>
                  <w:tcW w:w="0" w:type="auto"/>
                  <w:vMerge w:val="continue"/>
                  <w:shd w:val="clear" w:color="auto" w:fill="auto"/>
                  <w:vAlign w:val="center"/>
                </w:tcPr>
                <w:p w14:paraId="11E642BE">
                  <w:pPr>
                    <w:pStyle w:val="46"/>
                    <w:rPr>
                      <w:color w:val="000000" w:themeColor="text1"/>
                      <w14:textFill>
                        <w14:solidFill>
                          <w14:schemeClr w14:val="tx1"/>
                        </w14:solidFill>
                      </w14:textFill>
                    </w:rPr>
                  </w:pPr>
                </w:p>
              </w:tc>
              <w:tc>
                <w:tcPr>
                  <w:tcW w:w="486" w:type="dxa"/>
                  <w:vMerge w:val="continue"/>
                  <w:shd w:val="clear" w:color="auto" w:fill="auto"/>
                  <w:vAlign w:val="center"/>
                </w:tcPr>
                <w:p w14:paraId="499B34CF">
                  <w:pPr>
                    <w:pStyle w:val="46"/>
                    <w:rPr>
                      <w:color w:val="000000" w:themeColor="text1"/>
                      <w14:textFill>
                        <w14:solidFill>
                          <w14:schemeClr w14:val="tx1"/>
                        </w14:solidFill>
                      </w14:textFill>
                    </w:rPr>
                  </w:pPr>
                </w:p>
              </w:tc>
              <w:tc>
                <w:tcPr>
                  <w:tcW w:w="493" w:type="dxa"/>
                  <w:shd w:val="clear" w:color="auto" w:fill="auto"/>
                  <w:vAlign w:val="center"/>
                </w:tcPr>
                <w:p w14:paraId="6245D578">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1085" w:type="dxa"/>
                  <w:shd w:val="clear" w:color="auto" w:fill="auto"/>
                  <w:vAlign w:val="center"/>
                </w:tcPr>
                <w:p w14:paraId="2C1B487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92.25</w:t>
                  </w:r>
                </w:p>
              </w:tc>
              <w:tc>
                <w:tcPr>
                  <w:tcW w:w="1311" w:type="dxa"/>
                  <w:shd w:val="clear" w:color="auto" w:fill="auto"/>
                  <w:vAlign w:val="center"/>
                </w:tcPr>
                <w:p w14:paraId="2DB8D2D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267CECAE">
                  <w:pPr>
                    <w:pStyle w:val="46"/>
                    <w:rPr>
                      <w:color w:val="000000" w:themeColor="text1"/>
                      <w14:textFill>
                        <w14:solidFill>
                          <w14:schemeClr w14:val="tx1"/>
                        </w14:solidFill>
                      </w14:textFill>
                    </w:rPr>
                  </w:pPr>
                </w:p>
              </w:tc>
              <w:tc>
                <w:tcPr>
                  <w:tcW w:w="1376" w:type="dxa"/>
                  <w:vMerge w:val="continue"/>
                  <w:shd w:val="clear" w:color="auto" w:fill="auto"/>
                  <w:vAlign w:val="center"/>
                </w:tcPr>
                <w:p w14:paraId="219084A3">
                  <w:pPr>
                    <w:pStyle w:val="46"/>
                    <w:rPr>
                      <w:color w:val="000000" w:themeColor="text1"/>
                      <w14:textFill>
                        <w14:solidFill>
                          <w14:schemeClr w14:val="tx1"/>
                        </w14:solidFill>
                      </w14:textFill>
                    </w:rPr>
                  </w:pPr>
                </w:p>
              </w:tc>
              <w:tc>
                <w:tcPr>
                  <w:tcW w:w="1024" w:type="dxa"/>
                  <w:shd w:val="clear" w:color="auto" w:fill="auto"/>
                  <w:vAlign w:val="bottom"/>
                </w:tcPr>
                <w:p w14:paraId="403D283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053DDA3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w:t>
                  </w:r>
                </w:p>
              </w:tc>
            </w:tr>
            <w:tr w14:paraId="2389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0639AFF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c>
                <w:tcPr>
                  <w:tcW w:w="670" w:type="dxa"/>
                  <w:vMerge w:val="continue"/>
                  <w:shd w:val="clear" w:color="auto" w:fill="auto"/>
                  <w:vAlign w:val="center"/>
                </w:tcPr>
                <w:p w14:paraId="6E20FD82">
                  <w:pPr>
                    <w:pStyle w:val="46"/>
                    <w:rPr>
                      <w:color w:val="000000" w:themeColor="text1"/>
                      <w14:textFill>
                        <w14:solidFill>
                          <w14:schemeClr w14:val="tx1"/>
                        </w14:solidFill>
                      </w14:textFill>
                    </w:rPr>
                  </w:pPr>
                </w:p>
              </w:tc>
              <w:tc>
                <w:tcPr>
                  <w:tcW w:w="2642" w:type="dxa"/>
                  <w:vMerge w:val="restart"/>
                  <w:shd w:val="clear" w:color="auto" w:fill="auto"/>
                  <w:vAlign w:val="center"/>
                </w:tcPr>
                <w:p w14:paraId="02AA4F7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立轴破碎机</w:t>
                  </w:r>
                </w:p>
              </w:tc>
              <w:tc>
                <w:tcPr>
                  <w:tcW w:w="1043" w:type="dxa"/>
                  <w:vMerge w:val="restart"/>
                  <w:shd w:val="clear" w:color="auto" w:fill="auto"/>
                  <w:vAlign w:val="center"/>
                </w:tcPr>
                <w:p w14:paraId="5AB6C5E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30D3ABB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113.93</w:t>
                  </w:r>
                </w:p>
              </w:tc>
              <w:tc>
                <w:tcPr>
                  <w:tcW w:w="759" w:type="dxa"/>
                  <w:vMerge w:val="restart"/>
                  <w:shd w:val="clear" w:color="auto" w:fill="auto"/>
                  <w:vAlign w:val="center"/>
                </w:tcPr>
                <w:p w14:paraId="436FE9D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7.24</w:t>
                  </w:r>
                </w:p>
              </w:tc>
              <w:tc>
                <w:tcPr>
                  <w:tcW w:w="486" w:type="dxa"/>
                  <w:vMerge w:val="restart"/>
                  <w:shd w:val="clear" w:color="auto" w:fill="auto"/>
                  <w:vAlign w:val="center"/>
                </w:tcPr>
                <w:p w14:paraId="376BC7A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3CD85CD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536E7CE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56.17</w:t>
                  </w:r>
                </w:p>
              </w:tc>
              <w:tc>
                <w:tcPr>
                  <w:tcW w:w="0" w:type="auto"/>
                  <w:shd w:val="clear" w:color="auto" w:fill="auto"/>
                  <w:vAlign w:val="center"/>
                </w:tcPr>
                <w:p w14:paraId="50BA406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14454F6A">
                  <w:pPr>
                    <w:pStyle w:val="46"/>
                    <w:rPr>
                      <w:color w:val="000000" w:themeColor="text1"/>
                      <w14:textFill>
                        <w14:solidFill>
                          <w14:schemeClr w14:val="tx1"/>
                        </w14:solidFill>
                      </w14:textFill>
                    </w:rPr>
                  </w:pPr>
                </w:p>
              </w:tc>
              <w:tc>
                <w:tcPr>
                  <w:tcW w:w="1376" w:type="dxa"/>
                  <w:vMerge w:val="continue"/>
                  <w:shd w:val="clear" w:color="auto" w:fill="auto"/>
                  <w:vAlign w:val="center"/>
                </w:tcPr>
                <w:p w14:paraId="42045E7D">
                  <w:pPr>
                    <w:pStyle w:val="46"/>
                    <w:rPr>
                      <w:color w:val="000000" w:themeColor="text1"/>
                      <w14:textFill>
                        <w14:solidFill>
                          <w14:schemeClr w14:val="tx1"/>
                        </w14:solidFill>
                      </w14:textFill>
                    </w:rPr>
                  </w:pPr>
                </w:p>
              </w:tc>
              <w:tc>
                <w:tcPr>
                  <w:tcW w:w="1024" w:type="dxa"/>
                  <w:shd w:val="clear" w:color="auto" w:fill="auto"/>
                  <w:vAlign w:val="bottom"/>
                </w:tcPr>
                <w:p w14:paraId="3CA9B81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56089D5A">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FFD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6B02BB55">
                  <w:pPr>
                    <w:pStyle w:val="46"/>
                    <w:rPr>
                      <w:color w:val="000000" w:themeColor="text1"/>
                      <w14:textFill>
                        <w14:solidFill>
                          <w14:schemeClr w14:val="tx1"/>
                        </w14:solidFill>
                      </w14:textFill>
                    </w:rPr>
                  </w:pPr>
                </w:p>
              </w:tc>
              <w:tc>
                <w:tcPr>
                  <w:tcW w:w="670" w:type="dxa"/>
                  <w:vMerge w:val="continue"/>
                  <w:shd w:val="clear" w:color="auto" w:fill="auto"/>
                  <w:vAlign w:val="center"/>
                </w:tcPr>
                <w:p w14:paraId="62D99873">
                  <w:pPr>
                    <w:pStyle w:val="46"/>
                    <w:rPr>
                      <w:color w:val="000000" w:themeColor="text1"/>
                      <w14:textFill>
                        <w14:solidFill>
                          <w14:schemeClr w14:val="tx1"/>
                        </w14:solidFill>
                      </w14:textFill>
                    </w:rPr>
                  </w:pPr>
                </w:p>
              </w:tc>
              <w:tc>
                <w:tcPr>
                  <w:tcW w:w="0" w:type="auto"/>
                  <w:vMerge w:val="continue"/>
                  <w:shd w:val="clear" w:color="auto" w:fill="auto"/>
                  <w:vAlign w:val="center"/>
                </w:tcPr>
                <w:p w14:paraId="50BA5542">
                  <w:pPr>
                    <w:pStyle w:val="46"/>
                    <w:rPr>
                      <w:color w:val="000000" w:themeColor="text1"/>
                      <w14:textFill>
                        <w14:solidFill>
                          <w14:schemeClr w14:val="tx1"/>
                        </w14:solidFill>
                      </w14:textFill>
                    </w:rPr>
                  </w:pPr>
                </w:p>
              </w:tc>
              <w:tc>
                <w:tcPr>
                  <w:tcW w:w="1043" w:type="dxa"/>
                  <w:vMerge w:val="continue"/>
                  <w:shd w:val="clear" w:color="auto" w:fill="auto"/>
                  <w:vAlign w:val="center"/>
                </w:tcPr>
                <w:p w14:paraId="1765AAE2">
                  <w:pPr>
                    <w:pStyle w:val="46"/>
                    <w:rPr>
                      <w:color w:val="000000" w:themeColor="text1"/>
                      <w14:textFill>
                        <w14:solidFill>
                          <w14:schemeClr w14:val="tx1"/>
                        </w14:solidFill>
                      </w14:textFill>
                    </w:rPr>
                  </w:pPr>
                </w:p>
              </w:tc>
              <w:tc>
                <w:tcPr>
                  <w:tcW w:w="756" w:type="dxa"/>
                  <w:vMerge w:val="continue"/>
                  <w:shd w:val="clear" w:color="auto" w:fill="auto"/>
                  <w:vAlign w:val="center"/>
                </w:tcPr>
                <w:p w14:paraId="325954C7">
                  <w:pPr>
                    <w:pStyle w:val="46"/>
                    <w:rPr>
                      <w:color w:val="000000" w:themeColor="text1"/>
                      <w14:textFill>
                        <w14:solidFill>
                          <w14:schemeClr w14:val="tx1"/>
                        </w14:solidFill>
                      </w14:textFill>
                    </w:rPr>
                  </w:pPr>
                </w:p>
              </w:tc>
              <w:tc>
                <w:tcPr>
                  <w:tcW w:w="0" w:type="auto"/>
                  <w:vMerge w:val="continue"/>
                  <w:shd w:val="clear" w:color="auto" w:fill="auto"/>
                  <w:vAlign w:val="center"/>
                </w:tcPr>
                <w:p w14:paraId="2816245F">
                  <w:pPr>
                    <w:pStyle w:val="46"/>
                    <w:rPr>
                      <w:color w:val="000000" w:themeColor="text1"/>
                      <w14:textFill>
                        <w14:solidFill>
                          <w14:schemeClr w14:val="tx1"/>
                        </w14:solidFill>
                      </w14:textFill>
                    </w:rPr>
                  </w:pPr>
                </w:p>
              </w:tc>
              <w:tc>
                <w:tcPr>
                  <w:tcW w:w="486" w:type="dxa"/>
                  <w:vMerge w:val="continue"/>
                  <w:shd w:val="clear" w:color="auto" w:fill="auto"/>
                  <w:vAlign w:val="center"/>
                </w:tcPr>
                <w:p w14:paraId="747E0E53">
                  <w:pPr>
                    <w:pStyle w:val="46"/>
                    <w:rPr>
                      <w:color w:val="000000" w:themeColor="text1"/>
                      <w14:textFill>
                        <w14:solidFill>
                          <w14:schemeClr w14:val="tx1"/>
                        </w14:solidFill>
                      </w14:textFill>
                    </w:rPr>
                  </w:pPr>
                </w:p>
              </w:tc>
              <w:tc>
                <w:tcPr>
                  <w:tcW w:w="493" w:type="dxa"/>
                  <w:shd w:val="clear" w:color="auto" w:fill="auto"/>
                  <w:vAlign w:val="center"/>
                </w:tcPr>
                <w:p w14:paraId="22F880BD">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326F8C6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83.81</w:t>
                  </w:r>
                </w:p>
              </w:tc>
              <w:tc>
                <w:tcPr>
                  <w:tcW w:w="0" w:type="auto"/>
                  <w:shd w:val="clear" w:color="auto" w:fill="auto"/>
                  <w:vAlign w:val="center"/>
                </w:tcPr>
                <w:p w14:paraId="7C6B338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37A4742C">
                  <w:pPr>
                    <w:pStyle w:val="46"/>
                    <w:rPr>
                      <w:color w:val="000000" w:themeColor="text1"/>
                      <w14:textFill>
                        <w14:solidFill>
                          <w14:schemeClr w14:val="tx1"/>
                        </w14:solidFill>
                      </w14:textFill>
                    </w:rPr>
                  </w:pPr>
                </w:p>
              </w:tc>
              <w:tc>
                <w:tcPr>
                  <w:tcW w:w="1376" w:type="dxa"/>
                  <w:vMerge w:val="continue"/>
                  <w:shd w:val="clear" w:color="auto" w:fill="auto"/>
                  <w:vAlign w:val="center"/>
                </w:tcPr>
                <w:p w14:paraId="3B098364">
                  <w:pPr>
                    <w:pStyle w:val="46"/>
                    <w:rPr>
                      <w:color w:val="000000" w:themeColor="text1"/>
                      <w14:textFill>
                        <w14:solidFill>
                          <w14:schemeClr w14:val="tx1"/>
                        </w14:solidFill>
                      </w14:textFill>
                    </w:rPr>
                  </w:pPr>
                </w:p>
              </w:tc>
              <w:tc>
                <w:tcPr>
                  <w:tcW w:w="1024" w:type="dxa"/>
                  <w:shd w:val="clear" w:color="auto" w:fill="auto"/>
                  <w:vAlign w:val="bottom"/>
                </w:tcPr>
                <w:p w14:paraId="7702712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33BB3571">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A5B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BC3700F">
                  <w:pPr>
                    <w:pStyle w:val="46"/>
                    <w:rPr>
                      <w:color w:val="000000" w:themeColor="text1"/>
                      <w14:textFill>
                        <w14:solidFill>
                          <w14:schemeClr w14:val="tx1"/>
                        </w14:solidFill>
                      </w14:textFill>
                    </w:rPr>
                  </w:pPr>
                </w:p>
              </w:tc>
              <w:tc>
                <w:tcPr>
                  <w:tcW w:w="670" w:type="dxa"/>
                  <w:vMerge w:val="continue"/>
                  <w:shd w:val="clear" w:color="auto" w:fill="auto"/>
                  <w:vAlign w:val="center"/>
                </w:tcPr>
                <w:p w14:paraId="53AEBC40">
                  <w:pPr>
                    <w:pStyle w:val="46"/>
                    <w:rPr>
                      <w:color w:val="000000" w:themeColor="text1"/>
                      <w14:textFill>
                        <w14:solidFill>
                          <w14:schemeClr w14:val="tx1"/>
                        </w14:solidFill>
                      </w14:textFill>
                    </w:rPr>
                  </w:pPr>
                </w:p>
              </w:tc>
              <w:tc>
                <w:tcPr>
                  <w:tcW w:w="0" w:type="auto"/>
                  <w:vMerge w:val="continue"/>
                  <w:shd w:val="clear" w:color="auto" w:fill="auto"/>
                  <w:vAlign w:val="center"/>
                </w:tcPr>
                <w:p w14:paraId="7178C40E">
                  <w:pPr>
                    <w:pStyle w:val="46"/>
                    <w:rPr>
                      <w:color w:val="000000" w:themeColor="text1"/>
                      <w14:textFill>
                        <w14:solidFill>
                          <w14:schemeClr w14:val="tx1"/>
                        </w14:solidFill>
                      </w14:textFill>
                    </w:rPr>
                  </w:pPr>
                </w:p>
              </w:tc>
              <w:tc>
                <w:tcPr>
                  <w:tcW w:w="1043" w:type="dxa"/>
                  <w:vMerge w:val="continue"/>
                  <w:shd w:val="clear" w:color="auto" w:fill="auto"/>
                  <w:vAlign w:val="center"/>
                </w:tcPr>
                <w:p w14:paraId="41064100">
                  <w:pPr>
                    <w:pStyle w:val="46"/>
                    <w:rPr>
                      <w:color w:val="000000" w:themeColor="text1"/>
                      <w14:textFill>
                        <w14:solidFill>
                          <w14:schemeClr w14:val="tx1"/>
                        </w14:solidFill>
                      </w14:textFill>
                    </w:rPr>
                  </w:pPr>
                </w:p>
              </w:tc>
              <w:tc>
                <w:tcPr>
                  <w:tcW w:w="756" w:type="dxa"/>
                  <w:vMerge w:val="continue"/>
                  <w:shd w:val="clear" w:color="auto" w:fill="auto"/>
                  <w:vAlign w:val="center"/>
                </w:tcPr>
                <w:p w14:paraId="27F876D7">
                  <w:pPr>
                    <w:pStyle w:val="46"/>
                    <w:rPr>
                      <w:color w:val="000000" w:themeColor="text1"/>
                      <w14:textFill>
                        <w14:solidFill>
                          <w14:schemeClr w14:val="tx1"/>
                        </w14:solidFill>
                      </w14:textFill>
                    </w:rPr>
                  </w:pPr>
                </w:p>
              </w:tc>
              <w:tc>
                <w:tcPr>
                  <w:tcW w:w="0" w:type="auto"/>
                  <w:vMerge w:val="continue"/>
                  <w:shd w:val="clear" w:color="auto" w:fill="auto"/>
                  <w:vAlign w:val="center"/>
                </w:tcPr>
                <w:p w14:paraId="01F3E7C8">
                  <w:pPr>
                    <w:pStyle w:val="46"/>
                    <w:rPr>
                      <w:color w:val="000000" w:themeColor="text1"/>
                      <w14:textFill>
                        <w14:solidFill>
                          <w14:schemeClr w14:val="tx1"/>
                        </w14:solidFill>
                      </w14:textFill>
                    </w:rPr>
                  </w:pPr>
                </w:p>
              </w:tc>
              <w:tc>
                <w:tcPr>
                  <w:tcW w:w="486" w:type="dxa"/>
                  <w:vMerge w:val="continue"/>
                  <w:shd w:val="clear" w:color="auto" w:fill="auto"/>
                  <w:vAlign w:val="center"/>
                </w:tcPr>
                <w:p w14:paraId="050F96B0">
                  <w:pPr>
                    <w:pStyle w:val="46"/>
                    <w:rPr>
                      <w:color w:val="000000" w:themeColor="text1"/>
                      <w14:textFill>
                        <w14:solidFill>
                          <w14:schemeClr w14:val="tx1"/>
                        </w14:solidFill>
                      </w14:textFill>
                    </w:rPr>
                  </w:pPr>
                </w:p>
              </w:tc>
              <w:tc>
                <w:tcPr>
                  <w:tcW w:w="493" w:type="dxa"/>
                  <w:shd w:val="clear" w:color="auto" w:fill="auto"/>
                  <w:vAlign w:val="center"/>
                </w:tcPr>
                <w:p w14:paraId="421485C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285DEC3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193.23</w:t>
                  </w:r>
                </w:p>
              </w:tc>
              <w:tc>
                <w:tcPr>
                  <w:tcW w:w="0" w:type="auto"/>
                  <w:shd w:val="clear" w:color="auto" w:fill="auto"/>
                  <w:vAlign w:val="center"/>
                </w:tcPr>
                <w:p w14:paraId="363BFA5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35FF6E7D">
                  <w:pPr>
                    <w:pStyle w:val="46"/>
                    <w:rPr>
                      <w:color w:val="000000" w:themeColor="text1"/>
                      <w14:textFill>
                        <w14:solidFill>
                          <w14:schemeClr w14:val="tx1"/>
                        </w14:solidFill>
                      </w14:textFill>
                    </w:rPr>
                  </w:pPr>
                </w:p>
              </w:tc>
              <w:tc>
                <w:tcPr>
                  <w:tcW w:w="1376" w:type="dxa"/>
                  <w:vMerge w:val="continue"/>
                  <w:shd w:val="clear" w:color="auto" w:fill="auto"/>
                  <w:vAlign w:val="center"/>
                </w:tcPr>
                <w:p w14:paraId="233E828F">
                  <w:pPr>
                    <w:pStyle w:val="46"/>
                    <w:rPr>
                      <w:color w:val="000000" w:themeColor="text1"/>
                      <w14:textFill>
                        <w14:solidFill>
                          <w14:schemeClr w14:val="tx1"/>
                        </w14:solidFill>
                      </w14:textFill>
                    </w:rPr>
                  </w:pPr>
                </w:p>
              </w:tc>
              <w:tc>
                <w:tcPr>
                  <w:tcW w:w="1024" w:type="dxa"/>
                  <w:shd w:val="clear" w:color="auto" w:fill="auto"/>
                  <w:vAlign w:val="bottom"/>
                </w:tcPr>
                <w:p w14:paraId="302376E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5B9626CE">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3553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7892726">
                  <w:pPr>
                    <w:pStyle w:val="46"/>
                    <w:rPr>
                      <w:color w:val="000000" w:themeColor="text1"/>
                      <w14:textFill>
                        <w14:solidFill>
                          <w14:schemeClr w14:val="tx1"/>
                        </w14:solidFill>
                      </w14:textFill>
                    </w:rPr>
                  </w:pPr>
                </w:p>
              </w:tc>
              <w:tc>
                <w:tcPr>
                  <w:tcW w:w="670" w:type="dxa"/>
                  <w:vMerge w:val="continue"/>
                  <w:shd w:val="clear" w:color="auto" w:fill="auto"/>
                  <w:vAlign w:val="center"/>
                </w:tcPr>
                <w:p w14:paraId="03AF8E1D">
                  <w:pPr>
                    <w:pStyle w:val="46"/>
                    <w:rPr>
                      <w:color w:val="000000" w:themeColor="text1"/>
                      <w14:textFill>
                        <w14:solidFill>
                          <w14:schemeClr w14:val="tx1"/>
                        </w14:solidFill>
                      </w14:textFill>
                    </w:rPr>
                  </w:pPr>
                </w:p>
              </w:tc>
              <w:tc>
                <w:tcPr>
                  <w:tcW w:w="0" w:type="auto"/>
                  <w:vMerge w:val="continue"/>
                  <w:shd w:val="clear" w:color="auto" w:fill="auto"/>
                  <w:vAlign w:val="center"/>
                </w:tcPr>
                <w:p w14:paraId="00EB8F95">
                  <w:pPr>
                    <w:pStyle w:val="46"/>
                    <w:rPr>
                      <w:color w:val="000000" w:themeColor="text1"/>
                      <w14:textFill>
                        <w14:solidFill>
                          <w14:schemeClr w14:val="tx1"/>
                        </w14:solidFill>
                      </w14:textFill>
                    </w:rPr>
                  </w:pPr>
                </w:p>
              </w:tc>
              <w:tc>
                <w:tcPr>
                  <w:tcW w:w="1043" w:type="dxa"/>
                  <w:vMerge w:val="continue"/>
                  <w:shd w:val="clear" w:color="auto" w:fill="auto"/>
                  <w:vAlign w:val="center"/>
                </w:tcPr>
                <w:p w14:paraId="67EFFE93">
                  <w:pPr>
                    <w:pStyle w:val="46"/>
                    <w:rPr>
                      <w:color w:val="000000" w:themeColor="text1"/>
                      <w14:textFill>
                        <w14:solidFill>
                          <w14:schemeClr w14:val="tx1"/>
                        </w14:solidFill>
                      </w14:textFill>
                    </w:rPr>
                  </w:pPr>
                </w:p>
              </w:tc>
              <w:tc>
                <w:tcPr>
                  <w:tcW w:w="756" w:type="dxa"/>
                  <w:vMerge w:val="continue"/>
                  <w:shd w:val="clear" w:color="auto" w:fill="auto"/>
                  <w:vAlign w:val="center"/>
                </w:tcPr>
                <w:p w14:paraId="7D063720">
                  <w:pPr>
                    <w:pStyle w:val="46"/>
                    <w:rPr>
                      <w:color w:val="000000" w:themeColor="text1"/>
                      <w14:textFill>
                        <w14:solidFill>
                          <w14:schemeClr w14:val="tx1"/>
                        </w14:solidFill>
                      </w14:textFill>
                    </w:rPr>
                  </w:pPr>
                </w:p>
              </w:tc>
              <w:tc>
                <w:tcPr>
                  <w:tcW w:w="0" w:type="auto"/>
                  <w:vMerge w:val="continue"/>
                  <w:shd w:val="clear" w:color="auto" w:fill="auto"/>
                  <w:vAlign w:val="center"/>
                </w:tcPr>
                <w:p w14:paraId="727DB73D">
                  <w:pPr>
                    <w:pStyle w:val="46"/>
                    <w:rPr>
                      <w:color w:val="000000" w:themeColor="text1"/>
                      <w14:textFill>
                        <w14:solidFill>
                          <w14:schemeClr w14:val="tx1"/>
                        </w14:solidFill>
                      </w14:textFill>
                    </w:rPr>
                  </w:pPr>
                </w:p>
              </w:tc>
              <w:tc>
                <w:tcPr>
                  <w:tcW w:w="486" w:type="dxa"/>
                  <w:vMerge w:val="continue"/>
                  <w:shd w:val="clear" w:color="auto" w:fill="auto"/>
                  <w:vAlign w:val="center"/>
                </w:tcPr>
                <w:p w14:paraId="5BEB9FA9">
                  <w:pPr>
                    <w:pStyle w:val="46"/>
                    <w:rPr>
                      <w:color w:val="000000" w:themeColor="text1"/>
                      <w14:textFill>
                        <w14:solidFill>
                          <w14:schemeClr w14:val="tx1"/>
                        </w14:solidFill>
                      </w14:textFill>
                    </w:rPr>
                  </w:pPr>
                </w:p>
              </w:tc>
              <w:tc>
                <w:tcPr>
                  <w:tcW w:w="493" w:type="dxa"/>
                  <w:shd w:val="clear" w:color="auto" w:fill="auto"/>
                  <w:vAlign w:val="center"/>
                </w:tcPr>
                <w:p w14:paraId="79590403">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66FBDD5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96.95</w:t>
                  </w:r>
                </w:p>
              </w:tc>
              <w:tc>
                <w:tcPr>
                  <w:tcW w:w="0" w:type="auto"/>
                  <w:shd w:val="clear" w:color="auto" w:fill="auto"/>
                  <w:vAlign w:val="center"/>
                </w:tcPr>
                <w:p w14:paraId="6766AB4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68C5420B">
                  <w:pPr>
                    <w:pStyle w:val="46"/>
                    <w:rPr>
                      <w:color w:val="000000" w:themeColor="text1"/>
                      <w14:textFill>
                        <w14:solidFill>
                          <w14:schemeClr w14:val="tx1"/>
                        </w14:solidFill>
                      </w14:textFill>
                    </w:rPr>
                  </w:pPr>
                </w:p>
              </w:tc>
              <w:tc>
                <w:tcPr>
                  <w:tcW w:w="1376" w:type="dxa"/>
                  <w:vMerge w:val="continue"/>
                  <w:shd w:val="clear" w:color="auto" w:fill="auto"/>
                  <w:vAlign w:val="center"/>
                </w:tcPr>
                <w:p w14:paraId="728380E0">
                  <w:pPr>
                    <w:pStyle w:val="46"/>
                    <w:rPr>
                      <w:color w:val="000000" w:themeColor="text1"/>
                      <w14:textFill>
                        <w14:solidFill>
                          <w14:schemeClr w14:val="tx1"/>
                        </w14:solidFill>
                      </w14:textFill>
                    </w:rPr>
                  </w:pPr>
                </w:p>
              </w:tc>
              <w:tc>
                <w:tcPr>
                  <w:tcW w:w="1024" w:type="dxa"/>
                  <w:shd w:val="clear" w:color="auto" w:fill="auto"/>
                  <w:vAlign w:val="bottom"/>
                </w:tcPr>
                <w:p w14:paraId="39F40C4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6287159E">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217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287EF51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w:t>
                  </w:r>
                </w:p>
              </w:tc>
              <w:tc>
                <w:tcPr>
                  <w:tcW w:w="670" w:type="dxa"/>
                  <w:vMerge w:val="continue"/>
                  <w:shd w:val="clear" w:color="auto" w:fill="auto"/>
                  <w:vAlign w:val="center"/>
                </w:tcPr>
                <w:p w14:paraId="298D7967">
                  <w:pPr>
                    <w:pStyle w:val="46"/>
                    <w:rPr>
                      <w:color w:val="000000" w:themeColor="text1"/>
                      <w14:textFill>
                        <w14:solidFill>
                          <w14:schemeClr w14:val="tx1"/>
                        </w14:solidFill>
                      </w14:textFill>
                    </w:rPr>
                  </w:pPr>
                </w:p>
              </w:tc>
              <w:tc>
                <w:tcPr>
                  <w:tcW w:w="2642" w:type="dxa"/>
                  <w:vMerge w:val="restart"/>
                  <w:shd w:val="clear" w:color="auto" w:fill="auto"/>
                  <w:vAlign w:val="center"/>
                </w:tcPr>
                <w:p w14:paraId="33773C8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立轴制砂机</w:t>
                  </w:r>
                </w:p>
              </w:tc>
              <w:tc>
                <w:tcPr>
                  <w:tcW w:w="1043" w:type="dxa"/>
                  <w:vMerge w:val="restart"/>
                  <w:shd w:val="clear" w:color="auto" w:fill="auto"/>
                  <w:vAlign w:val="center"/>
                </w:tcPr>
                <w:p w14:paraId="005A1EA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1C55A53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118.14</w:t>
                  </w:r>
                </w:p>
              </w:tc>
              <w:tc>
                <w:tcPr>
                  <w:tcW w:w="759" w:type="dxa"/>
                  <w:vMerge w:val="restart"/>
                  <w:shd w:val="clear" w:color="auto" w:fill="auto"/>
                  <w:vAlign w:val="center"/>
                </w:tcPr>
                <w:p w14:paraId="1CAFCE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12.15</w:t>
                  </w:r>
                </w:p>
              </w:tc>
              <w:tc>
                <w:tcPr>
                  <w:tcW w:w="486" w:type="dxa"/>
                  <w:vMerge w:val="restart"/>
                  <w:shd w:val="clear" w:color="auto" w:fill="auto"/>
                  <w:vAlign w:val="center"/>
                </w:tcPr>
                <w:p w14:paraId="1F87657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284CF46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2B49E42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54.28</w:t>
                  </w:r>
                </w:p>
              </w:tc>
              <w:tc>
                <w:tcPr>
                  <w:tcW w:w="0" w:type="auto"/>
                  <w:shd w:val="clear" w:color="auto" w:fill="auto"/>
                  <w:vAlign w:val="center"/>
                </w:tcPr>
                <w:p w14:paraId="4CC2448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53CB7D6E">
                  <w:pPr>
                    <w:pStyle w:val="46"/>
                    <w:rPr>
                      <w:color w:val="000000" w:themeColor="text1"/>
                      <w14:textFill>
                        <w14:solidFill>
                          <w14:schemeClr w14:val="tx1"/>
                        </w14:solidFill>
                      </w14:textFill>
                    </w:rPr>
                  </w:pPr>
                </w:p>
              </w:tc>
              <w:tc>
                <w:tcPr>
                  <w:tcW w:w="1376" w:type="dxa"/>
                  <w:vMerge w:val="continue"/>
                  <w:shd w:val="clear" w:color="auto" w:fill="auto"/>
                  <w:vAlign w:val="center"/>
                </w:tcPr>
                <w:p w14:paraId="4097BA01">
                  <w:pPr>
                    <w:pStyle w:val="46"/>
                    <w:rPr>
                      <w:color w:val="000000" w:themeColor="text1"/>
                      <w14:textFill>
                        <w14:solidFill>
                          <w14:schemeClr w14:val="tx1"/>
                        </w14:solidFill>
                      </w14:textFill>
                    </w:rPr>
                  </w:pPr>
                </w:p>
              </w:tc>
              <w:tc>
                <w:tcPr>
                  <w:tcW w:w="1024" w:type="dxa"/>
                  <w:shd w:val="clear" w:color="auto" w:fill="auto"/>
                  <w:vAlign w:val="bottom"/>
                </w:tcPr>
                <w:p w14:paraId="17C7986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5F2F3BD4">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DDC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9E5B772">
                  <w:pPr>
                    <w:pStyle w:val="46"/>
                    <w:rPr>
                      <w:color w:val="000000" w:themeColor="text1"/>
                      <w14:textFill>
                        <w14:solidFill>
                          <w14:schemeClr w14:val="tx1"/>
                        </w14:solidFill>
                      </w14:textFill>
                    </w:rPr>
                  </w:pPr>
                </w:p>
              </w:tc>
              <w:tc>
                <w:tcPr>
                  <w:tcW w:w="670" w:type="dxa"/>
                  <w:vMerge w:val="continue"/>
                  <w:shd w:val="clear" w:color="auto" w:fill="auto"/>
                  <w:vAlign w:val="center"/>
                </w:tcPr>
                <w:p w14:paraId="3CBB6AC7">
                  <w:pPr>
                    <w:pStyle w:val="46"/>
                    <w:rPr>
                      <w:color w:val="000000" w:themeColor="text1"/>
                      <w14:textFill>
                        <w14:solidFill>
                          <w14:schemeClr w14:val="tx1"/>
                        </w14:solidFill>
                      </w14:textFill>
                    </w:rPr>
                  </w:pPr>
                </w:p>
              </w:tc>
              <w:tc>
                <w:tcPr>
                  <w:tcW w:w="0" w:type="auto"/>
                  <w:vMerge w:val="continue"/>
                  <w:shd w:val="clear" w:color="auto" w:fill="auto"/>
                  <w:vAlign w:val="center"/>
                </w:tcPr>
                <w:p w14:paraId="7CFC3060">
                  <w:pPr>
                    <w:pStyle w:val="46"/>
                    <w:rPr>
                      <w:color w:val="000000" w:themeColor="text1"/>
                      <w14:textFill>
                        <w14:solidFill>
                          <w14:schemeClr w14:val="tx1"/>
                        </w14:solidFill>
                      </w14:textFill>
                    </w:rPr>
                  </w:pPr>
                </w:p>
              </w:tc>
              <w:tc>
                <w:tcPr>
                  <w:tcW w:w="1043" w:type="dxa"/>
                  <w:vMerge w:val="continue"/>
                  <w:shd w:val="clear" w:color="auto" w:fill="auto"/>
                  <w:vAlign w:val="center"/>
                </w:tcPr>
                <w:p w14:paraId="71D8DC24">
                  <w:pPr>
                    <w:pStyle w:val="46"/>
                    <w:rPr>
                      <w:color w:val="000000" w:themeColor="text1"/>
                      <w14:textFill>
                        <w14:solidFill>
                          <w14:schemeClr w14:val="tx1"/>
                        </w14:solidFill>
                      </w14:textFill>
                    </w:rPr>
                  </w:pPr>
                </w:p>
              </w:tc>
              <w:tc>
                <w:tcPr>
                  <w:tcW w:w="756" w:type="dxa"/>
                  <w:vMerge w:val="continue"/>
                  <w:shd w:val="clear" w:color="auto" w:fill="auto"/>
                  <w:vAlign w:val="center"/>
                </w:tcPr>
                <w:p w14:paraId="2782484A">
                  <w:pPr>
                    <w:pStyle w:val="46"/>
                    <w:rPr>
                      <w:color w:val="000000" w:themeColor="text1"/>
                      <w14:textFill>
                        <w14:solidFill>
                          <w14:schemeClr w14:val="tx1"/>
                        </w14:solidFill>
                      </w14:textFill>
                    </w:rPr>
                  </w:pPr>
                </w:p>
              </w:tc>
              <w:tc>
                <w:tcPr>
                  <w:tcW w:w="0" w:type="auto"/>
                  <w:vMerge w:val="continue"/>
                  <w:shd w:val="clear" w:color="auto" w:fill="auto"/>
                  <w:vAlign w:val="center"/>
                </w:tcPr>
                <w:p w14:paraId="4C1C186C">
                  <w:pPr>
                    <w:pStyle w:val="46"/>
                    <w:rPr>
                      <w:color w:val="000000" w:themeColor="text1"/>
                      <w14:textFill>
                        <w14:solidFill>
                          <w14:schemeClr w14:val="tx1"/>
                        </w14:solidFill>
                      </w14:textFill>
                    </w:rPr>
                  </w:pPr>
                </w:p>
              </w:tc>
              <w:tc>
                <w:tcPr>
                  <w:tcW w:w="486" w:type="dxa"/>
                  <w:vMerge w:val="continue"/>
                  <w:shd w:val="clear" w:color="auto" w:fill="auto"/>
                  <w:vAlign w:val="center"/>
                </w:tcPr>
                <w:p w14:paraId="6CE1C365">
                  <w:pPr>
                    <w:pStyle w:val="46"/>
                    <w:rPr>
                      <w:color w:val="000000" w:themeColor="text1"/>
                      <w14:textFill>
                        <w14:solidFill>
                          <w14:schemeClr w14:val="tx1"/>
                        </w14:solidFill>
                      </w14:textFill>
                    </w:rPr>
                  </w:pPr>
                </w:p>
              </w:tc>
              <w:tc>
                <w:tcPr>
                  <w:tcW w:w="493" w:type="dxa"/>
                  <w:shd w:val="clear" w:color="auto" w:fill="auto"/>
                  <w:vAlign w:val="center"/>
                </w:tcPr>
                <w:p w14:paraId="2C11E391">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4553FE7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90.27</w:t>
                  </w:r>
                </w:p>
              </w:tc>
              <w:tc>
                <w:tcPr>
                  <w:tcW w:w="0" w:type="auto"/>
                  <w:shd w:val="clear" w:color="auto" w:fill="auto"/>
                  <w:vAlign w:val="center"/>
                </w:tcPr>
                <w:p w14:paraId="42566F2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08F2128B">
                  <w:pPr>
                    <w:pStyle w:val="46"/>
                    <w:rPr>
                      <w:color w:val="000000" w:themeColor="text1"/>
                      <w14:textFill>
                        <w14:solidFill>
                          <w14:schemeClr w14:val="tx1"/>
                        </w14:solidFill>
                      </w14:textFill>
                    </w:rPr>
                  </w:pPr>
                </w:p>
              </w:tc>
              <w:tc>
                <w:tcPr>
                  <w:tcW w:w="1376" w:type="dxa"/>
                  <w:vMerge w:val="continue"/>
                  <w:shd w:val="clear" w:color="auto" w:fill="auto"/>
                  <w:vAlign w:val="center"/>
                </w:tcPr>
                <w:p w14:paraId="49BE11E6">
                  <w:pPr>
                    <w:pStyle w:val="46"/>
                    <w:rPr>
                      <w:color w:val="000000" w:themeColor="text1"/>
                      <w14:textFill>
                        <w14:solidFill>
                          <w14:schemeClr w14:val="tx1"/>
                        </w14:solidFill>
                      </w14:textFill>
                    </w:rPr>
                  </w:pPr>
                </w:p>
              </w:tc>
              <w:tc>
                <w:tcPr>
                  <w:tcW w:w="1024" w:type="dxa"/>
                  <w:shd w:val="clear" w:color="auto" w:fill="auto"/>
                  <w:vAlign w:val="bottom"/>
                </w:tcPr>
                <w:p w14:paraId="1BC16F4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66D6147C">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4B01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ABB529D">
                  <w:pPr>
                    <w:pStyle w:val="46"/>
                    <w:rPr>
                      <w:color w:val="000000" w:themeColor="text1"/>
                      <w14:textFill>
                        <w14:solidFill>
                          <w14:schemeClr w14:val="tx1"/>
                        </w14:solidFill>
                      </w14:textFill>
                    </w:rPr>
                  </w:pPr>
                </w:p>
              </w:tc>
              <w:tc>
                <w:tcPr>
                  <w:tcW w:w="670" w:type="dxa"/>
                  <w:vMerge w:val="continue"/>
                  <w:shd w:val="clear" w:color="auto" w:fill="auto"/>
                  <w:vAlign w:val="center"/>
                </w:tcPr>
                <w:p w14:paraId="5F5D319E">
                  <w:pPr>
                    <w:pStyle w:val="46"/>
                    <w:rPr>
                      <w:color w:val="000000" w:themeColor="text1"/>
                      <w14:textFill>
                        <w14:solidFill>
                          <w14:schemeClr w14:val="tx1"/>
                        </w14:solidFill>
                      </w14:textFill>
                    </w:rPr>
                  </w:pPr>
                </w:p>
              </w:tc>
              <w:tc>
                <w:tcPr>
                  <w:tcW w:w="0" w:type="auto"/>
                  <w:vMerge w:val="continue"/>
                  <w:shd w:val="clear" w:color="auto" w:fill="auto"/>
                  <w:vAlign w:val="center"/>
                </w:tcPr>
                <w:p w14:paraId="15455969">
                  <w:pPr>
                    <w:pStyle w:val="46"/>
                    <w:rPr>
                      <w:color w:val="000000" w:themeColor="text1"/>
                      <w14:textFill>
                        <w14:solidFill>
                          <w14:schemeClr w14:val="tx1"/>
                        </w14:solidFill>
                      </w14:textFill>
                    </w:rPr>
                  </w:pPr>
                </w:p>
              </w:tc>
              <w:tc>
                <w:tcPr>
                  <w:tcW w:w="1043" w:type="dxa"/>
                  <w:vMerge w:val="continue"/>
                  <w:shd w:val="clear" w:color="auto" w:fill="auto"/>
                  <w:vAlign w:val="center"/>
                </w:tcPr>
                <w:p w14:paraId="2083D0E9">
                  <w:pPr>
                    <w:pStyle w:val="46"/>
                    <w:rPr>
                      <w:color w:val="000000" w:themeColor="text1"/>
                      <w14:textFill>
                        <w14:solidFill>
                          <w14:schemeClr w14:val="tx1"/>
                        </w14:solidFill>
                      </w14:textFill>
                    </w:rPr>
                  </w:pPr>
                </w:p>
              </w:tc>
              <w:tc>
                <w:tcPr>
                  <w:tcW w:w="756" w:type="dxa"/>
                  <w:vMerge w:val="continue"/>
                  <w:shd w:val="clear" w:color="auto" w:fill="auto"/>
                  <w:vAlign w:val="center"/>
                </w:tcPr>
                <w:p w14:paraId="7BF24439">
                  <w:pPr>
                    <w:pStyle w:val="46"/>
                    <w:rPr>
                      <w:color w:val="000000" w:themeColor="text1"/>
                      <w14:textFill>
                        <w14:solidFill>
                          <w14:schemeClr w14:val="tx1"/>
                        </w14:solidFill>
                      </w14:textFill>
                    </w:rPr>
                  </w:pPr>
                </w:p>
              </w:tc>
              <w:tc>
                <w:tcPr>
                  <w:tcW w:w="0" w:type="auto"/>
                  <w:vMerge w:val="continue"/>
                  <w:shd w:val="clear" w:color="auto" w:fill="auto"/>
                  <w:vAlign w:val="center"/>
                </w:tcPr>
                <w:p w14:paraId="183026C9">
                  <w:pPr>
                    <w:pStyle w:val="46"/>
                    <w:rPr>
                      <w:color w:val="000000" w:themeColor="text1"/>
                      <w14:textFill>
                        <w14:solidFill>
                          <w14:schemeClr w14:val="tx1"/>
                        </w14:solidFill>
                      </w14:textFill>
                    </w:rPr>
                  </w:pPr>
                </w:p>
              </w:tc>
              <w:tc>
                <w:tcPr>
                  <w:tcW w:w="486" w:type="dxa"/>
                  <w:vMerge w:val="continue"/>
                  <w:shd w:val="clear" w:color="auto" w:fill="auto"/>
                  <w:vAlign w:val="center"/>
                </w:tcPr>
                <w:p w14:paraId="0A4CAC0A">
                  <w:pPr>
                    <w:pStyle w:val="46"/>
                    <w:rPr>
                      <w:color w:val="000000" w:themeColor="text1"/>
                      <w14:textFill>
                        <w14:solidFill>
                          <w14:schemeClr w14:val="tx1"/>
                        </w14:solidFill>
                      </w14:textFill>
                    </w:rPr>
                  </w:pPr>
                </w:p>
              </w:tc>
              <w:tc>
                <w:tcPr>
                  <w:tcW w:w="493" w:type="dxa"/>
                  <w:shd w:val="clear" w:color="auto" w:fill="auto"/>
                  <w:vAlign w:val="center"/>
                </w:tcPr>
                <w:p w14:paraId="3A70A5E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0E9906C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192.13</w:t>
                  </w:r>
                </w:p>
              </w:tc>
              <w:tc>
                <w:tcPr>
                  <w:tcW w:w="0" w:type="auto"/>
                  <w:shd w:val="clear" w:color="auto" w:fill="auto"/>
                  <w:vAlign w:val="center"/>
                </w:tcPr>
                <w:p w14:paraId="1FA4D54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1197FE36">
                  <w:pPr>
                    <w:pStyle w:val="46"/>
                    <w:rPr>
                      <w:color w:val="000000" w:themeColor="text1"/>
                      <w14:textFill>
                        <w14:solidFill>
                          <w14:schemeClr w14:val="tx1"/>
                        </w14:solidFill>
                      </w14:textFill>
                    </w:rPr>
                  </w:pPr>
                </w:p>
              </w:tc>
              <w:tc>
                <w:tcPr>
                  <w:tcW w:w="1376" w:type="dxa"/>
                  <w:vMerge w:val="continue"/>
                  <w:shd w:val="clear" w:color="auto" w:fill="auto"/>
                  <w:vAlign w:val="center"/>
                </w:tcPr>
                <w:p w14:paraId="0F000E2D">
                  <w:pPr>
                    <w:pStyle w:val="46"/>
                    <w:rPr>
                      <w:color w:val="000000" w:themeColor="text1"/>
                      <w14:textFill>
                        <w14:solidFill>
                          <w14:schemeClr w14:val="tx1"/>
                        </w14:solidFill>
                      </w14:textFill>
                    </w:rPr>
                  </w:pPr>
                </w:p>
              </w:tc>
              <w:tc>
                <w:tcPr>
                  <w:tcW w:w="1024" w:type="dxa"/>
                  <w:shd w:val="clear" w:color="auto" w:fill="auto"/>
                  <w:vAlign w:val="bottom"/>
                </w:tcPr>
                <w:p w14:paraId="102C7C7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15AE8EFC">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F5FA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2C21BE6">
                  <w:pPr>
                    <w:pStyle w:val="46"/>
                    <w:rPr>
                      <w:color w:val="000000" w:themeColor="text1"/>
                      <w14:textFill>
                        <w14:solidFill>
                          <w14:schemeClr w14:val="tx1"/>
                        </w14:solidFill>
                      </w14:textFill>
                    </w:rPr>
                  </w:pPr>
                </w:p>
              </w:tc>
              <w:tc>
                <w:tcPr>
                  <w:tcW w:w="670" w:type="dxa"/>
                  <w:vMerge w:val="continue"/>
                  <w:shd w:val="clear" w:color="auto" w:fill="auto"/>
                  <w:vAlign w:val="center"/>
                </w:tcPr>
                <w:p w14:paraId="7BB536DE">
                  <w:pPr>
                    <w:pStyle w:val="46"/>
                    <w:rPr>
                      <w:color w:val="000000" w:themeColor="text1"/>
                      <w14:textFill>
                        <w14:solidFill>
                          <w14:schemeClr w14:val="tx1"/>
                        </w14:solidFill>
                      </w14:textFill>
                    </w:rPr>
                  </w:pPr>
                </w:p>
              </w:tc>
              <w:tc>
                <w:tcPr>
                  <w:tcW w:w="0" w:type="auto"/>
                  <w:vMerge w:val="continue"/>
                  <w:shd w:val="clear" w:color="auto" w:fill="auto"/>
                  <w:vAlign w:val="center"/>
                </w:tcPr>
                <w:p w14:paraId="7206ED90">
                  <w:pPr>
                    <w:pStyle w:val="46"/>
                    <w:rPr>
                      <w:color w:val="000000" w:themeColor="text1"/>
                      <w14:textFill>
                        <w14:solidFill>
                          <w14:schemeClr w14:val="tx1"/>
                        </w14:solidFill>
                      </w14:textFill>
                    </w:rPr>
                  </w:pPr>
                </w:p>
              </w:tc>
              <w:tc>
                <w:tcPr>
                  <w:tcW w:w="1043" w:type="dxa"/>
                  <w:vMerge w:val="continue"/>
                  <w:shd w:val="clear" w:color="auto" w:fill="auto"/>
                  <w:vAlign w:val="center"/>
                </w:tcPr>
                <w:p w14:paraId="0ED4A487">
                  <w:pPr>
                    <w:pStyle w:val="46"/>
                    <w:rPr>
                      <w:color w:val="000000" w:themeColor="text1"/>
                      <w14:textFill>
                        <w14:solidFill>
                          <w14:schemeClr w14:val="tx1"/>
                        </w14:solidFill>
                      </w14:textFill>
                    </w:rPr>
                  </w:pPr>
                </w:p>
              </w:tc>
              <w:tc>
                <w:tcPr>
                  <w:tcW w:w="756" w:type="dxa"/>
                  <w:vMerge w:val="continue"/>
                  <w:shd w:val="clear" w:color="auto" w:fill="auto"/>
                  <w:vAlign w:val="center"/>
                </w:tcPr>
                <w:p w14:paraId="0EB88239">
                  <w:pPr>
                    <w:pStyle w:val="46"/>
                    <w:rPr>
                      <w:color w:val="000000" w:themeColor="text1"/>
                      <w14:textFill>
                        <w14:solidFill>
                          <w14:schemeClr w14:val="tx1"/>
                        </w14:solidFill>
                      </w14:textFill>
                    </w:rPr>
                  </w:pPr>
                </w:p>
              </w:tc>
              <w:tc>
                <w:tcPr>
                  <w:tcW w:w="0" w:type="auto"/>
                  <w:vMerge w:val="continue"/>
                  <w:shd w:val="clear" w:color="auto" w:fill="auto"/>
                  <w:vAlign w:val="center"/>
                </w:tcPr>
                <w:p w14:paraId="57687A81">
                  <w:pPr>
                    <w:pStyle w:val="46"/>
                    <w:rPr>
                      <w:color w:val="000000" w:themeColor="text1"/>
                      <w14:textFill>
                        <w14:solidFill>
                          <w14:schemeClr w14:val="tx1"/>
                        </w14:solidFill>
                      </w14:textFill>
                    </w:rPr>
                  </w:pPr>
                </w:p>
              </w:tc>
              <w:tc>
                <w:tcPr>
                  <w:tcW w:w="486" w:type="dxa"/>
                  <w:vMerge w:val="continue"/>
                  <w:shd w:val="clear" w:color="auto" w:fill="auto"/>
                  <w:vAlign w:val="center"/>
                </w:tcPr>
                <w:p w14:paraId="5E3090BC">
                  <w:pPr>
                    <w:pStyle w:val="46"/>
                    <w:rPr>
                      <w:color w:val="000000" w:themeColor="text1"/>
                      <w14:textFill>
                        <w14:solidFill>
                          <w14:schemeClr w14:val="tx1"/>
                        </w14:solidFill>
                      </w14:textFill>
                    </w:rPr>
                  </w:pPr>
                </w:p>
              </w:tc>
              <w:tc>
                <w:tcPr>
                  <w:tcW w:w="493" w:type="dxa"/>
                  <w:shd w:val="clear" w:color="auto" w:fill="auto"/>
                  <w:vAlign w:val="center"/>
                </w:tcPr>
                <w:p w14:paraId="082D6F64">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521702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90.95</w:t>
                  </w:r>
                </w:p>
              </w:tc>
              <w:tc>
                <w:tcPr>
                  <w:tcW w:w="0" w:type="auto"/>
                  <w:shd w:val="clear" w:color="auto" w:fill="auto"/>
                  <w:vAlign w:val="center"/>
                </w:tcPr>
                <w:p w14:paraId="57D36A8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64A9D69D">
                  <w:pPr>
                    <w:pStyle w:val="46"/>
                    <w:rPr>
                      <w:color w:val="000000" w:themeColor="text1"/>
                      <w14:textFill>
                        <w14:solidFill>
                          <w14:schemeClr w14:val="tx1"/>
                        </w14:solidFill>
                      </w14:textFill>
                    </w:rPr>
                  </w:pPr>
                </w:p>
              </w:tc>
              <w:tc>
                <w:tcPr>
                  <w:tcW w:w="1376" w:type="dxa"/>
                  <w:vMerge w:val="continue"/>
                  <w:shd w:val="clear" w:color="auto" w:fill="auto"/>
                  <w:vAlign w:val="center"/>
                </w:tcPr>
                <w:p w14:paraId="629B399F">
                  <w:pPr>
                    <w:pStyle w:val="46"/>
                    <w:rPr>
                      <w:color w:val="000000" w:themeColor="text1"/>
                      <w14:textFill>
                        <w14:solidFill>
                          <w14:schemeClr w14:val="tx1"/>
                        </w14:solidFill>
                      </w14:textFill>
                    </w:rPr>
                  </w:pPr>
                </w:p>
              </w:tc>
              <w:tc>
                <w:tcPr>
                  <w:tcW w:w="1024" w:type="dxa"/>
                  <w:shd w:val="clear" w:color="auto" w:fill="auto"/>
                  <w:vAlign w:val="bottom"/>
                </w:tcPr>
                <w:p w14:paraId="77FE7AE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78BCD5B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8A95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14B6BA2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w:t>
                  </w:r>
                </w:p>
              </w:tc>
              <w:tc>
                <w:tcPr>
                  <w:tcW w:w="670" w:type="dxa"/>
                  <w:vMerge w:val="continue"/>
                  <w:shd w:val="clear" w:color="auto" w:fill="auto"/>
                  <w:vAlign w:val="center"/>
                </w:tcPr>
                <w:p w14:paraId="410F0BB5">
                  <w:pPr>
                    <w:pStyle w:val="46"/>
                    <w:rPr>
                      <w:color w:val="000000" w:themeColor="text1"/>
                      <w14:textFill>
                        <w14:solidFill>
                          <w14:schemeClr w14:val="tx1"/>
                        </w14:solidFill>
                      </w14:textFill>
                    </w:rPr>
                  </w:pPr>
                </w:p>
              </w:tc>
              <w:tc>
                <w:tcPr>
                  <w:tcW w:w="2642" w:type="dxa"/>
                  <w:vMerge w:val="restart"/>
                  <w:shd w:val="clear" w:color="auto" w:fill="auto"/>
                  <w:vAlign w:val="center"/>
                </w:tcPr>
                <w:p w14:paraId="7940ED6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1#圆振动筛</w:t>
                  </w:r>
                </w:p>
              </w:tc>
              <w:tc>
                <w:tcPr>
                  <w:tcW w:w="1043" w:type="dxa"/>
                  <w:vMerge w:val="restart"/>
                  <w:shd w:val="clear" w:color="auto" w:fill="auto"/>
                  <w:vAlign w:val="center"/>
                </w:tcPr>
                <w:p w14:paraId="4AE1642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43CC529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81.99</w:t>
                  </w:r>
                </w:p>
              </w:tc>
              <w:tc>
                <w:tcPr>
                  <w:tcW w:w="759" w:type="dxa"/>
                  <w:vMerge w:val="restart"/>
                  <w:shd w:val="clear" w:color="auto" w:fill="auto"/>
                  <w:vAlign w:val="center"/>
                </w:tcPr>
                <w:p w14:paraId="108908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4.08</w:t>
                  </w:r>
                </w:p>
              </w:tc>
              <w:tc>
                <w:tcPr>
                  <w:tcW w:w="486" w:type="dxa"/>
                  <w:vMerge w:val="restart"/>
                  <w:shd w:val="clear" w:color="auto" w:fill="auto"/>
                  <w:vAlign w:val="center"/>
                </w:tcPr>
                <w:p w14:paraId="740D7AB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442918D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77ABCF9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41.74</w:t>
                  </w:r>
                </w:p>
              </w:tc>
              <w:tc>
                <w:tcPr>
                  <w:tcW w:w="0" w:type="auto"/>
                  <w:shd w:val="clear" w:color="auto" w:fill="auto"/>
                  <w:vAlign w:val="center"/>
                </w:tcPr>
                <w:p w14:paraId="1547D6F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55.38</w:t>
                  </w:r>
                </w:p>
              </w:tc>
              <w:tc>
                <w:tcPr>
                  <w:tcW w:w="671" w:type="dxa"/>
                  <w:vMerge w:val="continue"/>
                  <w:shd w:val="clear" w:color="auto" w:fill="auto"/>
                  <w:vAlign w:val="center"/>
                </w:tcPr>
                <w:p w14:paraId="000F303B">
                  <w:pPr>
                    <w:pStyle w:val="46"/>
                    <w:rPr>
                      <w:color w:val="000000" w:themeColor="text1"/>
                      <w14:textFill>
                        <w14:solidFill>
                          <w14:schemeClr w14:val="tx1"/>
                        </w14:solidFill>
                      </w14:textFill>
                    </w:rPr>
                  </w:pPr>
                </w:p>
              </w:tc>
              <w:tc>
                <w:tcPr>
                  <w:tcW w:w="1376" w:type="dxa"/>
                  <w:vMerge w:val="continue"/>
                  <w:shd w:val="clear" w:color="auto" w:fill="auto"/>
                  <w:vAlign w:val="center"/>
                </w:tcPr>
                <w:p w14:paraId="61BA0120">
                  <w:pPr>
                    <w:pStyle w:val="46"/>
                    <w:rPr>
                      <w:color w:val="000000" w:themeColor="text1"/>
                      <w14:textFill>
                        <w14:solidFill>
                          <w14:schemeClr w14:val="tx1"/>
                        </w14:solidFill>
                      </w14:textFill>
                    </w:rPr>
                  </w:pPr>
                </w:p>
              </w:tc>
              <w:tc>
                <w:tcPr>
                  <w:tcW w:w="1024" w:type="dxa"/>
                  <w:shd w:val="clear" w:color="auto" w:fill="auto"/>
                  <w:vAlign w:val="bottom"/>
                </w:tcPr>
                <w:p w14:paraId="37CA239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24.38</w:t>
                  </w:r>
                </w:p>
              </w:tc>
              <w:tc>
                <w:tcPr>
                  <w:tcW w:w="857" w:type="dxa"/>
                  <w:shd w:val="clear" w:color="auto" w:fill="auto"/>
                  <w:vAlign w:val="center"/>
                </w:tcPr>
                <w:p w14:paraId="60C3F560">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8C1C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72F301A5">
                  <w:pPr>
                    <w:pStyle w:val="46"/>
                    <w:rPr>
                      <w:color w:val="000000" w:themeColor="text1"/>
                      <w14:textFill>
                        <w14:solidFill>
                          <w14:schemeClr w14:val="tx1"/>
                        </w14:solidFill>
                      </w14:textFill>
                    </w:rPr>
                  </w:pPr>
                </w:p>
              </w:tc>
              <w:tc>
                <w:tcPr>
                  <w:tcW w:w="670" w:type="dxa"/>
                  <w:vMerge w:val="continue"/>
                  <w:shd w:val="clear" w:color="auto" w:fill="auto"/>
                  <w:vAlign w:val="center"/>
                </w:tcPr>
                <w:p w14:paraId="6F9310D9">
                  <w:pPr>
                    <w:pStyle w:val="46"/>
                    <w:rPr>
                      <w:color w:val="000000" w:themeColor="text1"/>
                      <w14:textFill>
                        <w14:solidFill>
                          <w14:schemeClr w14:val="tx1"/>
                        </w14:solidFill>
                      </w14:textFill>
                    </w:rPr>
                  </w:pPr>
                </w:p>
              </w:tc>
              <w:tc>
                <w:tcPr>
                  <w:tcW w:w="0" w:type="auto"/>
                  <w:vMerge w:val="continue"/>
                  <w:shd w:val="clear" w:color="auto" w:fill="auto"/>
                  <w:vAlign w:val="center"/>
                </w:tcPr>
                <w:p w14:paraId="77FA430C">
                  <w:pPr>
                    <w:pStyle w:val="46"/>
                    <w:rPr>
                      <w:color w:val="000000" w:themeColor="text1"/>
                      <w14:textFill>
                        <w14:solidFill>
                          <w14:schemeClr w14:val="tx1"/>
                        </w14:solidFill>
                      </w14:textFill>
                    </w:rPr>
                  </w:pPr>
                </w:p>
              </w:tc>
              <w:tc>
                <w:tcPr>
                  <w:tcW w:w="1043" w:type="dxa"/>
                  <w:vMerge w:val="continue"/>
                  <w:shd w:val="clear" w:color="auto" w:fill="auto"/>
                  <w:vAlign w:val="center"/>
                </w:tcPr>
                <w:p w14:paraId="56EB2B0E">
                  <w:pPr>
                    <w:pStyle w:val="46"/>
                    <w:rPr>
                      <w:color w:val="000000" w:themeColor="text1"/>
                      <w14:textFill>
                        <w14:solidFill>
                          <w14:schemeClr w14:val="tx1"/>
                        </w14:solidFill>
                      </w14:textFill>
                    </w:rPr>
                  </w:pPr>
                </w:p>
              </w:tc>
              <w:tc>
                <w:tcPr>
                  <w:tcW w:w="756" w:type="dxa"/>
                  <w:vMerge w:val="continue"/>
                  <w:shd w:val="clear" w:color="auto" w:fill="auto"/>
                  <w:vAlign w:val="center"/>
                </w:tcPr>
                <w:p w14:paraId="16DF9021">
                  <w:pPr>
                    <w:pStyle w:val="46"/>
                    <w:rPr>
                      <w:color w:val="000000" w:themeColor="text1"/>
                      <w14:textFill>
                        <w14:solidFill>
                          <w14:schemeClr w14:val="tx1"/>
                        </w14:solidFill>
                      </w14:textFill>
                    </w:rPr>
                  </w:pPr>
                </w:p>
              </w:tc>
              <w:tc>
                <w:tcPr>
                  <w:tcW w:w="0" w:type="auto"/>
                  <w:vMerge w:val="continue"/>
                  <w:shd w:val="clear" w:color="auto" w:fill="auto"/>
                  <w:vAlign w:val="center"/>
                </w:tcPr>
                <w:p w14:paraId="19A905E0">
                  <w:pPr>
                    <w:pStyle w:val="46"/>
                    <w:rPr>
                      <w:color w:val="000000" w:themeColor="text1"/>
                      <w14:textFill>
                        <w14:solidFill>
                          <w14:schemeClr w14:val="tx1"/>
                        </w14:solidFill>
                      </w14:textFill>
                    </w:rPr>
                  </w:pPr>
                </w:p>
              </w:tc>
              <w:tc>
                <w:tcPr>
                  <w:tcW w:w="486" w:type="dxa"/>
                  <w:vMerge w:val="continue"/>
                  <w:shd w:val="clear" w:color="auto" w:fill="auto"/>
                  <w:vAlign w:val="center"/>
                </w:tcPr>
                <w:p w14:paraId="04532B95">
                  <w:pPr>
                    <w:pStyle w:val="46"/>
                    <w:rPr>
                      <w:color w:val="000000" w:themeColor="text1"/>
                      <w14:textFill>
                        <w14:solidFill>
                          <w14:schemeClr w14:val="tx1"/>
                        </w14:solidFill>
                      </w14:textFill>
                    </w:rPr>
                  </w:pPr>
                </w:p>
              </w:tc>
              <w:tc>
                <w:tcPr>
                  <w:tcW w:w="493" w:type="dxa"/>
                  <w:shd w:val="clear" w:color="auto" w:fill="auto"/>
                  <w:vAlign w:val="center"/>
                </w:tcPr>
                <w:p w14:paraId="05BBB85E">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0D9C9B5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59.59</w:t>
                  </w:r>
                </w:p>
              </w:tc>
              <w:tc>
                <w:tcPr>
                  <w:tcW w:w="0" w:type="auto"/>
                  <w:shd w:val="clear" w:color="auto" w:fill="auto"/>
                  <w:vAlign w:val="center"/>
                </w:tcPr>
                <w:p w14:paraId="4BFFD3A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55.35</w:t>
                  </w:r>
                </w:p>
              </w:tc>
              <w:tc>
                <w:tcPr>
                  <w:tcW w:w="671" w:type="dxa"/>
                  <w:vMerge w:val="continue"/>
                  <w:shd w:val="clear" w:color="auto" w:fill="auto"/>
                  <w:vAlign w:val="center"/>
                </w:tcPr>
                <w:p w14:paraId="3067D4AF">
                  <w:pPr>
                    <w:pStyle w:val="46"/>
                    <w:rPr>
                      <w:color w:val="000000" w:themeColor="text1"/>
                      <w14:textFill>
                        <w14:solidFill>
                          <w14:schemeClr w14:val="tx1"/>
                        </w14:solidFill>
                      </w14:textFill>
                    </w:rPr>
                  </w:pPr>
                </w:p>
              </w:tc>
              <w:tc>
                <w:tcPr>
                  <w:tcW w:w="1376" w:type="dxa"/>
                  <w:vMerge w:val="continue"/>
                  <w:shd w:val="clear" w:color="auto" w:fill="auto"/>
                  <w:vAlign w:val="center"/>
                </w:tcPr>
                <w:p w14:paraId="1A5712B2">
                  <w:pPr>
                    <w:pStyle w:val="46"/>
                    <w:rPr>
                      <w:color w:val="000000" w:themeColor="text1"/>
                      <w14:textFill>
                        <w14:solidFill>
                          <w14:schemeClr w14:val="tx1"/>
                        </w14:solidFill>
                      </w14:textFill>
                    </w:rPr>
                  </w:pPr>
                </w:p>
              </w:tc>
              <w:tc>
                <w:tcPr>
                  <w:tcW w:w="1024" w:type="dxa"/>
                  <w:shd w:val="clear" w:color="auto" w:fill="auto"/>
                  <w:vAlign w:val="bottom"/>
                </w:tcPr>
                <w:p w14:paraId="1974F75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24.35</w:t>
                  </w:r>
                </w:p>
              </w:tc>
              <w:tc>
                <w:tcPr>
                  <w:tcW w:w="857" w:type="dxa"/>
                  <w:shd w:val="clear" w:color="auto" w:fill="auto"/>
                  <w:vAlign w:val="center"/>
                </w:tcPr>
                <w:p w14:paraId="374121FD">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AA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C8511FE">
                  <w:pPr>
                    <w:pStyle w:val="46"/>
                    <w:rPr>
                      <w:color w:val="000000" w:themeColor="text1"/>
                      <w14:textFill>
                        <w14:solidFill>
                          <w14:schemeClr w14:val="tx1"/>
                        </w14:solidFill>
                      </w14:textFill>
                    </w:rPr>
                  </w:pPr>
                </w:p>
              </w:tc>
              <w:tc>
                <w:tcPr>
                  <w:tcW w:w="670" w:type="dxa"/>
                  <w:vMerge w:val="continue"/>
                  <w:shd w:val="clear" w:color="auto" w:fill="auto"/>
                  <w:vAlign w:val="center"/>
                </w:tcPr>
                <w:p w14:paraId="38100308">
                  <w:pPr>
                    <w:pStyle w:val="46"/>
                    <w:rPr>
                      <w:color w:val="000000" w:themeColor="text1"/>
                      <w14:textFill>
                        <w14:solidFill>
                          <w14:schemeClr w14:val="tx1"/>
                        </w14:solidFill>
                      </w14:textFill>
                    </w:rPr>
                  </w:pPr>
                </w:p>
              </w:tc>
              <w:tc>
                <w:tcPr>
                  <w:tcW w:w="0" w:type="auto"/>
                  <w:vMerge w:val="continue"/>
                  <w:shd w:val="clear" w:color="auto" w:fill="auto"/>
                  <w:vAlign w:val="center"/>
                </w:tcPr>
                <w:p w14:paraId="595127DD">
                  <w:pPr>
                    <w:pStyle w:val="46"/>
                    <w:rPr>
                      <w:color w:val="000000" w:themeColor="text1"/>
                      <w14:textFill>
                        <w14:solidFill>
                          <w14:schemeClr w14:val="tx1"/>
                        </w14:solidFill>
                      </w14:textFill>
                    </w:rPr>
                  </w:pPr>
                </w:p>
              </w:tc>
              <w:tc>
                <w:tcPr>
                  <w:tcW w:w="1043" w:type="dxa"/>
                  <w:vMerge w:val="continue"/>
                  <w:shd w:val="clear" w:color="auto" w:fill="auto"/>
                  <w:vAlign w:val="center"/>
                </w:tcPr>
                <w:p w14:paraId="197340F3">
                  <w:pPr>
                    <w:pStyle w:val="46"/>
                    <w:rPr>
                      <w:color w:val="000000" w:themeColor="text1"/>
                      <w14:textFill>
                        <w14:solidFill>
                          <w14:schemeClr w14:val="tx1"/>
                        </w14:solidFill>
                      </w14:textFill>
                    </w:rPr>
                  </w:pPr>
                </w:p>
              </w:tc>
              <w:tc>
                <w:tcPr>
                  <w:tcW w:w="756" w:type="dxa"/>
                  <w:vMerge w:val="continue"/>
                  <w:shd w:val="clear" w:color="auto" w:fill="auto"/>
                  <w:vAlign w:val="center"/>
                </w:tcPr>
                <w:p w14:paraId="758F60D2">
                  <w:pPr>
                    <w:pStyle w:val="46"/>
                    <w:rPr>
                      <w:color w:val="000000" w:themeColor="text1"/>
                      <w14:textFill>
                        <w14:solidFill>
                          <w14:schemeClr w14:val="tx1"/>
                        </w14:solidFill>
                      </w14:textFill>
                    </w:rPr>
                  </w:pPr>
                </w:p>
              </w:tc>
              <w:tc>
                <w:tcPr>
                  <w:tcW w:w="0" w:type="auto"/>
                  <w:vMerge w:val="continue"/>
                  <w:shd w:val="clear" w:color="auto" w:fill="auto"/>
                  <w:vAlign w:val="center"/>
                </w:tcPr>
                <w:p w14:paraId="1882617C">
                  <w:pPr>
                    <w:pStyle w:val="46"/>
                    <w:rPr>
                      <w:color w:val="000000" w:themeColor="text1"/>
                      <w14:textFill>
                        <w14:solidFill>
                          <w14:schemeClr w14:val="tx1"/>
                        </w14:solidFill>
                      </w14:textFill>
                    </w:rPr>
                  </w:pPr>
                </w:p>
              </w:tc>
              <w:tc>
                <w:tcPr>
                  <w:tcW w:w="486" w:type="dxa"/>
                  <w:vMerge w:val="continue"/>
                  <w:shd w:val="clear" w:color="auto" w:fill="auto"/>
                  <w:vAlign w:val="center"/>
                </w:tcPr>
                <w:p w14:paraId="5CE29C00">
                  <w:pPr>
                    <w:pStyle w:val="46"/>
                    <w:rPr>
                      <w:color w:val="000000" w:themeColor="text1"/>
                      <w14:textFill>
                        <w14:solidFill>
                          <w14:schemeClr w14:val="tx1"/>
                        </w14:solidFill>
                      </w14:textFill>
                    </w:rPr>
                  </w:pPr>
                </w:p>
              </w:tc>
              <w:tc>
                <w:tcPr>
                  <w:tcW w:w="493" w:type="dxa"/>
                  <w:shd w:val="clear" w:color="auto" w:fill="auto"/>
                  <w:vAlign w:val="center"/>
                </w:tcPr>
                <w:p w14:paraId="7C87908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77C1684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219.04</w:t>
                  </w:r>
                </w:p>
              </w:tc>
              <w:tc>
                <w:tcPr>
                  <w:tcW w:w="0" w:type="auto"/>
                  <w:shd w:val="clear" w:color="auto" w:fill="auto"/>
                  <w:vAlign w:val="center"/>
                </w:tcPr>
                <w:p w14:paraId="51CA841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613B7DBD">
                  <w:pPr>
                    <w:pStyle w:val="46"/>
                    <w:rPr>
                      <w:color w:val="000000" w:themeColor="text1"/>
                      <w14:textFill>
                        <w14:solidFill>
                          <w14:schemeClr w14:val="tx1"/>
                        </w14:solidFill>
                      </w14:textFill>
                    </w:rPr>
                  </w:pPr>
                </w:p>
              </w:tc>
              <w:tc>
                <w:tcPr>
                  <w:tcW w:w="1376" w:type="dxa"/>
                  <w:vMerge w:val="continue"/>
                  <w:shd w:val="clear" w:color="auto" w:fill="auto"/>
                  <w:vAlign w:val="center"/>
                </w:tcPr>
                <w:p w14:paraId="4253ABC1">
                  <w:pPr>
                    <w:pStyle w:val="46"/>
                    <w:rPr>
                      <w:color w:val="000000" w:themeColor="text1"/>
                      <w14:textFill>
                        <w14:solidFill>
                          <w14:schemeClr w14:val="tx1"/>
                        </w14:solidFill>
                      </w14:textFill>
                    </w:rPr>
                  </w:pPr>
                </w:p>
              </w:tc>
              <w:tc>
                <w:tcPr>
                  <w:tcW w:w="1024" w:type="dxa"/>
                  <w:shd w:val="clear" w:color="auto" w:fill="auto"/>
                  <w:vAlign w:val="bottom"/>
                </w:tcPr>
                <w:p w14:paraId="1EF0DAC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190547E7">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832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0851B8CB">
                  <w:pPr>
                    <w:pStyle w:val="46"/>
                    <w:rPr>
                      <w:color w:val="000000" w:themeColor="text1"/>
                      <w14:textFill>
                        <w14:solidFill>
                          <w14:schemeClr w14:val="tx1"/>
                        </w14:solidFill>
                      </w14:textFill>
                    </w:rPr>
                  </w:pPr>
                </w:p>
              </w:tc>
              <w:tc>
                <w:tcPr>
                  <w:tcW w:w="670" w:type="dxa"/>
                  <w:vMerge w:val="continue"/>
                  <w:shd w:val="clear" w:color="auto" w:fill="auto"/>
                  <w:vAlign w:val="center"/>
                </w:tcPr>
                <w:p w14:paraId="422AFBB8">
                  <w:pPr>
                    <w:pStyle w:val="46"/>
                    <w:rPr>
                      <w:color w:val="000000" w:themeColor="text1"/>
                      <w14:textFill>
                        <w14:solidFill>
                          <w14:schemeClr w14:val="tx1"/>
                        </w14:solidFill>
                      </w14:textFill>
                    </w:rPr>
                  </w:pPr>
                </w:p>
              </w:tc>
              <w:tc>
                <w:tcPr>
                  <w:tcW w:w="0" w:type="auto"/>
                  <w:vMerge w:val="continue"/>
                  <w:shd w:val="clear" w:color="auto" w:fill="auto"/>
                  <w:vAlign w:val="center"/>
                </w:tcPr>
                <w:p w14:paraId="06078FA0">
                  <w:pPr>
                    <w:pStyle w:val="46"/>
                    <w:rPr>
                      <w:color w:val="000000" w:themeColor="text1"/>
                      <w14:textFill>
                        <w14:solidFill>
                          <w14:schemeClr w14:val="tx1"/>
                        </w14:solidFill>
                      </w14:textFill>
                    </w:rPr>
                  </w:pPr>
                </w:p>
              </w:tc>
              <w:tc>
                <w:tcPr>
                  <w:tcW w:w="1043" w:type="dxa"/>
                  <w:vMerge w:val="continue"/>
                  <w:shd w:val="clear" w:color="auto" w:fill="auto"/>
                  <w:vAlign w:val="center"/>
                </w:tcPr>
                <w:p w14:paraId="6B1D8F11">
                  <w:pPr>
                    <w:pStyle w:val="46"/>
                    <w:rPr>
                      <w:color w:val="000000" w:themeColor="text1"/>
                      <w14:textFill>
                        <w14:solidFill>
                          <w14:schemeClr w14:val="tx1"/>
                        </w14:solidFill>
                      </w14:textFill>
                    </w:rPr>
                  </w:pPr>
                </w:p>
              </w:tc>
              <w:tc>
                <w:tcPr>
                  <w:tcW w:w="756" w:type="dxa"/>
                  <w:vMerge w:val="continue"/>
                  <w:shd w:val="clear" w:color="auto" w:fill="auto"/>
                  <w:vAlign w:val="center"/>
                </w:tcPr>
                <w:p w14:paraId="680663E1">
                  <w:pPr>
                    <w:pStyle w:val="46"/>
                    <w:rPr>
                      <w:color w:val="000000" w:themeColor="text1"/>
                      <w14:textFill>
                        <w14:solidFill>
                          <w14:schemeClr w14:val="tx1"/>
                        </w14:solidFill>
                      </w14:textFill>
                    </w:rPr>
                  </w:pPr>
                </w:p>
              </w:tc>
              <w:tc>
                <w:tcPr>
                  <w:tcW w:w="0" w:type="auto"/>
                  <w:vMerge w:val="continue"/>
                  <w:shd w:val="clear" w:color="auto" w:fill="auto"/>
                  <w:vAlign w:val="center"/>
                </w:tcPr>
                <w:p w14:paraId="58328D5F">
                  <w:pPr>
                    <w:pStyle w:val="46"/>
                    <w:rPr>
                      <w:color w:val="000000" w:themeColor="text1"/>
                      <w14:textFill>
                        <w14:solidFill>
                          <w14:schemeClr w14:val="tx1"/>
                        </w14:solidFill>
                      </w14:textFill>
                    </w:rPr>
                  </w:pPr>
                </w:p>
              </w:tc>
              <w:tc>
                <w:tcPr>
                  <w:tcW w:w="486" w:type="dxa"/>
                  <w:vMerge w:val="continue"/>
                  <w:shd w:val="clear" w:color="auto" w:fill="auto"/>
                  <w:vAlign w:val="center"/>
                </w:tcPr>
                <w:p w14:paraId="26665F2A">
                  <w:pPr>
                    <w:pStyle w:val="46"/>
                    <w:rPr>
                      <w:color w:val="000000" w:themeColor="text1"/>
                      <w14:textFill>
                        <w14:solidFill>
                          <w14:schemeClr w14:val="tx1"/>
                        </w14:solidFill>
                      </w14:textFill>
                    </w:rPr>
                  </w:pPr>
                </w:p>
              </w:tc>
              <w:tc>
                <w:tcPr>
                  <w:tcW w:w="493" w:type="dxa"/>
                  <w:shd w:val="clear" w:color="auto" w:fill="auto"/>
                  <w:vAlign w:val="center"/>
                </w:tcPr>
                <w:p w14:paraId="405D8614">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5EED937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110.22</w:t>
                  </w:r>
                </w:p>
              </w:tc>
              <w:tc>
                <w:tcPr>
                  <w:tcW w:w="0" w:type="auto"/>
                  <w:shd w:val="clear" w:color="auto" w:fill="auto"/>
                  <w:vAlign w:val="center"/>
                </w:tcPr>
                <w:p w14:paraId="5B3F332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55.33</w:t>
                  </w:r>
                </w:p>
              </w:tc>
              <w:tc>
                <w:tcPr>
                  <w:tcW w:w="671" w:type="dxa"/>
                  <w:vMerge w:val="continue"/>
                  <w:shd w:val="clear" w:color="auto" w:fill="auto"/>
                  <w:vAlign w:val="center"/>
                </w:tcPr>
                <w:p w14:paraId="2299D009">
                  <w:pPr>
                    <w:pStyle w:val="46"/>
                    <w:rPr>
                      <w:color w:val="000000" w:themeColor="text1"/>
                      <w14:textFill>
                        <w14:solidFill>
                          <w14:schemeClr w14:val="tx1"/>
                        </w14:solidFill>
                      </w14:textFill>
                    </w:rPr>
                  </w:pPr>
                </w:p>
              </w:tc>
              <w:tc>
                <w:tcPr>
                  <w:tcW w:w="1376" w:type="dxa"/>
                  <w:vMerge w:val="continue"/>
                  <w:shd w:val="clear" w:color="auto" w:fill="auto"/>
                  <w:vAlign w:val="center"/>
                </w:tcPr>
                <w:p w14:paraId="01CEA897">
                  <w:pPr>
                    <w:pStyle w:val="46"/>
                    <w:rPr>
                      <w:color w:val="000000" w:themeColor="text1"/>
                      <w14:textFill>
                        <w14:solidFill>
                          <w14:schemeClr w14:val="tx1"/>
                        </w14:solidFill>
                      </w14:textFill>
                    </w:rPr>
                  </w:pPr>
                </w:p>
              </w:tc>
              <w:tc>
                <w:tcPr>
                  <w:tcW w:w="1024" w:type="dxa"/>
                  <w:shd w:val="clear" w:color="auto" w:fill="auto"/>
                  <w:vAlign w:val="bottom"/>
                </w:tcPr>
                <w:p w14:paraId="7026489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24.33</w:t>
                  </w:r>
                </w:p>
              </w:tc>
              <w:tc>
                <w:tcPr>
                  <w:tcW w:w="857" w:type="dxa"/>
                  <w:shd w:val="clear" w:color="auto" w:fill="auto"/>
                  <w:vAlign w:val="center"/>
                </w:tcPr>
                <w:p w14:paraId="07BCFC92">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B22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352A84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w:t>
                  </w:r>
                </w:p>
              </w:tc>
              <w:tc>
                <w:tcPr>
                  <w:tcW w:w="670" w:type="dxa"/>
                  <w:vMerge w:val="continue"/>
                  <w:shd w:val="clear" w:color="auto" w:fill="auto"/>
                  <w:vAlign w:val="center"/>
                </w:tcPr>
                <w:p w14:paraId="3B1F9D7B">
                  <w:pPr>
                    <w:pStyle w:val="46"/>
                    <w:rPr>
                      <w:color w:val="000000" w:themeColor="text1"/>
                      <w14:textFill>
                        <w14:solidFill>
                          <w14:schemeClr w14:val="tx1"/>
                        </w14:solidFill>
                      </w14:textFill>
                    </w:rPr>
                  </w:pPr>
                </w:p>
              </w:tc>
              <w:tc>
                <w:tcPr>
                  <w:tcW w:w="2642" w:type="dxa"/>
                  <w:vMerge w:val="restart"/>
                  <w:shd w:val="clear" w:color="auto" w:fill="auto"/>
                  <w:vAlign w:val="center"/>
                </w:tcPr>
                <w:p w14:paraId="46E94D8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2#圆振动筛</w:t>
                  </w:r>
                </w:p>
              </w:tc>
              <w:tc>
                <w:tcPr>
                  <w:tcW w:w="1043" w:type="dxa"/>
                  <w:vMerge w:val="restart"/>
                  <w:shd w:val="clear" w:color="auto" w:fill="auto"/>
                  <w:vAlign w:val="center"/>
                </w:tcPr>
                <w:p w14:paraId="7F50FA34">
                  <w:pPr>
                    <w:pStyle w:val="46"/>
                    <w:rPr>
                      <w:color w:val="000000" w:themeColor="text1"/>
                      <w14:textFill>
                        <w14:solidFill>
                          <w14:schemeClr w14:val="tx1"/>
                        </w14:solidFill>
                      </w14:textFill>
                    </w:rPr>
                  </w:pPr>
                  <w:r>
                    <w:rPr>
                      <w:color w:val="000000" w:themeColor="text1"/>
                      <w14:textFill>
                        <w14:solidFill>
                          <w14:schemeClr w14:val="tx1"/>
                        </w14:solidFill>
                      </w14:textFill>
                    </w:rPr>
                    <w:t>8</w:t>
                  </w:r>
                  <w:r>
                    <w:rPr>
                      <w:rFonts w:hint="eastAsia"/>
                      <w:color w:val="000000" w:themeColor="text1"/>
                      <w14:textFill>
                        <w14:solidFill>
                          <w14:schemeClr w14:val="tx1"/>
                        </w14:solidFill>
                      </w14:textFill>
                    </w:rPr>
                    <w:t>0</w:t>
                  </w:r>
                </w:p>
              </w:tc>
              <w:tc>
                <w:tcPr>
                  <w:tcW w:w="756" w:type="dxa"/>
                  <w:vMerge w:val="restart"/>
                  <w:shd w:val="clear" w:color="auto" w:fill="auto"/>
                  <w:vAlign w:val="center"/>
                </w:tcPr>
                <w:p w14:paraId="609B90E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85.85</w:t>
                  </w:r>
                </w:p>
              </w:tc>
              <w:tc>
                <w:tcPr>
                  <w:tcW w:w="759" w:type="dxa"/>
                  <w:vMerge w:val="restart"/>
                  <w:shd w:val="clear" w:color="auto" w:fill="auto"/>
                  <w:vAlign w:val="center"/>
                </w:tcPr>
                <w:p w14:paraId="4B11E87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0.22</w:t>
                  </w:r>
                </w:p>
              </w:tc>
              <w:tc>
                <w:tcPr>
                  <w:tcW w:w="486" w:type="dxa"/>
                  <w:vMerge w:val="restart"/>
                  <w:shd w:val="clear" w:color="auto" w:fill="auto"/>
                  <w:vAlign w:val="center"/>
                </w:tcPr>
                <w:p w14:paraId="0910308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4D22FC0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085" w:type="dxa"/>
                  <w:shd w:val="clear" w:color="auto" w:fill="auto"/>
                  <w:vAlign w:val="center"/>
                </w:tcPr>
                <w:p w14:paraId="522B162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47.07</w:t>
                  </w:r>
                </w:p>
              </w:tc>
              <w:tc>
                <w:tcPr>
                  <w:tcW w:w="1311" w:type="dxa"/>
                  <w:shd w:val="clear" w:color="auto" w:fill="auto"/>
                  <w:vAlign w:val="center"/>
                </w:tcPr>
                <w:p w14:paraId="59FD6A7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55.36</w:t>
                  </w:r>
                </w:p>
              </w:tc>
              <w:tc>
                <w:tcPr>
                  <w:tcW w:w="671" w:type="dxa"/>
                  <w:vMerge w:val="continue"/>
                  <w:shd w:val="clear" w:color="auto" w:fill="auto"/>
                  <w:vAlign w:val="center"/>
                </w:tcPr>
                <w:p w14:paraId="69EA8669">
                  <w:pPr>
                    <w:pStyle w:val="46"/>
                    <w:rPr>
                      <w:color w:val="000000" w:themeColor="text1"/>
                      <w14:textFill>
                        <w14:solidFill>
                          <w14:schemeClr w14:val="tx1"/>
                        </w14:solidFill>
                      </w14:textFill>
                    </w:rPr>
                  </w:pPr>
                </w:p>
              </w:tc>
              <w:tc>
                <w:tcPr>
                  <w:tcW w:w="1376" w:type="dxa"/>
                  <w:vMerge w:val="continue"/>
                  <w:shd w:val="clear" w:color="auto" w:fill="auto"/>
                  <w:vAlign w:val="center"/>
                </w:tcPr>
                <w:p w14:paraId="65335DE8">
                  <w:pPr>
                    <w:pStyle w:val="46"/>
                    <w:rPr>
                      <w:color w:val="000000" w:themeColor="text1"/>
                      <w14:textFill>
                        <w14:solidFill>
                          <w14:schemeClr w14:val="tx1"/>
                        </w14:solidFill>
                      </w14:textFill>
                    </w:rPr>
                  </w:pPr>
                </w:p>
              </w:tc>
              <w:tc>
                <w:tcPr>
                  <w:tcW w:w="1024" w:type="dxa"/>
                  <w:shd w:val="clear" w:color="auto" w:fill="auto"/>
                  <w:vAlign w:val="bottom"/>
                </w:tcPr>
                <w:p w14:paraId="7EA67F7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24.36</w:t>
                  </w:r>
                </w:p>
              </w:tc>
              <w:tc>
                <w:tcPr>
                  <w:tcW w:w="857" w:type="dxa"/>
                  <w:shd w:val="clear" w:color="auto" w:fill="auto"/>
                  <w:vAlign w:val="center"/>
                </w:tcPr>
                <w:p w14:paraId="547517E7">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78ED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726F28F9">
                  <w:pPr>
                    <w:pStyle w:val="46"/>
                    <w:rPr>
                      <w:color w:val="000000" w:themeColor="text1"/>
                      <w14:textFill>
                        <w14:solidFill>
                          <w14:schemeClr w14:val="tx1"/>
                        </w14:solidFill>
                      </w14:textFill>
                    </w:rPr>
                  </w:pPr>
                </w:p>
              </w:tc>
              <w:tc>
                <w:tcPr>
                  <w:tcW w:w="670" w:type="dxa"/>
                  <w:vMerge w:val="continue"/>
                  <w:shd w:val="clear" w:color="auto" w:fill="auto"/>
                  <w:vAlign w:val="center"/>
                </w:tcPr>
                <w:p w14:paraId="2D83CCD2">
                  <w:pPr>
                    <w:pStyle w:val="46"/>
                    <w:rPr>
                      <w:color w:val="000000" w:themeColor="text1"/>
                      <w14:textFill>
                        <w14:solidFill>
                          <w14:schemeClr w14:val="tx1"/>
                        </w14:solidFill>
                      </w14:textFill>
                    </w:rPr>
                  </w:pPr>
                </w:p>
              </w:tc>
              <w:tc>
                <w:tcPr>
                  <w:tcW w:w="0" w:type="auto"/>
                  <w:vMerge w:val="continue"/>
                  <w:shd w:val="clear" w:color="auto" w:fill="auto"/>
                  <w:vAlign w:val="center"/>
                </w:tcPr>
                <w:p w14:paraId="34557193">
                  <w:pPr>
                    <w:pStyle w:val="46"/>
                    <w:rPr>
                      <w:color w:val="000000" w:themeColor="text1"/>
                      <w14:textFill>
                        <w14:solidFill>
                          <w14:schemeClr w14:val="tx1"/>
                        </w14:solidFill>
                      </w14:textFill>
                    </w:rPr>
                  </w:pPr>
                </w:p>
              </w:tc>
              <w:tc>
                <w:tcPr>
                  <w:tcW w:w="1043" w:type="dxa"/>
                  <w:vMerge w:val="continue"/>
                  <w:shd w:val="clear" w:color="auto" w:fill="auto"/>
                  <w:vAlign w:val="center"/>
                </w:tcPr>
                <w:p w14:paraId="4CF2F3B6">
                  <w:pPr>
                    <w:pStyle w:val="46"/>
                    <w:rPr>
                      <w:color w:val="000000" w:themeColor="text1"/>
                      <w14:textFill>
                        <w14:solidFill>
                          <w14:schemeClr w14:val="tx1"/>
                        </w14:solidFill>
                      </w14:textFill>
                    </w:rPr>
                  </w:pPr>
                </w:p>
              </w:tc>
              <w:tc>
                <w:tcPr>
                  <w:tcW w:w="756" w:type="dxa"/>
                  <w:vMerge w:val="continue"/>
                  <w:shd w:val="clear" w:color="auto" w:fill="auto"/>
                  <w:vAlign w:val="center"/>
                </w:tcPr>
                <w:p w14:paraId="1F7C68C2">
                  <w:pPr>
                    <w:pStyle w:val="46"/>
                    <w:rPr>
                      <w:color w:val="000000" w:themeColor="text1"/>
                      <w14:textFill>
                        <w14:solidFill>
                          <w14:schemeClr w14:val="tx1"/>
                        </w14:solidFill>
                      </w14:textFill>
                    </w:rPr>
                  </w:pPr>
                </w:p>
              </w:tc>
              <w:tc>
                <w:tcPr>
                  <w:tcW w:w="0" w:type="auto"/>
                  <w:vMerge w:val="continue"/>
                  <w:shd w:val="clear" w:color="auto" w:fill="auto"/>
                  <w:vAlign w:val="center"/>
                </w:tcPr>
                <w:p w14:paraId="02CB9393">
                  <w:pPr>
                    <w:pStyle w:val="46"/>
                    <w:rPr>
                      <w:color w:val="000000" w:themeColor="text1"/>
                      <w14:textFill>
                        <w14:solidFill>
                          <w14:schemeClr w14:val="tx1"/>
                        </w14:solidFill>
                      </w14:textFill>
                    </w:rPr>
                  </w:pPr>
                </w:p>
              </w:tc>
              <w:tc>
                <w:tcPr>
                  <w:tcW w:w="486" w:type="dxa"/>
                  <w:vMerge w:val="continue"/>
                  <w:shd w:val="clear" w:color="auto" w:fill="auto"/>
                  <w:vAlign w:val="center"/>
                </w:tcPr>
                <w:p w14:paraId="56E9319D">
                  <w:pPr>
                    <w:pStyle w:val="46"/>
                    <w:rPr>
                      <w:color w:val="000000" w:themeColor="text1"/>
                      <w14:textFill>
                        <w14:solidFill>
                          <w14:schemeClr w14:val="tx1"/>
                        </w14:solidFill>
                      </w14:textFill>
                    </w:rPr>
                  </w:pPr>
                </w:p>
              </w:tc>
              <w:tc>
                <w:tcPr>
                  <w:tcW w:w="493" w:type="dxa"/>
                  <w:shd w:val="clear" w:color="auto" w:fill="auto"/>
                  <w:vAlign w:val="center"/>
                </w:tcPr>
                <w:p w14:paraId="4B212B41">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1085" w:type="dxa"/>
                  <w:shd w:val="clear" w:color="auto" w:fill="auto"/>
                  <w:vAlign w:val="center"/>
                </w:tcPr>
                <w:p w14:paraId="5285379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59.43</w:t>
                  </w:r>
                </w:p>
              </w:tc>
              <w:tc>
                <w:tcPr>
                  <w:tcW w:w="1311" w:type="dxa"/>
                  <w:shd w:val="clear" w:color="auto" w:fill="auto"/>
                  <w:vAlign w:val="center"/>
                </w:tcPr>
                <w:p w14:paraId="5BB1EFD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55.35</w:t>
                  </w:r>
                </w:p>
              </w:tc>
              <w:tc>
                <w:tcPr>
                  <w:tcW w:w="671" w:type="dxa"/>
                  <w:vMerge w:val="continue"/>
                  <w:shd w:val="clear" w:color="auto" w:fill="auto"/>
                  <w:vAlign w:val="center"/>
                </w:tcPr>
                <w:p w14:paraId="544C2650">
                  <w:pPr>
                    <w:pStyle w:val="46"/>
                    <w:rPr>
                      <w:color w:val="000000" w:themeColor="text1"/>
                      <w14:textFill>
                        <w14:solidFill>
                          <w14:schemeClr w14:val="tx1"/>
                        </w14:solidFill>
                      </w14:textFill>
                    </w:rPr>
                  </w:pPr>
                </w:p>
              </w:tc>
              <w:tc>
                <w:tcPr>
                  <w:tcW w:w="1376" w:type="dxa"/>
                  <w:vMerge w:val="continue"/>
                  <w:shd w:val="clear" w:color="auto" w:fill="auto"/>
                  <w:vAlign w:val="center"/>
                </w:tcPr>
                <w:p w14:paraId="08669EE9">
                  <w:pPr>
                    <w:pStyle w:val="46"/>
                    <w:rPr>
                      <w:color w:val="000000" w:themeColor="text1"/>
                      <w14:textFill>
                        <w14:solidFill>
                          <w14:schemeClr w14:val="tx1"/>
                        </w14:solidFill>
                      </w14:textFill>
                    </w:rPr>
                  </w:pPr>
                </w:p>
              </w:tc>
              <w:tc>
                <w:tcPr>
                  <w:tcW w:w="1024" w:type="dxa"/>
                  <w:shd w:val="clear" w:color="auto" w:fill="auto"/>
                  <w:vAlign w:val="bottom"/>
                </w:tcPr>
                <w:p w14:paraId="63EB0DE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24.35</w:t>
                  </w:r>
                </w:p>
              </w:tc>
              <w:tc>
                <w:tcPr>
                  <w:tcW w:w="857" w:type="dxa"/>
                  <w:shd w:val="clear" w:color="auto" w:fill="auto"/>
                  <w:vAlign w:val="center"/>
                </w:tcPr>
                <w:p w14:paraId="4B8279FE">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4598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6E9692C4">
                  <w:pPr>
                    <w:pStyle w:val="46"/>
                    <w:rPr>
                      <w:color w:val="000000" w:themeColor="text1"/>
                      <w14:textFill>
                        <w14:solidFill>
                          <w14:schemeClr w14:val="tx1"/>
                        </w14:solidFill>
                      </w14:textFill>
                    </w:rPr>
                  </w:pPr>
                </w:p>
              </w:tc>
              <w:tc>
                <w:tcPr>
                  <w:tcW w:w="670" w:type="dxa"/>
                  <w:vMerge w:val="continue"/>
                  <w:shd w:val="clear" w:color="auto" w:fill="auto"/>
                  <w:vAlign w:val="center"/>
                </w:tcPr>
                <w:p w14:paraId="21895A59">
                  <w:pPr>
                    <w:pStyle w:val="46"/>
                    <w:rPr>
                      <w:color w:val="000000" w:themeColor="text1"/>
                      <w14:textFill>
                        <w14:solidFill>
                          <w14:schemeClr w14:val="tx1"/>
                        </w14:solidFill>
                      </w14:textFill>
                    </w:rPr>
                  </w:pPr>
                </w:p>
              </w:tc>
              <w:tc>
                <w:tcPr>
                  <w:tcW w:w="0" w:type="auto"/>
                  <w:vMerge w:val="continue"/>
                  <w:shd w:val="clear" w:color="auto" w:fill="auto"/>
                  <w:vAlign w:val="center"/>
                </w:tcPr>
                <w:p w14:paraId="2D5BC699">
                  <w:pPr>
                    <w:pStyle w:val="46"/>
                    <w:rPr>
                      <w:color w:val="000000" w:themeColor="text1"/>
                      <w14:textFill>
                        <w14:solidFill>
                          <w14:schemeClr w14:val="tx1"/>
                        </w14:solidFill>
                      </w14:textFill>
                    </w:rPr>
                  </w:pPr>
                </w:p>
              </w:tc>
              <w:tc>
                <w:tcPr>
                  <w:tcW w:w="1043" w:type="dxa"/>
                  <w:vMerge w:val="continue"/>
                  <w:shd w:val="clear" w:color="auto" w:fill="auto"/>
                  <w:vAlign w:val="center"/>
                </w:tcPr>
                <w:p w14:paraId="34DEB340">
                  <w:pPr>
                    <w:pStyle w:val="46"/>
                    <w:rPr>
                      <w:color w:val="000000" w:themeColor="text1"/>
                      <w14:textFill>
                        <w14:solidFill>
                          <w14:schemeClr w14:val="tx1"/>
                        </w14:solidFill>
                      </w14:textFill>
                    </w:rPr>
                  </w:pPr>
                </w:p>
              </w:tc>
              <w:tc>
                <w:tcPr>
                  <w:tcW w:w="756" w:type="dxa"/>
                  <w:vMerge w:val="continue"/>
                  <w:shd w:val="clear" w:color="auto" w:fill="auto"/>
                  <w:vAlign w:val="center"/>
                </w:tcPr>
                <w:p w14:paraId="5E8F65A8">
                  <w:pPr>
                    <w:pStyle w:val="46"/>
                    <w:rPr>
                      <w:color w:val="000000" w:themeColor="text1"/>
                      <w14:textFill>
                        <w14:solidFill>
                          <w14:schemeClr w14:val="tx1"/>
                        </w14:solidFill>
                      </w14:textFill>
                    </w:rPr>
                  </w:pPr>
                </w:p>
              </w:tc>
              <w:tc>
                <w:tcPr>
                  <w:tcW w:w="0" w:type="auto"/>
                  <w:vMerge w:val="continue"/>
                  <w:shd w:val="clear" w:color="auto" w:fill="auto"/>
                  <w:vAlign w:val="center"/>
                </w:tcPr>
                <w:p w14:paraId="3E3BBBD8">
                  <w:pPr>
                    <w:pStyle w:val="46"/>
                    <w:rPr>
                      <w:color w:val="000000" w:themeColor="text1"/>
                      <w14:textFill>
                        <w14:solidFill>
                          <w14:schemeClr w14:val="tx1"/>
                        </w14:solidFill>
                      </w14:textFill>
                    </w:rPr>
                  </w:pPr>
                </w:p>
              </w:tc>
              <w:tc>
                <w:tcPr>
                  <w:tcW w:w="486" w:type="dxa"/>
                  <w:vMerge w:val="continue"/>
                  <w:shd w:val="clear" w:color="auto" w:fill="auto"/>
                  <w:vAlign w:val="center"/>
                </w:tcPr>
                <w:p w14:paraId="14A210D5">
                  <w:pPr>
                    <w:pStyle w:val="46"/>
                    <w:rPr>
                      <w:color w:val="000000" w:themeColor="text1"/>
                      <w14:textFill>
                        <w14:solidFill>
                          <w14:schemeClr w14:val="tx1"/>
                        </w14:solidFill>
                      </w14:textFill>
                    </w:rPr>
                  </w:pPr>
                </w:p>
              </w:tc>
              <w:tc>
                <w:tcPr>
                  <w:tcW w:w="493" w:type="dxa"/>
                  <w:shd w:val="clear" w:color="auto" w:fill="auto"/>
                  <w:vAlign w:val="center"/>
                </w:tcPr>
                <w:p w14:paraId="286C7A2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85" w:type="dxa"/>
                  <w:shd w:val="clear" w:color="auto" w:fill="auto"/>
                  <w:vAlign w:val="center"/>
                </w:tcPr>
                <w:p w14:paraId="6497A5B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213.75</w:t>
                  </w:r>
                </w:p>
              </w:tc>
              <w:tc>
                <w:tcPr>
                  <w:tcW w:w="1311" w:type="dxa"/>
                  <w:shd w:val="clear" w:color="auto" w:fill="auto"/>
                  <w:vAlign w:val="center"/>
                </w:tcPr>
                <w:p w14:paraId="28BCBB5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6B6ACC7E">
                  <w:pPr>
                    <w:pStyle w:val="46"/>
                    <w:rPr>
                      <w:color w:val="000000" w:themeColor="text1"/>
                      <w14:textFill>
                        <w14:solidFill>
                          <w14:schemeClr w14:val="tx1"/>
                        </w14:solidFill>
                      </w14:textFill>
                    </w:rPr>
                  </w:pPr>
                </w:p>
              </w:tc>
              <w:tc>
                <w:tcPr>
                  <w:tcW w:w="1376" w:type="dxa"/>
                  <w:vMerge w:val="continue"/>
                  <w:shd w:val="clear" w:color="auto" w:fill="auto"/>
                  <w:vAlign w:val="center"/>
                </w:tcPr>
                <w:p w14:paraId="7B33F535">
                  <w:pPr>
                    <w:pStyle w:val="46"/>
                    <w:rPr>
                      <w:color w:val="000000" w:themeColor="text1"/>
                      <w14:textFill>
                        <w14:solidFill>
                          <w14:schemeClr w14:val="tx1"/>
                        </w14:solidFill>
                      </w14:textFill>
                    </w:rPr>
                  </w:pPr>
                </w:p>
              </w:tc>
              <w:tc>
                <w:tcPr>
                  <w:tcW w:w="1024" w:type="dxa"/>
                  <w:shd w:val="clear" w:color="auto" w:fill="auto"/>
                  <w:vAlign w:val="bottom"/>
                </w:tcPr>
                <w:p w14:paraId="1352E0C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6D85E2C5">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06D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A92DA13">
                  <w:pPr>
                    <w:pStyle w:val="46"/>
                    <w:rPr>
                      <w:color w:val="000000" w:themeColor="text1"/>
                      <w14:textFill>
                        <w14:solidFill>
                          <w14:schemeClr w14:val="tx1"/>
                        </w14:solidFill>
                      </w14:textFill>
                    </w:rPr>
                  </w:pPr>
                </w:p>
              </w:tc>
              <w:tc>
                <w:tcPr>
                  <w:tcW w:w="670" w:type="dxa"/>
                  <w:vMerge w:val="continue"/>
                  <w:shd w:val="clear" w:color="auto" w:fill="auto"/>
                  <w:vAlign w:val="center"/>
                </w:tcPr>
                <w:p w14:paraId="2EC4D814">
                  <w:pPr>
                    <w:pStyle w:val="46"/>
                    <w:rPr>
                      <w:color w:val="000000" w:themeColor="text1"/>
                      <w14:textFill>
                        <w14:solidFill>
                          <w14:schemeClr w14:val="tx1"/>
                        </w14:solidFill>
                      </w14:textFill>
                    </w:rPr>
                  </w:pPr>
                </w:p>
              </w:tc>
              <w:tc>
                <w:tcPr>
                  <w:tcW w:w="0" w:type="auto"/>
                  <w:vMerge w:val="continue"/>
                  <w:shd w:val="clear" w:color="auto" w:fill="auto"/>
                  <w:vAlign w:val="center"/>
                </w:tcPr>
                <w:p w14:paraId="50A2548D">
                  <w:pPr>
                    <w:pStyle w:val="46"/>
                    <w:rPr>
                      <w:color w:val="000000" w:themeColor="text1"/>
                      <w14:textFill>
                        <w14:solidFill>
                          <w14:schemeClr w14:val="tx1"/>
                        </w14:solidFill>
                      </w14:textFill>
                    </w:rPr>
                  </w:pPr>
                </w:p>
              </w:tc>
              <w:tc>
                <w:tcPr>
                  <w:tcW w:w="1043" w:type="dxa"/>
                  <w:vMerge w:val="continue"/>
                  <w:shd w:val="clear" w:color="auto" w:fill="auto"/>
                  <w:vAlign w:val="center"/>
                </w:tcPr>
                <w:p w14:paraId="7E928487">
                  <w:pPr>
                    <w:pStyle w:val="46"/>
                    <w:rPr>
                      <w:color w:val="000000" w:themeColor="text1"/>
                      <w14:textFill>
                        <w14:solidFill>
                          <w14:schemeClr w14:val="tx1"/>
                        </w14:solidFill>
                      </w14:textFill>
                    </w:rPr>
                  </w:pPr>
                </w:p>
              </w:tc>
              <w:tc>
                <w:tcPr>
                  <w:tcW w:w="756" w:type="dxa"/>
                  <w:vMerge w:val="continue"/>
                  <w:shd w:val="clear" w:color="auto" w:fill="auto"/>
                  <w:vAlign w:val="center"/>
                </w:tcPr>
                <w:p w14:paraId="55F3310B">
                  <w:pPr>
                    <w:pStyle w:val="46"/>
                    <w:rPr>
                      <w:color w:val="000000" w:themeColor="text1"/>
                      <w14:textFill>
                        <w14:solidFill>
                          <w14:schemeClr w14:val="tx1"/>
                        </w14:solidFill>
                      </w14:textFill>
                    </w:rPr>
                  </w:pPr>
                </w:p>
              </w:tc>
              <w:tc>
                <w:tcPr>
                  <w:tcW w:w="0" w:type="auto"/>
                  <w:vMerge w:val="continue"/>
                  <w:shd w:val="clear" w:color="auto" w:fill="auto"/>
                  <w:vAlign w:val="center"/>
                </w:tcPr>
                <w:p w14:paraId="6DAD5287">
                  <w:pPr>
                    <w:pStyle w:val="46"/>
                    <w:rPr>
                      <w:color w:val="000000" w:themeColor="text1"/>
                      <w14:textFill>
                        <w14:solidFill>
                          <w14:schemeClr w14:val="tx1"/>
                        </w14:solidFill>
                      </w14:textFill>
                    </w:rPr>
                  </w:pPr>
                </w:p>
              </w:tc>
              <w:tc>
                <w:tcPr>
                  <w:tcW w:w="486" w:type="dxa"/>
                  <w:vMerge w:val="continue"/>
                  <w:shd w:val="clear" w:color="auto" w:fill="auto"/>
                  <w:vAlign w:val="center"/>
                </w:tcPr>
                <w:p w14:paraId="2D43F596">
                  <w:pPr>
                    <w:pStyle w:val="46"/>
                    <w:rPr>
                      <w:color w:val="000000" w:themeColor="text1"/>
                      <w14:textFill>
                        <w14:solidFill>
                          <w14:schemeClr w14:val="tx1"/>
                        </w14:solidFill>
                      </w14:textFill>
                    </w:rPr>
                  </w:pPr>
                </w:p>
              </w:tc>
              <w:tc>
                <w:tcPr>
                  <w:tcW w:w="493" w:type="dxa"/>
                  <w:shd w:val="clear" w:color="auto" w:fill="auto"/>
                  <w:vAlign w:val="center"/>
                </w:tcPr>
                <w:p w14:paraId="23314EBD">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1085" w:type="dxa"/>
                  <w:shd w:val="clear" w:color="auto" w:fill="auto"/>
                  <w:vAlign w:val="center"/>
                </w:tcPr>
                <w:p w14:paraId="35A67AE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112.63</w:t>
                  </w:r>
                </w:p>
              </w:tc>
              <w:tc>
                <w:tcPr>
                  <w:tcW w:w="1311" w:type="dxa"/>
                  <w:shd w:val="clear" w:color="auto" w:fill="auto"/>
                  <w:vAlign w:val="center"/>
                </w:tcPr>
                <w:p w14:paraId="4EC6E73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55.33</w:t>
                  </w:r>
                </w:p>
              </w:tc>
              <w:tc>
                <w:tcPr>
                  <w:tcW w:w="671" w:type="dxa"/>
                  <w:vMerge w:val="continue"/>
                  <w:shd w:val="clear" w:color="auto" w:fill="auto"/>
                  <w:vAlign w:val="center"/>
                </w:tcPr>
                <w:p w14:paraId="3FA1BC6B">
                  <w:pPr>
                    <w:pStyle w:val="46"/>
                    <w:rPr>
                      <w:color w:val="000000" w:themeColor="text1"/>
                      <w14:textFill>
                        <w14:solidFill>
                          <w14:schemeClr w14:val="tx1"/>
                        </w14:solidFill>
                      </w14:textFill>
                    </w:rPr>
                  </w:pPr>
                </w:p>
              </w:tc>
              <w:tc>
                <w:tcPr>
                  <w:tcW w:w="1376" w:type="dxa"/>
                  <w:vMerge w:val="continue"/>
                  <w:shd w:val="clear" w:color="auto" w:fill="auto"/>
                  <w:vAlign w:val="center"/>
                </w:tcPr>
                <w:p w14:paraId="3AC6239F">
                  <w:pPr>
                    <w:pStyle w:val="46"/>
                    <w:rPr>
                      <w:color w:val="000000" w:themeColor="text1"/>
                      <w14:textFill>
                        <w14:solidFill>
                          <w14:schemeClr w14:val="tx1"/>
                        </w14:solidFill>
                      </w14:textFill>
                    </w:rPr>
                  </w:pPr>
                </w:p>
              </w:tc>
              <w:tc>
                <w:tcPr>
                  <w:tcW w:w="1024" w:type="dxa"/>
                  <w:shd w:val="clear" w:color="auto" w:fill="auto"/>
                  <w:vAlign w:val="bottom"/>
                </w:tcPr>
                <w:p w14:paraId="5E5160E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24.33</w:t>
                  </w:r>
                </w:p>
              </w:tc>
              <w:tc>
                <w:tcPr>
                  <w:tcW w:w="857" w:type="dxa"/>
                  <w:shd w:val="clear" w:color="auto" w:fill="auto"/>
                  <w:vAlign w:val="center"/>
                </w:tcPr>
                <w:p w14:paraId="73005FF4">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8DE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45AF28A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w:t>
                  </w:r>
                </w:p>
              </w:tc>
              <w:tc>
                <w:tcPr>
                  <w:tcW w:w="670" w:type="dxa"/>
                  <w:vMerge w:val="continue"/>
                  <w:shd w:val="clear" w:color="auto" w:fill="auto"/>
                  <w:vAlign w:val="center"/>
                </w:tcPr>
                <w:p w14:paraId="6BB82D6B">
                  <w:pPr>
                    <w:pStyle w:val="46"/>
                    <w:rPr>
                      <w:color w:val="000000" w:themeColor="text1"/>
                      <w14:textFill>
                        <w14:solidFill>
                          <w14:schemeClr w14:val="tx1"/>
                        </w14:solidFill>
                      </w14:textFill>
                    </w:rPr>
                  </w:pPr>
                </w:p>
              </w:tc>
              <w:tc>
                <w:tcPr>
                  <w:tcW w:w="2642" w:type="dxa"/>
                  <w:vMerge w:val="restart"/>
                  <w:shd w:val="clear" w:color="auto" w:fill="auto"/>
                  <w:vAlign w:val="center"/>
                </w:tcPr>
                <w:p w14:paraId="13B3410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3#圆振动筛</w:t>
                  </w:r>
                </w:p>
              </w:tc>
              <w:tc>
                <w:tcPr>
                  <w:tcW w:w="1043" w:type="dxa"/>
                  <w:vMerge w:val="restart"/>
                  <w:shd w:val="clear" w:color="auto" w:fill="auto"/>
                  <w:vAlign w:val="center"/>
                </w:tcPr>
                <w:p w14:paraId="5ED29DC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50FAEAC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98.49</w:t>
                  </w:r>
                </w:p>
              </w:tc>
              <w:tc>
                <w:tcPr>
                  <w:tcW w:w="759" w:type="dxa"/>
                  <w:vMerge w:val="restart"/>
                  <w:shd w:val="clear" w:color="auto" w:fill="auto"/>
                  <w:vAlign w:val="center"/>
                </w:tcPr>
                <w:p w14:paraId="450CA85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-10.31</w:t>
                  </w:r>
                </w:p>
              </w:tc>
              <w:tc>
                <w:tcPr>
                  <w:tcW w:w="486" w:type="dxa"/>
                  <w:vMerge w:val="restart"/>
                  <w:shd w:val="clear" w:color="auto" w:fill="auto"/>
                  <w:vAlign w:val="center"/>
                </w:tcPr>
                <w:p w14:paraId="11A2A3E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2776219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085" w:type="dxa"/>
                  <w:shd w:val="clear" w:color="auto" w:fill="auto"/>
                  <w:vAlign w:val="center"/>
                </w:tcPr>
                <w:p w14:paraId="79F38D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54.15</w:t>
                  </w:r>
                </w:p>
              </w:tc>
              <w:tc>
                <w:tcPr>
                  <w:tcW w:w="1311" w:type="dxa"/>
                  <w:shd w:val="clear" w:color="auto" w:fill="auto"/>
                  <w:vAlign w:val="center"/>
                </w:tcPr>
                <w:p w14:paraId="0F93B33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304DF774">
                  <w:pPr>
                    <w:pStyle w:val="46"/>
                    <w:rPr>
                      <w:color w:val="000000" w:themeColor="text1"/>
                      <w14:textFill>
                        <w14:solidFill>
                          <w14:schemeClr w14:val="tx1"/>
                        </w14:solidFill>
                      </w14:textFill>
                    </w:rPr>
                  </w:pPr>
                </w:p>
              </w:tc>
              <w:tc>
                <w:tcPr>
                  <w:tcW w:w="1376" w:type="dxa"/>
                  <w:vMerge w:val="continue"/>
                  <w:shd w:val="clear" w:color="auto" w:fill="auto"/>
                  <w:vAlign w:val="center"/>
                </w:tcPr>
                <w:p w14:paraId="3A1AEDC4">
                  <w:pPr>
                    <w:pStyle w:val="46"/>
                    <w:rPr>
                      <w:color w:val="000000" w:themeColor="text1"/>
                      <w14:textFill>
                        <w14:solidFill>
                          <w14:schemeClr w14:val="tx1"/>
                        </w14:solidFill>
                      </w14:textFill>
                    </w:rPr>
                  </w:pPr>
                </w:p>
              </w:tc>
              <w:tc>
                <w:tcPr>
                  <w:tcW w:w="1024" w:type="dxa"/>
                  <w:shd w:val="clear" w:color="auto" w:fill="auto"/>
                  <w:vAlign w:val="bottom"/>
                </w:tcPr>
                <w:p w14:paraId="36203CC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0DC7E66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30E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F4F743B">
                  <w:pPr>
                    <w:pStyle w:val="46"/>
                    <w:rPr>
                      <w:color w:val="000000" w:themeColor="text1"/>
                      <w14:textFill>
                        <w14:solidFill>
                          <w14:schemeClr w14:val="tx1"/>
                        </w14:solidFill>
                      </w14:textFill>
                    </w:rPr>
                  </w:pPr>
                </w:p>
              </w:tc>
              <w:tc>
                <w:tcPr>
                  <w:tcW w:w="670" w:type="dxa"/>
                  <w:vMerge w:val="continue"/>
                  <w:shd w:val="clear" w:color="auto" w:fill="auto"/>
                  <w:vAlign w:val="center"/>
                </w:tcPr>
                <w:p w14:paraId="462AC9E2">
                  <w:pPr>
                    <w:pStyle w:val="46"/>
                    <w:rPr>
                      <w:color w:val="000000" w:themeColor="text1"/>
                      <w14:textFill>
                        <w14:solidFill>
                          <w14:schemeClr w14:val="tx1"/>
                        </w14:solidFill>
                      </w14:textFill>
                    </w:rPr>
                  </w:pPr>
                </w:p>
              </w:tc>
              <w:tc>
                <w:tcPr>
                  <w:tcW w:w="0" w:type="auto"/>
                  <w:vMerge w:val="continue"/>
                  <w:shd w:val="clear" w:color="auto" w:fill="auto"/>
                  <w:vAlign w:val="center"/>
                </w:tcPr>
                <w:p w14:paraId="728FC3C2">
                  <w:pPr>
                    <w:pStyle w:val="46"/>
                    <w:rPr>
                      <w:color w:val="000000" w:themeColor="text1"/>
                      <w14:textFill>
                        <w14:solidFill>
                          <w14:schemeClr w14:val="tx1"/>
                        </w14:solidFill>
                      </w14:textFill>
                    </w:rPr>
                  </w:pPr>
                </w:p>
              </w:tc>
              <w:tc>
                <w:tcPr>
                  <w:tcW w:w="1043" w:type="dxa"/>
                  <w:vMerge w:val="continue"/>
                  <w:shd w:val="clear" w:color="auto" w:fill="auto"/>
                  <w:vAlign w:val="center"/>
                </w:tcPr>
                <w:p w14:paraId="1055CF75">
                  <w:pPr>
                    <w:pStyle w:val="46"/>
                    <w:rPr>
                      <w:color w:val="000000" w:themeColor="text1"/>
                      <w14:textFill>
                        <w14:solidFill>
                          <w14:schemeClr w14:val="tx1"/>
                        </w14:solidFill>
                      </w14:textFill>
                    </w:rPr>
                  </w:pPr>
                </w:p>
              </w:tc>
              <w:tc>
                <w:tcPr>
                  <w:tcW w:w="756" w:type="dxa"/>
                  <w:vMerge w:val="continue"/>
                  <w:shd w:val="clear" w:color="auto" w:fill="auto"/>
                  <w:vAlign w:val="center"/>
                </w:tcPr>
                <w:p w14:paraId="47047739">
                  <w:pPr>
                    <w:pStyle w:val="46"/>
                    <w:rPr>
                      <w:color w:val="000000" w:themeColor="text1"/>
                      <w14:textFill>
                        <w14:solidFill>
                          <w14:schemeClr w14:val="tx1"/>
                        </w14:solidFill>
                      </w14:textFill>
                    </w:rPr>
                  </w:pPr>
                </w:p>
              </w:tc>
              <w:tc>
                <w:tcPr>
                  <w:tcW w:w="0" w:type="auto"/>
                  <w:vMerge w:val="continue"/>
                  <w:shd w:val="clear" w:color="auto" w:fill="auto"/>
                  <w:vAlign w:val="center"/>
                </w:tcPr>
                <w:p w14:paraId="115E96A2">
                  <w:pPr>
                    <w:pStyle w:val="46"/>
                    <w:rPr>
                      <w:color w:val="000000" w:themeColor="text1"/>
                      <w14:textFill>
                        <w14:solidFill>
                          <w14:schemeClr w14:val="tx1"/>
                        </w14:solidFill>
                      </w14:textFill>
                    </w:rPr>
                  </w:pPr>
                </w:p>
              </w:tc>
              <w:tc>
                <w:tcPr>
                  <w:tcW w:w="486" w:type="dxa"/>
                  <w:vMerge w:val="continue"/>
                  <w:shd w:val="clear" w:color="auto" w:fill="auto"/>
                  <w:vAlign w:val="center"/>
                </w:tcPr>
                <w:p w14:paraId="74C57EEB">
                  <w:pPr>
                    <w:pStyle w:val="46"/>
                    <w:rPr>
                      <w:color w:val="000000" w:themeColor="text1"/>
                      <w14:textFill>
                        <w14:solidFill>
                          <w14:schemeClr w14:val="tx1"/>
                        </w14:solidFill>
                      </w14:textFill>
                    </w:rPr>
                  </w:pPr>
                </w:p>
              </w:tc>
              <w:tc>
                <w:tcPr>
                  <w:tcW w:w="493" w:type="dxa"/>
                  <w:shd w:val="clear" w:color="auto" w:fill="auto"/>
                  <w:vAlign w:val="center"/>
                </w:tcPr>
                <w:p w14:paraId="57A2F4CE">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1085" w:type="dxa"/>
                  <w:shd w:val="clear" w:color="auto" w:fill="auto"/>
                  <w:vAlign w:val="center"/>
                </w:tcPr>
                <w:p w14:paraId="2196715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58.99</w:t>
                  </w:r>
                </w:p>
              </w:tc>
              <w:tc>
                <w:tcPr>
                  <w:tcW w:w="1311" w:type="dxa"/>
                  <w:shd w:val="clear" w:color="auto" w:fill="auto"/>
                  <w:vAlign w:val="center"/>
                </w:tcPr>
                <w:p w14:paraId="238786D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214C3388">
                  <w:pPr>
                    <w:pStyle w:val="46"/>
                    <w:rPr>
                      <w:color w:val="000000" w:themeColor="text1"/>
                      <w14:textFill>
                        <w14:solidFill>
                          <w14:schemeClr w14:val="tx1"/>
                        </w14:solidFill>
                      </w14:textFill>
                    </w:rPr>
                  </w:pPr>
                </w:p>
              </w:tc>
              <w:tc>
                <w:tcPr>
                  <w:tcW w:w="1376" w:type="dxa"/>
                  <w:vMerge w:val="continue"/>
                  <w:shd w:val="clear" w:color="auto" w:fill="auto"/>
                  <w:vAlign w:val="center"/>
                </w:tcPr>
                <w:p w14:paraId="0361AAF2">
                  <w:pPr>
                    <w:pStyle w:val="46"/>
                    <w:rPr>
                      <w:color w:val="000000" w:themeColor="text1"/>
                      <w14:textFill>
                        <w14:solidFill>
                          <w14:schemeClr w14:val="tx1"/>
                        </w14:solidFill>
                      </w14:textFill>
                    </w:rPr>
                  </w:pPr>
                </w:p>
              </w:tc>
              <w:tc>
                <w:tcPr>
                  <w:tcW w:w="1024" w:type="dxa"/>
                  <w:shd w:val="clear" w:color="auto" w:fill="auto"/>
                  <w:vAlign w:val="bottom"/>
                </w:tcPr>
                <w:p w14:paraId="54E7C4C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5A74EF57">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3CD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7A45995F">
                  <w:pPr>
                    <w:pStyle w:val="46"/>
                    <w:rPr>
                      <w:color w:val="000000" w:themeColor="text1"/>
                      <w14:textFill>
                        <w14:solidFill>
                          <w14:schemeClr w14:val="tx1"/>
                        </w14:solidFill>
                      </w14:textFill>
                    </w:rPr>
                  </w:pPr>
                </w:p>
              </w:tc>
              <w:tc>
                <w:tcPr>
                  <w:tcW w:w="670" w:type="dxa"/>
                  <w:vMerge w:val="continue"/>
                  <w:shd w:val="clear" w:color="auto" w:fill="auto"/>
                  <w:vAlign w:val="center"/>
                </w:tcPr>
                <w:p w14:paraId="5B19C56D">
                  <w:pPr>
                    <w:pStyle w:val="46"/>
                    <w:rPr>
                      <w:color w:val="000000" w:themeColor="text1"/>
                      <w14:textFill>
                        <w14:solidFill>
                          <w14:schemeClr w14:val="tx1"/>
                        </w14:solidFill>
                      </w14:textFill>
                    </w:rPr>
                  </w:pPr>
                </w:p>
              </w:tc>
              <w:tc>
                <w:tcPr>
                  <w:tcW w:w="0" w:type="auto"/>
                  <w:vMerge w:val="continue"/>
                  <w:shd w:val="clear" w:color="auto" w:fill="auto"/>
                  <w:vAlign w:val="center"/>
                </w:tcPr>
                <w:p w14:paraId="06B7C071">
                  <w:pPr>
                    <w:pStyle w:val="46"/>
                    <w:rPr>
                      <w:color w:val="000000" w:themeColor="text1"/>
                      <w14:textFill>
                        <w14:solidFill>
                          <w14:schemeClr w14:val="tx1"/>
                        </w14:solidFill>
                      </w14:textFill>
                    </w:rPr>
                  </w:pPr>
                </w:p>
              </w:tc>
              <w:tc>
                <w:tcPr>
                  <w:tcW w:w="1043" w:type="dxa"/>
                  <w:vMerge w:val="continue"/>
                  <w:shd w:val="clear" w:color="auto" w:fill="auto"/>
                  <w:vAlign w:val="center"/>
                </w:tcPr>
                <w:p w14:paraId="525E5A5C">
                  <w:pPr>
                    <w:pStyle w:val="46"/>
                    <w:rPr>
                      <w:color w:val="000000" w:themeColor="text1"/>
                      <w14:textFill>
                        <w14:solidFill>
                          <w14:schemeClr w14:val="tx1"/>
                        </w14:solidFill>
                      </w14:textFill>
                    </w:rPr>
                  </w:pPr>
                </w:p>
              </w:tc>
              <w:tc>
                <w:tcPr>
                  <w:tcW w:w="756" w:type="dxa"/>
                  <w:vMerge w:val="continue"/>
                  <w:shd w:val="clear" w:color="auto" w:fill="auto"/>
                  <w:vAlign w:val="center"/>
                </w:tcPr>
                <w:p w14:paraId="08BD54D1">
                  <w:pPr>
                    <w:pStyle w:val="46"/>
                    <w:rPr>
                      <w:color w:val="000000" w:themeColor="text1"/>
                      <w14:textFill>
                        <w14:solidFill>
                          <w14:schemeClr w14:val="tx1"/>
                        </w14:solidFill>
                      </w14:textFill>
                    </w:rPr>
                  </w:pPr>
                </w:p>
              </w:tc>
              <w:tc>
                <w:tcPr>
                  <w:tcW w:w="0" w:type="auto"/>
                  <w:vMerge w:val="continue"/>
                  <w:shd w:val="clear" w:color="auto" w:fill="auto"/>
                  <w:vAlign w:val="center"/>
                </w:tcPr>
                <w:p w14:paraId="626B7DC9">
                  <w:pPr>
                    <w:pStyle w:val="46"/>
                    <w:rPr>
                      <w:color w:val="000000" w:themeColor="text1"/>
                      <w14:textFill>
                        <w14:solidFill>
                          <w14:schemeClr w14:val="tx1"/>
                        </w14:solidFill>
                      </w14:textFill>
                    </w:rPr>
                  </w:pPr>
                </w:p>
              </w:tc>
              <w:tc>
                <w:tcPr>
                  <w:tcW w:w="486" w:type="dxa"/>
                  <w:vMerge w:val="continue"/>
                  <w:shd w:val="clear" w:color="auto" w:fill="auto"/>
                  <w:vAlign w:val="center"/>
                </w:tcPr>
                <w:p w14:paraId="50C57A22">
                  <w:pPr>
                    <w:pStyle w:val="46"/>
                    <w:rPr>
                      <w:color w:val="000000" w:themeColor="text1"/>
                      <w14:textFill>
                        <w14:solidFill>
                          <w14:schemeClr w14:val="tx1"/>
                        </w14:solidFill>
                      </w14:textFill>
                    </w:rPr>
                  </w:pPr>
                </w:p>
              </w:tc>
              <w:tc>
                <w:tcPr>
                  <w:tcW w:w="493" w:type="dxa"/>
                  <w:shd w:val="clear" w:color="auto" w:fill="auto"/>
                  <w:vAlign w:val="center"/>
                </w:tcPr>
                <w:p w14:paraId="42EB5CB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85" w:type="dxa"/>
                  <w:shd w:val="clear" w:color="auto" w:fill="auto"/>
                  <w:vAlign w:val="center"/>
                </w:tcPr>
                <w:p w14:paraId="5A4FD32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206.83</w:t>
                  </w:r>
                </w:p>
              </w:tc>
              <w:tc>
                <w:tcPr>
                  <w:tcW w:w="1311" w:type="dxa"/>
                  <w:shd w:val="clear" w:color="auto" w:fill="auto"/>
                  <w:vAlign w:val="center"/>
                </w:tcPr>
                <w:p w14:paraId="4365869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28E94ADD">
                  <w:pPr>
                    <w:pStyle w:val="46"/>
                    <w:rPr>
                      <w:color w:val="000000" w:themeColor="text1"/>
                      <w14:textFill>
                        <w14:solidFill>
                          <w14:schemeClr w14:val="tx1"/>
                        </w14:solidFill>
                      </w14:textFill>
                    </w:rPr>
                  </w:pPr>
                </w:p>
              </w:tc>
              <w:tc>
                <w:tcPr>
                  <w:tcW w:w="1376" w:type="dxa"/>
                  <w:vMerge w:val="continue"/>
                  <w:shd w:val="clear" w:color="auto" w:fill="auto"/>
                  <w:vAlign w:val="center"/>
                </w:tcPr>
                <w:p w14:paraId="18E9CB5E">
                  <w:pPr>
                    <w:pStyle w:val="46"/>
                    <w:rPr>
                      <w:color w:val="000000" w:themeColor="text1"/>
                      <w14:textFill>
                        <w14:solidFill>
                          <w14:schemeClr w14:val="tx1"/>
                        </w14:solidFill>
                      </w14:textFill>
                    </w:rPr>
                  </w:pPr>
                </w:p>
              </w:tc>
              <w:tc>
                <w:tcPr>
                  <w:tcW w:w="1024" w:type="dxa"/>
                  <w:shd w:val="clear" w:color="auto" w:fill="auto"/>
                  <w:vAlign w:val="bottom"/>
                </w:tcPr>
                <w:p w14:paraId="5C2B88C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0D2AF38B">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191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483C8721">
                  <w:pPr>
                    <w:pStyle w:val="46"/>
                    <w:rPr>
                      <w:color w:val="000000" w:themeColor="text1"/>
                      <w14:textFill>
                        <w14:solidFill>
                          <w14:schemeClr w14:val="tx1"/>
                        </w14:solidFill>
                      </w14:textFill>
                    </w:rPr>
                  </w:pPr>
                </w:p>
              </w:tc>
              <w:tc>
                <w:tcPr>
                  <w:tcW w:w="670" w:type="dxa"/>
                  <w:vMerge w:val="continue"/>
                  <w:shd w:val="clear" w:color="auto" w:fill="auto"/>
                  <w:vAlign w:val="center"/>
                </w:tcPr>
                <w:p w14:paraId="5518E80F">
                  <w:pPr>
                    <w:pStyle w:val="46"/>
                    <w:rPr>
                      <w:color w:val="000000" w:themeColor="text1"/>
                      <w14:textFill>
                        <w14:solidFill>
                          <w14:schemeClr w14:val="tx1"/>
                        </w14:solidFill>
                      </w14:textFill>
                    </w:rPr>
                  </w:pPr>
                </w:p>
              </w:tc>
              <w:tc>
                <w:tcPr>
                  <w:tcW w:w="0" w:type="auto"/>
                  <w:vMerge w:val="continue"/>
                  <w:shd w:val="clear" w:color="auto" w:fill="auto"/>
                  <w:vAlign w:val="center"/>
                </w:tcPr>
                <w:p w14:paraId="378B76F1">
                  <w:pPr>
                    <w:pStyle w:val="46"/>
                    <w:rPr>
                      <w:color w:val="000000" w:themeColor="text1"/>
                      <w14:textFill>
                        <w14:solidFill>
                          <w14:schemeClr w14:val="tx1"/>
                        </w14:solidFill>
                      </w14:textFill>
                    </w:rPr>
                  </w:pPr>
                </w:p>
              </w:tc>
              <w:tc>
                <w:tcPr>
                  <w:tcW w:w="1043" w:type="dxa"/>
                  <w:vMerge w:val="continue"/>
                  <w:shd w:val="clear" w:color="auto" w:fill="auto"/>
                  <w:vAlign w:val="center"/>
                </w:tcPr>
                <w:p w14:paraId="7C5EE02D">
                  <w:pPr>
                    <w:pStyle w:val="46"/>
                    <w:rPr>
                      <w:color w:val="000000" w:themeColor="text1"/>
                      <w14:textFill>
                        <w14:solidFill>
                          <w14:schemeClr w14:val="tx1"/>
                        </w14:solidFill>
                      </w14:textFill>
                    </w:rPr>
                  </w:pPr>
                </w:p>
              </w:tc>
              <w:tc>
                <w:tcPr>
                  <w:tcW w:w="756" w:type="dxa"/>
                  <w:vMerge w:val="continue"/>
                  <w:shd w:val="clear" w:color="auto" w:fill="auto"/>
                  <w:vAlign w:val="center"/>
                </w:tcPr>
                <w:p w14:paraId="5ECB1C60">
                  <w:pPr>
                    <w:pStyle w:val="46"/>
                    <w:rPr>
                      <w:color w:val="000000" w:themeColor="text1"/>
                      <w14:textFill>
                        <w14:solidFill>
                          <w14:schemeClr w14:val="tx1"/>
                        </w14:solidFill>
                      </w14:textFill>
                    </w:rPr>
                  </w:pPr>
                </w:p>
              </w:tc>
              <w:tc>
                <w:tcPr>
                  <w:tcW w:w="0" w:type="auto"/>
                  <w:vMerge w:val="continue"/>
                  <w:shd w:val="clear" w:color="auto" w:fill="auto"/>
                  <w:vAlign w:val="center"/>
                </w:tcPr>
                <w:p w14:paraId="310C7CCC">
                  <w:pPr>
                    <w:pStyle w:val="46"/>
                    <w:rPr>
                      <w:color w:val="000000" w:themeColor="text1"/>
                      <w14:textFill>
                        <w14:solidFill>
                          <w14:schemeClr w14:val="tx1"/>
                        </w14:solidFill>
                      </w14:textFill>
                    </w:rPr>
                  </w:pPr>
                </w:p>
              </w:tc>
              <w:tc>
                <w:tcPr>
                  <w:tcW w:w="486" w:type="dxa"/>
                  <w:vMerge w:val="continue"/>
                  <w:shd w:val="clear" w:color="auto" w:fill="auto"/>
                  <w:vAlign w:val="center"/>
                </w:tcPr>
                <w:p w14:paraId="471C637E">
                  <w:pPr>
                    <w:pStyle w:val="46"/>
                    <w:rPr>
                      <w:color w:val="000000" w:themeColor="text1"/>
                      <w14:textFill>
                        <w14:solidFill>
                          <w14:schemeClr w14:val="tx1"/>
                        </w14:solidFill>
                      </w14:textFill>
                    </w:rPr>
                  </w:pPr>
                </w:p>
              </w:tc>
              <w:tc>
                <w:tcPr>
                  <w:tcW w:w="493" w:type="dxa"/>
                  <w:shd w:val="clear" w:color="auto" w:fill="auto"/>
                  <w:vAlign w:val="center"/>
                </w:tcPr>
                <w:p w14:paraId="2721BA42">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1085" w:type="dxa"/>
                  <w:shd w:val="clear" w:color="auto" w:fill="auto"/>
                  <w:vAlign w:val="center"/>
                </w:tcPr>
                <w:p w14:paraId="53F3358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116.03</w:t>
                  </w:r>
                </w:p>
              </w:tc>
              <w:tc>
                <w:tcPr>
                  <w:tcW w:w="1311" w:type="dxa"/>
                  <w:shd w:val="clear" w:color="auto" w:fill="auto"/>
                  <w:vAlign w:val="center"/>
                </w:tcPr>
                <w:p w14:paraId="3458E3F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512F5559">
                  <w:pPr>
                    <w:pStyle w:val="46"/>
                    <w:rPr>
                      <w:color w:val="000000" w:themeColor="text1"/>
                      <w14:textFill>
                        <w14:solidFill>
                          <w14:schemeClr w14:val="tx1"/>
                        </w14:solidFill>
                      </w14:textFill>
                    </w:rPr>
                  </w:pPr>
                </w:p>
              </w:tc>
              <w:tc>
                <w:tcPr>
                  <w:tcW w:w="1376" w:type="dxa"/>
                  <w:vMerge w:val="continue"/>
                  <w:shd w:val="clear" w:color="auto" w:fill="auto"/>
                  <w:vAlign w:val="center"/>
                </w:tcPr>
                <w:p w14:paraId="1FEA1B83">
                  <w:pPr>
                    <w:pStyle w:val="46"/>
                    <w:rPr>
                      <w:color w:val="000000" w:themeColor="text1"/>
                      <w14:textFill>
                        <w14:solidFill>
                          <w14:schemeClr w14:val="tx1"/>
                        </w14:solidFill>
                      </w14:textFill>
                    </w:rPr>
                  </w:pPr>
                </w:p>
              </w:tc>
              <w:tc>
                <w:tcPr>
                  <w:tcW w:w="1024" w:type="dxa"/>
                  <w:shd w:val="clear" w:color="auto" w:fill="auto"/>
                  <w:vAlign w:val="bottom"/>
                </w:tcPr>
                <w:p w14:paraId="732E44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51129955">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7B6E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498C006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w:t>
                  </w:r>
                </w:p>
              </w:tc>
              <w:tc>
                <w:tcPr>
                  <w:tcW w:w="670" w:type="dxa"/>
                  <w:vMerge w:val="continue"/>
                  <w:shd w:val="clear" w:color="auto" w:fill="auto"/>
                  <w:vAlign w:val="center"/>
                </w:tcPr>
                <w:p w14:paraId="1AF8A5B9">
                  <w:pPr>
                    <w:pStyle w:val="46"/>
                    <w:rPr>
                      <w:color w:val="000000" w:themeColor="text1"/>
                      <w14:textFill>
                        <w14:solidFill>
                          <w14:schemeClr w14:val="tx1"/>
                        </w14:solidFill>
                      </w14:textFill>
                    </w:rPr>
                  </w:pPr>
                </w:p>
              </w:tc>
              <w:tc>
                <w:tcPr>
                  <w:tcW w:w="2642" w:type="dxa"/>
                  <w:vMerge w:val="restart"/>
                  <w:shd w:val="clear" w:color="auto" w:fill="auto"/>
                  <w:vAlign w:val="center"/>
                </w:tcPr>
                <w:p w14:paraId="4FFA5B0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4#圆振动筛</w:t>
                  </w:r>
                </w:p>
              </w:tc>
              <w:tc>
                <w:tcPr>
                  <w:tcW w:w="1043" w:type="dxa"/>
                  <w:vMerge w:val="restart"/>
                  <w:shd w:val="clear" w:color="auto" w:fill="auto"/>
                  <w:vAlign w:val="center"/>
                </w:tcPr>
                <w:p w14:paraId="528438C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3582D41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118.14</w:t>
                  </w:r>
                </w:p>
              </w:tc>
              <w:tc>
                <w:tcPr>
                  <w:tcW w:w="759" w:type="dxa"/>
                  <w:vMerge w:val="restart"/>
                  <w:shd w:val="clear" w:color="auto" w:fill="auto"/>
                  <w:vAlign w:val="center"/>
                </w:tcPr>
                <w:p w14:paraId="770FD0E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12.15</w:t>
                  </w:r>
                </w:p>
              </w:tc>
              <w:tc>
                <w:tcPr>
                  <w:tcW w:w="486" w:type="dxa"/>
                  <w:vMerge w:val="restart"/>
                  <w:shd w:val="clear" w:color="auto" w:fill="auto"/>
                  <w:vAlign w:val="center"/>
                </w:tcPr>
                <w:p w14:paraId="34CEC1A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7AE80E4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337918E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62.73</w:t>
                  </w:r>
                </w:p>
              </w:tc>
              <w:tc>
                <w:tcPr>
                  <w:tcW w:w="0" w:type="auto"/>
                  <w:shd w:val="clear" w:color="auto" w:fill="auto"/>
                  <w:vAlign w:val="center"/>
                </w:tcPr>
                <w:p w14:paraId="47BE399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60.34</w:t>
                  </w:r>
                </w:p>
              </w:tc>
              <w:tc>
                <w:tcPr>
                  <w:tcW w:w="671" w:type="dxa"/>
                  <w:vMerge w:val="continue"/>
                  <w:shd w:val="clear" w:color="auto" w:fill="auto"/>
                  <w:vAlign w:val="center"/>
                </w:tcPr>
                <w:p w14:paraId="67B4AC4C">
                  <w:pPr>
                    <w:pStyle w:val="46"/>
                    <w:rPr>
                      <w:color w:val="000000" w:themeColor="text1"/>
                      <w14:textFill>
                        <w14:solidFill>
                          <w14:schemeClr w14:val="tx1"/>
                        </w14:solidFill>
                      </w14:textFill>
                    </w:rPr>
                  </w:pPr>
                </w:p>
              </w:tc>
              <w:tc>
                <w:tcPr>
                  <w:tcW w:w="1376" w:type="dxa"/>
                  <w:vMerge w:val="continue"/>
                  <w:shd w:val="clear" w:color="auto" w:fill="auto"/>
                  <w:vAlign w:val="center"/>
                </w:tcPr>
                <w:p w14:paraId="1942DA45">
                  <w:pPr>
                    <w:pStyle w:val="46"/>
                    <w:rPr>
                      <w:color w:val="000000" w:themeColor="text1"/>
                      <w14:textFill>
                        <w14:solidFill>
                          <w14:schemeClr w14:val="tx1"/>
                        </w14:solidFill>
                      </w14:textFill>
                    </w:rPr>
                  </w:pPr>
                </w:p>
              </w:tc>
              <w:tc>
                <w:tcPr>
                  <w:tcW w:w="1024" w:type="dxa"/>
                  <w:shd w:val="clear" w:color="auto" w:fill="auto"/>
                  <w:vAlign w:val="bottom"/>
                </w:tcPr>
                <w:p w14:paraId="34BC49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29.34</w:t>
                  </w:r>
                </w:p>
              </w:tc>
              <w:tc>
                <w:tcPr>
                  <w:tcW w:w="857" w:type="dxa"/>
                  <w:shd w:val="clear" w:color="auto" w:fill="auto"/>
                  <w:vAlign w:val="center"/>
                </w:tcPr>
                <w:p w14:paraId="36683B47">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F12C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F7B7635">
                  <w:pPr>
                    <w:pStyle w:val="46"/>
                    <w:rPr>
                      <w:color w:val="000000" w:themeColor="text1"/>
                      <w14:textFill>
                        <w14:solidFill>
                          <w14:schemeClr w14:val="tx1"/>
                        </w14:solidFill>
                      </w14:textFill>
                    </w:rPr>
                  </w:pPr>
                </w:p>
              </w:tc>
              <w:tc>
                <w:tcPr>
                  <w:tcW w:w="670" w:type="dxa"/>
                  <w:vMerge w:val="continue"/>
                  <w:shd w:val="clear" w:color="auto" w:fill="auto"/>
                  <w:vAlign w:val="center"/>
                </w:tcPr>
                <w:p w14:paraId="5E72917D">
                  <w:pPr>
                    <w:pStyle w:val="46"/>
                    <w:rPr>
                      <w:color w:val="000000" w:themeColor="text1"/>
                      <w14:textFill>
                        <w14:solidFill>
                          <w14:schemeClr w14:val="tx1"/>
                        </w14:solidFill>
                      </w14:textFill>
                    </w:rPr>
                  </w:pPr>
                </w:p>
              </w:tc>
              <w:tc>
                <w:tcPr>
                  <w:tcW w:w="0" w:type="auto"/>
                  <w:vMerge w:val="continue"/>
                  <w:shd w:val="clear" w:color="auto" w:fill="auto"/>
                  <w:vAlign w:val="center"/>
                </w:tcPr>
                <w:p w14:paraId="6C445820">
                  <w:pPr>
                    <w:pStyle w:val="46"/>
                    <w:rPr>
                      <w:color w:val="000000" w:themeColor="text1"/>
                      <w14:textFill>
                        <w14:solidFill>
                          <w14:schemeClr w14:val="tx1"/>
                        </w14:solidFill>
                      </w14:textFill>
                    </w:rPr>
                  </w:pPr>
                </w:p>
              </w:tc>
              <w:tc>
                <w:tcPr>
                  <w:tcW w:w="1043" w:type="dxa"/>
                  <w:vMerge w:val="continue"/>
                  <w:shd w:val="clear" w:color="auto" w:fill="auto"/>
                  <w:vAlign w:val="center"/>
                </w:tcPr>
                <w:p w14:paraId="14F5BD29">
                  <w:pPr>
                    <w:pStyle w:val="46"/>
                    <w:rPr>
                      <w:color w:val="000000" w:themeColor="text1"/>
                      <w14:textFill>
                        <w14:solidFill>
                          <w14:schemeClr w14:val="tx1"/>
                        </w14:solidFill>
                      </w14:textFill>
                    </w:rPr>
                  </w:pPr>
                </w:p>
              </w:tc>
              <w:tc>
                <w:tcPr>
                  <w:tcW w:w="756" w:type="dxa"/>
                  <w:vMerge w:val="continue"/>
                  <w:shd w:val="clear" w:color="auto" w:fill="auto"/>
                  <w:vAlign w:val="center"/>
                </w:tcPr>
                <w:p w14:paraId="32669959">
                  <w:pPr>
                    <w:pStyle w:val="46"/>
                    <w:rPr>
                      <w:color w:val="000000" w:themeColor="text1"/>
                      <w14:textFill>
                        <w14:solidFill>
                          <w14:schemeClr w14:val="tx1"/>
                        </w14:solidFill>
                      </w14:textFill>
                    </w:rPr>
                  </w:pPr>
                </w:p>
              </w:tc>
              <w:tc>
                <w:tcPr>
                  <w:tcW w:w="0" w:type="auto"/>
                  <w:vMerge w:val="continue"/>
                  <w:shd w:val="clear" w:color="auto" w:fill="auto"/>
                  <w:vAlign w:val="center"/>
                </w:tcPr>
                <w:p w14:paraId="2515C1CD">
                  <w:pPr>
                    <w:pStyle w:val="46"/>
                    <w:rPr>
                      <w:color w:val="000000" w:themeColor="text1"/>
                      <w14:textFill>
                        <w14:solidFill>
                          <w14:schemeClr w14:val="tx1"/>
                        </w14:solidFill>
                      </w14:textFill>
                    </w:rPr>
                  </w:pPr>
                </w:p>
              </w:tc>
              <w:tc>
                <w:tcPr>
                  <w:tcW w:w="486" w:type="dxa"/>
                  <w:vMerge w:val="continue"/>
                  <w:shd w:val="clear" w:color="auto" w:fill="auto"/>
                  <w:vAlign w:val="center"/>
                </w:tcPr>
                <w:p w14:paraId="4EB8A07A">
                  <w:pPr>
                    <w:pStyle w:val="46"/>
                    <w:rPr>
                      <w:color w:val="000000" w:themeColor="text1"/>
                      <w14:textFill>
                        <w14:solidFill>
                          <w14:schemeClr w14:val="tx1"/>
                        </w14:solidFill>
                      </w14:textFill>
                    </w:rPr>
                  </w:pPr>
                </w:p>
              </w:tc>
              <w:tc>
                <w:tcPr>
                  <w:tcW w:w="493" w:type="dxa"/>
                  <w:shd w:val="clear" w:color="auto" w:fill="auto"/>
                  <w:vAlign w:val="center"/>
                </w:tcPr>
                <w:p w14:paraId="1BF13B58">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107E5C5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60.45</w:t>
                  </w:r>
                </w:p>
              </w:tc>
              <w:tc>
                <w:tcPr>
                  <w:tcW w:w="0" w:type="auto"/>
                  <w:shd w:val="clear" w:color="auto" w:fill="auto"/>
                  <w:vAlign w:val="center"/>
                </w:tcPr>
                <w:p w14:paraId="5AA9200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253E0BF3">
                  <w:pPr>
                    <w:pStyle w:val="46"/>
                    <w:rPr>
                      <w:color w:val="000000" w:themeColor="text1"/>
                      <w14:textFill>
                        <w14:solidFill>
                          <w14:schemeClr w14:val="tx1"/>
                        </w14:solidFill>
                      </w14:textFill>
                    </w:rPr>
                  </w:pPr>
                </w:p>
              </w:tc>
              <w:tc>
                <w:tcPr>
                  <w:tcW w:w="1376" w:type="dxa"/>
                  <w:vMerge w:val="continue"/>
                  <w:shd w:val="clear" w:color="auto" w:fill="auto"/>
                  <w:vAlign w:val="center"/>
                </w:tcPr>
                <w:p w14:paraId="585D4297">
                  <w:pPr>
                    <w:pStyle w:val="46"/>
                    <w:rPr>
                      <w:color w:val="000000" w:themeColor="text1"/>
                      <w14:textFill>
                        <w14:solidFill>
                          <w14:schemeClr w14:val="tx1"/>
                        </w14:solidFill>
                      </w14:textFill>
                    </w:rPr>
                  </w:pPr>
                </w:p>
              </w:tc>
              <w:tc>
                <w:tcPr>
                  <w:tcW w:w="1024" w:type="dxa"/>
                  <w:shd w:val="clear" w:color="auto" w:fill="auto"/>
                  <w:vAlign w:val="bottom"/>
                </w:tcPr>
                <w:p w14:paraId="0CD0887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37108032">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943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ED3489B">
                  <w:pPr>
                    <w:pStyle w:val="46"/>
                    <w:rPr>
                      <w:color w:val="000000" w:themeColor="text1"/>
                      <w14:textFill>
                        <w14:solidFill>
                          <w14:schemeClr w14:val="tx1"/>
                        </w14:solidFill>
                      </w14:textFill>
                    </w:rPr>
                  </w:pPr>
                </w:p>
              </w:tc>
              <w:tc>
                <w:tcPr>
                  <w:tcW w:w="670" w:type="dxa"/>
                  <w:vMerge w:val="continue"/>
                  <w:shd w:val="clear" w:color="auto" w:fill="auto"/>
                  <w:vAlign w:val="center"/>
                </w:tcPr>
                <w:p w14:paraId="6A954B6E">
                  <w:pPr>
                    <w:pStyle w:val="46"/>
                    <w:rPr>
                      <w:color w:val="000000" w:themeColor="text1"/>
                      <w14:textFill>
                        <w14:solidFill>
                          <w14:schemeClr w14:val="tx1"/>
                        </w14:solidFill>
                      </w14:textFill>
                    </w:rPr>
                  </w:pPr>
                </w:p>
              </w:tc>
              <w:tc>
                <w:tcPr>
                  <w:tcW w:w="0" w:type="auto"/>
                  <w:vMerge w:val="continue"/>
                  <w:shd w:val="clear" w:color="auto" w:fill="auto"/>
                  <w:vAlign w:val="center"/>
                </w:tcPr>
                <w:p w14:paraId="7C7BB517">
                  <w:pPr>
                    <w:pStyle w:val="46"/>
                    <w:rPr>
                      <w:color w:val="000000" w:themeColor="text1"/>
                      <w14:textFill>
                        <w14:solidFill>
                          <w14:schemeClr w14:val="tx1"/>
                        </w14:solidFill>
                      </w14:textFill>
                    </w:rPr>
                  </w:pPr>
                </w:p>
              </w:tc>
              <w:tc>
                <w:tcPr>
                  <w:tcW w:w="1043" w:type="dxa"/>
                  <w:vMerge w:val="continue"/>
                  <w:shd w:val="clear" w:color="auto" w:fill="auto"/>
                  <w:vAlign w:val="center"/>
                </w:tcPr>
                <w:p w14:paraId="30DF3668">
                  <w:pPr>
                    <w:pStyle w:val="46"/>
                    <w:rPr>
                      <w:color w:val="000000" w:themeColor="text1"/>
                      <w14:textFill>
                        <w14:solidFill>
                          <w14:schemeClr w14:val="tx1"/>
                        </w14:solidFill>
                      </w14:textFill>
                    </w:rPr>
                  </w:pPr>
                </w:p>
              </w:tc>
              <w:tc>
                <w:tcPr>
                  <w:tcW w:w="756" w:type="dxa"/>
                  <w:vMerge w:val="continue"/>
                  <w:shd w:val="clear" w:color="auto" w:fill="auto"/>
                  <w:vAlign w:val="center"/>
                </w:tcPr>
                <w:p w14:paraId="7E3701C7">
                  <w:pPr>
                    <w:pStyle w:val="46"/>
                    <w:rPr>
                      <w:color w:val="000000" w:themeColor="text1"/>
                      <w14:textFill>
                        <w14:solidFill>
                          <w14:schemeClr w14:val="tx1"/>
                        </w14:solidFill>
                      </w14:textFill>
                    </w:rPr>
                  </w:pPr>
                </w:p>
              </w:tc>
              <w:tc>
                <w:tcPr>
                  <w:tcW w:w="0" w:type="auto"/>
                  <w:vMerge w:val="continue"/>
                  <w:shd w:val="clear" w:color="auto" w:fill="auto"/>
                  <w:vAlign w:val="center"/>
                </w:tcPr>
                <w:p w14:paraId="1F4C32DF">
                  <w:pPr>
                    <w:pStyle w:val="46"/>
                    <w:rPr>
                      <w:color w:val="000000" w:themeColor="text1"/>
                      <w14:textFill>
                        <w14:solidFill>
                          <w14:schemeClr w14:val="tx1"/>
                        </w14:solidFill>
                      </w14:textFill>
                    </w:rPr>
                  </w:pPr>
                </w:p>
              </w:tc>
              <w:tc>
                <w:tcPr>
                  <w:tcW w:w="486" w:type="dxa"/>
                  <w:vMerge w:val="continue"/>
                  <w:shd w:val="clear" w:color="auto" w:fill="auto"/>
                  <w:vAlign w:val="center"/>
                </w:tcPr>
                <w:p w14:paraId="494846FD">
                  <w:pPr>
                    <w:pStyle w:val="46"/>
                    <w:rPr>
                      <w:color w:val="000000" w:themeColor="text1"/>
                      <w14:textFill>
                        <w14:solidFill>
                          <w14:schemeClr w14:val="tx1"/>
                        </w14:solidFill>
                      </w14:textFill>
                    </w:rPr>
                  </w:pPr>
                </w:p>
              </w:tc>
              <w:tc>
                <w:tcPr>
                  <w:tcW w:w="493" w:type="dxa"/>
                  <w:shd w:val="clear" w:color="auto" w:fill="auto"/>
                  <w:vAlign w:val="center"/>
                </w:tcPr>
                <w:p w14:paraId="74D837A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25DC7A3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197.5</w:t>
                  </w:r>
                </w:p>
              </w:tc>
              <w:tc>
                <w:tcPr>
                  <w:tcW w:w="0" w:type="auto"/>
                  <w:shd w:val="clear" w:color="auto" w:fill="auto"/>
                  <w:vAlign w:val="center"/>
                </w:tcPr>
                <w:p w14:paraId="16490A1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0B13D43E">
                  <w:pPr>
                    <w:pStyle w:val="46"/>
                    <w:rPr>
                      <w:color w:val="000000" w:themeColor="text1"/>
                      <w14:textFill>
                        <w14:solidFill>
                          <w14:schemeClr w14:val="tx1"/>
                        </w14:solidFill>
                      </w14:textFill>
                    </w:rPr>
                  </w:pPr>
                </w:p>
              </w:tc>
              <w:tc>
                <w:tcPr>
                  <w:tcW w:w="1376" w:type="dxa"/>
                  <w:vMerge w:val="continue"/>
                  <w:shd w:val="clear" w:color="auto" w:fill="auto"/>
                  <w:vAlign w:val="center"/>
                </w:tcPr>
                <w:p w14:paraId="12C20C7E">
                  <w:pPr>
                    <w:pStyle w:val="46"/>
                    <w:rPr>
                      <w:color w:val="000000" w:themeColor="text1"/>
                      <w14:textFill>
                        <w14:solidFill>
                          <w14:schemeClr w14:val="tx1"/>
                        </w14:solidFill>
                      </w14:textFill>
                    </w:rPr>
                  </w:pPr>
                </w:p>
              </w:tc>
              <w:tc>
                <w:tcPr>
                  <w:tcW w:w="1024" w:type="dxa"/>
                  <w:shd w:val="clear" w:color="auto" w:fill="auto"/>
                  <w:vAlign w:val="bottom"/>
                </w:tcPr>
                <w:p w14:paraId="3965F99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18240792">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B93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5F7BB85B">
                  <w:pPr>
                    <w:pStyle w:val="46"/>
                    <w:rPr>
                      <w:color w:val="000000" w:themeColor="text1"/>
                      <w14:textFill>
                        <w14:solidFill>
                          <w14:schemeClr w14:val="tx1"/>
                        </w14:solidFill>
                      </w14:textFill>
                    </w:rPr>
                  </w:pPr>
                </w:p>
              </w:tc>
              <w:tc>
                <w:tcPr>
                  <w:tcW w:w="670" w:type="dxa"/>
                  <w:vMerge w:val="continue"/>
                  <w:shd w:val="clear" w:color="auto" w:fill="auto"/>
                  <w:vAlign w:val="center"/>
                </w:tcPr>
                <w:p w14:paraId="285C65E8">
                  <w:pPr>
                    <w:pStyle w:val="46"/>
                    <w:rPr>
                      <w:color w:val="000000" w:themeColor="text1"/>
                      <w14:textFill>
                        <w14:solidFill>
                          <w14:schemeClr w14:val="tx1"/>
                        </w14:solidFill>
                      </w14:textFill>
                    </w:rPr>
                  </w:pPr>
                </w:p>
              </w:tc>
              <w:tc>
                <w:tcPr>
                  <w:tcW w:w="0" w:type="auto"/>
                  <w:vMerge w:val="continue"/>
                  <w:shd w:val="clear" w:color="auto" w:fill="auto"/>
                  <w:vAlign w:val="center"/>
                </w:tcPr>
                <w:p w14:paraId="7BBE4FDE">
                  <w:pPr>
                    <w:pStyle w:val="46"/>
                    <w:rPr>
                      <w:color w:val="000000" w:themeColor="text1"/>
                      <w14:textFill>
                        <w14:solidFill>
                          <w14:schemeClr w14:val="tx1"/>
                        </w14:solidFill>
                      </w14:textFill>
                    </w:rPr>
                  </w:pPr>
                </w:p>
              </w:tc>
              <w:tc>
                <w:tcPr>
                  <w:tcW w:w="1043" w:type="dxa"/>
                  <w:vMerge w:val="continue"/>
                  <w:shd w:val="clear" w:color="auto" w:fill="auto"/>
                  <w:vAlign w:val="center"/>
                </w:tcPr>
                <w:p w14:paraId="4F0AE8A4">
                  <w:pPr>
                    <w:pStyle w:val="46"/>
                    <w:rPr>
                      <w:color w:val="000000" w:themeColor="text1"/>
                      <w14:textFill>
                        <w14:solidFill>
                          <w14:schemeClr w14:val="tx1"/>
                        </w14:solidFill>
                      </w14:textFill>
                    </w:rPr>
                  </w:pPr>
                </w:p>
              </w:tc>
              <w:tc>
                <w:tcPr>
                  <w:tcW w:w="756" w:type="dxa"/>
                  <w:vMerge w:val="continue"/>
                  <w:shd w:val="clear" w:color="auto" w:fill="auto"/>
                  <w:vAlign w:val="center"/>
                </w:tcPr>
                <w:p w14:paraId="708BB21E">
                  <w:pPr>
                    <w:pStyle w:val="46"/>
                    <w:rPr>
                      <w:color w:val="000000" w:themeColor="text1"/>
                      <w14:textFill>
                        <w14:solidFill>
                          <w14:schemeClr w14:val="tx1"/>
                        </w14:solidFill>
                      </w14:textFill>
                    </w:rPr>
                  </w:pPr>
                </w:p>
              </w:tc>
              <w:tc>
                <w:tcPr>
                  <w:tcW w:w="0" w:type="auto"/>
                  <w:vMerge w:val="continue"/>
                  <w:shd w:val="clear" w:color="auto" w:fill="auto"/>
                  <w:vAlign w:val="center"/>
                </w:tcPr>
                <w:p w14:paraId="3A3D213C">
                  <w:pPr>
                    <w:pStyle w:val="46"/>
                    <w:rPr>
                      <w:color w:val="000000" w:themeColor="text1"/>
                      <w14:textFill>
                        <w14:solidFill>
                          <w14:schemeClr w14:val="tx1"/>
                        </w14:solidFill>
                      </w14:textFill>
                    </w:rPr>
                  </w:pPr>
                </w:p>
              </w:tc>
              <w:tc>
                <w:tcPr>
                  <w:tcW w:w="486" w:type="dxa"/>
                  <w:vMerge w:val="continue"/>
                  <w:shd w:val="clear" w:color="auto" w:fill="auto"/>
                  <w:vAlign w:val="center"/>
                </w:tcPr>
                <w:p w14:paraId="5630C9D8">
                  <w:pPr>
                    <w:pStyle w:val="46"/>
                    <w:rPr>
                      <w:color w:val="000000" w:themeColor="text1"/>
                      <w14:textFill>
                        <w14:solidFill>
                          <w14:schemeClr w14:val="tx1"/>
                        </w14:solidFill>
                      </w14:textFill>
                    </w:rPr>
                  </w:pPr>
                </w:p>
              </w:tc>
              <w:tc>
                <w:tcPr>
                  <w:tcW w:w="493" w:type="dxa"/>
                  <w:shd w:val="clear" w:color="auto" w:fill="auto"/>
                  <w:vAlign w:val="center"/>
                </w:tcPr>
                <w:p w14:paraId="28BC5583">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5C29479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118.54</w:t>
                  </w:r>
                </w:p>
              </w:tc>
              <w:tc>
                <w:tcPr>
                  <w:tcW w:w="0" w:type="auto"/>
                  <w:shd w:val="clear" w:color="auto" w:fill="auto"/>
                  <w:vAlign w:val="center"/>
                </w:tcPr>
                <w:p w14:paraId="36AC9D9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60.33</w:t>
                  </w:r>
                </w:p>
              </w:tc>
              <w:tc>
                <w:tcPr>
                  <w:tcW w:w="671" w:type="dxa"/>
                  <w:vMerge w:val="continue"/>
                  <w:shd w:val="clear" w:color="auto" w:fill="auto"/>
                  <w:vAlign w:val="center"/>
                </w:tcPr>
                <w:p w14:paraId="172657A4">
                  <w:pPr>
                    <w:pStyle w:val="46"/>
                    <w:rPr>
                      <w:color w:val="000000" w:themeColor="text1"/>
                      <w14:textFill>
                        <w14:solidFill>
                          <w14:schemeClr w14:val="tx1"/>
                        </w14:solidFill>
                      </w14:textFill>
                    </w:rPr>
                  </w:pPr>
                </w:p>
              </w:tc>
              <w:tc>
                <w:tcPr>
                  <w:tcW w:w="1376" w:type="dxa"/>
                  <w:vMerge w:val="continue"/>
                  <w:shd w:val="clear" w:color="auto" w:fill="auto"/>
                  <w:vAlign w:val="center"/>
                </w:tcPr>
                <w:p w14:paraId="34FCE161">
                  <w:pPr>
                    <w:pStyle w:val="46"/>
                    <w:rPr>
                      <w:color w:val="000000" w:themeColor="text1"/>
                      <w14:textFill>
                        <w14:solidFill>
                          <w14:schemeClr w14:val="tx1"/>
                        </w14:solidFill>
                      </w14:textFill>
                    </w:rPr>
                  </w:pPr>
                </w:p>
              </w:tc>
              <w:tc>
                <w:tcPr>
                  <w:tcW w:w="1024" w:type="dxa"/>
                  <w:shd w:val="clear" w:color="auto" w:fill="auto"/>
                  <w:vAlign w:val="bottom"/>
                </w:tcPr>
                <w:p w14:paraId="645F25E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29.33</w:t>
                  </w:r>
                </w:p>
              </w:tc>
              <w:tc>
                <w:tcPr>
                  <w:tcW w:w="857" w:type="dxa"/>
                  <w:shd w:val="clear" w:color="auto" w:fill="auto"/>
                  <w:vAlign w:val="center"/>
                </w:tcPr>
                <w:p w14:paraId="313EA6DA">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29E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7ED4EB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w:t>
                  </w:r>
                </w:p>
              </w:tc>
              <w:tc>
                <w:tcPr>
                  <w:tcW w:w="670" w:type="dxa"/>
                  <w:vMerge w:val="continue"/>
                  <w:shd w:val="clear" w:color="auto" w:fill="auto"/>
                  <w:vAlign w:val="center"/>
                </w:tcPr>
                <w:p w14:paraId="496729CF">
                  <w:pPr>
                    <w:pStyle w:val="46"/>
                    <w:rPr>
                      <w:color w:val="000000" w:themeColor="text1"/>
                      <w14:textFill>
                        <w14:solidFill>
                          <w14:schemeClr w14:val="tx1"/>
                        </w14:solidFill>
                      </w14:textFill>
                    </w:rPr>
                  </w:pPr>
                </w:p>
              </w:tc>
              <w:tc>
                <w:tcPr>
                  <w:tcW w:w="0" w:type="auto"/>
                  <w:vMerge w:val="restart"/>
                  <w:shd w:val="clear" w:color="auto" w:fill="auto"/>
                  <w:vAlign w:val="center"/>
                </w:tcPr>
                <w:p w14:paraId="15BBBA4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1#螺旋洗砂机</w:t>
                  </w:r>
                </w:p>
              </w:tc>
              <w:tc>
                <w:tcPr>
                  <w:tcW w:w="1043" w:type="dxa"/>
                  <w:vMerge w:val="restart"/>
                  <w:shd w:val="clear" w:color="auto" w:fill="auto"/>
                  <w:vAlign w:val="center"/>
                </w:tcPr>
                <w:p w14:paraId="5DE6D61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7BB114F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86.9</w:t>
                  </w:r>
                </w:p>
              </w:tc>
              <w:tc>
                <w:tcPr>
                  <w:tcW w:w="0" w:type="auto"/>
                  <w:vMerge w:val="restart"/>
                  <w:shd w:val="clear" w:color="auto" w:fill="auto"/>
                  <w:vAlign w:val="center"/>
                </w:tcPr>
                <w:p w14:paraId="537D256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-14.87</w:t>
                  </w:r>
                </w:p>
              </w:tc>
              <w:tc>
                <w:tcPr>
                  <w:tcW w:w="486" w:type="dxa"/>
                  <w:vMerge w:val="restart"/>
                  <w:shd w:val="clear" w:color="auto" w:fill="auto"/>
                  <w:vAlign w:val="center"/>
                </w:tcPr>
                <w:p w14:paraId="0312030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650B902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1085" w:type="dxa"/>
                  <w:shd w:val="clear" w:color="auto" w:fill="auto"/>
                  <w:vAlign w:val="center"/>
                </w:tcPr>
                <w:p w14:paraId="07A68CE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60.38</w:t>
                  </w:r>
                </w:p>
              </w:tc>
              <w:tc>
                <w:tcPr>
                  <w:tcW w:w="1311" w:type="dxa"/>
                  <w:shd w:val="clear" w:color="auto" w:fill="auto"/>
                  <w:vAlign w:val="center"/>
                </w:tcPr>
                <w:p w14:paraId="1B793FA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60.35</w:t>
                  </w:r>
                </w:p>
              </w:tc>
              <w:tc>
                <w:tcPr>
                  <w:tcW w:w="671" w:type="dxa"/>
                  <w:vMerge w:val="continue"/>
                  <w:shd w:val="clear" w:color="auto" w:fill="auto"/>
                  <w:vAlign w:val="center"/>
                </w:tcPr>
                <w:p w14:paraId="158AF409">
                  <w:pPr>
                    <w:pStyle w:val="46"/>
                    <w:rPr>
                      <w:color w:val="000000" w:themeColor="text1"/>
                      <w14:textFill>
                        <w14:solidFill>
                          <w14:schemeClr w14:val="tx1"/>
                        </w14:solidFill>
                      </w14:textFill>
                    </w:rPr>
                  </w:pPr>
                </w:p>
              </w:tc>
              <w:tc>
                <w:tcPr>
                  <w:tcW w:w="1376" w:type="dxa"/>
                  <w:vMerge w:val="continue"/>
                  <w:shd w:val="clear" w:color="auto" w:fill="auto"/>
                  <w:vAlign w:val="center"/>
                </w:tcPr>
                <w:p w14:paraId="0EC0AA01">
                  <w:pPr>
                    <w:pStyle w:val="46"/>
                    <w:rPr>
                      <w:color w:val="000000" w:themeColor="text1"/>
                      <w14:textFill>
                        <w14:solidFill>
                          <w14:schemeClr w14:val="tx1"/>
                        </w14:solidFill>
                      </w14:textFill>
                    </w:rPr>
                  </w:pPr>
                </w:p>
              </w:tc>
              <w:tc>
                <w:tcPr>
                  <w:tcW w:w="1024" w:type="dxa"/>
                  <w:shd w:val="clear" w:color="auto" w:fill="auto"/>
                  <w:vAlign w:val="bottom"/>
                </w:tcPr>
                <w:p w14:paraId="1046ACB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29.35</w:t>
                  </w:r>
                </w:p>
              </w:tc>
              <w:tc>
                <w:tcPr>
                  <w:tcW w:w="857" w:type="dxa"/>
                  <w:shd w:val="clear" w:color="auto" w:fill="auto"/>
                  <w:vAlign w:val="center"/>
                </w:tcPr>
                <w:p w14:paraId="025C1BAF">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F00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D95BC6D">
                  <w:pPr>
                    <w:pStyle w:val="46"/>
                    <w:rPr>
                      <w:color w:val="000000" w:themeColor="text1"/>
                      <w14:textFill>
                        <w14:solidFill>
                          <w14:schemeClr w14:val="tx1"/>
                        </w14:solidFill>
                      </w14:textFill>
                    </w:rPr>
                  </w:pPr>
                </w:p>
              </w:tc>
              <w:tc>
                <w:tcPr>
                  <w:tcW w:w="670" w:type="dxa"/>
                  <w:vMerge w:val="continue"/>
                  <w:shd w:val="clear" w:color="auto" w:fill="auto"/>
                  <w:vAlign w:val="center"/>
                </w:tcPr>
                <w:p w14:paraId="346A6B41">
                  <w:pPr>
                    <w:pStyle w:val="46"/>
                    <w:rPr>
                      <w:color w:val="000000" w:themeColor="text1"/>
                      <w14:textFill>
                        <w14:solidFill>
                          <w14:schemeClr w14:val="tx1"/>
                        </w14:solidFill>
                      </w14:textFill>
                    </w:rPr>
                  </w:pPr>
                </w:p>
              </w:tc>
              <w:tc>
                <w:tcPr>
                  <w:tcW w:w="0" w:type="auto"/>
                  <w:vMerge w:val="continue"/>
                  <w:shd w:val="clear" w:color="auto" w:fill="auto"/>
                  <w:vAlign w:val="center"/>
                </w:tcPr>
                <w:p w14:paraId="71A1654B">
                  <w:pPr>
                    <w:pStyle w:val="46"/>
                    <w:rPr>
                      <w:color w:val="000000" w:themeColor="text1"/>
                      <w14:textFill>
                        <w14:solidFill>
                          <w14:schemeClr w14:val="tx1"/>
                        </w14:solidFill>
                      </w14:textFill>
                    </w:rPr>
                  </w:pPr>
                </w:p>
              </w:tc>
              <w:tc>
                <w:tcPr>
                  <w:tcW w:w="1043" w:type="dxa"/>
                  <w:vMerge w:val="continue"/>
                  <w:shd w:val="clear" w:color="auto" w:fill="auto"/>
                  <w:vAlign w:val="center"/>
                </w:tcPr>
                <w:p w14:paraId="57B7CF6D">
                  <w:pPr>
                    <w:pStyle w:val="46"/>
                    <w:rPr>
                      <w:color w:val="000000" w:themeColor="text1"/>
                      <w14:textFill>
                        <w14:solidFill>
                          <w14:schemeClr w14:val="tx1"/>
                        </w14:solidFill>
                      </w14:textFill>
                    </w:rPr>
                  </w:pPr>
                </w:p>
              </w:tc>
              <w:tc>
                <w:tcPr>
                  <w:tcW w:w="756" w:type="dxa"/>
                  <w:vMerge w:val="continue"/>
                  <w:shd w:val="clear" w:color="auto" w:fill="auto"/>
                  <w:vAlign w:val="center"/>
                </w:tcPr>
                <w:p w14:paraId="419D7911">
                  <w:pPr>
                    <w:pStyle w:val="46"/>
                    <w:rPr>
                      <w:color w:val="000000" w:themeColor="text1"/>
                      <w14:textFill>
                        <w14:solidFill>
                          <w14:schemeClr w14:val="tx1"/>
                        </w14:solidFill>
                      </w14:textFill>
                    </w:rPr>
                  </w:pPr>
                </w:p>
              </w:tc>
              <w:tc>
                <w:tcPr>
                  <w:tcW w:w="0" w:type="auto"/>
                  <w:vMerge w:val="continue"/>
                  <w:shd w:val="clear" w:color="auto" w:fill="auto"/>
                  <w:vAlign w:val="center"/>
                </w:tcPr>
                <w:p w14:paraId="513A4D4D">
                  <w:pPr>
                    <w:pStyle w:val="46"/>
                    <w:rPr>
                      <w:color w:val="000000" w:themeColor="text1"/>
                      <w14:textFill>
                        <w14:solidFill>
                          <w14:schemeClr w14:val="tx1"/>
                        </w14:solidFill>
                      </w14:textFill>
                    </w:rPr>
                  </w:pPr>
                </w:p>
              </w:tc>
              <w:tc>
                <w:tcPr>
                  <w:tcW w:w="486" w:type="dxa"/>
                  <w:vMerge w:val="continue"/>
                  <w:shd w:val="clear" w:color="auto" w:fill="auto"/>
                  <w:vAlign w:val="center"/>
                </w:tcPr>
                <w:p w14:paraId="44B471CB">
                  <w:pPr>
                    <w:pStyle w:val="46"/>
                    <w:rPr>
                      <w:color w:val="000000" w:themeColor="text1"/>
                      <w14:textFill>
                        <w14:solidFill>
                          <w14:schemeClr w14:val="tx1"/>
                        </w14:solidFill>
                      </w14:textFill>
                    </w:rPr>
                  </w:pPr>
                </w:p>
              </w:tc>
              <w:tc>
                <w:tcPr>
                  <w:tcW w:w="493" w:type="dxa"/>
                  <w:shd w:val="clear" w:color="auto" w:fill="auto"/>
                  <w:vAlign w:val="center"/>
                </w:tcPr>
                <w:p w14:paraId="597E4506">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1085" w:type="dxa"/>
                  <w:shd w:val="clear" w:color="auto" w:fill="auto"/>
                  <w:vAlign w:val="center"/>
                </w:tcPr>
                <w:p w14:paraId="5C2ACD9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49.18</w:t>
                  </w:r>
                </w:p>
              </w:tc>
              <w:tc>
                <w:tcPr>
                  <w:tcW w:w="1311" w:type="dxa"/>
                  <w:shd w:val="clear" w:color="auto" w:fill="auto"/>
                  <w:vAlign w:val="center"/>
                </w:tcPr>
                <w:p w14:paraId="711D446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60.36</w:t>
                  </w:r>
                </w:p>
              </w:tc>
              <w:tc>
                <w:tcPr>
                  <w:tcW w:w="671" w:type="dxa"/>
                  <w:vMerge w:val="continue"/>
                  <w:shd w:val="clear" w:color="auto" w:fill="auto"/>
                  <w:vAlign w:val="center"/>
                </w:tcPr>
                <w:p w14:paraId="0AD753D5">
                  <w:pPr>
                    <w:pStyle w:val="46"/>
                    <w:rPr>
                      <w:color w:val="000000" w:themeColor="text1"/>
                      <w14:textFill>
                        <w14:solidFill>
                          <w14:schemeClr w14:val="tx1"/>
                        </w14:solidFill>
                      </w14:textFill>
                    </w:rPr>
                  </w:pPr>
                </w:p>
              </w:tc>
              <w:tc>
                <w:tcPr>
                  <w:tcW w:w="1376" w:type="dxa"/>
                  <w:vMerge w:val="continue"/>
                  <w:shd w:val="clear" w:color="auto" w:fill="auto"/>
                  <w:vAlign w:val="center"/>
                </w:tcPr>
                <w:p w14:paraId="01B7CF73">
                  <w:pPr>
                    <w:pStyle w:val="46"/>
                    <w:rPr>
                      <w:color w:val="000000" w:themeColor="text1"/>
                      <w14:textFill>
                        <w14:solidFill>
                          <w14:schemeClr w14:val="tx1"/>
                        </w14:solidFill>
                      </w14:textFill>
                    </w:rPr>
                  </w:pPr>
                </w:p>
              </w:tc>
              <w:tc>
                <w:tcPr>
                  <w:tcW w:w="1024" w:type="dxa"/>
                  <w:shd w:val="clear" w:color="auto" w:fill="auto"/>
                  <w:vAlign w:val="bottom"/>
                </w:tcPr>
                <w:p w14:paraId="039E23A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29.36</w:t>
                  </w:r>
                </w:p>
              </w:tc>
              <w:tc>
                <w:tcPr>
                  <w:tcW w:w="857" w:type="dxa"/>
                  <w:shd w:val="clear" w:color="auto" w:fill="auto"/>
                  <w:vAlign w:val="center"/>
                </w:tcPr>
                <w:p w14:paraId="64CB86D4">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91EB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7CB5BF01">
                  <w:pPr>
                    <w:pStyle w:val="46"/>
                    <w:rPr>
                      <w:color w:val="000000" w:themeColor="text1"/>
                      <w14:textFill>
                        <w14:solidFill>
                          <w14:schemeClr w14:val="tx1"/>
                        </w14:solidFill>
                      </w14:textFill>
                    </w:rPr>
                  </w:pPr>
                </w:p>
              </w:tc>
              <w:tc>
                <w:tcPr>
                  <w:tcW w:w="670" w:type="dxa"/>
                  <w:vMerge w:val="continue"/>
                  <w:shd w:val="clear" w:color="auto" w:fill="auto"/>
                  <w:vAlign w:val="center"/>
                </w:tcPr>
                <w:p w14:paraId="636D842B">
                  <w:pPr>
                    <w:pStyle w:val="46"/>
                    <w:rPr>
                      <w:color w:val="000000" w:themeColor="text1"/>
                      <w14:textFill>
                        <w14:solidFill>
                          <w14:schemeClr w14:val="tx1"/>
                        </w14:solidFill>
                      </w14:textFill>
                    </w:rPr>
                  </w:pPr>
                </w:p>
              </w:tc>
              <w:tc>
                <w:tcPr>
                  <w:tcW w:w="0" w:type="auto"/>
                  <w:vMerge w:val="continue"/>
                  <w:shd w:val="clear" w:color="auto" w:fill="auto"/>
                  <w:vAlign w:val="center"/>
                </w:tcPr>
                <w:p w14:paraId="7B745ABB">
                  <w:pPr>
                    <w:pStyle w:val="46"/>
                    <w:rPr>
                      <w:color w:val="000000" w:themeColor="text1"/>
                      <w14:textFill>
                        <w14:solidFill>
                          <w14:schemeClr w14:val="tx1"/>
                        </w14:solidFill>
                      </w14:textFill>
                    </w:rPr>
                  </w:pPr>
                </w:p>
              </w:tc>
              <w:tc>
                <w:tcPr>
                  <w:tcW w:w="1043" w:type="dxa"/>
                  <w:vMerge w:val="continue"/>
                  <w:shd w:val="clear" w:color="auto" w:fill="auto"/>
                  <w:vAlign w:val="center"/>
                </w:tcPr>
                <w:p w14:paraId="39C9B477">
                  <w:pPr>
                    <w:pStyle w:val="46"/>
                    <w:rPr>
                      <w:color w:val="000000" w:themeColor="text1"/>
                      <w14:textFill>
                        <w14:solidFill>
                          <w14:schemeClr w14:val="tx1"/>
                        </w14:solidFill>
                      </w14:textFill>
                    </w:rPr>
                  </w:pPr>
                </w:p>
              </w:tc>
              <w:tc>
                <w:tcPr>
                  <w:tcW w:w="756" w:type="dxa"/>
                  <w:vMerge w:val="continue"/>
                  <w:shd w:val="clear" w:color="auto" w:fill="auto"/>
                  <w:vAlign w:val="center"/>
                </w:tcPr>
                <w:p w14:paraId="0A1D0EE1">
                  <w:pPr>
                    <w:pStyle w:val="46"/>
                    <w:rPr>
                      <w:color w:val="000000" w:themeColor="text1"/>
                      <w14:textFill>
                        <w14:solidFill>
                          <w14:schemeClr w14:val="tx1"/>
                        </w14:solidFill>
                      </w14:textFill>
                    </w:rPr>
                  </w:pPr>
                </w:p>
              </w:tc>
              <w:tc>
                <w:tcPr>
                  <w:tcW w:w="0" w:type="auto"/>
                  <w:vMerge w:val="continue"/>
                  <w:shd w:val="clear" w:color="auto" w:fill="auto"/>
                  <w:vAlign w:val="center"/>
                </w:tcPr>
                <w:p w14:paraId="17D07275">
                  <w:pPr>
                    <w:pStyle w:val="46"/>
                    <w:rPr>
                      <w:color w:val="000000" w:themeColor="text1"/>
                      <w14:textFill>
                        <w14:solidFill>
                          <w14:schemeClr w14:val="tx1"/>
                        </w14:solidFill>
                      </w14:textFill>
                    </w:rPr>
                  </w:pPr>
                </w:p>
              </w:tc>
              <w:tc>
                <w:tcPr>
                  <w:tcW w:w="486" w:type="dxa"/>
                  <w:vMerge w:val="continue"/>
                  <w:shd w:val="clear" w:color="auto" w:fill="auto"/>
                  <w:vAlign w:val="center"/>
                </w:tcPr>
                <w:p w14:paraId="32C3A621">
                  <w:pPr>
                    <w:pStyle w:val="46"/>
                    <w:rPr>
                      <w:color w:val="000000" w:themeColor="text1"/>
                      <w14:textFill>
                        <w14:solidFill>
                          <w14:schemeClr w14:val="tx1"/>
                        </w14:solidFill>
                      </w14:textFill>
                    </w:rPr>
                  </w:pPr>
                </w:p>
              </w:tc>
              <w:tc>
                <w:tcPr>
                  <w:tcW w:w="493" w:type="dxa"/>
                  <w:shd w:val="clear" w:color="auto" w:fill="auto"/>
                  <w:vAlign w:val="center"/>
                </w:tcPr>
                <w:p w14:paraId="16C91F9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1085" w:type="dxa"/>
                  <w:shd w:val="clear" w:color="auto" w:fill="auto"/>
                  <w:vAlign w:val="center"/>
                </w:tcPr>
                <w:p w14:paraId="3CCE01B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205.12</w:t>
                  </w:r>
                </w:p>
              </w:tc>
              <w:tc>
                <w:tcPr>
                  <w:tcW w:w="1311" w:type="dxa"/>
                  <w:shd w:val="clear" w:color="auto" w:fill="auto"/>
                  <w:vAlign w:val="center"/>
                </w:tcPr>
                <w:p w14:paraId="462531E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1BF87C5B">
                  <w:pPr>
                    <w:pStyle w:val="46"/>
                    <w:rPr>
                      <w:color w:val="000000" w:themeColor="text1"/>
                      <w14:textFill>
                        <w14:solidFill>
                          <w14:schemeClr w14:val="tx1"/>
                        </w14:solidFill>
                      </w14:textFill>
                    </w:rPr>
                  </w:pPr>
                </w:p>
              </w:tc>
              <w:tc>
                <w:tcPr>
                  <w:tcW w:w="1376" w:type="dxa"/>
                  <w:vMerge w:val="continue"/>
                  <w:shd w:val="clear" w:color="auto" w:fill="auto"/>
                  <w:vAlign w:val="center"/>
                </w:tcPr>
                <w:p w14:paraId="26C77831">
                  <w:pPr>
                    <w:pStyle w:val="46"/>
                    <w:rPr>
                      <w:color w:val="000000" w:themeColor="text1"/>
                      <w14:textFill>
                        <w14:solidFill>
                          <w14:schemeClr w14:val="tx1"/>
                        </w14:solidFill>
                      </w14:textFill>
                    </w:rPr>
                  </w:pPr>
                </w:p>
              </w:tc>
              <w:tc>
                <w:tcPr>
                  <w:tcW w:w="1024" w:type="dxa"/>
                  <w:shd w:val="clear" w:color="auto" w:fill="auto"/>
                  <w:vAlign w:val="bottom"/>
                </w:tcPr>
                <w:p w14:paraId="4D5AAE1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2AD499D8">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01D3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6AF4012F">
                  <w:pPr>
                    <w:pStyle w:val="46"/>
                    <w:rPr>
                      <w:color w:val="000000" w:themeColor="text1"/>
                      <w14:textFill>
                        <w14:solidFill>
                          <w14:schemeClr w14:val="tx1"/>
                        </w14:solidFill>
                      </w14:textFill>
                    </w:rPr>
                  </w:pPr>
                </w:p>
              </w:tc>
              <w:tc>
                <w:tcPr>
                  <w:tcW w:w="670" w:type="dxa"/>
                  <w:vMerge w:val="continue"/>
                  <w:shd w:val="clear" w:color="auto" w:fill="auto"/>
                  <w:vAlign w:val="center"/>
                </w:tcPr>
                <w:p w14:paraId="2DDE51CD">
                  <w:pPr>
                    <w:pStyle w:val="46"/>
                    <w:rPr>
                      <w:color w:val="000000" w:themeColor="text1"/>
                      <w14:textFill>
                        <w14:solidFill>
                          <w14:schemeClr w14:val="tx1"/>
                        </w14:solidFill>
                      </w14:textFill>
                    </w:rPr>
                  </w:pPr>
                </w:p>
              </w:tc>
              <w:tc>
                <w:tcPr>
                  <w:tcW w:w="0" w:type="auto"/>
                  <w:vMerge w:val="continue"/>
                  <w:shd w:val="clear" w:color="auto" w:fill="auto"/>
                  <w:vAlign w:val="center"/>
                </w:tcPr>
                <w:p w14:paraId="44F4E456">
                  <w:pPr>
                    <w:pStyle w:val="46"/>
                    <w:rPr>
                      <w:color w:val="000000" w:themeColor="text1"/>
                      <w14:textFill>
                        <w14:solidFill>
                          <w14:schemeClr w14:val="tx1"/>
                        </w14:solidFill>
                      </w14:textFill>
                    </w:rPr>
                  </w:pPr>
                </w:p>
              </w:tc>
              <w:tc>
                <w:tcPr>
                  <w:tcW w:w="1043" w:type="dxa"/>
                  <w:vMerge w:val="continue"/>
                  <w:shd w:val="clear" w:color="auto" w:fill="auto"/>
                  <w:vAlign w:val="center"/>
                </w:tcPr>
                <w:p w14:paraId="01E8A04C">
                  <w:pPr>
                    <w:pStyle w:val="46"/>
                    <w:rPr>
                      <w:color w:val="000000" w:themeColor="text1"/>
                      <w14:textFill>
                        <w14:solidFill>
                          <w14:schemeClr w14:val="tx1"/>
                        </w14:solidFill>
                      </w14:textFill>
                    </w:rPr>
                  </w:pPr>
                </w:p>
              </w:tc>
              <w:tc>
                <w:tcPr>
                  <w:tcW w:w="756" w:type="dxa"/>
                  <w:vMerge w:val="continue"/>
                  <w:shd w:val="clear" w:color="auto" w:fill="auto"/>
                  <w:vAlign w:val="center"/>
                </w:tcPr>
                <w:p w14:paraId="545A2A0C">
                  <w:pPr>
                    <w:pStyle w:val="46"/>
                    <w:rPr>
                      <w:color w:val="000000" w:themeColor="text1"/>
                      <w14:textFill>
                        <w14:solidFill>
                          <w14:schemeClr w14:val="tx1"/>
                        </w14:solidFill>
                      </w14:textFill>
                    </w:rPr>
                  </w:pPr>
                </w:p>
              </w:tc>
              <w:tc>
                <w:tcPr>
                  <w:tcW w:w="0" w:type="auto"/>
                  <w:vMerge w:val="continue"/>
                  <w:shd w:val="clear" w:color="auto" w:fill="auto"/>
                  <w:vAlign w:val="center"/>
                </w:tcPr>
                <w:p w14:paraId="220BEF2C">
                  <w:pPr>
                    <w:pStyle w:val="46"/>
                    <w:rPr>
                      <w:color w:val="000000" w:themeColor="text1"/>
                      <w14:textFill>
                        <w14:solidFill>
                          <w14:schemeClr w14:val="tx1"/>
                        </w14:solidFill>
                      </w14:textFill>
                    </w:rPr>
                  </w:pPr>
                </w:p>
              </w:tc>
              <w:tc>
                <w:tcPr>
                  <w:tcW w:w="486" w:type="dxa"/>
                  <w:vMerge w:val="continue"/>
                  <w:shd w:val="clear" w:color="auto" w:fill="auto"/>
                  <w:vAlign w:val="center"/>
                </w:tcPr>
                <w:p w14:paraId="3EE3292D">
                  <w:pPr>
                    <w:pStyle w:val="46"/>
                    <w:rPr>
                      <w:color w:val="000000" w:themeColor="text1"/>
                      <w14:textFill>
                        <w14:solidFill>
                          <w14:schemeClr w14:val="tx1"/>
                        </w14:solidFill>
                      </w14:textFill>
                    </w:rPr>
                  </w:pPr>
                </w:p>
              </w:tc>
              <w:tc>
                <w:tcPr>
                  <w:tcW w:w="493" w:type="dxa"/>
                  <w:shd w:val="clear" w:color="auto" w:fill="auto"/>
                  <w:vAlign w:val="center"/>
                </w:tcPr>
                <w:p w14:paraId="2BAF740C">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1085" w:type="dxa"/>
                  <w:shd w:val="clear" w:color="auto" w:fill="auto"/>
                  <w:vAlign w:val="center"/>
                </w:tcPr>
                <w:p w14:paraId="0503BBE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126.58</w:t>
                  </w:r>
                </w:p>
              </w:tc>
              <w:tc>
                <w:tcPr>
                  <w:tcW w:w="1311" w:type="dxa"/>
                  <w:shd w:val="clear" w:color="auto" w:fill="auto"/>
                  <w:vAlign w:val="center"/>
                </w:tcPr>
                <w:p w14:paraId="7B4BD0E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2699F4CD">
                  <w:pPr>
                    <w:pStyle w:val="46"/>
                    <w:rPr>
                      <w:color w:val="000000" w:themeColor="text1"/>
                      <w14:textFill>
                        <w14:solidFill>
                          <w14:schemeClr w14:val="tx1"/>
                        </w14:solidFill>
                      </w14:textFill>
                    </w:rPr>
                  </w:pPr>
                </w:p>
              </w:tc>
              <w:tc>
                <w:tcPr>
                  <w:tcW w:w="1376" w:type="dxa"/>
                  <w:vMerge w:val="continue"/>
                  <w:shd w:val="clear" w:color="auto" w:fill="auto"/>
                  <w:vAlign w:val="center"/>
                </w:tcPr>
                <w:p w14:paraId="7B513004">
                  <w:pPr>
                    <w:pStyle w:val="46"/>
                    <w:rPr>
                      <w:color w:val="000000" w:themeColor="text1"/>
                      <w14:textFill>
                        <w14:solidFill>
                          <w14:schemeClr w14:val="tx1"/>
                        </w14:solidFill>
                      </w14:textFill>
                    </w:rPr>
                  </w:pPr>
                </w:p>
              </w:tc>
              <w:tc>
                <w:tcPr>
                  <w:tcW w:w="1024" w:type="dxa"/>
                  <w:shd w:val="clear" w:color="auto" w:fill="auto"/>
                  <w:vAlign w:val="bottom"/>
                </w:tcPr>
                <w:p w14:paraId="74ABF79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0446830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702A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0" w:type="auto"/>
                  <w:vMerge w:val="restart"/>
                  <w:shd w:val="clear" w:color="auto" w:fill="auto"/>
                  <w:vAlign w:val="center"/>
                </w:tcPr>
                <w:p w14:paraId="1C44DEA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670" w:type="dxa"/>
                  <w:vMerge w:val="continue"/>
                  <w:shd w:val="clear" w:color="auto" w:fill="auto"/>
                  <w:vAlign w:val="center"/>
                </w:tcPr>
                <w:p w14:paraId="191F133A">
                  <w:pPr>
                    <w:pStyle w:val="46"/>
                    <w:rPr>
                      <w:color w:val="000000" w:themeColor="text1"/>
                      <w14:textFill>
                        <w14:solidFill>
                          <w14:schemeClr w14:val="tx1"/>
                        </w14:solidFill>
                      </w14:textFill>
                    </w:rPr>
                  </w:pPr>
                </w:p>
              </w:tc>
              <w:tc>
                <w:tcPr>
                  <w:tcW w:w="0" w:type="auto"/>
                  <w:vMerge w:val="restart"/>
                  <w:shd w:val="clear" w:color="auto" w:fill="auto"/>
                  <w:vAlign w:val="center"/>
                </w:tcPr>
                <w:p w14:paraId="5831480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2#螺旋洗砂机</w:t>
                  </w:r>
                </w:p>
              </w:tc>
              <w:tc>
                <w:tcPr>
                  <w:tcW w:w="1043" w:type="dxa"/>
                  <w:vMerge w:val="restart"/>
                  <w:shd w:val="clear" w:color="auto" w:fill="auto"/>
                  <w:vAlign w:val="center"/>
                </w:tcPr>
                <w:p w14:paraId="75A4F19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53D5C8E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90.06</w:t>
                  </w:r>
                </w:p>
              </w:tc>
              <w:tc>
                <w:tcPr>
                  <w:tcW w:w="759" w:type="dxa"/>
                  <w:vMerge w:val="restart"/>
                  <w:shd w:val="clear" w:color="auto" w:fill="auto"/>
                  <w:vAlign w:val="center"/>
                </w:tcPr>
                <w:p w14:paraId="4B8A5BF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-19.08</w:t>
                  </w:r>
                </w:p>
              </w:tc>
              <w:tc>
                <w:tcPr>
                  <w:tcW w:w="486" w:type="dxa"/>
                  <w:vMerge w:val="restart"/>
                  <w:shd w:val="clear" w:color="auto" w:fill="auto"/>
                  <w:vAlign w:val="center"/>
                </w:tcPr>
                <w:p w14:paraId="15F6856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2D6840C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138A821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65.63</w:t>
                  </w:r>
                </w:p>
              </w:tc>
              <w:tc>
                <w:tcPr>
                  <w:tcW w:w="0" w:type="auto"/>
                  <w:shd w:val="clear" w:color="auto" w:fill="auto"/>
                  <w:vAlign w:val="center"/>
                </w:tcPr>
                <w:p w14:paraId="43AC833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60.34</w:t>
                  </w:r>
                </w:p>
              </w:tc>
              <w:tc>
                <w:tcPr>
                  <w:tcW w:w="671" w:type="dxa"/>
                  <w:vMerge w:val="continue"/>
                  <w:shd w:val="clear" w:color="auto" w:fill="auto"/>
                  <w:vAlign w:val="center"/>
                </w:tcPr>
                <w:p w14:paraId="4C33BCC9">
                  <w:pPr>
                    <w:pStyle w:val="46"/>
                    <w:rPr>
                      <w:color w:val="000000" w:themeColor="text1"/>
                      <w14:textFill>
                        <w14:solidFill>
                          <w14:schemeClr w14:val="tx1"/>
                        </w14:solidFill>
                      </w14:textFill>
                    </w:rPr>
                  </w:pPr>
                </w:p>
              </w:tc>
              <w:tc>
                <w:tcPr>
                  <w:tcW w:w="1376" w:type="dxa"/>
                  <w:vMerge w:val="continue"/>
                  <w:shd w:val="clear" w:color="auto" w:fill="auto"/>
                  <w:vAlign w:val="center"/>
                </w:tcPr>
                <w:p w14:paraId="77DE4DFF">
                  <w:pPr>
                    <w:pStyle w:val="46"/>
                    <w:rPr>
                      <w:color w:val="000000" w:themeColor="text1"/>
                      <w14:textFill>
                        <w14:solidFill>
                          <w14:schemeClr w14:val="tx1"/>
                        </w14:solidFill>
                      </w14:textFill>
                    </w:rPr>
                  </w:pPr>
                </w:p>
              </w:tc>
              <w:tc>
                <w:tcPr>
                  <w:tcW w:w="1024" w:type="dxa"/>
                  <w:shd w:val="clear" w:color="auto" w:fill="auto"/>
                  <w:vAlign w:val="bottom"/>
                </w:tcPr>
                <w:p w14:paraId="26632DD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29.34</w:t>
                  </w:r>
                </w:p>
              </w:tc>
              <w:tc>
                <w:tcPr>
                  <w:tcW w:w="857" w:type="dxa"/>
                  <w:shd w:val="clear" w:color="auto" w:fill="auto"/>
                  <w:vAlign w:val="center"/>
                </w:tcPr>
                <w:p w14:paraId="45E18045">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73B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CA5AD53">
                  <w:pPr>
                    <w:pStyle w:val="46"/>
                    <w:rPr>
                      <w:color w:val="000000" w:themeColor="text1"/>
                      <w14:textFill>
                        <w14:solidFill>
                          <w14:schemeClr w14:val="tx1"/>
                        </w14:solidFill>
                      </w14:textFill>
                    </w:rPr>
                  </w:pPr>
                </w:p>
              </w:tc>
              <w:tc>
                <w:tcPr>
                  <w:tcW w:w="670" w:type="dxa"/>
                  <w:vMerge w:val="continue"/>
                  <w:shd w:val="clear" w:color="auto" w:fill="auto"/>
                  <w:vAlign w:val="center"/>
                </w:tcPr>
                <w:p w14:paraId="3AF72756">
                  <w:pPr>
                    <w:pStyle w:val="46"/>
                    <w:rPr>
                      <w:color w:val="000000" w:themeColor="text1"/>
                      <w14:textFill>
                        <w14:solidFill>
                          <w14:schemeClr w14:val="tx1"/>
                        </w14:solidFill>
                      </w14:textFill>
                    </w:rPr>
                  </w:pPr>
                </w:p>
              </w:tc>
              <w:tc>
                <w:tcPr>
                  <w:tcW w:w="0" w:type="auto"/>
                  <w:vMerge w:val="continue"/>
                  <w:shd w:val="clear" w:color="auto" w:fill="auto"/>
                  <w:vAlign w:val="center"/>
                </w:tcPr>
                <w:p w14:paraId="36ACF472">
                  <w:pPr>
                    <w:pStyle w:val="46"/>
                    <w:rPr>
                      <w:color w:val="000000" w:themeColor="text1"/>
                      <w14:textFill>
                        <w14:solidFill>
                          <w14:schemeClr w14:val="tx1"/>
                        </w14:solidFill>
                      </w14:textFill>
                    </w:rPr>
                  </w:pPr>
                </w:p>
              </w:tc>
              <w:tc>
                <w:tcPr>
                  <w:tcW w:w="1043" w:type="dxa"/>
                  <w:vMerge w:val="continue"/>
                  <w:shd w:val="clear" w:color="auto" w:fill="auto"/>
                  <w:vAlign w:val="center"/>
                </w:tcPr>
                <w:p w14:paraId="242A89F7">
                  <w:pPr>
                    <w:pStyle w:val="46"/>
                    <w:rPr>
                      <w:color w:val="000000" w:themeColor="text1"/>
                      <w14:textFill>
                        <w14:solidFill>
                          <w14:schemeClr w14:val="tx1"/>
                        </w14:solidFill>
                      </w14:textFill>
                    </w:rPr>
                  </w:pPr>
                </w:p>
              </w:tc>
              <w:tc>
                <w:tcPr>
                  <w:tcW w:w="756" w:type="dxa"/>
                  <w:vMerge w:val="continue"/>
                  <w:shd w:val="clear" w:color="auto" w:fill="auto"/>
                  <w:vAlign w:val="center"/>
                </w:tcPr>
                <w:p w14:paraId="0EFB8653">
                  <w:pPr>
                    <w:pStyle w:val="46"/>
                    <w:rPr>
                      <w:color w:val="000000" w:themeColor="text1"/>
                      <w14:textFill>
                        <w14:solidFill>
                          <w14:schemeClr w14:val="tx1"/>
                        </w14:solidFill>
                      </w14:textFill>
                    </w:rPr>
                  </w:pPr>
                </w:p>
              </w:tc>
              <w:tc>
                <w:tcPr>
                  <w:tcW w:w="0" w:type="auto"/>
                  <w:vMerge w:val="continue"/>
                  <w:shd w:val="clear" w:color="auto" w:fill="auto"/>
                  <w:vAlign w:val="center"/>
                </w:tcPr>
                <w:p w14:paraId="625CDD77">
                  <w:pPr>
                    <w:pStyle w:val="46"/>
                    <w:rPr>
                      <w:color w:val="000000" w:themeColor="text1"/>
                      <w14:textFill>
                        <w14:solidFill>
                          <w14:schemeClr w14:val="tx1"/>
                        </w14:solidFill>
                      </w14:textFill>
                    </w:rPr>
                  </w:pPr>
                </w:p>
              </w:tc>
              <w:tc>
                <w:tcPr>
                  <w:tcW w:w="486" w:type="dxa"/>
                  <w:vMerge w:val="continue"/>
                  <w:shd w:val="clear" w:color="auto" w:fill="auto"/>
                  <w:vAlign w:val="center"/>
                </w:tcPr>
                <w:p w14:paraId="1FA90ABB">
                  <w:pPr>
                    <w:pStyle w:val="46"/>
                    <w:rPr>
                      <w:color w:val="000000" w:themeColor="text1"/>
                      <w14:textFill>
                        <w14:solidFill>
                          <w14:schemeClr w14:val="tx1"/>
                        </w14:solidFill>
                      </w14:textFill>
                    </w:rPr>
                  </w:pPr>
                </w:p>
              </w:tc>
              <w:tc>
                <w:tcPr>
                  <w:tcW w:w="493" w:type="dxa"/>
                  <w:shd w:val="clear" w:color="auto" w:fill="auto"/>
                  <w:vAlign w:val="center"/>
                </w:tcPr>
                <w:p w14:paraId="330D5C03">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228F9BC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48.29</w:t>
                  </w:r>
                </w:p>
              </w:tc>
              <w:tc>
                <w:tcPr>
                  <w:tcW w:w="0" w:type="auto"/>
                  <w:shd w:val="clear" w:color="auto" w:fill="auto"/>
                  <w:vAlign w:val="center"/>
                </w:tcPr>
                <w:p w14:paraId="7A58267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60.36</w:t>
                  </w:r>
                </w:p>
              </w:tc>
              <w:tc>
                <w:tcPr>
                  <w:tcW w:w="671" w:type="dxa"/>
                  <w:vMerge w:val="continue"/>
                  <w:shd w:val="clear" w:color="auto" w:fill="auto"/>
                  <w:vAlign w:val="center"/>
                </w:tcPr>
                <w:p w14:paraId="22C78E46">
                  <w:pPr>
                    <w:pStyle w:val="46"/>
                    <w:rPr>
                      <w:color w:val="000000" w:themeColor="text1"/>
                      <w14:textFill>
                        <w14:solidFill>
                          <w14:schemeClr w14:val="tx1"/>
                        </w14:solidFill>
                      </w14:textFill>
                    </w:rPr>
                  </w:pPr>
                </w:p>
              </w:tc>
              <w:tc>
                <w:tcPr>
                  <w:tcW w:w="1376" w:type="dxa"/>
                  <w:vMerge w:val="continue"/>
                  <w:shd w:val="clear" w:color="auto" w:fill="auto"/>
                  <w:vAlign w:val="center"/>
                </w:tcPr>
                <w:p w14:paraId="5CA9E95F">
                  <w:pPr>
                    <w:pStyle w:val="46"/>
                    <w:rPr>
                      <w:color w:val="000000" w:themeColor="text1"/>
                      <w14:textFill>
                        <w14:solidFill>
                          <w14:schemeClr w14:val="tx1"/>
                        </w14:solidFill>
                      </w14:textFill>
                    </w:rPr>
                  </w:pPr>
                </w:p>
              </w:tc>
              <w:tc>
                <w:tcPr>
                  <w:tcW w:w="1024" w:type="dxa"/>
                  <w:shd w:val="clear" w:color="auto" w:fill="auto"/>
                  <w:vAlign w:val="bottom"/>
                </w:tcPr>
                <w:p w14:paraId="7D6AC87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29.36</w:t>
                  </w:r>
                </w:p>
              </w:tc>
              <w:tc>
                <w:tcPr>
                  <w:tcW w:w="857" w:type="dxa"/>
                  <w:shd w:val="clear" w:color="auto" w:fill="auto"/>
                  <w:vAlign w:val="center"/>
                </w:tcPr>
                <w:p w14:paraId="049946BD">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CF7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0FFCE7B7">
                  <w:pPr>
                    <w:pStyle w:val="46"/>
                    <w:rPr>
                      <w:color w:val="000000" w:themeColor="text1"/>
                      <w14:textFill>
                        <w14:solidFill>
                          <w14:schemeClr w14:val="tx1"/>
                        </w14:solidFill>
                      </w14:textFill>
                    </w:rPr>
                  </w:pPr>
                </w:p>
              </w:tc>
              <w:tc>
                <w:tcPr>
                  <w:tcW w:w="670" w:type="dxa"/>
                  <w:vMerge w:val="continue"/>
                  <w:shd w:val="clear" w:color="auto" w:fill="auto"/>
                  <w:vAlign w:val="center"/>
                </w:tcPr>
                <w:p w14:paraId="74521CA3">
                  <w:pPr>
                    <w:pStyle w:val="46"/>
                    <w:rPr>
                      <w:color w:val="000000" w:themeColor="text1"/>
                      <w14:textFill>
                        <w14:solidFill>
                          <w14:schemeClr w14:val="tx1"/>
                        </w14:solidFill>
                      </w14:textFill>
                    </w:rPr>
                  </w:pPr>
                </w:p>
              </w:tc>
              <w:tc>
                <w:tcPr>
                  <w:tcW w:w="0" w:type="auto"/>
                  <w:vMerge w:val="continue"/>
                  <w:shd w:val="clear" w:color="auto" w:fill="auto"/>
                  <w:vAlign w:val="center"/>
                </w:tcPr>
                <w:p w14:paraId="0D218C29">
                  <w:pPr>
                    <w:pStyle w:val="46"/>
                    <w:rPr>
                      <w:color w:val="000000" w:themeColor="text1"/>
                      <w14:textFill>
                        <w14:solidFill>
                          <w14:schemeClr w14:val="tx1"/>
                        </w14:solidFill>
                      </w14:textFill>
                    </w:rPr>
                  </w:pPr>
                </w:p>
              </w:tc>
              <w:tc>
                <w:tcPr>
                  <w:tcW w:w="1043" w:type="dxa"/>
                  <w:vMerge w:val="continue"/>
                  <w:shd w:val="clear" w:color="auto" w:fill="auto"/>
                  <w:vAlign w:val="center"/>
                </w:tcPr>
                <w:p w14:paraId="5B0AA695">
                  <w:pPr>
                    <w:pStyle w:val="46"/>
                    <w:rPr>
                      <w:color w:val="000000" w:themeColor="text1"/>
                      <w14:textFill>
                        <w14:solidFill>
                          <w14:schemeClr w14:val="tx1"/>
                        </w14:solidFill>
                      </w14:textFill>
                    </w:rPr>
                  </w:pPr>
                </w:p>
              </w:tc>
              <w:tc>
                <w:tcPr>
                  <w:tcW w:w="756" w:type="dxa"/>
                  <w:vMerge w:val="continue"/>
                  <w:shd w:val="clear" w:color="auto" w:fill="auto"/>
                  <w:vAlign w:val="center"/>
                </w:tcPr>
                <w:p w14:paraId="42A589FB">
                  <w:pPr>
                    <w:pStyle w:val="46"/>
                    <w:rPr>
                      <w:color w:val="000000" w:themeColor="text1"/>
                      <w14:textFill>
                        <w14:solidFill>
                          <w14:schemeClr w14:val="tx1"/>
                        </w14:solidFill>
                      </w14:textFill>
                    </w:rPr>
                  </w:pPr>
                </w:p>
              </w:tc>
              <w:tc>
                <w:tcPr>
                  <w:tcW w:w="0" w:type="auto"/>
                  <w:vMerge w:val="continue"/>
                  <w:shd w:val="clear" w:color="auto" w:fill="auto"/>
                  <w:vAlign w:val="center"/>
                </w:tcPr>
                <w:p w14:paraId="63AB3294">
                  <w:pPr>
                    <w:pStyle w:val="46"/>
                    <w:rPr>
                      <w:color w:val="000000" w:themeColor="text1"/>
                      <w14:textFill>
                        <w14:solidFill>
                          <w14:schemeClr w14:val="tx1"/>
                        </w14:solidFill>
                      </w14:textFill>
                    </w:rPr>
                  </w:pPr>
                </w:p>
              </w:tc>
              <w:tc>
                <w:tcPr>
                  <w:tcW w:w="486" w:type="dxa"/>
                  <w:vMerge w:val="continue"/>
                  <w:shd w:val="clear" w:color="auto" w:fill="auto"/>
                  <w:vAlign w:val="center"/>
                </w:tcPr>
                <w:p w14:paraId="39C05426">
                  <w:pPr>
                    <w:pStyle w:val="46"/>
                    <w:rPr>
                      <w:color w:val="000000" w:themeColor="text1"/>
                      <w14:textFill>
                        <w14:solidFill>
                          <w14:schemeClr w14:val="tx1"/>
                        </w14:solidFill>
                      </w14:textFill>
                    </w:rPr>
                  </w:pPr>
                </w:p>
              </w:tc>
              <w:tc>
                <w:tcPr>
                  <w:tcW w:w="493" w:type="dxa"/>
                  <w:shd w:val="clear" w:color="auto" w:fill="auto"/>
                  <w:vAlign w:val="center"/>
                </w:tcPr>
                <w:p w14:paraId="2268FD5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30CC9E2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200.25</w:t>
                  </w:r>
                </w:p>
              </w:tc>
              <w:tc>
                <w:tcPr>
                  <w:tcW w:w="0" w:type="auto"/>
                  <w:shd w:val="clear" w:color="auto" w:fill="auto"/>
                  <w:vAlign w:val="center"/>
                </w:tcPr>
                <w:p w14:paraId="34DCB91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12B6005A">
                  <w:pPr>
                    <w:pStyle w:val="46"/>
                    <w:rPr>
                      <w:color w:val="000000" w:themeColor="text1"/>
                      <w14:textFill>
                        <w14:solidFill>
                          <w14:schemeClr w14:val="tx1"/>
                        </w14:solidFill>
                      </w14:textFill>
                    </w:rPr>
                  </w:pPr>
                </w:p>
              </w:tc>
              <w:tc>
                <w:tcPr>
                  <w:tcW w:w="1376" w:type="dxa"/>
                  <w:vMerge w:val="continue"/>
                  <w:shd w:val="clear" w:color="auto" w:fill="auto"/>
                  <w:vAlign w:val="center"/>
                </w:tcPr>
                <w:p w14:paraId="6B38315E">
                  <w:pPr>
                    <w:pStyle w:val="46"/>
                    <w:rPr>
                      <w:color w:val="000000" w:themeColor="text1"/>
                      <w14:textFill>
                        <w14:solidFill>
                          <w14:schemeClr w14:val="tx1"/>
                        </w14:solidFill>
                      </w14:textFill>
                    </w:rPr>
                  </w:pPr>
                </w:p>
              </w:tc>
              <w:tc>
                <w:tcPr>
                  <w:tcW w:w="1024" w:type="dxa"/>
                  <w:shd w:val="clear" w:color="auto" w:fill="auto"/>
                  <w:vAlign w:val="bottom"/>
                </w:tcPr>
                <w:p w14:paraId="65CAD79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31BD79D3">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583A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46AFA04E">
                  <w:pPr>
                    <w:pStyle w:val="46"/>
                    <w:rPr>
                      <w:color w:val="000000" w:themeColor="text1"/>
                      <w14:textFill>
                        <w14:solidFill>
                          <w14:schemeClr w14:val="tx1"/>
                        </w14:solidFill>
                      </w14:textFill>
                    </w:rPr>
                  </w:pPr>
                </w:p>
              </w:tc>
              <w:tc>
                <w:tcPr>
                  <w:tcW w:w="670" w:type="dxa"/>
                  <w:vMerge w:val="continue"/>
                  <w:shd w:val="clear" w:color="auto" w:fill="auto"/>
                  <w:vAlign w:val="center"/>
                </w:tcPr>
                <w:p w14:paraId="5AA5ACA5">
                  <w:pPr>
                    <w:pStyle w:val="46"/>
                    <w:rPr>
                      <w:color w:val="000000" w:themeColor="text1"/>
                      <w14:textFill>
                        <w14:solidFill>
                          <w14:schemeClr w14:val="tx1"/>
                        </w14:solidFill>
                      </w14:textFill>
                    </w:rPr>
                  </w:pPr>
                </w:p>
              </w:tc>
              <w:tc>
                <w:tcPr>
                  <w:tcW w:w="0" w:type="auto"/>
                  <w:vMerge w:val="continue"/>
                  <w:shd w:val="clear" w:color="auto" w:fill="auto"/>
                  <w:vAlign w:val="center"/>
                </w:tcPr>
                <w:p w14:paraId="20DD2DC1">
                  <w:pPr>
                    <w:pStyle w:val="46"/>
                    <w:rPr>
                      <w:color w:val="000000" w:themeColor="text1"/>
                      <w14:textFill>
                        <w14:solidFill>
                          <w14:schemeClr w14:val="tx1"/>
                        </w14:solidFill>
                      </w14:textFill>
                    </w:rPr>
                  </w:pPr>
                </w:p>
              </w:tc>
              <w:tc>
                <w:tcPr>
                  <w:tcW w:w="1043" w:type="dxa"/>
                  <w:vMerge w:val="continue"/>
                  <w:shd w:val="clear" w:color="auto" w:fill="auto"/>
                  <w:vAlign w:val="center"/>
                </w:tcPr>
                <w:p w14:paraId="60310999">
                  <w:pPr>
                    <w:pStyle w:val="46"/>
                    <w:rPr>
                      <w:color w:val="000000" w:themeColor="text1"/>
                      <w14:textFill>
                        <w14:solidFill>
                          <w14:schemeClr w14:val="tx1"/>
                        </w14:solidFill>
                      </w14:textFill>
                    </w:rPr>
                  </w:pPr>
                </w:p>
              </w:tc>
              <w:tc>
                <w:tcPr>
                  <w:tcW w:w="756" w:type="dxa"/>
                  <w:vMerge w:val="continue"/>
                  <w:shd w:val="clear" w:color="auto" w:fill="auto"/>
                  <w:vAlign w:val="center"/>
                </w:tcPr>
                <w:p w14:paraId="544A0D2B">
                  <w:pPr>
                    <w:pStyle w:val="46"/>
                    <w:rPr>
                      <w:color w:val="000000" w:themeColor="text1"/>
                      <w14:textFill>
                        <w14:solidFill>
                          <w14:schemeClr w14:val="tx1"/>
                        </w14:solidFill>
                      </w14:textFill>
                    </w:rPr>
                  </w:pPr>
                </w:p>
              </w:tc>
              <w:tc>
                <w:tcPr>
                  <w:tcW w:w="0" w:type="auto"/>
                  <w:vMerge w:val="continue"/>
                  <w:shd w:val="clear" w:color="auto" w:fill="auto"/>
                  <w:vAlign w:val="center"/>
                </w:tcPr>
                <w:p w14:paraId="37E81B9D">
                  <w:pPr>
                    <w:pStyle w:val="46"/>
                    <w:rPr>
                      <w:color w:val="000000" w:themeColor="text1"/>
                      <w14:textFill>
                        <w14:solidFill>
                          <w14:schemeClr w14:val="tx1"/>
                        </w14:solidFill>
                      </w14:textFill>
                    </w:rPr>
                  </w:pPr>
                </w:p>
              </w:tc>
              <w:tc>
                <w:tcPr>
                  <w:tcW w:w="486" w:type="dxa"/>
                  <w:vMerge w:val="continue"/>
                  <w:shd w:val="clear" w:color="auto" w:fill="auto"/>
                  <w:vAlign w:val="center"/>
                </w:tcPr>
                <w:p w14:paraId="5E782C93">
                  <w:pPr>
                    <w:pStyle w:val="46"/>
                    <w:rPr>
                      <w:color w:val="000000" w:themeColor="text1"/>
                      <w14:textFill>
                        <w14:solidFill>
                          <w14:schemeClr w14:val="tx1"/>
                        </w14:solidFill>
                      </w14:textFill>
                    </w:rPr>
                  </w:pPr>
                </w:p>
              </w:tc>
              <w:tc>
                <w:tcPr>
                  <w:tcW w:w="493" w:type="dxa"/>
                  <w:shd w:val="clear" w:color="auto" w:fill="auto"/>
                  <w:vAlign w:val="center"/>
                </w:tcPr>
                <w:p w14:paraId="4352FBBD">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6190508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129.55</w:t>
                  </w:r>
                </w:p>
              </w:tc>
              <w:tc>
                <w:tcPr>
                  <w:tcW w:w="0" w:type="auto"/>
                  <w:shd w:val="clear" w:color="auto" w:fill="auto"/>
                  <w:vAlign w:val="center"/>
                </w:tcPr>
                <w:p w14:paraId="786F620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64118056">
                  <w:pPr>
                    <w:pStyle w:val="46"/>
                    <w:rPr>
                      <w:color w:val="000000" w:themeColor="text1"/>
                      <w14:textFill>
                        <w14:solidFill>
                          <w14:schemeClr w14:val="tx1"/>
                        </w14:solidFill>
                      </w14:textFill>
                    </w:rPr>
                  </w:pPr>
                </w:p>
              </w:tc>
              <w:tc>
                <w:tcPr>
                  <w:tcW w:w="1376" w:type="dxa"/>
                  <w:vMerge w:val="continue"/>
                  <w:shd w:val="clear" w:color="auto" w:fill="auto"/>
                  <w:vAlign w:val="center"/>
                </w:tcPr>
                <w:p w14:paraId="0E754793">
                  <w:pPr>
                    <w:pStyle w:val="46"/>
                    <w:rPr>
                      <w:color w:val="000000" w:themeColor="text1"/>
                      <w14:textFill>
                        <w14:solidFill>
                          <w14:schemeClr w14:val="tx1"/>
                        </w14:solidFill>
                      </w14:textFill>
                    </w:rPr>
                  </w:pPr>
                </w:p>
              </w:tc>
              <w:tc>
                <w:tcPr>
                  <w:tcW w:w="1024" w:type="dxa"/>
                  <w:shd w:val="clear" w:color="auto" w:fill="auto"/>
                  <w:vAlign w:val="bottom"/>
                </w:tcPr>
                <w:p w14:paraId="44478E3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0826EC0F">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18E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5EB4678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13</w:t>
                  </w:r>
                </w:p>
              </w:tc>
              <w:tc>
                <w:tcPr>
                  <w:tcW w:w="670" w:type="dxa"/>
                  <w:vMerge w:val="continue"/>
                  <w:shd w:val="clear" w:color="auto" w:fill="auto"/>
                  <w:vAlign w:val="center"/>
                </w:tcPr>
                <w:p w14:paraId="49F38459">
                  <w:pPr>
                    <w:pStyle w:val="46"/>
                    <w:rPr>
                      <w:color w:val="000000" w:themeColor="text1"/>
                      <w14:textFill>
                        <w14:solidFill>
                          <w14:schemeClr w14:val="tx1"/>
                        </w14:solidFill>
                      </w14:textFill>
                    </w:rPr>
                  </w:pPr>
                </w:p>
              </w:tc>
              <w:tc>
                <w:tcPr>
                  <w:tcW w:w="0" w:type="auto"/>
                  <w:vMerge w:val="restart"/>
                  <w:shd w:val="clear" w:color="auto" w:fill="auto"/>
                  <w:vAlign w:val="center"/>
                </w:tcPr>
                <w:p w14:paraId="1E2924E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3#螺旋洗砂机</w:t>
                  </w:r>
                </w:p>
              </w:tc>
              <w:tc>
                <w:tcPr>
                  <w:tcW w:w="1043" w:type="dxa"/>
                  <w:vMerge w:val="restart"/>
                  <w:shd w:val="clear" w:color="auto" w:fill="auto"/>
                  <w:vAlign w:val="center"/>
                </w:tcPr>
                <w:p w14:paraId="2B7A3C5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0B6A925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94.28</w:t>
                  </w:r>
                </w:p>
              </w:tc>
              <w:tc>
                <w:tcPr>
                  <w:tcW w:w="0" w:type="auto"/>
                  <w:vMerge w:val="restart"/>
                  <w:shd w:val="clear" w:color="auto" w:fill="auto"/>
                  <w:vAlign w:val="center"/>
                </w:tcPr>
                <w:p w14:paraId="127C727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-22.24</w:t>
                  </w:r>
                </w:p>
              </w:tc>
              <w:tc>
                <w:tcPr>
                  <w:tcW w:w="486" w:type="dxa"/>
                  <w:vMerge w:val="restart"/>
                  <w:shd w:val="clear" w:color="auto" w:fill="auto"/>
                  <w:vAlign w:val="center"/>
                </w:tcPr>
                <w:p w14:paraId="4B40F44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15E95E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34E6D21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70.56</w:t>
                  </w:r>
                </w:p>
              </w:tc>
              <w:tc>
                <w:tcPr>
                  <w:tcW w:w="0" w:type="auto"/>
                  <w:shd w:val="clear" w:color="auto" w:fill="auto"/>
                  <w:vAlign w:val="center"/>
                </w:tcPr>
                <w:p w14:paraId="16167A4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60.34</w:t>
                  </w:r>
                </w:p>
              </w:tc>
              <w:tc>
                <w:tcPr>
                  <w:tcW w:w="671" w:type="dxa"/>
                  <w:vMerge w:val="continue"/>
                  <w:shd w:val="clear" w:color="auto" w:fill="auto"/>
                  <w:vAlign w:val="center"/>
                </w:tcPr>
                <w:p w14:paraId="775C9E12">
                  <w:pPr>
                    <w:pStyle w:val="46"/>
                    <w:rPr>
                      <w:color w:val="000000" w:themeColor="text1"/>
                      <w14:textFill>
                        <w14:solidFill>
                          <w14:schemeClr w14:val="tx1"/>
                        </w14:solidFill>
                      </w14:textFill>
                    </w:rPr>
                  </w:pPr>
                </w:p>
              </w:tc>
              <w:tc>
                <w:tcPr>
                  <w:tcW w:w="1376" w:type="dxa"/>
                  <w:vMerge w:val="continue"/>
                  <w:shd w:val="clear" w:color="auto" w:fill="auto"/>
                  <w:vAlign w:val="center"/>
                </w:tcPr>
                <w:p w14:paraId="37291AEA">
                  <w:pPr>
                    <w:pStyle w:val="46"/>
                    <w:rPr>
                      <w:color w:val="000000" w:themeColor="text1"/>
                      <w14:textFill>
                        <w14:solidFill>
                          <w14:schemeClr w14:val="tx1"/>
                        </w14:solidFill>
                      </w14:textFill>
                    </w:rPr>
                  </w:pPr>
                </w:p>
              </w:tc>
              <w:tc>
                <w:tcPr>
                  <w:tcW w:w="1024" w:type="dxa"/>
                  <w:shd w:val="clear" w:color="auto" w:fill="auto"/>
                  <w:vAlign w:val="bottom"/>
                </w:tcPr>
                <w:p w14:paraId="3EFA5EF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29.34</w:t>
                  </w:r>
                </w:p>
              </w:tc>
              <w:tc>
                <w:tcPr>
                  <w:tcW w:w="857" w:type="dxa"/>
                  <w:shd w:val="clear" w:color="auto" w:fill="auto"/>
                  <w:vAlign w:val="center"/>
                </w:tcPr>
                <w:p w14:paraId="26193EE2">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D6F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8CE5984">
                  <w:pPr>
                    <w:pStyle w:val="46"/>
                    <w:rPr>
                      <w:color w:val="000000" w:themeColor="text1"/>
                      <w14:textFill>
                        <w14:solidFill>
                          <w14:schemeClr w14:val="tx1"/>
                        </w14:solidFill>
                      </w14:textFill>
                    </w:rPr>
                  </w:pPr>
                </w:p>
              </w:tc>
              <w:tc>
                <w:tcPr>
                  <w:tcW w:w="670" w:type="dxa"/>
                  <w:vMerge w:val="continue"/>
                  <w:shd w:val="clear" w:color="auto" w:fill="auto"/>
                  <w:vAlign w:val="center"/>
                </w:tcPr>
                <w:p w14:paraId="5F4CF930">
                  <w:pPr>
                    <w:pStyle w:val="46"/>
                    <w:rPr>
                      <w:color w:val="000000" w:themeColor="text1"/>
                      <w14:textFill>
                        <w14:solidFill>
                          <w14:schemeClr w14:val="tx1"/>
                        </w14:solidFill>
                      </w14:textFill>
                    </w:rPr>
                  </w:pPr>
                </w:p>
              </w:tc>
              <w:tc>
                <w:tcPr>
                  <w:tcW w:w="0" w:type="auto"/>
                  <w:vMerge w:val="continue"/>
                  <w:shd w:val="clear" w:color="auto" w:fill="auto"/>
                  <w:vAlign w:val="center"/>
                </w:tcPr>
                <w:p w14:paraId="27009748">
                  <w:pPr>
                    <w:pStyle w:val="46"/>
                    <w:rPr>
                      <w:color w:val="000000" w:themeColor="text1"/>
                      <w14:textFill>
                        <w14:solidFill>
                          <w14:schemeClr w14:val="tx1"/>
                        </w14:solidFill>
                      </w14:textFill>
                    </w:rPr>
                  </w:pPr>
                </w:p>
              </w:tc>
              <w:tc>
                <w:tcPr>
                  <w:tcW w:w="1043" w:type="dxa"/>
                  <w:vMerge w:val="continue"/>
                  <w:shd w:val="clear" w:color="auto" w:fill="auto"/>
                  <w:vAlign w:val="center"/>
                </w:tcPr>
                <w:p w14:paraId="5CB86DC3">
                  <w:pPr>
                    <w:pStyle w:val="46"/>
                    <w:rPr>
                      <w:color w:val="000000" w:themeColor="text1"/>
                      <w14:textFill>
                        <w14:solidFill>
                          <w14:schemeClr w14:val="tx1"/>
                        </w14:solidFill>
                      </w14:textFill>
                    </w:rPr>
                  </w:pPr>
                </w:p>
              </w:tc>
              <w:tc>
                <w:tcPr>
                  <w:tcW w:w="756" w:type="dxa"/>
                  <w:vMerge w:val="continue"/>
                  <w:shd w:val="clear" w:color="auto" w:fill="auto"/>
                  <w:vAlign w:val="center"/>
                </w:tcPr>
                <w:p w14:paraId="2A57AC0E">
                  <w:pPr>
                    <w:pStyle w:val="46"/>
                    <w:rPr>
                      <w:color w:val="000000" w:themeColor="text1"/>
                      <w14:textFill>
                        <w14:solidFill>
                          <w14:schemeClr w14:val="tx1"/>
                        </w14:solidFill>
                      </w14:textFill>
                    </w:rPr>
                  </w:pPr>
                </w:p>
              </w:tc>
              <w:tc>
                <w:tcPr>
                  <w:tcW w:w="0" w:type="auto"/>
                  <w:vMerge w:val="continue"/>
                  <w:shd w:val="clear" w:color="auto" w:fill="auto"/>
                  <w:vAlign w:val="center"/>
                </w:tcPr>
                <w:p w14:paraId="0070633E">
                  <w:pPr>
                    <w:pStyle w:val="46"/>
                    <w:rPr>
                      <w:color w:val="000000" w:themeColor="text1"/>
                      <w14:textFill>
                        <w14:solidFill>
                          <w14:schemeClr w14:val="tx1"/>
                        </w14:solidFill>
                      </w14:textFill>
                    </w:rPr>
                  </w:pPr>
                </w:p>
              </w:tc>
              <w:tc>
                <w:tcPr>
                  <w:tcW w:w="486" w:type="dxa"/>
                  <w:vMerge w:val="continue"/>
                  <w:shd w:val="clear" w:color="auto" w:fill="auto"/>
                  <w:vAlign w:val="center"/>
                </w:tcPr>
                <w:p w14:paraId="729BDFF1">
                  <w:pPr>
                    <w:pStyle w:val="46"/>
                    <w:rPr>
                      <w:color w:val="000000" w:themeColor="text1"/>
                      <w14:textFill>
                        <w14:solidFill>
                          <w14:schemeClr w14:val="tx1"/>
                        </w14:solidFill>
                      </w14:textFill>
                    </w:rPr>
                  </w:pPr>
                </w:p>
              </w:tc>
              <w:tc>
                <w:tcPr>
                  <w:tcW w:w="493" w:type="dxa"/>
                  <w:shd w:val="clear" w:color="auto" w:fill="auto"/>
                  <w:vAlign w:val="center"/>
                </w:tcPr>
                <w:p w14:paraId="60EB1703">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35DEBA3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48.89</w:t>
                  </w:r>
                </w:p>
              </w:tc>
              <w:tc>
                <w:tcPr>
                  <w:tcW w:w="0" w:type="auto"/>
                  <w:shd w:val="clear" w:color="auto" w:fill="auto"/>
                  <w:vAlign w:val="center"/>
                </w:tcPr>
                <w:p w14:paraId="3C9A879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60.36</w:t>
                  </w:r>
                </w:p>
              </w:tc>
              <w:tc>
                <w:tcPr>
                  <w:tcW w:w="671" w:type="dxa"/>
                  <w:vMerge w:val="continue"/>
                  <w:shd w:val="clear" w:color="auto" w:fill="auto"/>
                  <w:vAlign w:val="center"/>
                </w:tcPr>
                <w:p w14:paraId="0F500A11">
                  <w:pPr>
                    <w:pStyle w:val="46"/>
                    <w:rPr>
                      <w:color w:val="000000" w:themeColor="text1"/>
                      <w14:textFill>
                        <w14:solidFill>
                          <w14:schemeClr w14:val="tx1"/>
                        </w14:solidFill>
                      </w14:textFill>
                    </w:rPr>
                  </w:pPr>
                </w:p>
              </w:tc>
              <w:tc>
                <w:tcPr>
                  <w:tcW w:w="1376" w:type="dxa"/>
                  <w:vMerge w:val="continue"/>
                  <w:shd w:val="clear" w:color="auto" w:fill="auto"/>
                  <w:vAlign w:val="center"/>
                </w:tcPr>
                <w:p w14:paraId="0C9EE4BA">
                  <w:pPr>
                    <w:pStyle w:val="46"/>
                    <w:rPr>
                      <w:color w:val="000000" w:themeColor="text1"/>
                      <w14:textFill>
                        <w14:solidFill>
                          <w14:schemeClr w14:val="tx1"/>
                        </w14:solidFill>
                      </w14:textFill>
                    </w:rPr>
                  </w:pPr>
                </w:p>
              </w:tc>
              <w:tc>
                <w:tcPr>
                  <w:tcW w:w="1024" w:type="dxa"/>
                  <w:shd w:val="clear" w:color="auto" w:fill="auto"/>
                  <w:vAlign w:val="bottom"/>
                </w:tcPr>
                <w:p w14:paraId="46B9700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29.36</w:t>
                  </w:r>
                </w:p>
              </w:tc>
              <w:tc>
                <w:tcPr>
                  <w:tcW w:w="857" w:type="dxa"/>
                  <w:shd w:val="clear" w:color="auto" w:fill="auto"/>
                  <w:vAlign w:val="center"/>
                </w:tcPr>
                <w:p w14:paraId="530BF983">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B99C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1AF7372B">
                  <w:pPr>
                    <w:pStyle w:val="46"/>
                    <w:rPr>
                      <w:color w:val="000000" w:themeColor="text1"/>
                      <w14:textFill>
                        <w14:solidFill>
                          <w14:schemeClr w14:val="tx1"/>
                        </w14:solidFill>
                      </w14:textFill>
                    </w:rPr>
                  </w:pPr>
                </w:p>
              </w:tc>
              <w:tc>
                <w:tcPr>
                  <w:tcW w:w="670" w:type="dxa"/>
                  <w:vMerge w:val="continue"/>
                  <w:shd w:val="clear" w:color="auto" w:fill="auto"/>
                  <w:vAlign w:val="center"/>
                </w:tcPr>
                <w:p w14:paraId="190C37C7">
                  <w:pPr>
                    <w:pStyle w:val="46"/>
                    <w:rPr>
                      <w:color w:val="000000" w:themeColor="text1"/>
                      <w14:textFill>
                        <w14:solidFill>
                          <w14:schemeClr w14:val="tx1"/>
                        </w14:solidFill>
                      </w14:textFill>
                    </w:rPr>
                  </w:pPr>
                </w:p>
              </w:tc>
              <w:tc>
                <w:tcPr>
                  <w:tcW w:w="0" w:type="auto"/>
                  <w:vMerge w:val="continue"/>
                  <w:shd w:val="clear" w:color="auto" w:fill="auto"/>
                  <w:vAlign w:val="center"/>
                </w:tcPr>
                <w:p w14:paraId="04C487E4">
                  <w:pPr>
                    <w:pStyle w:val="46"/>
                    <w:rPr>
                      <w:color w:val="000000" w:themeColor="text1"/>
                      <w14:textFill>
                        <w14:solidFill>
                          <w14:schemeClr w14:val="tx1"/>
                        </w14:solidFill>
                      </w14:textFill>
                    </w:rPr>
                  </w:pPr>
                </w:p>
              </w:tc>
              <w:tc>
                <w:tcPr>
                  <w:tcW w:w="1043" w:type="dxa"/>
                  <w:vMerge w:val="continue"/>
                  <w:shd w:val="clear" w:color="auto" w:fill="auto"/>
                  <w:vAlign w:val="center"/>
                </w:tcPr>
                <w:p w14:paraId="029DEAF5">
                  <w:pPr>
                    <w:pStyle w:val="46"/>
                    <w:rPr>
                      <w:color w:val="000000" w:themeColor="text1"/>
                      <w14:textFill>
                        <w14:solidFill>
                          <w14:schemeClr w14:val="tx1"/>
                        </w14:solidFill>
                      </w14:textFill>
                    </w:rPr>
                  </w:pPr>
                </w:p>
              </w:tc>
              <w:tc>
                <w:tcPr>
                  <w:tcW w:w="756" w:type="dxa"/>
                  <w:vMerge w:val="continue"/>
                  <w:shd w:val="clear" w:color="auto" w:fill="auto"/>
                  <w:vAlign w:val="center"/>
                </w:tcPr>
                <w:p w14:paraId="7F4B6429">
                  <w:pPr>
                    <w:pStyle w:val="46"/>
                    <w:rPr>
                      <w:color w:val="000000" w:themeColor="text1"/>
                      <w14:textFill>
                        <w14:solidFill>
                          <w14:schemeClr w14:val="tx1"/>
                        </w14:solidFill>
                      </w14:textFill>
                    </w:rPr>
                  </w:pPr>
                </w:p>
              </w:tc>
              <w:tc>
                <w:tcPr>
                  <w:tcW w:w="0" w:type="auto"/>
                  <w:vMerge w:val="continue"/>
                  <w:shd w:val="clear" w:color="auto" w:fill="auto"/>
                  <w:vAlign w:val="center"/>
                </w:tcPr>
                <w:p w14:paraId="0A4E6AB7">
                  <w:pPr>
                    <w:pStyle w:val="46"/>
                    <w:rPr>
                      <w:color w:val="000000" w:themeColor="text1"/>
                      <w14:textFill>
                        <w14:solidFill>
                          <w14:schemeClr w14:val="tx1"/>
                        </w14:solidFill>
                      </w14:textFill>
                    </w:rPr>
                  </w:pPr>
                </w:p>
              </w:tc>
              <w:tc>
                <w:tcPr>
                  <w:tcW w:w="486" w:type="dxa"/>
                  <w:vMerge w:val="continue"/>
                  <w:shd w:val="clear" w:color="auto" w:fill="auto"/>
                  <w:vAlign w:val="center"/>
                </w:tcPr>
                <w:p w14:paraId="7D60B596">
                  <w:pPr>
                    <w:pStyle w:val="46"/>
                    <w:rPr>
                      <w:color w:val="000000" w:themeColor="text1"/>
                      <w14:textFill>
                        <w14:solidFill>
                          <w14:schemeClr w14:val="tx1"/>
                        </w14:solidFill>
                      </w14:textFill>
                    </w:rPr>
                  </w:pPr>
                </w:p>
              </w:tc>
              <w:tc>
                <w:tcPr>
                  <w:tcW w:w="493" w:type="dxa"/>
                  <w:shd w:val="clear" w:color="auto" w:fill="auto"/>
                  <w:vAlign w:val="center"/>
                </w:tcPr>
                <w:p w14:paraId="022323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1920F69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195</w:t>
                  </w:r>
                </w:p>
              </w:tc>
              <w:tc>
                <w:tcPr>
                  <w:tcW w:w="0" w:type="auto"/>
                  <w:shd w:val="clear" w:color="auto" w:fill="auto"/>
                  <w:vAlign w:val="center"/>
                </w:tcPr>
                <w:p w14:paraId="20A0E28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571E9C65">
                  <w:pPr>
                    <w:pStyle w:val="46"/>
                    <w:rPr>
                      <w:color w:val="000000" w:themeColor="text1"/>
                      <w14:textFill>
                        <w14:solidFill>
                          <w14:schemeClr w14:val="tx1"/>
                        </w14:solidFill>
                      </w14:textFill>
                    </w:rPr>
                  </w:pPr>
                </w:p>
              </w:tc>
              <w:tc>
                <w:tcPr>
                  <w:tcW w:w="1376" w:type="dxa"/>
                  <w:vMerge w:val="continue"/>
                  <w:shd w:val="clear" w:color="auto" w:fill="auto"/>
                  <w:vAlign w:val="center"/>
                </w:tcPr>
                <w:p w14:paraId="4C62C29B">
                  <w:pPr>
                    <w:pStyle w:val="46"/>
                    <w:rPr>
                      <w:color w:val="000000" w:themeColor="text1"/>
                      <w14:textFill>
                        <w14:solidFill>
                          <w14:schemeClr w14:val="tx1"/>
                        </w14:solidFill>
                      </w14:textFill>
                    </w:rPr>
                  </w:pPr>
                </w:p>
              </w:tc>
              <w:tc>
                <w:tcPr>
                  <w:tcW w:w="1024" w:type="dxa"/>
                  <w:shd w:val="clear" w:color="auto" w:fill="auto"/>
                  <w:vAlign w:val="bottom"/>
                </w:tcPr>
                <w:p w14:paraId="03D08E1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72E7399A">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CC28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46536224">
                  <w:pPr>
                    <w:pStyle w:val="46"/>
                    <w:rPr>
                      <w:color w:val="000000" w:themeColor="text1"/>
                      <w14:textFill>
                        <w14:solidFill>
                          <w14:schemeClr w14:val="tx1"/>
                        </w14:solidFill>
                      </w14:textFill>
                    </w:rPr>
                  </w:pPr>
                </w:p>
              </w:tc>
              <w:tc>
                <w:tcPr>
                  <w:tcW w:w="670" w:type="dxa"/>
                  <w:vMerge w:val="continue"/>
                  <w:shd w:val="clear" w:color="auto" w:fill="auto"/>
                  <w:vAlign w:val="center"/>
                </w:tcPr>
                <w:p w14:paraId="07E8CE5B">
                  <w:pPr>
                    <w:pStyle w:val="46"/>
                    <w:rPr>
                      <w:color w:val="000000" w:themeColor="text1"/>
                      <w14:textFill>
                        <w14:solidFill>
                          <w14:schemeClr w14:val="tx1"/>
                        </w14:solidFill>
                      </w14:textFill>
                    </w:rPr>
                  </w:pPr>
                </w:p>
              </w:tc>
              <w:tc>
                <w:tcPr>
                  <w:tcW w:w="0" w:type="auto"/>
                  <w:vMerge w:val="continue"/>
                  <w:shd w:val="clear" w:color="auto" w:fill="auto"/>
                  <w:vAlign w:val="center"/>
                </w:tcPr>
                <w:p w14:paraId="09413348">
                  <w:pPr>
                    <w:pStyle w:val="46"/>
                    <w:rPr>
                      <w:color w:val="000000" w:themeColor="text1"/>
                      <w14:textFill>
                        <w14:solidFill>
                          <w14:schemeClr w14:val="tx1"/>
                        </w14:solidFill>
                      </w14:textFill>
                    </w:rPr>
                  </w:pPr>
                </w:p>
              </w:tc>
              <w:tc>
                <w:tcPr>
                  <w:tcW w:w="1043" w:type="dxa"/>
                  <w:vMerge w:val="continue"/>
                  <w:shd w:val="clear" w:color="auto" w:fill="auto"/>
                  <w:vAlign w:val="center"/>
                </w:tcPr>
                <w:p w14:paraId="255909CE">
                  <w:pPr>
                    <w:pStyle w:val="46"/>
                    <w:rPr>
                      <w:color w:val="000000" w:themeColor="text1"/>
                      <w14:textFill>
                        <w14:solidFill>
                          <w14:schemeClr w14:val="tx1"/>
                        </w14:solidFill>
                      </w14:textFill>
                    </w:rPr>
                  </w:pPr>
                </w:p>
              </w:tc>
              <w:tc>
                <w:tcPr>
                  <w:tcW w:w="756" w:type="dxa"/>
                  <w:vMerge w:val="continue"/>
                  <w:shd w:val="clear" w:color="auto" w:fill="auto"/>
                  <w:vAlign w:val="center"/>
                </w:tcPr>
                <w:p w14:paraId="63D9E399">
                  <w:pPr>
                    <w:pStyle w:val="46"/>
                    <w:rPr>
                      <w:color w:val="000000" w:themeColor="text1"/>
                      <w14:textFill>
                        <w14:solidFill>
                          <w14:schemeClr w14:val="tx1"/>
                        </w14:solidFill>
                      </w14:textFill>
                    </w:rPr>
                  </w:pPr>
                </w:p>
              </w:tc>
              <w:tc>
                <w:tcPr>
                  <w:tcW w:w="0" w:type="auto"/>
                  <w:vMerge w:val="continue"/>
                  <w:shd w:val="clear" w:color="auto" w:fill="auto"/>
                  <w:vAlign w:val="center"/>
                </w:tcPr>
                <w:p w14:paraId="38FD5487">
                  <w:pPr>
                    <w:pStyle w:val="46"/>
                    <w:rPr>
                      <w:color w:val="000000" w:themeColor="text1"/>
                      <w14:textFill>
                        <w14:solidFill>
                          <w14:schemeClr w14:val="tx1"/>
                        </w14:solidFill>
                      </w14:textFill>
                    </w:rPr>
                  </w:pPr>
                </w:p>
              </w:tc>
              <w:tc>
                <w:tcPr>
                  <w:tcW w:w="486" w:type="dxa"/>
                  <w:vMerge w:val="continue"/>
                  <w:shd w:val="clear" w:color="auto" w:fill="auto"/>
                  <w:vAlign w:val="center"/>
                </w:tcPr>
                <w:p w14:paraId="69A080C1">
                  <w:pPr>
                    <w:pStyle w:val="46"/>
                    <w:rPr>
                      <w:color w:val="000000" w:themeColor="text1"/>
                      <w14:textFill>
                        <w14:solidFill>
                          <w14:schemeClr w14:val="tx1"/>
                        </w14:solidFill>
                      </w14:textFill>
                    </w:rPr>
                  </w:pPr>
                </w:p>
              </w:tc>
              <w:tc>
                <w:tcPr>
                  <w:tcW w:w="493" w:type="dxa"/>
                  <w:shd w:val="clear" w:color="auto" w:fill="auto"/>
                  <w:vAlign w:val="center"/>
                </w:tcPr>
                <w:p w14:paraId="4D78516A">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1BD83F8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131.19</w:t>
                  </w:r>
                </w:p>
              </w:tc>
              <w:tc>
                <w:tcPr>
                  <w:tcW w:w="0" w:type="auto"/>
                  <w:shd w:val="clear" w:color="auto" w:fill="auto"/>
                  <w:vAlign w:val="center"/>
                </w:tcPr>
                <w:p w14:paraId="5209E6B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60E52863">
                  <w:pPr>
                    <w:pStyle w:val="46"/>
                    <w:rPr>
                      <w:color w:val="000000" w:themeColor="text1"/>
                      <w14:textFill>
                        <w14:solidFill>
                          <w14:schemeClr w14:val="tx1"/>
                        </w14:solidFill>
                      </w14:textFill>
                    </w:rPr>
                  </w:pPr>
                </w:p>
              </w:tc>
              <w:tc>
                <w:tcPr>
                  <w:tcW w:w="1376" w:type="dxa"/>
                  <w:vMerge w:val="continue"/>
                  <w:shd w:val="clear" w:color="auto" w:fill="auto"/>
                  <w:vAlign w:val="center"/>
                </w:tcPr>
                <w:p w14:paraId="524B4E5B">
                  <w:pPr>
                    <w:pStyle w:val="46"/>
                    <w:rPr>
                      <w:color w:val="000000" w:themeColor="text1"/>
                      <w14:textFill>
                        <w14:solidFill>
                          <w14:schemeClr w14:val="tx1"/>
                        </w14:solidFill>
                      </w14:textFill>
                    </w:rPr>
                  </w:pPr>
                </w:p>
              </w:tc>
              <w:tc>
                <w:tcPr>
                  <w:tcW w:w="1024" w:type="dxa"/>
                  <w:shd w:val="clear" w:color="auto" w:fill="auto"/>
                  <w:vAlign w:val="bottom"/>
                </w:tcPr>
                <w:p w14:paraId="2E09E49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4C92F4B5">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DDD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restart"/>
                  <w:shd w:val="clear" w:color="auto" w:fill="auto"/>
                  <w:vAlign w:val="center"/>
                </w:tcPr>
                <w:p w14:paraId="0F0DF9F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14</w:t>
                  </w:r>
                </w:p>
              </w:tc>
              <w:tc>
                <w:tcPr>
                  <w:tcW w:w="670" w:type="dxa"/>
                  <w:vMerge w:val="continue"/>
                  <w:shd w:val="clear" w:color="auto" w:fill="auto"/>
                  <w:vAlign w:val="center"/>
                </w:tcPr>
                <w:p w14:paraId="263A918E">
                  <w:pPr>
                    <w:pStyle w:val="46"/>
                    <w:rPr>
                      <w:color w:val="000000" w:themeColor="text1"/>
                      <w14:textFill>
                        <w14:solidFill>
                          <w14:schemeClr w14:val="tx1"/>
                        </w14:solidFill>
                      </w14:textFill>
                    </w:rPr>
                  </w:pPr>
                </w:p>
              </w:tc>
              <w:tc>
                <w:tcPr>
                  <w:tcW w:w="0" w:type="auto"/>
                  <w:vMerge w:val="restart"/>
                  <w:shd w:val="clear" w:color="auto" w:fill="auto"/>
                  <w:vAlign w:val="center"/>
                </w:tcPr>
                <w:p w14:paraId="2FEEC9D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洗砂细砂回收一体机</w:t>
                  </w:r>
                </w:p>
              </w:tc>
              <w:tc>
                <w:tcPr>
                  <w:tcW w:w="1043" w:type="dxa"/>
                  <w:vMerge w:val="restart"/>
                  <w:shd w:val="clear" w:color="auto" w:fill="auto"/>
                  <w:vAlign w:val="center"/>
                </w:tcPr>
                <w:p w14:paraId="76C2A52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85</w:t>
                  </w:r>
                </w:p>
              </w:tc>
              <w:tc>
                <w:tcPr>
                  <w:tcW w:w="756" w:type="dxa"/>
                  <w:vMerge w:val="restart"/>
                  <w:shd w:val="clear" w:color="auto" w:fill="auto"/>
                  <w:vAlign w:val="center"/>
                </w:tcPr>
                <w:p w14:paraId="2446DE2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86.9</w:t>
                  </w:r>
                </w:p>
              </w:tc>
              <w:tc>
                <w:tcPr>
                  <w:tcW w:w="0" w:type="auto"/>
                  <w:vMerge w:val="restart"/>
                  <w:shd w:val="clear" w:color="auto" w:fill="auto"/>
                  <w:vAlign w:val="center"/>
                </w:tcPr>
                <w:p w14:paraId="4DC44F5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-26.81</w:t>
                  </w:r>
                </w:p>
              </w:tc>
              <w:tc>
                <w:tcPr>
                  <w:tcW w:w="486" w:type="dxa"/>
                  <w:vMerge w:val="restart"/>
                  <w:shd w:val="clear" w:color="auto" w:fill="auto"/>
                  <w:vAlign w:val="center"/>
                </w:tcPr>
                <w:p w14:paraId="7F255F2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57C12A9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288CF78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70.46</w:t>
                  </w:r>
                </w:p>
              </w:tc>
              <w:tc>
                <w:tcPr>
                  <w:tcW w:w="0" w:type="auto"/>
                  <w:shd w:val="clear" w:color="auto" w:fill="auto"/>
                  <w:vAlign w:val="center"/>
                </w:tcPr>
                <w:p w14:paraId="43016AE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60.34</w:t>
                  </w:r>
                </w:p>
              </w:tc>
              <w:tc>
                <w:tcPr>
                  <w:tcW w:w="671" w:type="dxa"/>
                  <w:vMerge w:val="continue"/>
                  <w:shd w:val="clear" w:color="auto" w:fill="auto"/>
                  <w:vAlign w:val="center"/>
                </w:tcPr>
                <w:p w14:paraId="286F3733">
                  <w:pPr>
                    <w:pStyle w:val="46"/>
                    <w:rPr>
                      <w:color w:val="000000" w:themeColor="text1"/>
                      <w14:textFill>
                        <w14:solidFill>
                          <w14:schemeClr w14:val="tx1"/>
                        </w14:solidFill>
                      </w14:textFill>
                    </w:rPr>
                  </w:pPr>
                </w:p>
              </w:tc>
              <w:tc>
                <w:tcPr>
                  <w:tcW w:w="1376" w:type="dxa"/>
                  <w:vMerge w:val="continue"/>
                  <w:shd w:val="clear" w:color="auto" w:fill="auto"/>
                  <w:vAlign w:val="center"/>
                </w:tcPr>
                <w:p w14:paraId="4DA56F1A">
                  <w:pPr>
                    <w:pStyle w:val="46"/>
                    <w:rPr>
                      <w:color w:val="000000" w:themeColor="text1"/>
                      <w14:textFill>
                        <w14:solidFill>
                          <w14:schemeClr w14:val="tx1"/>
                        </w14:solidFill>
                      </w14:textFill>
                    </w:rPr>
                  </w:pPr>
                </w:p>
              </w:tc>
              <w:tc>
                <w:tcPr>
                  <w:tcW w:w="1024" w:type="dxa"/>
                  <w:shd w:val="clear" w:color="auto" w:fill="auto"/>
                  <w:vAlign w:val="bottom"/>
                </w:tcPr>
                <w:p w14:paraId="5EA40E8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29.34</w:t>
                  </w:r>
                </w:p>
              </w:tc>
              <w:tc>
                <w:tcPr>
                  <w:tcW w:w="857" w:type="dxa"/>
                  <w:shd w:val="clear" w:color="auto" w:fill="auto"/>
                  <w:vAlign w:val="center"/>
                </w:tcPr>
                <w:p w14:paraId="56CE92A8">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080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36EDF4E3">
                  <w:pPr>
                    <w:pStyle w:val="46"/>
                    <w:rPr>
                      <w:color w:val="000000" w:themeColor="text1"/>
                      <w14:textFill>
                        <w14:solidFill>
                          <w14:schemeClr w14:val="tx1"/>
                        </w14:solidFill>
                      </w14:textFill>
                    </w:rPr>
                  </w:pPr>
                </w:p>
              </w:tc>
              <w:tc>
                <w:tcPr>
                  <w:tcW w:w="670" w:type="dxa"/>
                  <w:vMerge w:val="continue"/>
                  <w:shd w:val="clear" w:color="auto" w:fill="auto"/>
                  <w:vAlign w:val="center"/>
                </w:tcPr>
                <w:p w14:paraId="61D88AD8">
                  <w:pPr>
                    <w:pStyle w:val="46"/>
                    <w:rPr>
                      <w:color w:val="000000" w:themeColor="text1"/>
                      <w14:textFill>
                        <w14:solidFill>
                          <w14:schemeClr w14:val="tx1"/>
                        </w14:solidFill>
                      </w14:textFill>
                    </w:rPr>
                  </w:pPr>
                </w:p>
              </w:tc>
              <w:tc>
                <w:tcPr>
                  <w:tcW w:w="0" w:type="auto"/>
                  <w:vMerge w:val="continue"/>
                  <w:shd w:val="clear" w:color="auto" w:fill="auto"/>
                  <w:vAlign w:val="center"/>
                </w:tcPr>
                <w:p w14:paraId="4B536D44">
                  <w:pPr>
                    <w:pStyle w:val="46"/>
                    <w:rPr>
                      <w:color w:val="000000" w:themeColor="text1"/>
                      <w14:textFill>
                        <w14:solidFill>
                          <w14:schemeClr w14:val="tx1"/>
                        </w14:solidFill>
                      </w14:textFill>
                    </w:rPr>
                  </w:pPr>
                </w:p>
              </w:tc>
              <w:tc>
                <w:tcPr>
                  <w:tcW w:w="1043" w:type="dxa"/>
                  <w:vMerge w:val="continue"/>
                  <w:shd w:val="clear" w:color="auto" w:fill="auto"/>
                  <w:vAlign w:val="center"/>
                </w:tcPr>
                <w:p w14:paraId="5A9399A6">
                  <w:pPr>
                    <w:pStyle w:val="46"/>
                    <w:rPr>
                      <w:color w:val="000000" w:themeColor="text1"/>
                      <w14:textFill>
                        <w14:solidFill>
                          <w14:schemeClr w14:val="tx1"/>
                        </w14:solidFill>
                      </w14:textFill>
                    </w:rPr>
                  </w:pPr>
                </w:p>
              </w:tc>
              <w:tc>
                <w:tcPr>
                  <w:tcW w:w="756" w:type="dxa"/>
                  <w:vMerge w:val="continue"/>
                  <w:shd w:val="clear" w:color="auto" w:fill="auto"/>
                  <w:vAlign w:val="center"/>
                </w:tcPr>
                <w:p w14:paraId="6B7A6E3D">
                  <w:pPr>
                    <w:pStyle w:val="46"/>
                    <w:rPr>
                      <w:color w:val="000000" w:themeColor="text1"/>
                      <w14:textFill>
                        <w14:solidFill>
                          <w14:schemeClr w14:val="tx1"/>
                        </w14:solidFill>
                      </w14:textFill>
                    </w:rPr>
                  </w:pPr>
                </w:p>
              </w:tc>
              <w:tc>
                <w:tcPr>
                  <w:tcW w:w="0" w:type="auto"/>
                  <w:vMerge w:val="continue"/>
                  <w:shd w:val="clear" w:color="auto" w:fill="auto"/>
                  <w:vAlign w:val="center"/>
                </w:tcPr>
                <w:p w14:paraId="52E3FA71">
                  <w:pPr>
                    <w:pStyle w:val="46"/>
                    <w:rPr>
                      <w:color w:val="000000" w:themeColor="text1"/>
                      <w14:textFill>
                        <w14:solidFill>
                          <w14:schemeClr w14:val="tx1"/>
                        </w14:solidFill>
                      </w14:textFill>
                    </w:rPr>
                  </w:pPr>
                </w:p>
              </w:tc>
              <w:tc>
                <w:tcPr>
                  <w:tcW w:w="486" w:type="dxa"/>
                  <w:vMerge w:val="continue"/>
                  <w:shd w:val="clear" w:color="auto" w:fill="auto"/>
                  <w:vAlign w:val="center"/>
                </w:tcPr>
                <w:p w14:paraId="0F0BAAA1">
                  <w:pPr>
                    <w:pStyle w:val="46"/>
                    <w:rPr>
                      <w:color w:val="000000" w:themeColor="text1"/>
                      <w14:textFill>
                        <w14:solidFill>
                          <w14:schemeClr w14:val="tx1"/>
                        </w14:solidFill>
                      </w14:textFill>
                    </w:rPr>
                  </w:pPr>
                </w:p>
              </w:tc>
              <w:tc>
                <w:tcPr>
                  <w:tcW w:w="493" w:type="dxa"/>
                  <w:shd w:val="clear" w:color="auto" w:fill="auto"/>
                  <w:vAlign w:val="center"/>
                </w:tcPr>
                <w:p w14:paraId="4D9D9357">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312A5AE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40.5</w:t>
                  </w:r>
                </w:p>
              </w:tc>
              <w:tc>
                <w:tcPr>
                  <w:tcW w:w="0" w:type="auto"/>
                  <w:shd w:val="clear" w:color="auto" w:fill="auto"/>
                  <w:vAlign w:val="center"/>
                </w:tcPr>
                <w:p w14:paraId="40EF2CA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60.38</w:t>
                  </w:r>
                </w:p>
              </w:tc>
              <w:tc>
                <w:tcPr>
                  <w:tcW w:w="671" w:type="dxa"/>
                  <w:vMerge w:val="continue"/>
                  <w:shd w:val="clear" w:color="auto" w:fill="auto"/>
                  <w:vAlign w:val="center"/>
                </w:tcPr>
                <w:p w14:paraId="32902A54">
                  <w:pPr>
                    <w:pStyle w:val="46"/>
                    <w:rPr>
                      <w:color w:val="000000" w:themeColor="text1"/>
                      <w14:textFill>
                        <w14:solidFill>
                          <w14:schemeClr w14:val="tx1"/>
                        </w14:solidFill>
                      </w14:textFill>
                    </w:rPr>
                  </w:pPr>
                </w:p>
              </w:tc>
              <w:tc>
                <w:tcPr>
                  <w:tcW w:w="1376" w:type="dxa"/>
                  <w:vMerge w:val="continue"/>
                  <w:shd w:val="clear" w:color="auto" w:fill="auto"/>
                  <w:vAlign w:val="center"/>
                </w:tcPr>
                <w:p w14:paraId="5FB4AC6F">
                  <w:pPr>
                    <w:pStyle w:val="46"/>
                    <w:rPr>
                      <w:color w:val="000000" w:themeColor="text1"/>
                      <w14:textFill>
                        <w14:solidFill>
                          <w14:schemeClr w14:val="tx1"/>
                        </w14:solidFill>
                      </w14:textFill>
                    </w:rPr>
                  </w:pPr>
                </w:p>
              </w:tc>
              <w:tc>
                <w:tcPr>
                  <w:tcW w:w="1024" w:type="dxa"/>
                  <w:shd w:val="clear" w:color="auto" w:fill="auto"/>
                  <w:vAlign w:val="bottom"/>
                </w:tcPr>
                <w:p w14:paraId="314808F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29.38</w:t>
                  </w:r>
                </w:p>
              </w:tc>
              <w:tc>
                <w:tcPr>
                  <w:tcW w:w="857" w:type="dxa"/>
                  <w:shd w:val="clear" w:color="auto" w:fill="auto"/>
                  <w:vAlign w:val="center"/>
                </w:tcPr>
                <w:p w14:paraId="338C17F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DB1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6BDA11D6">
                  <w:pPr>
                    <w:pStyle w:val="46"/>
                    <w:rPr>
                      <w:color w:val="000000" w:themeColor="text1"/>
                      <w14:textFill>
                        <w14:solidFill>
                          <w14:schemeClr w14:val="tx1"/>
                        </w14:solidFill>
                      </w14:textFill>
                    </w:rPr>
                  </w:pPr>
                </w:p>
              </w:tc>
              <w:tc>
                <w:tcPr>
                  <w:tcW w:w="670" w:type="dxa"/>
                  <w:vMerge w:val="continue"/>
                  <w:shd w:val="clear" w:color="auto" w:fill="auto"/>
                  <w:vAlign w:val="center"/>
                </w:tcPr>
                <w:p w14:paraId="27EB41A5">
                  <w:pPr>
                    <w:pStyle w:val="46"/>
                    <w:rPr>
                      <w:color w:val="000000" w:themeColor="text1"/>
                      <w14:textFill>
                        <w14:solidFill>
                          <w14:schemeClr w14:val="tx1"/>
                        </w14:solidFill>
                      </w14:textFill>
                    </w:rPr>
                  </w:pPr>
                </w:p>
              </w:tc>
              <w:tc>
                <w:tcPr>
                  <w:tcW w:w="0" w:type="auto"/>
                  <w:vMerge w:val="continue"/>
                  <w:shd w:val="clear" w:color="auto" w:fill="auto"/>
                  <w:vAlign w:val="center"/>
                </w:tcPr>
                <w:p w14:paraId="07421702">
                  <w:pPr>
                    <w:pStyle w:val="46"/>
                    <w:rPr>
                      <w:color w:val="000000" w:themeColor="text1"/>
                      <w14:textFill>
                        <w14:solidFill>
                          <w14:schemeClr w14:val="tx1"/>
                        </w14:solidFill>
                      </w14:textFill>
                    </w:rPr>
                  </w:pPr>
                </w:p>
              </w:tc>
              <w:tc>
                <w:tcPr>
                  <w:tcW w:w="1043" w:type="dxa"/>
                  <w:vMerge w:val="continue"/>
                  <w:shd w:val="clear" w:color="auto" w:fill="auto"/>
                  <w:vAlign w:val="center"/>
                </w:tcPr>
                <w:p w14:paraId="0D7966D2">
                  <w:pPr>
                    <w:pStyle w:val="46"/>
                    <w:rPr>
                      <w:color w:val="000000" w:themeColor="text1"/>
                      <w14:textFill>
                        <w14:solidFill>
                          <w14:schemeClr w14:val="tx1"/>
                        </w14:solidFill>
                      </w14:textFill>
                    </w:rPr>
                  </w:pPr>
                </w:p>
              </w:tc>
              <w:tc>
                <w:tcPr>
                  <w:tcW w:w="756" w:type="dxa"/>
                  <w:vMerge w:val="continue"/>
                  <w:shd w:val="clear" w:color="auto" w:fill="auto"/>
                  <w:vAlign w:val="center"/>
                </w:tcPr>
                <w:p w14:paraId="056A3785">
                  <w:pPr>
                    <w:pStyle w:val="46"/>
                    <w:rPr>
                      <w:color w:val="000000" w:themeColor="text1"/>
                      <w14:textFill>
                        <w14:solidFill>
                          <w14:schemeClr w14:val="tx1"/>
                        </w14:solidFill>
                      </w14:textFill>
                    </w:rPr>
                  </w:pPr>
                </w:p>
              </w:tc>
              <w:tc>
                <w:tcPr>
                  <w:tcW w:w="0" w:type="auto"/>
                  <w:vMerge w:val="continue"/>
                  <w:shd w:val="clear" w:color="auto" w:fill="auto"/>
                  <w:vAlign w:val="center"/>
                </w:tcPr>
                <w:p w14:paraId="56E0A9C1">
                  <w:pPr>
                    <w:pStyle w:val="46"/>
                    <w:rPr>
                      <w:color w:val="000000" w:themeColor="text1"/>
                      <w14:textFill>
                        <w14:solidFill>
                          <w14:schemeClr w14:val="tx1"/>
                        </w14:solidFill>
                      </w14:textFill>
                    </w:rPr>
                  </w:pPr>
                </w:p>
              </w:tc>
              <w:tc>
                <w:tcPr>
                  <w:tcW w:w="486" w:type="dxa"/>
                  <w:vMerge w:val="continue"/>
                  <w:shd w:val="clear" w:color="auto" w:fill="auto"/>
                  <w:vAlign w:val="center"/>
                </w:tcPr>
                <w:p w14:paraId="03DD330C">
                  <w:pPr>
                    <w:pStyle w:val="46"/>
                    <w:rPr>
                      <w:color w:val="000000" w:themeColor="text1"/>
                      <w14:textFill>
                        <w14:solidFill>
                          <w14:schemeClr w14:val="tx1"/>
                        </w14:solidFill>
                      </w14:textFill>
                    </w:rPr>
                  </w:pPr>
                </w:p>
              </w:tc>
              <w:tc>
                <w:tcPr>
                  <w:tcW w:w="493" w:type="dxa"/>
                  <w:shd w:val="clear" w:color="auto" w:fill="auto"/>
                  <w:vAlign w:val="center"/>
                </w:tcPr>
                <w:p w14:paraId="57FC165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7CF216A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199</w:t>
                  </w:r>
                </w:p>
              </w:tc>
              <w:tc>
                <w:tcPr>
                  <w:tcW w:w="0" w:type="auto"/>
                  <w:shd w:val="clear" w:color="auto" w:fill="auto"/>
                  <w:vAlign w:val="center"/>
                </w:tcPr>
                <w:p w14:paraId="6E5B884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488767C1">
                  <w:pPr>
                    <w:pStyle w:val="46"/>
                    <w:rPr>
                      <w:color w:val="000000" w:themeColor="text1"/>
                      <w14:textFill>
                        <w14:solidFill>
                          <w14:schemeClr w14:val="tx1"/>
                        </w14:solidFill>
                      </w14:textFill>
                    </w:rPr>
                  </w:pPr>
                </w:p>
              </w:tc>
              <w:tc>
                <w:tcPr>
                  <w:tcW w:w="1376" w:type="dxa"/>
                  <w:vMerge w:val="continue"/>
                  <w:shd w:val="clear" w:color="auto" w:fill="auto"/>
                  <w:vAlign w:val="center"/>
                </w:tcPr>
                <w:p w14:paraId="0DA422DF">
                  <w:pPr>
                    <w:pStyle w:val="46"/>
                    <w:rPr>
                      <w:color w:val="000000" w:themeColor="text1"/>
                      <w14:textFill>
                        <w14:solidFill>
                          <w14:schemeClr w14:val="tx1"/>
                        </w14:solidFill>
                      </w14:textFill>
                    </w:rPr>
                  </w:pPr>
                </w:p>
              </w:tc>
              <w:tc>
                <w:tcPr>
                  <w:tcW w:w="1024" w:type="dxa"/>
                  <w:shd w:val="clear" w:color="auto" w:fill="auto"/>
                  <w:vAlign w:val="bottom"/>
                </w:tcPr>
                <w:p w14:paraId="6CDA6AA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12395D03">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ED1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0" w:type="auto"/>
                  <w:vMerge w:val="continue"/>
                  <w:shd w:val="clear" w:color="auto" w:fill="auto"/>
                  <w:vAlign w:val="center"/>
                </w:tcPr>
                <w:p w14:paraId="6D772866">
                  <w:pPr>
                    <w:pStyle w:val="46"/>
                    <w:rPr>
                      <w:color w:val="000000" w:themeColor="text1"/>
                      <w14:textFill>
                        <w14:solidFill>
                          <w14:schemeClr w14:val="tx1"/>
                        </w14:solidFill>
                      </w14:textFill>
                    </w:rPr>
                  </w:pPr>
                </w:p>
              </w:tc>
              <w:tc>
                <w:tcPr>
                  <w:tcW w:w="670" w:type="dxa"/>
                  <w:vMerge w:val="continue"/>
                  <w:shd w:val="clear" w:color="auto" w:fill="auto"/>
                  <w:vAlign w:val="center"/>
                </w:tcPr>
                <w:p w14:paraId="0F55BE61">
                  <w:pPr>
                    <w:pStyle w:val="46"/>
                    <w:rPr>
                      <w:color w:val="000000" w:themeColor="text1"/>
                      <w14:textFill>
                        <w14:solidFill>
                          <w14:schemeClr w14:val="tx1"/>
                        </w14:solidFill>
                      </w14:textFill>
                    </w:rPr>
                  </w:pPr>
                </w:p>
              </w:tc>
              <w:tc>
                <w:tcPr>
                  <w:tcW w:w="0" w:type="auto"/>
                  <w:vMerge w:val="continue"/>
                  <w:shd w:val="clear" w:color="auto" w:fill="auto"/>
                  <w:vAlign w:val="center"/>
                </w:tcPr>
                <w:p w14:paraId="67754350">
                  <w:pPr>
                    <w:pStyle w:val="46"/>
                    <w:rPr>
                      <w:color w:val="000000" w:themeColor="text1"/>
                      <w14:textFill>
                        <w14:solidFill>
                          <w14:schemeClr w14:val="tx1"/>
                        </w14:solidFill>
                      </w14:textFill>
                    </w:rPr>
                  </w:pPr>
                </w:p>
              </w:tc>
              <w:tc>
                <w:tcPr>
                  <w:tcW w:w="1043" w:type="dxa"/>
                  <w:vMerge w:val="continue"/>
                  <w:shd w:val="clear" w:color="auto" w:fill="auto"/>
                  <w:vAlign w:val="center"/>
                </w:tcPr>
                <w:p w14:paraId="18A4371F">
                  <w:pPr>
                    <w:pStyle w:val="46"/>
                    <w:rPr>
                      <w:color w:val="000000" w:themeColor="text1"/>
                      <w14:textFill>
                        <w14:solidFill>
                          <w14:schemeClr w14:val="tx1"/>
                        </w14:solidFill>
                      </w14:textFill>
                    </w:rPr>
                  </w:pPr>
                </w:p>
              </w:tc>
              <w:tc>
                <w:tcPr>
                  <w:tcW w:w="756" w:type="dxa"/>
                  <w:vMerge w:val="continue"/>
                  <w:shd w:val="clear" w:color="auto" w:fill="auto"/>
                  <w:vAlign w:val="center"/>
                </w:tcPr>
                <w:p w14:paraId="6EE358AE">
                  <w:pPr>
                    <w:pStyle w:val="46"/>
                    <w:rPr>
                      <w:color w:val="000000" w:themeColor="text1"/>
                      <w14:textFill>
                        <w14:solidFill>
                          <w14:schemeClr w14:val="tx1"/>
                        </w14:solidFill>
                      </w14:textFill>
                    </w:rPr>
                  </w:pPr>
                </w:p>
              </w:tc>
              <w:tc>
                <w:tcPr>
                  <w:tcW w:w="0" w:type="auto"/>
                  <w:vMerge w:val="continue"/>
                  <w:shd w:val="clear" w:color="auto" w:fill="auto"/>
                  <w:vAlign w:val="center"/>
                </w:tcPr>
                <w:p w14:paraId="22CE02CC">
                  <w:pPr>
                    <w:pStyle w:val="46"/>
                    <w:rPr>
                      <w:color w:val="000000" w:themeColor="text1"/>
                      <w14:textFill>
                        <w14:solidFill>
                          <w14:schemeClr w14:val="tx1"/>
                        </w14:solidFill>
                      </w14:textFill>
                    </w:rPr>
                  </w:pPr>
                </w:p>
              </w:tc>
              <w:tc>
                <w:tcPr>
                  <w:tcW w:w="486" w:type="dxa"/>
                  <w:vMerge w:val="continue"/>
                  <w:shd w:val="clear" w:color="auto" w:fill="auto"/>
                  <w:vAlign w:val="center"/>
                </w:tcPr>
                <w:p w14:paraId="544E220D">
                  <w:pPr>
                    <w:pStyle w:val="46"/>
                    <w:rPr>
                      <w:color w:val="000000" w:themeColor="text1"/>
                      <w14:textFill>
                        <w14:solidFill>
                          <w14:schemeClr w14:val="tx1"/>
                        </w14:solidFill>
                      </w14:textFill>
                    </w:rPr>
                  </w:pPr>
                </w:p>
              </w:tc>
              <w:tc>
                <w:tcPr>
                  <w:tcW w:w="493" w:type="dxa"/>
                  <w:shd w:val="clear" w:color="auto" w:fill="auto"/>
                  <w:vAlign w:val="center"/>
                </w:tcPr>
                <w:p w14:paraId="547D33AC">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62343D5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137.89</w:t>
                  </w:r>
                </w:p>
              </w:tc>
              <w:tc>
                <w:tcPr>
                  <w:tcW w:w="0" w:type="auto"/>
                  <w:shd w:val="clear" w:color="auto" w:fill="auto"/>
                  <w:vAlign w:val="center"/>
                </w:tcPr>
                <w:p w14:paraId="092286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60.32</w:t>
                  </w:r>
                </w:p>
              </w:tc>
              <w:tc>
                <w:tcPr>
                  <w:tcW w:w="671" w:type="dxa"/>
                  <w:vMerge w:val="continue"/>
                  <w:shd w:val="clear" w:color="auto" w:fill="auto"/>
                  <w:vAlign w:val="center"/>
                </w:tcPr>
                <w:p w14:paraId="0C9A4FE6">
                  <w:pPr>
                    <w:pStyle w:val="46"/>
                    <w:rPr>
                      <w:color w:val="000000" w:themeColor="text1"/>
                      <w14:textFill>
                        <w14:solidFill>
                          <w14:schemeClr w14:val="tx1"/>
                        </w14:solidFill>
                      </w14:textFill>
                    </w:rPr>
                  </w:pPr>
                </w:p>
              </w:tc>
              <w:tc>
                <w:tcPr>
                  <w:tcW w:w="1376" w:type="dxa"/>
                  <w:vMerge w:val="continue"/>
                  <w:shd w:val="clear" w:color="auto" w:fill="auto"/>
                  <w:vAlign w:val="center"/>
                </w:tcPr>
                <w:p w14:paraId="16F7F3D6">
                  <w:pPr>
                    <w:pStyle w:val="46"/>
                    <w:rPr>
                      <w:color w:val="000000" w:themeColor="text1"/>
                      <w14:textFill>
                        <w14:solidFill>
                          <w14:schemeClr w14:val="tx1"/>
                        </w14:solidFill>
                      </w14:textFill>
                    </w:rPr>
                  </w:pPr>
                </w:p>
              </w:tc>
              <w:tc>
                <w:tcPr>
                  <w:tcW w:w="1024" w:type="dxa"/>
                  <w:shd w:val="clear" w:color="auto" w:fill="auto"/>
                  <w:vAlign w:val="bottom"/>
                </w:tcPr>
                <w:p w14:paraId="415224F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29.32</w:t>
                  </w:r>
                </w:p>
              </w:tc>
              <w:tc>
                <w:tcPr>
                  <w:tcW w:w="857" w:type="dxa"/>
                  <w:shd w:val="clear" w:color="auto" w:fill="auto"/>
                  <w:vAlign w:val="center"/>
                </w:tcPr>
                <w:p w14:paraId="07602758">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437B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restart"/>
                  <w:shd w:val="clear" w:color="auto" w:fill="auto"/>
                  <w:vAlign w:val="center"/>
                </w:tcPr>
                <w:p w14:paraId="28DA9B9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670" w:type="dxa"/>
                  <w:vMerge w:val="continue"/>
                  <w:shd w:val="clear" w:color="auto" w:fill="auto"/>
                  <w:vAlign w:val="center"/>
                </w:tcPr>
                <w:p w14:paraId="6590702F">
                  <w:pPr>
                    <w:pStyle w:val="46"/>
                    <w:rPr>
                      <w:color w:val="000000" w:themeColor="text1"/>
                      <w14:textFill>
                        <w14:solidFill>
                          <w14:schemeClr w14:val="tx1"/>
                        </w14:solidFill>
                      </w14:textFill>
                    </w:rPr>
                  </w:pPr>
                </w:p>
              </w:tc>
              <w:tc>
                <w:tcPr>
                  <w:tcW w:w="2642" w:type="dxa"/>
                  <w:vMerge w:val="restart"/>
                  <w:shd w:val="clear" w:color="auto" w:fill="auto"/>
                  <w:vAlign w:val="center"/>
                </w:tcPr>
                <w:p w14:paraId="712CA3F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1#液压厢式压滤机</w:t>
                  </w:r>
                </w:p>
              </w:tc>
              <w:tc>
                <w:tcPr>
                  <w:tcW w:w="1043" w:type="dxa"/>
                  <w:vMerge w:val="restart"/>
                  <w:shd w:val="clear" w:color="auto" w:fill="auto"/>
                  <w:vAlign w:val="center"/>
                </w:tcPr>
                <w:p w14:paraId="589B6CA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5DA55EB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80.81</w:t>
                  </w:r>
                </w:p>
              </w:tc>
              <w:tc>
                <w:tcPr>
                  <w:tcW w:w="759" w:type="dxa"/>
                  <w:vMerge w:val="restart"/>
                  <w:shd w:val="clear" w:color="auto" w:fill="auto"/>
                  <w:vAlign w:val="center"/>
                </w:tcPr>
                <w:p w14:paraId="2C2ECC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-29.84</w:t>
                  </w:r>
                </w:p>
              </w:tc>
              <w:tc>
                <w:tcPr>
                  <w:tcW w:w="486" w:type="dxa"/>
                  <w:vMerge w:val="restart"/>
                  <w:shd w:val="clear" w:color="auto" w:fill="auto"/>
                  <w:vAlign w:val="center"/>
                </w:tcPr>
                <w:p w14:paraId="1A738A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5DA0820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71A9698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69.76</w:t>
                  </w:r>
                </w:p>
              </w:tc>
              <w:tc>
                <w:tcPr>
                  <w:tcW w:w="0" w:type="auto"/>
                  <w:shd w:val="clear" w:color="auto" w:fill="auto"/>
                  <w:vAlign w:val="center"/>
                </w:tcPr>
                <w:p w14:paraId="0B41A30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55.34</w:t>
                  </w:r>
                </w:p>
              </w:tc>
              <w:tc>
                <w:tcPr>
                  <w:tcW w:w="671" w:type="dxa"/>
                  <w:vMerge w:val="continue"/>
                  <w:shd w:val="clear" w:color="auto" w:fill="auto"/>
                  <w:vAlign w:val="center"/>
                </w:tcPr>
                <w:p w14:paraId="70190941">
                  <w:pPr>
                    <w:pStyle w:val="46"/>
                    <w:rPr>
                      <w:color w:val="000000" w:themeColor="text1"/>
                      <w14:textFill>
                        <w14:solidFill>
                          <w14:schemeClr w14:val="tx1"/>
                        </w14:solidFill>
                      </w14:textFill>
                    </w:rPr>
                  </w:pPr>
                </w:p>
              </w:tc>
              <w:tc>
                <w:tcPr>
                  <w:tcW w:w="1376" w:type="dxa"/>
                  <w:vMerge w:val="continue"/>
                  <w:shd w:val="clear" w:color="auto" w:fill="auto"/>
                  <w:vAlign w:val="center"/>
                </w:tcPr>
                <w:p w14:paraId="0B84F329">
                  <w:pPr>
                    <w:pStyle w:val="46"/>
                    <w:rPr>
                      <w:color w:val="000000" w:themeColor="text1"/>
                      <w14:textFill>
                        <w14:solidFill>
                          <w14:schemeClr w14:val="tx1"/>
                        </w14:solidFill>
                      </w14:textFill>
                    </w:rPr>
                  </w:pPr>
                </w:p>
              </w:tc>
              <w:tc>
                <w:tcPr>
                  <w:tcW w:w="1024" w:type="dxa"/>
                  <w:shd w:val="clear" w:color="auto" w:fill="auto"/>
                  <w:vAlign w:val="bottom"/>
                </w:tcPr>
                <w:p w14:paraId="067118C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24.34</w:t>
                  </w:r>
                </w:p>
              </w:tc>
              <w:tc>
                <w:tcPr>
                  <w:tcW w:w="857" w:type="dxa"/>
                  <w:shd w:val="clear" w:color="auto" w:fill="auto"/>
                  <w:vAlign w:val="center"/>
                </w:tcPr>
                <w:p w14:paraId="3BD05C91">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7A056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03F67E9E">
                  <w:pPr>
                    <w:pStyle w:val="46"/>
                    <w:rPr>
                      <w:color w:val="000000" w:themeColor="text1"/>
                      <w14:textFill>
                        <w14:solidFill>
                          <w14:schemeClr w14:val="tx1"/>
                        </w14:solidFill>
                      </w14:textFill>
                    </w:rPr>
                  </w:pPr>
                </w:p>
              </w:tc>
              <w:tc>
                <w:tcPr>
                  <w:tcW w:w="670" w:type="dxa"/>
                  <w:vMerge w:val="continue"/>
                  <w:shd w:val="clear" w:color="auto" w:fill="auto"/>
                  <w:vAlign w:val="center"/>
                </w:tcPr>
                <w:p w14:paraId="22641BC9">
                  <w:pPr>
                    <w:pStyle w:val="46"/>
                    <w:rPr>
                      <w:color w:val="000000" w:themeColor="text1"/>
                      <w14:textFill>
                        <w14:solidFill>
                          <w14:schemeClr w14:val="tx1"/>
                        </w14:solidFill>
                      </w14:textFill>
                    </w:rPr>
                  </w:pPr>
                </w:p>
              </w:tc>
              <w:tc>
                <w:tcPr>
                  <w:tcW w:w="2642" w:type="dxa"/>
                  <w:vMerge w:val="continue"/>
                  <w:shd w:val="clear" w:color="auto" w:fill="auto"/>
                  <w:vAlign w:val="center"/>
                </w:tcPr>
                <w:p w14:paraId="758AC42F">
                  <w:pPr>
                    <w:pStyle w:val="46"/>
                    <w:rPr>
                      <w:color w:val="000000" w:themeColor="text1"/>
                      <w14:textFill>
                        <w14:solidFill>
                          <w14:schemeClr w14:val="tx1"/>
                        </w14:solidFill>
                      </w14:textFill>
                    </w:rPr>
                  </w:pPr>
                </w:p>
              </w:tc>
              <w:tc>
                <w:tcPr>
                  <w:tcW w:w="1043" w:type="dxa"/>
                  <w:vMerge w:val="continue"/>
                  <w:shd w:val="clear" w:color="auto" w:fill="auto"/>
                  <w:vAlign w:val="center"/>
                </w:tcPr>
                <w:p w14:paraId="67953AEE">
                  <w:pPr>
                    <w:pStyle w:val="46"/>
                    <w:rPr>
                      <w:color w:val="000000" w:themeColor="text1"/>
                      <w14:textFill>
                        <w14:solidFill>
                          <w14:schemeClr w14:val="tx1"/>
                        </w14:solidFill>
                      </w14:textFill>
                    </w:rPr>
                  </w:pPr>
                </w:p>
              </w:tc>
              <w:tc>
                <w:tcPr>
                  <w:tcW w:w="756" w:type="dxa"/>
                  <w:vMerge w:val="continue"/>
                  <w:shd w:val="clear" w:color="auto" w:fill="auto"/>
                  <w:vAlign w:val="center"/>
                </w:tcPr>
                <w:p w14:paraId="6302A00A">
                  <w:pPr>
                    <w:pStyle w:val="46"/>
                    <w:rPr>
                      <w:color w:val="000000" w:themeColor="text1"/>
                      <w14:textFill>
                        <w14:solidFill>
                          <w14:schemeClr w14:val="tx1"/>
                        </w14:solidFill>
                      </w14:textFill>
                    </w:rPr>
                  </w:pPr>
                </w:p>
              </w:tc>
              <w:tc>
                <w:tcPr>
                  <w:tcW w:w="759" w:type="dxa"/>
                  <w:vMerge w:val="continue"/>
                  <w:shd w:val="clear" w:color="auto" w:fill="auto"/>
                  <w:vAlign w:val="center"/>
                </w:tcPr>
                <w:p w14:paraId="76C288D4">
                  <w:pPr>
                    <w:pStyle w:val="46"/>
                    <w:rPr>
                      <w:color w:val="000000" w:themeColor="text1"/>
                      <w14:textFill>
                        <w14:solidFill>
                          <w14:schemeClr w14:val="tx1"/>
                        </w14:solidFill>
                      </w14:textFill>
                    </w:rPr>
                  </w:pPr>
                </w:p>
              </w:tc>
              <w:tc>
                <w:tcPr>
                  <w:tcW w:w="486" w:type="dxa"/>
                  <w:vMerge w:val="continue"/>
                  <w:shd w:val="clear" w:color="auto" w:fill="auto"/>
                  <w:vAlign w:val="center"/>
                </w:tcPr>
                <w:p w14:paraId="20082E1F">
                  <w:pPr>
                    <w:pStyle w:val="46"/>
                    <w:rPr>
                      <w:color w:val="000000" w:themeColor="text1"/>
                      <w14:textFill>
                        <w14:solidFill>
                          <w14:schemeClr w14:val="tx1"/>
                        </w14:solidFill>
                      </w14:textFill>
                    </w:rPr>
                  </w:pPr>
                </w:p>
              </w:tc>
              <w:tc>
                <w:tcPr>
                  <w:tcW w:w="493" w:type="dxa"/>
                  <w:shd w:val="clear" w:color="auto" w:fill="auto"/>
                  <w:vAlign w:val="center"/>
                </w:tcPr>
                <w:p w14:paraId="74DE0D89">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05BA3C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34.11</w:t>
                  </w:r>
                </w:p>
              </w:tc>
              <w:tc>
                <w:tcPr>
                  <w:tcW w:w="0" w:type="auto"/>
                  <w:shd w:val="clear" w:color="auto" w:fill="auto"/>
                  <w:vAlign w:val="center"/>
                </w:tcPr>
                <w:p w14:paraId="54AC0A2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55.40</w:t>
                  </w:r>
                </w:p>
              </w:tc>
              <w:tc>
                <w:tcPr>
                  <w:tcW w:w="671" w:type="dxa"/>
                  <w:vMerge w:val="continue"/>
                  <w:shd w:val="clear" w:color="auto" w:fill="auto"/>
                  <w:vAlign w:val="center"/>
                </w:tcPr>
                <w:p w14:paraId="670EE9C9">
                  <w:pPr>
                    <w:pStyle w:val="46"/>
                    <w:rPr>
                      <w:color w:val="000000" w:themeColor="text1"/>
                      <w14:textFill>
                        <w14:solidFill>
                          <w14:schemeClr w14:val="tx1"/>
                        </w14:solidFill>
                      </w14:textFill>
                    </w:rPr>
                  </w:pPr>
                </w:p>
              </w:tc>
              <w:tc>
                <w:tcPr>
                  <w:tcW w:w="1376" w:type="dxa"/>
                  <w:vMerge w:val="continue"/>
                  <w:shd w:val="clear" w:color="auto" w:fill="auto"/>
                  <w:vAlign w:val="center"/>
                </w:tcPr>
                <w:p w14:paraId="422BBFE0">
                  <w:pPr>
                    <w:pStyle w:val="46"/>
                    <w:rPr>
                      <w:color w:val="000000" w:themeColor="text1"/>
                      <w14:textFill>
                        <w14:solidFill>
                          <w14:schemeClr w14:val="tx1"/>
                        </w14:solidFill>
                      </w14:textFill>
                    </w:rPr>
                  </w:pPr>
                </w:p>
              </w:tc>
              <w:tc>
                <w:tcPr>
                  <w:tcW w:w="1024" w:type="dxa"/>
                  <w:shd w:val="clear" w:color="auto" w:fill="auto"/>
                  <w:vAlign w:val="bottom"/>
                </w:tcPr>
                <w:p w14:paraId="236CD7E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24.40</w:t>
                  </w:r>
                </w:p>
              </w:tc>
              <w:tc>
                <w:tcPr>
                  <w:tcW w:w="857" w:type="dxa"/>
                  <w:shd w:val="clear" w:color="auto" w:fill="auto"/>
                  <w:vAlign w:val="center"/>
                </w:tcPr>
                <w:p w14:paraId="21A2B4F9">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1757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3D31A4D5">
                  <w:pPr>
                    <w:pStyle w:val="46"/>
                    <w:rPr>
                      <w:color w:val="000000" w:themeColor="text1"/>
                      <w14:textFill>
                        <w14:solidFill>
                          <w14:schemeClr w14:val="tx1"/>
                        </w14:solidFill>
                      </w14:textFill>
                    </w:rPr>
                  </w:pPr>
                </w:p>
              </w:tc>
              <w:tc>
                <w:tcPr>
                  <w:tcW w:w="670" w:type="dxa"/>
                  <w:vMerge w:val="continue"/>
                  <w:shd w:val="clear" w:color="auto" w:fill="auto"/>
                  <w:vAlign w:val="center"/>
                </w:tcPr>
                <w:p w14:paraId="348D5147">
                  <w:pPr>
                    <w:pStyle w:val="46"/>
                    <w:rPr>
                      <w:color w:val="000000" w:themeColor="text1"/>
                      <w14:textFill>
                        <w14:solidFill>
                          <w14:schemeClr w14:val="tx1"/>
                        </w14:solidFill>
                      </w14:textFill>
                    </w:rPr>
                  </w:pPr>
                </w:p>
              </w:tc>
              <w:tc>
                <w:tcPr>
                  <w:tcW w:w="2642" w:type="dxa"/>
                  <w:vMerge w:val="continue"/>
                  <w:shd w:val="clear" w:color="auto" w:fill="auto"/>
                  <w:vAlign w:val="center"/>
                </w:tcPr>
                <w:p w14:paraId="2C73D8BA">
                  <w:pPr>
                    <w:pStyle w:val="46"/>
                    <w:rPr>
                      <w:color w:val="000000" w:themeColor="text1"/>
                      <w14:textFill>
                        <w14:solidFill>
                          <w14:schemeClr w14:val="tx1"/>
                        </w14:solidFill>
                      </w14:textFill>
                    </w:rPr>
                  </w:pPr>
                </w:p>
              </w:tc>
              <w:tc>
                <w:tcPr>
                  <w:tcW w:w="1043" w:type="dxa"/>
                  <w:vMerge w:val="continue"/>
                  <w:shd w:val="clear" w:color="auto" w:fill="auto"/>
                  <w:vAlign w:val="center"/>
                </w:tcPr>
                <w:p w14:paraId="734E196E">
                  <w:pPr>
                    <w:pStyle w:val="46"/>
                    <w:rPr>
                      <w:color w:val="000000" w:themeColor="text1"/>
                      <w14:textFill>
                        <w14:solidFill>
                          <w14:schemeClr w14:val="tx1"/>
                        </w14:solidFill>
                      </w14:textFill>
                    </w:rPr>
                  </w:pPr>
                </w:p>
              </w:tc>
              <w:tc>
                <w:tcPr>
                  <w:tcW w:w="756" w:type="dxa"/>
                  <w:vMerge w:val="continue"/>
                  <w:shd w:val="clear" w:color="auto" w:fill="auto"/>
                  <w:vAlign w:val="center"/>
                </w:tcPr>
                <w:p w14:paraId="16328434">
                  <w:pPr>
                    <w:pStyle w:val="46"/>
                    <w:rPr>
                      <w:color w:val="000000" w:themeColor="text1"/>
                      <w14:textFill>
                        <w14:solidFill>
                          <w14:schemeClr w14:val="tx1"/>
                        </w14:solidFill>
                      </w14:textFill>
                    </w:rPr>
                  </w:pPr>
                </w:p>
              </w:tc>
              <w:tc>
                <w:tcPr>
                  <w:tcW w:w="759" w:type="dxa"/>
                  <w:vMerge w:val="continue"/>
                  <w:shd w:val="clear" w:color="auto" w:fill="auto"/>
                  <w:vAlign w:val="center"/>
                </w:tcPr>
                <w:p w14:paraId="2B068074">
                  <w:pPr>
                    <w:pStyle w:val="46"/>
                    <w:rPr>
                      <w:color w:val="000000" w:themeColor="text1"/>
                      <w14:textFill>
                        <w14:solidFill>
                          <w14:schemeClr w14:val="tx1"/>
                        </w14:solidFill>
                      </w14:textFill>
                    </w:rPr>
                  </w:pPr>
                </w:p>
              </w:tc>
              <w:tc>
                <w:tcPr>
                  <w:tcW w:w="486" w:type="dxa"/>
                  <w:vMerge w:val="continue"/>
                  <w:shd w:val="clear" w:color="auto" w:fill="auto"/>
                  <w:vAlign w:val="center"/>
                </w:tcPr>
                <w:p w14:paraId="337AB982">
                  <w:pPr>
                    <w:pStyle w:val="46"/>
                    <w:rPr>
                      <w:color w:val="000000" w:themeColor="text1"/>
                      <w14:textFill>
                        <w14:solidFill>
                          <w14:schemeClr w14:val="tx1"/>
                        </w14:solidFill>
                      </w14:textFill>
                    </w:rPr>
                  </w:pPr>
                </w:p>
              </w:tc>
              <w:tc>
                <w:tcPr>
                  <w:tcW w:w="493" w:type="dxa"/>
                  <w:shd w:val="clear" w:color="auto" w:fill="auto"/>
                  <w:vAlign w:val="center"/>
                </w:tcPr>
                <w:p w14:paraId="062B822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4E2BCD8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202.68</w:t>
                  </w:r>
                </w:p>
              </w:tc>
              <w:tc>
                <w:tcPr>
                  <w:tcW w:w="0" w:type="auto"/>
                  <w:shd w:val="clear" w:color="auto" w:fill="auto"/>
                  <w:vAlign w:val="center"/>
                </w:tcPr>
                <w:p w14:paraId="0179A8D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334E0071">
                  <w:pPr>
                    <w:pStyle w:val="46"/>
                    <w:rPr>
                      <w:color w:val="000000" w:themeColor="text1"/>
                      <w14:textFill>
                        <w14:solidFill>
                          <w14:schemeClr w14:val="tx1"/>
                        </w14:solidFill>
                      </w14:textFill>
                    </w:rPr>
                  </w:pPr>
                </w:p>
              </w:tc>
              <w:tc>
                <w:tcPr>
                  <w:tcW w:w="1376" w:type="dxa"/>
                  <w:vMerge w:val="continue"/>
                  <w:shd w:val="clear" w:color="auto" w:fill="auto"/>
                  <w:vAlign w:val="center"/>
                </w:tcPr>
                <w:p w14:paraId="5273B077">
                  <w:pPr>
                    <w:pStyle w:val="46"/>
                    <w:rPr>
                      <w:color w:val="000000" w:themeColor="text1"/>
                      <w14:textFill>
                        <w14:solidFill>
                          <w14:schemeClr w14:val="tx1"/>
                        </w14:solidFill>
                      </w14:textFill>
                    </w:rPr>
                  </w:pPr>
                </w:p>
              </w:tc>
              <w:tc>
                <w:tcPr>
                  <w:tcW w:w="1024" w:type="dxa"/>
                  <w:shd w:val="clear" w:color="auto" w:fill="auto"/>
                  <w:vAlign w:val="bottom"/>
                </w:tcPr>
                <w:p w14:paraId="3B459A2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7837FFA4">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6EC24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077BACC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/15</w:t>
                  </w:r>
                </w:p>
              </w:tc>
              <w:tc>
                <w:tcPr>
                  <w:tcW w:w="670" w:type="dxa"/>
                  <w:vMerge w:val="continue"/>
                  <w:shd w:val="clear" w:color="auto" w:fill="auto"/>
                  <w:vAlign w:val="center"/>
                </w:tcPr>
                <w:p w14:paraId="2EA1077F">
                  <w:pPr>
                    <w:pStyle w:val="46"/>
                    <w:rPr>
                      <w:color w:val="000000" w:themeColor="text1"/>
                      <w14:textFill>
                        <w14:solidFill>
                          <w14:schemeClr w14:val="tx1"/>
                        </w14:solidFill>
                      </w14:textFill>
                    </w:rPr>
                  </w:pPr>
                </w:p>
              </w:tc>
              <w:tc>
                <w:tcPr>
                  <w:tcW w:w="2642" w:type="dxa"/>
                  <w:vMerge w:val="continue"/>
                  <w:shd w:val="clear" w:color="auto" w:fill="auto"/>
                  <w:vAlign w:val="center"/>
                </w:tcPr>
                <w:p w14:paraId="72A95080">
                  <w:pPr>
                    <w:pStyle w:val="46"/>
                    <w:rPr>
                      <w:color w:val="000000" w:themeColor="text1"/>
                      <w14:textFill>
                        <w14:solidFill>
                          <w14:schemeClr w14:val="tx1"/>
                        </w14:solidFill>
                      </w14:textFill>
                    </w:rPr>
                  </w:pPr>
                </w:p>
              </w:tc>
              <w:tc>
                <w:tcPr>
                  <w:tcW w:w="1043" w:type="dxa"/>
                  <w:vMerge w:val="continue"/>
                  <w:shd w:val="clear" w:color="auto" w:fill="auto"/>
                  <w:vAlign w:val="center"/>
                </w:tcPr>
                <w:p w14:paraId="648235A2">
                  <w:pPr>
                    <w:pStyle w:val="46"/>
                    <w:rPr>
                      <w:color w:val="000000" w:themeColor="text1"/>
                      <w14:textFill>
                        <w14:solidFill>
                          <w14:schemeClr w14:val="tx1"/>
                        </w14:solidFill>
                      </w14:textFill>
                    </w:rPr>
                  </w:pPr>
                </w:p>
              </w:tc>
              <w:tc>
                <w:tcPr>
                  <w:tcW w:w="756" w:type="dxa"/>
                  <w:vMerge w:val="continue"/>
                  <w:shd w:val="clear" w:color="auto" w:fill="auto"/>
                  <w:vAlign w:val="center"/>
                </w:tcPr>
                <w:p w14:paraId="725080DC">
                  <w:pPr>
                    <w:pStyle w:val="46"/>
                    <w:rPr>
                      <w:color w:val="000000" w:themeColor="text1"/>
                      <w14:textFill>
                        <w14:solidFill>
                          <w14:schemeClr w14:val="tx1"/>
                        </w14:solidFill>
                      </w14:textFill>
                    </w:rPr>
                  </w:pPr>
                </w:p>
              </w:tc>
              <w:tc>
                <w:tcPr>
                  <w:tcW w:w="759" w:type="dxa"/>
                  <w:vMerge w:val="continue"/>
                  <w:shd w:val="clear" w:color="auto" w:fill="auto"/>
                  <w:vAlign w:val="center"/>
                </w:tcPr>
                <w:p w14:paraId="156C5F2D">
                  <w:pPr>
                    <w:pStyle w:val="46"/>
                    <w:rPr>
                      <w:color w:val="000000" w:themeColor="text1"/>
                      <w14:textFill>
                        <w14:solidFill>
                          <w14:schemeClr w14:val="tx1"/>
                        </w14:solidFill>
                      </w14:textFill>
                    </w:rPr>
                  </w:pPr>
                </w:p>
              </w:tc>
              <w:tc>
                <w:tcPr>
                  <w:tcW w:w="486" w:type="dxa"/>
                  <w:vMerge w:val="continue"/>
                  <w:shd w:val="clear" w:color="auto" w:fill="auto"/>
                  <w:vAlign w:val="center"/>
                </w:tcPr>
                <w:p w14:paraId="798C0082">
                  <w:pPr>
                    <w:pStyle w:val="46"/>
                    <w:rPr>
                      <w:color w:val="000000" w:themeColor="text1"/>
                      <w14:textFill>
                        <w14:solidFill>
                          <w14:schemeClr w14:val="tx1"/>
                        </w14:solidFill>
                      </w14:textFill>
                    </w:rPr>
                  </w:pPr>
                </w:p>
              </w:tc>
              <w:tc>
                <w:tcPr>
                  <w:tcW w:w="493" w:type="dxa"/>
                  <w:shd w:val="clear" w:color="auto" w:fill="auto"/>
                  <w:vAlign w:val="center"/>
                </w:tcPr>
                <w:p w14:paraId="0AFC8027">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13CD14A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142.72</w:t>
                  </w:r>
                </w:p>
              </w:tc>
              <w:tc>
                <w:tcPr>
                  <w:tcW w:w="0" w:type="auto"/>
                  <w:shd w:val="clear" w:color="auto" w:fill="auto"/>
                  <w:vAlign w:val="center"/>
                </w:tcPr>
                <w:p w14:paraId="3D9D7B1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5D88254D">
                  <w:pPr>
                    <w:pStyle w:val="46"/>
                    <w:rPr>
                      <w:color w:val="000000" w:themeColor="text1"/>
                      <w14:textFill>
                        <w14:solidFill>
                          <w14:schemeClr w14:val="tx1"/>
                        </w14:solidFill>
                      </w14:textFill>
                    </w:rPr>
                  </w:pPr>
                </w:p>
              </w:tc>
              <w:tc>
                <w:tcPr>
                  <w:tcW w:w="1376" w:type="dxa"/>
                  <w:vMerge w:val="continue"/>
                  <w:shd w:val="clear" w:color="auto" w:fill="auto"/>
                  <w:vAlign w:val="center"/>
                </w:tcPr>
                <w:p w14:paraId="4B0BF628">
                  <w:pPr>
                    <w:pStyle w:val="46"/>
                    <w:rPr>
                      <w:color w:val="000000" w:themeColor="text1"/>
                      <w14:textFill>
                        <w14:solidFill>
                          <w14:schemeClr w14:val="tx1"/>
                        </w14:solidFill>
                      </w14:textFill>
                    </w:rPr>
                  </w:pPr>
                </w:p>
              </w:tc>
              <w:tc>
                <w:tcPr>
                  <w:tcW w:w="1024" w:type="dxa"/>
                  <w:shd w:val="clear" w:color="auto" w:fill="auto"/>
                  <w:vAlign w:val="bottom"/>
                </w:tcPr>
                <w:p w14:paraId="24EF27B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05D24589">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D86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9" w:type="dxa"/>
                  <w:vMerge w:val="restart"/>
                  <w:shd w:val="clear" w:color="auto" w:fill="auto"/>
                  <w:vAlign w:val="center"/>
                </w:tcPr>
                <w:p w14:paraId="2F331BB7">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16</w:t>
                  </w:r>
                </w:p>
              </w:tc>
              <w:tc>
                <w:tcPr>
                  <w:tcW w:w="670" w:type="dxa"/>
                  <w:vMerge w:val="continue"/>
                  <w:shd w:val="clear" w:color="auto" w:fill="auto"/>
                  <w:vAlign w:val="center"/>
                </w:tcPr>
                <w:p w14:paraId="56BB06EF">
                  <w:pPr>
                    <w:pStyle w:val="46"/>
                    <w:rPr>
                      <w:color w:val="000000" w:themeColor="text1"/>
                      <w14:textFill>
                        <w14:solidFill>
                          <w14:schemeClr w14:val="tx1"/>
                        </w14:solidFill>
                      </w14:textFill>
                    </w:rPr>
                  </w:pPr>
                </w:p>
              </w:tc>
              <w:tc>
                <w:tcPr>
                  <w:tcW w:w="2642" w:type="dxa"/>
                  <w:vMerge w:val="restart"/>
                  <w:shd w:val="clear" w:color="auto" w:fill="auto"/>
                  <w:vAlign w:val="center"/>
                </w:tcPr>
                <w:p w14:paraId="6005D54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2#液压厢式压滤机</w:t>
                  </w:r>
                </w:p>
              </w:tc>
              <w:tc>
                <w:tcPr>
                  <w:tcW w:w="1043" w:type="dxa"/>
                  <w:vMerge w:val="restart"/>
                  <w:shd w:val="clear" w:color="auto" w:fill="auto"/>
                  <w:vAlign w:val="center"/>
                </w:tcPr>
                <w:p w14:paraId="5AD4693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80</w:t>
                  </w:r>
                </w:p>
              </w:tc>
              <w:tc>
                <w:tcPr>
                  <w:tcW w:w="756" w:type="dxa"/>
                  <w:vMerge w:val="restart"/>
                  <w:shd w:val="clear" w:color="auto" w:fill="auto"/>
                  <w:vAlign w:val="center"/>
                </w:tcPr>
                <w:p w14:paraId="21D68F4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78.31</w:t>
                  </w:r>
                </w:p>
              </w:tc>
              <w:tc>
                <w:tcPr>
                  <w:tcW w:w="759" w:type="dxa"/>
                  <w:vMerge w:val="restart"/>
                  <w:shd w:val="clear" w:color="auto" w:fill="auto"/>
                  <w:vAlign w:val="center"/>
                </w:tcPr>
                <w:p w14:paraId="3F432DC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-32.43</w:t>
                  </w:r>
                </w:p>
              </w:tc>
              <w:tc>
                <w:tcPr>
                  <w:tcW w:w="486" w:type="dxa"/>
                  <w:vMerge w:val="restart"/>
                  <w:shd w:val="clear" w:color="auto" w:fill="auto"/>
                  <w:vAlign w:val="center"/>
                </w:tcPr>
                <w:p w14:paraId="0F40BBE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93" w:type="dxa"/>
                  <w:shd w:val="clear" w:color="auto" w:fill="auto"/>
                  <w:vAlign w:val="center"/>
                </w:tcPr>
                <w:p w14:paraId="41749F9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西</w:t>
                  </w:r>
                </w:p>
              </w:tc>
              <w:tc>
                <w:tcPr>
                  <w:tcW w:w="0" w:type="auto"/>
                  <w:shd w:val="clear" w:color="auto" w:fill="auto"/>
                  <w:vAlign w:val="center"/>
                </w:tcPr>
                <w:p w14:paraId="321B89E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70.61</w:t>
                  </w:r>
                </w:p>
              </w:tc>
              <w:tc>
                <w:tcPr>
                  <w:tcW w:w="0" w:type="auto"/>
                  <w:shd w:val="clear" w:color="auto" w:fill="auto"/>
                  <w:vAlign w:val="center"/>
                </w:tcPr>
                <w:p w14:paraId="658603C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55.34</w:t>
                  </w:r>
                </w:p>
              </w:tc>
              <w:tc>
                <w:tcPr>
                  <w:tcW w:w="671" w:type="dxa"/>
                  <w:vMerge w:val="continue"/>
                  <w:shd w:val="clear" w:color="auto" w:fill="auto"/>
                  <w:vAlign w:val="center"/>
                </w:tcPr>
                <w:p w14:paraId="614D126F">
                  <w:pPr>
                    <w:pStyle w:val="46"/>
                    <w:rPr>
                      <w:color w:val="000000" w:themeColor="text1"/>
                      <w14:textFill>
                        <w14:solidFill>
                          <w14:schemeClr w14:val="tx1"/>
                        </w14:solidFill>
                      </w14:textFill>
                    </w:rPr>
                  </w:pPr>
                </w:p>
              </w:tc>
              <w:tc>
                <w:tcPr>
                  <w:tcW w:w="1376" w:type="dxa"/>
                  <w:vMerge w:val="continue"/>
                  <w:shd w:val="clear" w:color="auto" w:fill="auto"/>
                  <w:vAlign w:val="center"/>
                </w:tcPr>
                <w:p w14:paraId="64C91E4A">
                  <w:pPr>
                    <w:pStyle w:val="46"/>
                    <w:rPr>
                      <w:color w:val="000000" w:themeColor="text1"/>
                      <w14:textFill>
                        <w14:solidFill>
                          <w14:schemeClr w14:val="tx1"/>
                        </w14:solidFill>
                      </w14:textFill>
                    </w:rPr>
                  </w:pPr>
                </w:p>
              </w:tc>
              <w:tc>
                <w:tcPr>
                  <w:tcW w:w="1024" w:type="dxa"/>
                  <w:shd w:val="clear" w:color="auto" w:fill="auto"/>
                  <w:vAlign w:val="bottom"/>
                </w:tcPr>
                <w:p w14:paraId="129BE14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24.34</w:t>
                  </w:r>
                </w:p>
              </w:tc>
              <w:tc>
                <w:tcPr>
                  <w:tcW w:w="857" w:type="dxa"/>
                  <w:shd w:val="clear" w:color="auto" w:fill="auto"/>
                  <w:vAlign w:val="center"/>
                </w:tcPr>
                <w:p w14:paraId="011E96A6">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0213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6A7C21CD">
                  <w:pPr>
                    <w:pStyle w:val="46"/>
                    <w:rPr>
                      <w:color w:val="000000" w:themeColor="text1"/>
                      <w14:textFill>
                        <w14:solidFill>
                          <w14:schemeClr w14:val="tx1"/>
                        </w14:solidFill>
                      </w14:textFill>
                    </w:rPr>
                  </w:pPr>
                </w:p>
              </w:tc>
              <w:tc>
                <w:tcPr>
                  <w:tcW w:w="670" w:type="dxa"/>
                  <w:vMerge w:val="continue"/>
                  <w:shd w:val="clear" w:color="auto" w:fill="auto"/>
                  <w:vAlign w:val="center"/>
                </w:tcPr>
                <w:p w14:paraId="3729B544">
                  <w:pPr>
                    <w:pStyle w:val="46"/>
                    <w:rPr>
                      <w:color w:val="000000" w:themeColor="text1"/>
                      <w14:textFill>
                        <w14:solidFill>
                          <w14:schemeClr w14:val="tx1"/>
                        </w14:solidFill>
                      </w14:textFill>
                    </w:rPr>
                  </w:pPr>
                </w:p>
              </w:tc>
              <w:tc>
                <w:tcPr>
                  <w:tcW w:w="2642" w:type="dxa"/>
                  <w:vMerge w:val="continue"/>
                  <w:shd w:val="clear" w:color="auto" w:fill="auto"/>
                  <w:vAlign w:val="center"/>
                </w:tcPr>
                <w:p w14:paraId="561BB031">
                  <w:pPr>
                    <w:pStyle w:val="46"/>
                    <w:rPr>
                      <w:color w:val="000000" w:themeColor="text1"/>
                      <w14:textFill>
                        <w14:solidFill>
                          <w14:schemeClr w14:val="tx1"/>
                        </w14:solidFill>
                      </w14:textFill>
                    </w:rPr>
                  </w:pPr>
                </w:p>
              </w:tc>
              <w:tc>
                <w:tcPr>
                  <w:tcW w:w="1043" w:type="dxa"/>
                  <w:vMerge w:val="continue"/>
                  <w:shd w:val="clear" w:color="auto" w:fill="auto"/>
                  <w:vAlign w:val="center"/>
                </w:tcPr>
                <w:p w14:paraId="7F43345E">
                  <w:pPr>
                    <w:pStyle w:val="46"/>
                    <w:rPr>
                      <w:color w:val="000000" w:themeColor="text1"/>
                      <w14:textFill>
                        <w14:solidFill>
                          <w14:schemeClr w14:val="tx1"/>
                        </w14:solidFill>
                      </w14:textFill>
                    </w:rPr>
                  </w:pPr>
                </w:p>
              </w:tc>
              <w:tc>
                <w:tcPr>
                  <w:tcW w:w="756" w:type="dxa"/>
                  <w:vMerge w:val="continue"/>
                  <w:shd w:val="clear" w:color="auto" w:fill="auto"/>
                  <w:vAlign w:val="center"/>
                </w:tcPr>
                <w:p w14:paraId="503D01EB">
                  <w:pPr>
                    <w:pStyle w:val="46"/>
                    <w:rPr>
                      <w:color w:val="000000" w:themeColor="text1"/>
                      <w14:textFill>
                        <w14:solidFill>
                          <w14:schemeClr w14:val="tx1"/>
                        </w14:solidFill>
                      </w14:textFill>
                    </w:rPr>
                  </w:pPr>
                </w:p>
              </w:tc>
              <w:tc>
                <w:tcPr>
                  <w:tcW w:w="759" w:type="dxa"/>
                  <w:vMerge w:val="continue"/>
                  <w:shd w:val="clear" w:color="auto" w:fill="auto"/>
                  <w:vAlign w:val="center"/>
                </w:tcPr>
                <w:p w14:paraId="4F7F734E">
                  <w:pPr>
                    <w:pStyle w:val="46"/>
                    <w:rPr>
                      <w:color w:val="000000" w:themeColor="text1"/>
                      <w14:textFill>
                        <w14:solidFill>
                          <w14:schemeClr w14:val="tx1"/>
                        </w14:solidFill>
                      </w14:textFill>
                    </w:rPr>
                  </w:pPr>
                </w:p>
              </w:tc>
              <w:tc>
                <w:tcPr>
                  <w:tcW w:w="486" w:type="dxa"/>
                  <w:vMerge w:val="continue"/>
                  <w:shd w:val="clear" w:color="auto" w:fill="auto"/>
                  <w:vAlign w:val="center"/>
                </w:tcPr>
                <w:p w14:paraId="6777567E">
                  <w:pPr>
                    <w:pStyle w:val="46"/>
                    <w:rPr>
                      <w:color w:val="000000" w:themeColor="text1"/>
                      <w14:textFill>
                        <w14:solidFill>
                          <w14:schemeClr w14:val="tx1"/>
                        </w14:solidFill>
                      </w14:textFill>
                    </w:rPr>
                  </w:pPr>
                </w:p>
              </w:tc>
              <w:tc>
                <w:tcPr>
                  <w:tcW w:w="493" w:type="dxa"/>
                  <w:shd w:val="clear" w:color="auto" w:fill="auto"/>
                  <w:vAlign w:val="center"/>
                </w:tcPr>
                <w:p w14:paraId="683E13D6">
                  <w:pPr>
                    <w:pStyle w:val="46"/>
                    <w:rPr>
                      <w:color w:val="000000" w:themeColor="text1"/>
                      <w14:textFill>
                        <w14:solidFill>
                          <w14:schemeClr w14:val="tx1"/>
                        </w14:solidFill>
                      </w14:textFill>
                    </w:rPr>
                  </w:pPr>
                  <w:r>
                    <w:rPr>
                      <w:color w:val="000000" w:themeColor="text1"/>
                      <w14:textFill>
                        <w14:solidFill>
                          <w14:schemeClr w14:val="tx1"/>
                        </w14:solidFill>
                      </w14:textFill>
                    </w:rPr>
                    <w:t>南</w:t>
                  </w:r>
                </w:p>
              </w:tc>
              <w:tc>
                <w:tcPr>
                  <w:tcW w:w="0" w:type="auto"/>
                  <w:shd w:val="clear" w:color="auto" w:fill="auto"/>
                  <w:vAlign w:val="center"/>
                </w:tcPr>
                <w:p w14:paraId="308BE07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30.52</w:t>
                  </w:r>
                </w:p>
              </w:tc>
              <w:tc>
                <w:tcPr>
                  <w:tcW w:w="0" w:type="auto"/>
                  <w:shd w:val="clear" w:color="auto" w:fill="auto"/>
                  <w:vAlign w:val="center"/>
                </w:tcPr>
                <w:p w14:paraId="012E37E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55.43</w:t>
                  </w:r>
                </w:p>
              </w:tc>
              <w:tc>
                <w:tcPr>
                  <w:tcW w:w="671" w:type="dxa"/>
                  <w:vMerge w:val="continue"/>
                  <w:shd w:val="clear" w:color="auto" w:fill="auto"/>
                  <w:vAlign w:val="center"/>
                </w:tcPr>
                <w:p w14:paraId="65226AA2">
                  <w:pPr>
                    <w:pStyle w:val="46"/>
                    <w:rPr>
                      <w:color w:val="000000" w:themeColor="text1"/>
                      <w14:textFill>
                        <w14:solidFill>
                          <w14:schemeClr w14:val="tx1"/>
                        </w14:solidFill>
                      </w14:textFill>
                    </w:rPr>
                  </w:pPr>
                </w:p>
              </w:tc>
              <w:tc>
                <w:tcPr>
                  <w:tcW w:w="1376" w:type="dxa"/>
                  <w:vMerge w:val="continue"/>
                  <w:shd w:val="clear" w:color="auto" w:fill="auto"/>
                  <w:vAlign w:val="center"/>
                </w:tcPr>
                <w:p w14:paraId="7461B605">
                  <w:pPr>
                    <w:pStyle w:val="46"/>
                    <w:rPr>
                      <w:color w:val="000000" w:themeColor="text1"/>
                      <w14:textFill>
                        <w14:solidFill>
                          <w14:schemeClr w14:val="tx1"/>
                        </w14:solidFill>
                      </w14:textFill>
                    </w:rPr>
                  </w:pPr>
                </w:p>
              </w:tc>
              <w:tc>
                <w:tcPr>
                  <w:tcW w:w="1024" w:type="dxa"/>
                  <w:shd w:val="clear" w:color="auto" w:fill="auto"/>
                  <w:vAlign w:val="bottom"/>
                </w:tcPr>
                <w:p w14:paraId="6390DC12">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24.43</w:t>
                  </w:r>
                </w:p>
              </w:tc>
              <w:tc>
                <w:tcPr>
                  <w:tcW w:w="857" w:type="dxa"/>
                  <w:shd w:val="clear" w:color="auto" w:fill="auto"/>
                  <w:vAlign w:val="center"/>
                </w:tcPr>
                <w:p w14:paraId="47577AED">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5713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481ABE51">
                  <w:pPr>
                    <w:pStyle w:val="46"/>
                    <w:rPr>
                      <w:color w:val="000000" w:themeColor="text1"/>
                      <w14:textFill>
                        <w14:solidFill>
                          <w14:schemeClr w14:val="tx1"/>
                        </w14:solidFill>
                      </w14:textFill>
                    </w:rPr>
                  </w:pPr>
                </w:p>
              </w:tc>
              <w:tc>
                <w:tcPr>
                  <w:tcW w:w="670" w:type="dxa"/>
                  <w:vMerge w:val="continue"/>
                  <w:shd w:val="clear" w:color="auto" w:fill="auto"/>
                  <w:vAlign w:val="center"/>
                </w:tcPr>
                <w:p w14:paraId="45040464">
                  <w:pPr>
                    <w:pStyle w:val="46"/>
                    <w:rPr>
                      <w:color w:val="000000" w:themeColor="text1"/>
                      <w14:textFill>
                        <w14:solidFill>
                          <w14:schemeClr w14:val="tx1"/>
                        </w14:solidFill>
                      </w14:textFill>
                    </w:rPr>
                  </w:pPr>
                </w:p>
              </w:tc>
              <w:tc>
                <w:tcPr>
                  <w:tcW w:w="2642" w:type="dxa"/>
                  <w:vMerge w:val="continue"/>
                  <w:shd w:val="clear" w:color="auto" w:fill="auto"/>
                  <w:vAlign w:val="center"/>
                </w:tcPr>
                <w:p w14:paraId="46294E70">
                  <w:pPr>
                    <w:pStyle w:val="46"/>
                    <w:rPr>
                      <w:color w:val="000000" w:themeColor="text1"/>
                      <w14:textFill>
                        <w14:solidFill>
                          <w14:schemeClr w14:val="tx1"/>
                        </w14:solidFill>
                      </w14:textFill>
                    </w:rPr>
                  </w:pPr>
                </w:p>
              </w:tc>
              <w:tc>
                <w:tcPr>
                  <w:tcW w:w="1043" w:type="dxa"/>
                  <w:vMerge w:val="continue"/>
                  <w:shd w:val="clear" w:color="auto" w:fill="auto"/>
                  <w:vAlign w:val="center"/>
                </w:tcPr>
                <w:p w14:paraId="39B2FDEC">
                  <w:pPr>
                    <w:pStyle w:val="46"/>
                    <w:rPr>
                      <w:color w:val="000000" w:themeColor="text1"/>
                      <w14:textFill>
                        <w14:solidFill>
                          <w14:schemeClr w14:val="tx1"/>
                        </w14:solidFill>
                      </w14:textFill>
                    </w:rPr>
                  </w:pPr>
                </w:p>
              </w:tc>
              <w:tc>
                <w:tcPr>
                  <w:tcW w:w="756" w:type="dxa"/>
                  <w:vMerge w:val="continue"/>
                  <w:shd w:val="clear" w:color="auto" w:fill="auto"/>
                  <w:vAlign w:val="center"/>
                </w:tcPr>
                <w:p w14:paraId="22C41B68">
                  <w:pPr>
                    <w:pStyle w:val="46"/>
                    <w:rPr>
                      <w:color w:val="000000" w:themeColor="text1"/>
                      <w14:textFill>
                        <w14:solidFill>
                          <w14:schemeClr w14:val="tx1"/>
                        </w14:solidFill>
                      </w14:textFill>
                    </w:rPr>
                  </w:pPr>
                </w:p>
              </w:tc>
              <w:tc>
                <w:tcPr>
                  <w:tcW w:w="759" w:type="dxa"/>
                  <w:vMerge w:val="continue"/>
                  <w:shd w:val="clear" w:color="auto" w:fill="auto"/>
                  <w:vAlign w:val="center"/>
                </w:tcPr>
                <w:p w14:paraId="585C21FF">
                  <w:pPr>
                    <w:pStyle w:val="46"/>
                    <w:rPr>
                      <w:color w:val="000000" w:themeColor="text1"/>
                      <w14:textFill>
                        <w14:solidFill>
                          <w14:schemeClr w14:val="tx1"/>
                        </w14:solidFill>
                      </w14:textFill>
                    </w:rPr>
                  </w:pPr>
                </w:p>
              </w:tc>
              <w:tc>
                <w:tcPr>
                  <w:tcW w:w="486" w:type="dxa"/>
                  <w:vMerge w:val="continue"/>
                  <w:shd w:val="clear" w:color="auto" w:fill="auto"/>
                  <w:vAlign w:val="center"/>
                </w:tcPr>
                <w:p w14:paraId="61911CD6">
                  <w:pPr>
                    <w:pStyle w:val="46"/>
                    <w:rPr>
                      <w:color w:val="000000" w:themeColor="text1"/>
                      <w14:textFill>
                        <w14:solidFill>
                          <w14:schemeClr w14:val="tx1"/>
                        </w14:solidFill>
                      </w14:textFill>
                    </w:rPr>
                  </w:pPr>
                </w:p>
              </w:tc>
              <w:tc>
                <w:tcPr>
                  <w:tcW w:w="493" w:type="dxa"/>
                  <w:shd w:val="clear" w:color="auto" w:fill="auto"/>
                  <w:vAlign w:val="center"/>
                </w:tcPr>
                <w:p w14:paraId="170C187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东</w:t>
                  </w:r>
                </w:p>
              </w:tc>
              <w:tc>
                <w:tcPr>
                  <w:tcW w:w="0" w:type="auto"/>
                  <w:shd w:val="clear" w:color="auto" w:fill="auto"/>
                  <w:vAlign w:val="center"/>
                </w:tcPr>
                <w:p w14:paraId="4613FF40">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203.50</w:t>
                  </w:r>
                </w:p>
              </w:tc>
              <w:tc>
                <w:tcPr>
                  <w:tcW w:w="0" w:type="auto"/>
                  <w:shd w:val="clear" w:color="auto" w:fill="auto"/>
                  <w:vAlign w:val="center"/>
                </w:tcPr>
                <w:p w14:paraId="0834088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4F38DBF1">
                  <w:pPr>
                    <w:pStyle w:val="46"/>
                    <w:rPr>
                      <w:color w:val="000000" w:themeColor="text1"/>
                      <w14:textFill>
                        <w14:solidFill>
                          <w14:schemeClr w14:val="tx1"/>
                        </w14:solidFill>
                      </w14:textFill>
                    </w:rPr>
                  </w:pPr>
                </w:p>
              </w:tc>
              <w:tc>
                <w:tcPr>
                  <w:tcW w:w="1376" w:type="dxa"/>
                  <w:vMerge w:val="continue"/>
                  <w:shd w:val="clear" w:color="auto" w:fill="auto"/>
                  <w:vAlign w:val="center"/>
                </w:tcPr>
                <w:p w14:paraId="535A9AC5">
                  <w:pPr>
                    <w:pStyle w:val="46"/>
                    <w:rPr>
                      <w:color w:val="000000" w:themeColor="text1"/>
                      <w14:textFill>
                        <w14:solidFill>
                          <w14:schemeClr w14:val="tx1"/>
                        </w14:solidFill>
                      </w14:textFill>
                    </w:rPr>
                  </w:pPr>
                </w:p>
              </w:tc>
              <w:tc>
                <w:tcPr>
                  <w:tcW w:w="1024" w:type="dxa"/>
                  <w:shd w:val="clear" w:color="auto" w:fill="auto"/>
                  <w:vAlign w:val="bottom"/>
                </w:tcPr>
                <w:p w14:paraId="55F058D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008C67A7">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2899A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9" w:type="dxa"/>
                  <w:vMerge w:val="continue"/>
                  <w:shd w:val="clear" w:color="auto" w:fill="auto"/>
                  <w:vAlign w:val="center"/>
                </w:tcPr>
                <w:p w14:paraId="02B316B6">
                  <w:pPr>
                    <w:pStyle w:val="46"/>
                    <w:rPr>
                      <w:color w:val="000000" w:themeColor="text1"/>
                      <w14:textFill>
                        <w14:solidFill>
                          <w14:schemeClr w14:val="tx1"/>
                        </w14:solidFill>
                      </w14:textFill>
                    </w:rPr>
                  </w:pPr>
                </w:p>
              </w:tc>
              <w:tc>
                <w:tcPr>
                  <w:tcW w:w="670" w:type="dxa"/>
                  <w:vMerge w:val="continue"/>
                  <w:shd w:val="clear" w:color="auto" w:fill="auto"/>
                  <w:vAlign w:val="center"/>
                </w:tcPr>
                <w:p w14:paraId="2B7AF1A3">
                  <w:pPr>
                    <w:pStyle w:val="46"/>
                    <w:rPr>
                      <w:color w:val="000000" w:themeColor="text1"/>
                      <w14:textFill>
                        <w14:solidFill>
                          <w14:schemeClr w14:val="tx1"/>
                        </w14:solidFill>
                      </w14:textFill>
                    </w:rPr>
                  </w:pPr>
                </w:p>
              </w:tc>
              <w:tc>
                <w:tcPr>
                  <w:tcW w:w="2642" w:type="dxa"/>
                  <w:vMerge w:val="continue"/>
                  <w:shd w:val="clear" w:color="auto" w:fill="auto"/>
                  <w:vAlign w:val="center"/>
                </w:tcPr>
                <w:p w14:paraId="2694CE2D">
                  <w:pPr>
                    <w:pStyle w:val="46"/>
                    <w:rPr>
                      <w:color w:val="000000" w:themeColor="text1"/>
                      <w14:textFill>
                        <w14:solidFill>
                          <w14:schemeClr w14:val="tx1"/>
                        </w14:solidFill>
                      </w14:textFill>
                    </w:rPr>
                  </w:pPr>
                </w:p>
              </w:tc>
              <w:tc>
                <w:tcPr>
                  <w:tcW w:w="1043" w:type="dxa"/>
                  <w:vMerge w:val="continue"/>
                  <w:shd w:val="clear" w:color="auto" w:fill="auto"/>
                  <w:vAlign w:val="center"/>
                </w:tcPr>
                <w:p w14:paraId="35B65FEA">
                  <w:pPr>
                    <w:pStyle w:val="46"/>
                    <w:rPr>
                      <w:color w:val="000000" w:themeColor="text1"/>
                      <w14:textFill>
                        <w14:solidFill>
                          <w14:schemeClr w14:val="tx1"/>
                        </w14:solidFill>
                      </w14:textFill>
                    </w:rPr>
                  </w:pPr>
                </w:p>
              </w:tc>
              <w:tc>
                <w:tcPr>
                  <w:tcW w:w="756" w:type="dxa"/>
                  <w:vMerge w:val="continue"/>
                  <w:shd w:val="clear" w:color="auto" w:fill="auto"/>
                  <w:vAlign w:val="center"/>
                </w:tcPr>
                <w:p w14:paraId="308A61BF">
                  <w:pPr>
                    <w:pStyle w:val="46"/>
                    <w:rPr>
                      <w:color w:val="000000" w:themeColor="text1"/>
                      <w14:textFill>
                        <w14:solidFill>
                          <w14:schemeClr w14:val="tx1"/>
                        </w14:solidFill>
                      </w14:textFill>
                    </w:rPr>
                  </w:pPr>
                </w:p>
              </w:tc>
              <w:tc>
                <w:tcPr>
                  <w:tcW w:w="759" w:type="dxa"/>
                  <w:vMerge w:val="continue"/>
                  <w:shd w:val="clear" w:color="auto" w:fill="auto"/>
                  <w:vAlign w:val="center"/>
                </w:tcPr>
                <w:p w14:paraId="47D4B45A">
                  <w:pPr>
                    <w:pStyle w:val="46"/>
                    <w:rPr>
                      <w:color w:val="000000" w:themeColor="text1"/>
                      <w14:textFill>
                        <w14:solidFill>
                          <w14:schemeClr w14:val="tx1"/>
                        </w14:solidFill>
                      </w14:textFill>
                    </w:rPr>
                  </w:pPr>
                </w:p>
              </w:tc>
              <w:tc>
                <w:tcPr>
                  <w:tcW w:w="486" w:type="dxa"/>
                  <w:vMerge w:val="continue"/>
                  <w:shd w:val="clear" w:color="auto" w:fill="auto"/>
                  <w:vAlign w:val="center"/>
                </w:tcPr>
                <w:p w14:paraId="4617C3FA">
                  <w:pPr>
                    <w:pStyle w:val="46"/>
                    <w:rPr>
                      <w:color w:val="000000" w:themeColor="text1"/>
                      <w14:textFill>
                        <w14:solidFill>
                          <w14:schemeClr w14:val="tx1"/>
                        </w14:solidFill>
                      </w14:textFill>
                    </w:rPr>
                  </w:pPr>
                </w:p>
              </w:tc>
              <w:tc>
                <w:tcPr>
                  <w:tcW w:w="493" w:type="dxa"/>
                  <w:shd w:val="clear" w:color="auto" w:fill="auto"/>
                  <w:vAlign w:val="center"/>
                </w:tcPr>
                <w:p w14:paraId="18C61B26">
                  <w:pPr>
                    <w:pStyle w:val="46"/>
                    <w:rPr>
                      <w:color w:val="000000" w:themeColor="text1"/>
                      <w14:textFill>
                        <w14:solidFill>
                          <w14:schemeClr w14:val="tx1"/>
                        </w14:solidFill>
                      </w14:textFill>
                    </w:rPr>
                  </w:pPr>
                  <w:r>
                    <w:rPr>
                      <w:color w:val="000000" w:themeColor="text1"/>
                      <w14:textFill>
                        <w14:solidFill>
                          <w14:schemeClr w14:val="tx1"/>
                        </w14:solidFill>
                      </w14:textFill>
                    </w:rPr>
                    <w:t>北</w:t>
                  </w:r>
                </w:p>
              </w:tc>
              <w:tc>
                <w:tcPr>
                  <w:tcW w:w="0" w:type="auto"/>
                  <w:shd w:val="clear" w:color="auto" w:fill="auto"/>
                  <w:vAlign w:val="center"/>
                </w:tcPr>
                <w:p w14:paraId="030C45A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145.97</w:t>
                  </w:r>
                </w:p>
              </w:tc>
              <w:tc>
                <w:tcPr>
                  <w:tcW w:w="0" w:type="auto"/>
                  <w:shd w:val="clear" w:color="auto" w:fill="auto"/>
                  <w:vAlign w:val="center"/>
                </w:tcPr>
                <w:p w14:paraId="08D961D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55.32</w:t>
                  </w:r>
                </w:p>
              </w:tc>
              <w:tc>
                <w:tcPr>
                  <w:tcW w:w="671" w:type="dxa"/>
                  <w:vMerge w:val="continue"/>
                  <w:shd w:val="clear" w:color="auto" w:fill="auto"/>
                  <w:vAlign w:val="center"/>
                </w:tcPr>
                <w:p w14:paraId="168AB80B">
                  <w:pPr>
                    <w:pStyle w:val="46"/>
                    <w:rPr>
                      <w:color w:val="000000" w:themeColor="text1"/>
                      <w14:textFill>
                        <w14:solidFill>
                          <w14:schemeClr w14:val="tx1"/>
                        </w14:solidFill>
                      </w14:textFill>
                    </w:rPr>
                  </w:pPr>
                </w:p>
              </w:tc>
              <w:tc>
                <w:tcPr>
                  <w:tcW w:w="1376" w:type="dxa"/>
                  <w:vMerge w:val="continue"/>
                  <w:shd w:val="clear" w:color="auto" w:fill="auto"/>
                  <w:vAlign w:val="center"/>
                </w:tcPr>
                <w:p w14:paraId="62C3470A">
                  <w:pPr>
                    <w:pStyle w:val="46"/>
                    <w:rPr>
                      <w:color w:val="000000" w:themeColor="text1"/>
                      <w14:textFill>
                        <w14:solidFill>
                          <w14:schemeClr w14:val="tx1"/>
                        </w14:solidFill>
                      </w14:textFill>
                    </w:rPr>
                  </w:pPr>
                </w:p>
              </w:tc>
              <w:tc>
                <w:tcPr>
                  <w:tcW w:w="1024" w:type="dxa"/>
                  <w:shd w:val="clear" w:color="auto" w:fill="auto"/>
                  <w:vAlign w:val="bottom"/>
                </w:tcPr>
                <w:p w14:paraId="78893F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24.32</w:t>
                  </w:r>
                </w:p>
              </w:tc>
              <w:tc>
                <w:tcPr>
                  <w:tcW w:w="857" w:type="dxa"/>
                  <w:shd w:val="clear" w:color="auto" w:fill="auto"/>
                  <w:vAlign w:val="center"/>
                </w:tcPr>
                <w:p w14:paraId="4452692C">
                  <w:pPr>
                    <w:pStyle w:val="46"/>
                    <w:rPr>
                      <w:color w:val="000000" w:themeColor="text1"/>
                      <w14:textFill>
                        <w14:solidFill>
                          <w14:schemeClr w14:val="tx1"/>
                        </w14:solidFill>
                      </w14:textFill>
                    </w:rPr>
                  </w:pPr>
                  <w:r>
                    <w:rPr>
                      <w:color w:val="000000" w:themeColor="text1"/>
                      <w14:textFill>
                        <w14:solidFill>
                          <w14:schemeClr w14:val="tx1"/>
                        </w14:solidFill>
                      </w14:textFill>
                    </w:rPr>
                    <w:t>1</w:t>
                  </w:r>
                </w:p>
              </w:tc>
            </w:tr>
            <w:tr w14:paraId="398D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3662" w:type="dxa"/>
                  <w:gridSpan w:val="14"/>
                  <w:shd w:val="clear" w:color="auto" w:fill="auto"/>
                  <w:vAlign w:val="center"/>
                </w:tcPr>
                <w:p w14:paraId="29E24FCE">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注：1.表中坐标以厂界西南角（经纬度：109.991516，21.574197）为坐标原点，正东向为X轴正方向，正北向为Y轴正方向；</w:t>
                  </w:r>
                </w:p>
                <w:p w14:paraId="6A1C5DBC">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2.项目平均吸声系数取0.06；</w:t>
                  </w:r>
                </w:p>
                <w:p w14:paraId="5D44F593">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3.项目生产设备噪声源均位于生产车间内，根据《环境工程手册环境噪声控制卷》(高等教育出版社，2000年)可知，采取隔减振等措施均可达到10~25dB(A)的隔声(消声)量，墙壁可降低23~30dB(A)的噪声。本项目在落实以上降噪措施后，噪声削减量取19dB(A)，则表中建筑物插入损失为TL+6=19+6=25dB(A)。</w:t>
                  </w:r>
                </w:p>
              </w:tc>
            </w:tr>
          </w:tbl>
          <w:p w14:paraId="12FF3844">
            <w:pPr>
              <w:spacing w:before="120" w:beforeLines="50"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2、预测模式</w:t>
            </w:r>
          </w:p>
          <w:p w14:paraId="641E574D">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本项目噪声主要为各类生产设备产生的噪声。按照《环境影响评价技术导则 声环境》（HJ2.4-2021），选择工业噪声预测模式，模拟预测本建设项目主要声源排放噪声随距离的衰减变化规律。</w:t>
            </w:r>
          </w:p>
          <w:p w14:paraId="7B081390">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1）计算某一室内声源靠近围护结构处产生的倍频带声压级：</w:t>
            </w:r>
          </w:p>
          <w:p w14:paraId="7FE37F68">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200275" cy="528320"/>
                  <wp:effectExtent l="0" t="0" r="9525" b="5080"/>
                  <wp:docPr id="18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8"/>
                          <pic:cNvPicPr>
                            <a:picLocks noChangeAspect="1"/>
                          </pic:cNvPicPr>
                        </pic:nvPicPr>
                        <pic:blipFill>
                          <a:blip r:embed="rId35"/>
                          <a:stretch>
                            <a:fillRect/>
                          </a:stretch>
                        </pic:blipFill>
                        <pic:spPr>
                          <a:xfrm>
                            <a:off x="0" y="0"/>
                            <a:ext cx="2200275" cy="528320"/>
                          </a:xfrm>
                          <a:prstGeom prst="rect">
                            <a:avLst/>
                          </a:prstGeom>
                          <a:noFill/>
                          <a:ln>
                            <a:noFill/>
                          </a:ln>
                        </pic:spPr>
                      </pic:pic>
                    </a:graphicData>
                  </a:graphic>
                </wp:inline>
              </w:drawing>
            </w:r>
          </w:p>
          <w:p w14:paraId="559BC1F9">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p1</w:t>
            </w:r>
            <w:r>
              <w:rPr>
                <w:rFonts w:hint="eastAsia"/>
                <w:color w:val="000000" w:themeColor="text1"/>
                <w14:textFill>
                  <w14:solidFill>
                    <w14:schemeClr w14:val="tx1"/>
                  </w14:solidFill>
                </w14:textFill>
              </w:rPr>
              <w:t>——靠近开口处（或窗户）室内某倍频带的声压级或A声级，dB；</w:t>
            </w:r>
          </w:p>
          <w:p w14:paraId="536D5DC6">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w</w:t>
            </w:r>
            <w:r>
              <w:rPr>
                <w:rFonts w:hint="eastAsia"/>
                <w:color w:val="000000" w:themeColor="text1"/>
                <w14:textFill>
                  <w14:solidFill>
                    <w14:schemeClr w14:val="tx1"/>
                  </w14:solidFill>
                </w14:textFill>
              </w:rPr>
              <w:t>——点声源声功率级（A计权或倍频带），dB；</w:t>
            </w:r>
          </w:p>
          <w:p w14:paraId="25B3597C">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Q——指向性因数：通常对无指向性声源，当声源放在房间中心时，Q=1，当放在一面墙的中心时，Q=2；当放在两面墙夹角时，Q=4；当放在三面墙夹角处时，Q=8；</w:t>
            </w:r>
          </w:p>
          <w:p w14:paraId="6C7CBABE">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R——房间常数：R=Sa/（1-a），S为房间内表面面积，m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。a为平均吸声系数；</w:t>
            </w:r>
          </w:p>
          <w:p w14:paraId="0814FCEB">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r——声源到靠近围护结构某点处的距离，m。</w:t>
            </w:r>
          </w:p>
          <w:p w14:paraId="28377A72">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2）计算出所有室内声源在围护结构处产生的 i 倍频带叠加声压级</w:t>
            </w:r>
          </w:p>
          <w:p w14:paraId="73612E4B">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560320" cy="526415"/>
                  <wp:effectExtent l="0" t="0" r="11430" b="6985"/>
                  <wp:docPr id="1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9"/>
                          <pic:cNvPicPr>
                            <a:picLocks noChangeAspect="1"/>
                          </pic:cNvPicPr>
                        </pic:nvPicPr>
                        <pic:blipFill>
                          <a:blip r:embed="rId36"/>
                          <a:stretch>
                            <a:fillRect/>
                          </a:stretch>
                        </pic:blipFill>
                        <pic:spPr>
                          <a:xfrm>
                            <a:off x="0" y="0"/>
                            <a:ext cx="2560320" cy="526415"/>
                          </a:xfrm>
                          <a:prstGeom prst="rect">
                            <a:avLst/>
                          </a:prstGeom>
                          <a:noFill/>
                          <a:ln>
                            <a:noFill/>
                          </a:ln>
                        </pic:spPr>
                      </pic:pic>
                    </a:graphicData>
                  </a:graphic>
                </wp:inline>
              </w:drawing>
            </w:r>
          </w:p>
          <w:p w14:paraId="7239ED00">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p1i</w:t>
            </w:r>
            <w:r>
              <w:rPr>
                <w:rFonts w:hint="eastAsia"/>
                <w:color w:val="000000" w:themeColor="text1"/>
                <w14:textFill>
                  <w14:solidFill>
                    <w14:schemeClr w14:val="tx1"/>
                  </w14:solidFill>
                </w14:textFill>
              </w:rPr>
              <w:t>(T)——靠近围护结构处室内N个声源i倍频带的叠加声压级，dB；</w:t>
            </w:r>
          </w:p>
          <w:p w14:paraId="33461FA6">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p1ij</w:t>
            </w:r>
            <w:r>
              <w:rPr>
                <w:rFonts w:hint="eastAsia"/>
                <w:color w:val="000000" w:themeColor="text1"/>
                <w14:textFill>
                  <w14:solidFill>
                    <w14:schemeClr w14:val="tx1"/>
                  </w14:solidFill>
                </w14:textFill>
              </w:rPr>
              <w:t>——室内j声源i倍频带的声压级，dB；</w:t>
            </w:r>
          </w:p>
          <w:p w14:paraId="2438E684">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3）在室内近似为扩散声场地，按下式计算出靠近室外围护结构处的声压级</w:t>
            </w:r>
          </w:p>
          <w:p w14:paraId="35F02D2C">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490470" cy="457200"/>
                  <wp:effectExtent l="0" t="0" r="5080" b="0"/>
                  <wp:docPr id="1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0"/>
                          <pic:cNvPicPr>
                            <a:picLocks noChangeAspect="1"/>
                          </pic:cNvPicPr>
                        </pic:nvPicPr>
                        <pic:blipFill>
                          <a:blip r:embed="rId37"/>
                          <a:stretch>
                            <a:fillRect/>
                          </a:stretch>
                        </pic:blipFill>
                        <pic:spPr>
                          <a:xfrm>
                            <a:off x="0" y="0"/>
                            <a:ext cx="2490470" cy="457200"/>
                          </a:xfrm>
                          <a:prstGeom prst="rect">
                            <a:avLst/>
                          </a:prstGeom>
                          <a:noFill/>
                          <a:ln>
                            <a:noFill/>
                          </a:ln>
                        </pic:spPr>
                      </pic:pic>
                    </a:graphicData>
                  </a:graphic>
                </wp:inline>
              </w:drawing>
            </w:r>
          </w:p>
          <w:p w14:paraId="5A01B4F1">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p2i</w:t>
            </w:r>
            <w:r>
              <w:rPr>
                <w:rFonts w:hint="eastAsia"/>
                <w:color w:val="000000" w:themeColor="text1"/>
                <w14:textFill>
                  <w14:solidFill>
                    <w14:schemeClr w14:val="tx1"/>
                  </w14:solidFill>
                </w14:textFill>
              </w:rPr>
              <w:t>(T)——靠近围护结构处室外N个声源i倍频带的叠加声压级，dB；</w:t>
            </w:r>
          </w:p>
          <w:p w14:paraId="0E877817">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TLi——围护结构i倍频带的隔声量，dB；</w:t>
            </w:r>
          </w:p>
          <w:p w14:paraId="7E16CB77">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147570" cy="1207770"/>
                  <wp:effectExtent l="0" t="0" r="5080" b="11430"/>
                  <wp:docPr id="19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1"/>
                          <pic:cNvPicPr>
                            <a:picLocks noChangeAspect="1"/>
                          </pic:cNvPicPr>
                        </pic:nvPicPr>
                        <pic:blipFill>
                          <a:blip r:embed="rId38"/>
                          <a:stretch>
                            <a:fillRect/>
                          </a:stretch>
                        </pic:blipFill>
                        <pic:spPr>
                          <a:xfrm>
                            <a:off x="0" y="0"/>
                            <a:ext cx="2147570" cy="1207770"/>
                          </a:xfrm>
                          <a:prstGeom prst="rect">
                            <a:avLst/>
                          </a:prstGeom>
                          <a:noFill/>
                          <a:ln>
                            <a:noFill/>
                          </a:ln>
                        </pic:spPr>
                      </pic:pic>
                    </a:graphicData>
                  </a:graphic>
                </wp:inline>
              </w:drawing>
            </w:r>
          </w:p>
          <w:p w14:paraId="4B888E83">
            <w:pPr>
              <w:autoSpaceDE w:val="0"/>
              <w:autoSpaceDN w:val="0"/>
              <w:snapToGrid w:val="0"/>
              <w:spacing w:line="360" w:lineRule="auto"/>
              <w:jc w:val="center"/>
              <w:rPr>
                <w:rFonts w:cs="Calibri"/>
                <w:b/>
                <w:color w:val="000000" w:themeColor="text1"/>
                <w:kern w:val="0"/>
                <w:sz w:val="18"/>
                <w:szCs w:val="21"/>
                <w14:textFill>
                  <w14:solidFill>
                    <w14:schemeClr w14:val="tx1"/>
                  </w14:solidFill>
                </w14:textFill>
              </w:rPr>
            </w:pPr>
            <w:r>
              <w:rPr>
                <w:rFonts w:hint="eastAsia" w:cs="Calibri"/>
                <w:b/>
                <w:color w:val="000000" w:themeColor="text1"/>
                <w:kern w:val="0"/>
                <w:sz w:val="18"/>
                <w:szCs w:val="21"/>
                <w14:textFill>
                  <w14:solidFill>
                    <w14:schemeClr w14:val="tx1"/>
                  </w14:solidFill>
                </w14:textFill>
              </w:rPr>
              <w:t>图4-1 室内声源等效为室外声源图例</w:t>
            </w:r>
          </w:p>
          <w:p w14:paraId="50D02236">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4）将室内声源的声压级和透过面积换算成等效的室外声源，计算出中心位置位于透声面积（S）处的等效声源的倍频带声功率级。</w:t>
            </w:r>
          </w:p>
          <w:p w14:paraId="5BBD5DAA">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2334260" cy="433070"/>
                  <wp:effectExtent l="0" t="0" r="8890" b="508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9"/>
                          <a:stretch>
                            <a:fillRect/>
                          </a:stretch>
                        </pic:blipFill>
                        <pic:spPr>
                          <a:xfrm>
                            <a:off x="0" y="0"/>
                            <a:ext cx="2334260" cy="433070"/>
                          </a:xfrm>
                          <a:prstGeom prst="rect">
                            <a:avLst/>
                          </a:prstGeom>
                          <a:noFill/>
                          <a:ln>
                            <a:noFill/>
                          </a:ln>
                        </pic:spPr>
                      </pic:pic>
                    </a:graphicData>
                  </a:graphic>
                </wp:inline>
              </w:drawing>
            </w:r>
          </w:p>
          <w:p w14:paraId="0ABF19C1">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按室外声源预测方法计算预测点处的A声级设第i个室外声源在预测点产生的A声级为LAi，在T时间内该声源工作时间为ti；第j个等效室外声源在预测点产生的A声级为LAj，在T时间内该声源工作时间为tj，则拟建工程声源对预测点产生的贡献值（Leqg）为：</w:t>
            </w:r>
          </w:p>
          <w:p w14:paraId="604BB02B">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3011170" cy="661670"/>
                  <wp:effectExtent l="0" t="0" r="17780" b="5080"/>
                  <wp:docPr id="19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3"/>
                          <pic:cNvPicPr>
                            <a:picLocks noChangeAspect="1"/>
                          </pic:cNvPicPr>
                        </pic:nvPicPr>
                        <pic:blipFill>
                          <a:blip r:embed="rId40"/>
                          <a:stretch>
                            <a:fillRect/>
                          </a:stretch>
                        </pic:blipFill>
                        <pic:spPr>
                          <a:xfrm>
                            <a:off x="0" y="0"/>
                            <a:ext cx="3011170" cy="661670"/>
                          </a:xfrm>
                          <a:prstGeom prst="rect">
                            <a:avLst/>
                          </a:prstGeom>
                          <a:noFill/>
                          <a:ln>
                            <a:noFill/>
                          </a:ln>
                        </pic:spPr>
                      </pic:pic>
                    </a:graphicData>
                  </a:graphic>
                </wp:inline>
              </w:drawing>
            </w:r>
          </w:p>
          <w:p w14:paraId="52B23E28">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式中：t</w:t>
            </w:r>
            <w:r>
              <w:rPr>
                <w:rFonts w:hint="eastAsia"/>
                <w:color w:val="000000" w:themeColor="text1"/>
                <w:vertAlign w:val="subscript"/>
                <w14:textFill>
                  <w14:solidFill>
                    <w14:schemeClr w14:val="tx1"/>
                  </w14:solidFill>
                </w14:textFill>
              </w:rPr>
              <w:t>j</w:t>
            </w:r>
            <w:r>
              <w:rPr>
                <w:rFonts w:hint="eastAsia"/>
                <w:color w:val="000000" w:themeColor="text1"/>
                <w14:textFill>
                  <w14:solidFill>
                    <w14:schemeClr w14:val="tx1"/>
                  </w14:solidFill>
                </w14:textFill>
              </w:rPr>
              <w:t>——在T时间内j声源工作时间，s；</w:t>
            </w:r>
          </w:p>
          <w:p w14:paraId="1B076AE3">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t</w:t>
            </w:r>
            <w:r>
              <w:rPr>
                <w:rFonts w:hint="eastAsia"/>
                <w:color w:val="000000" w:themeColor="text1"/>
                <w:vertAlign w:val="subscript"/>
                <w14:textFill>
                  <w14:solidFill>
                    <w14:schemeClr w14:val="tx1"/>
                  </w14:solidFill>
                </w14:textFill>
              </w:rPr>
              <w:t>i</w:t>
            </w:r>
            <w:r>
              <w:rPr>
                <w:rFonts w:hint="eastAsia"/>
                <w:color w:val="000000" w:themeColor="text1"/>
                <w14:textFill>
                  <w14:solidFill>
                    <w14:schemeClr w14:val="tx1"/>
                  </w14:solidFill>
                </w14:textFill>
              </w:rPr>
              <w:t>——在T时间内i声源工作时间，s；</w:t>
            </w:r>
          </w:p>
          <w:p w14:paraId="069C3E97">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T——用于计算等效声级的时间，s；</w:t>
            </w:r>
          </w:p>
          <w:p w14:paraId="3319DC35">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6）预测点的预测等效声级（Leq）计算</w:t>
            </w:r>
          </w:p>
          <w:p w14:paraId="02219D52">
            <w:pPr>
              <w:adjustRightInd w:val="0"/>
              <w:snapToGrid w:val="0"/>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3028950" cy="571500"/>
                  <wp:effectExtent l="0" t="0" r="0" b="0"/>
                  <wp:docPr id="19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4"/>
                          <pic:cNvPicPr>
                            <a:picLocks noChangeAspect="1"/>
                          </pic:cNvPicPr>
                        </pic:nvPicPr>
                        <pic:blipFill>
                          <a:blip r:embed="rId41"/>
                          <a:stretch>
                            <a:fillRect/>
                          </a:stretch>
                        </pic:blipFill>
                        <pic:spPr>
                          <a:xfrm>
                            <a:off x="0" y="0"/>
                            <a:ext cx="3028950" cy="571500"/>
                          </a:xfrm>
                          <a:prstGeom prst="rect">
                            <a:avLst/>
                          </a:prstGeom>
                          <a:noFill/>
                          <a:ln>
                            <a:noFill/>
                          </a:ln>
                        </pic:spPr>
                      </pic:pic>
                    </a:graphicData>
                  </a:graphic>
                </wp:inline>
              </w:drawing>
            </w:r>
          </w:p>
          <w:p w14:paraId="5E9D11E1">
            <w:pPr>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式中：L</w:t>
            </w:r>
            <w:r>
              <w:rPr>
                <w:rFonts w:hint="eastAsia"/>
                <w:color w:val="000000" w:themeColor="text1"/>
                <w:vertAlign w:val="subscript"/>
                <w14:textFill>
                  <w14:solidFill>
                    <w14:schemeClr w14:val="tx1"/>
                  </w14:solidFill>
                </w14:textFill>
              </w:rPr>
              <w:t>eq</w:t>
            </w:r>
            <w:r>
              <w:rPr>
                <w:rFonts w:hint="eastAsia"/>
                <w:color w:val="000000" w:themeColor="text1"/>
                <w14:textFill>
                  <w14:solidFill>
                    <w14:schemeClr w14:val="tx1"/>
                  </w14:solidFill>
                </w14:textFill>
              </w:rPr>
              <w:t>——建设项目声源在预测点的等效声级贡献量，dB(A)；</w:t>
            </w:r>
          </w:p>
          <w:p w14:paraId="4AC3BC55">
            <w:pPr>
              <w:autoSpaceDE w:val="0"/>
              <w:autoSpaceDN w:val="0"/>
              <w:adjustRightInd w:val="0"/>
              <w:snapToGrid w:val="0"/>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eqb</w:t>
            </w:r>
            <w:r>
              <w:rPr>
                <w:rFonts w:hint="eastAsia"/>
                <w:color w:val="000000" w:themeColor="text1"/>
                <w14:textFill>
                  <w14:solidFill>
                    <w14:schemeClr w14:val="tx1"/>
                  </w14:solidFill>
                </w14:textFill>
              </w:rPr>
              <w:t>——预测点背景值，dB(A)；</w:t>
            </w:r>
          </w:p>
          <w:p w14:paraId="521CE052">
            <w:pPr>
              <w:autoSpaceDE w:val="0"/>
              <w:autoSpaceDN w:val="0"/>
              <w:adjustRightInd w:val="0"/>
              <w:snapToGrid w:val="0"/>
              <w:spacing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3、预测结果及评价</w:t>
            </w:r>
          </w:p>
          <w:p w14:paraId="38D682A8">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根据上述预测模式及参数的选择，对项目噪声源对各预测点的噪声贡献值进行计算，计算结果如下。</w:t>
            </w:r>
          </w:p>
          <w:p w14:paraId="185F2AD8">
            <w:pPr>
              <w:autoSpaceDE w:val="0"/>
              <w:autoSpaceDN w:val="0"/>
              <w:adjustRightInd w:val="0"/>
              <w:snapToGrid w:val="0"/>
              <w:spacing w:line="360" w:lineRule="auto"/>
              <w:ind w:firstLine="361" w:firstLineChars="200"/>
              <w:jc w:val="center"/>
              <w:rPr>
                <w:rFonts w:ascii="Calibri" w:hAnsi="Calibri"/>
                <w:b/>
                <w:bCs/>
                <w:color w:val="000000" w:themeColor="text1"/>
                <w:sz w:val="18"/>
                <w:szCs w:val="18"/>
                <w:lang w:bidi="en-US"/>
                <w14:textFill>
                  <w14:solidFill>
                    <w14:schemeClr w14:val="tx1"/>
                  </w14:solidFill>
                </w14:textFill>
              </w:rPr>
            </w:pPr>
            <w:r>
              <w:rPr>
                <w:b/>
                <w:bCs/>
                <w:color w:val="000000" w:themeColor="text1"/>
                <w:sz w:val="18"/>
                <w:szCs w:val="18"/>
                <w:lang w:bidi="en-US"/>
                <w14:textFill>
                  <w14:solidFill>
                    <w14:schemeClr w14:val="tx1"/>
                  </w14:solidFill>
                </w14:textFill>
              </w:rPr>
              <w:t>表4</w:t>
            </w:r>
            <w:r>
              <w:rPr>
                <w:rFonts w:hint="eastAsia"/>
                <w:b/>
                <w:bCs/>
                <w:color w:val="000000" w:themeColor="text1"/>
                <w:sz w:val="18"/>
                <w:szCs w:val="18"/>
                <w:lang w:bidi="en-US"/>
                <w14:textFill>
                  <w14:solidFill>
                    <w14:schemeClr w14:val="tx1"/>
                  </w14:solidFill>
                </w14:textFill>
              </w:rPr>
              <w:t>-2</w:t>
            </w:r>
            <w:r>
              <w:rPr>
                <w:rFonts w:hint="eastAsia"/>
                <w:b/>
                <w:bCs/>
                <w:color w:val="000000" w:themeColor="text1"/>
                <w:sz w:val="18"/>
                <w:szCs w:val="18"/>
                <w:lang w:val="en-US" w:eastAsia="zh-CN" w:bidi="en-US"/>
                <w14:textFill>
                  <w14:solidFill>
                    <w14:schemeClr w14:val="tx1"/>
                  </w14:solidFill>
                </w14:textFill>
              </w:rPr>
              <w:t>1</w:t>
            </w:r>
            <w:r>
              <w:rPr>
                <w:rFonts w:hint="eastAsia"/>
                <w:b/>
                <w:bCs/>
                <w:color w:val="000000" w:themeColor="text1"/>
                <w:sz w:val="18"/>
                <w:szCs w:val="18"/>
                <w:lang w:bidi="en-US"/>
                <w14:textFill>
                  <w14:solidFill>
                    <w14:schemeClr w14:val="tx1"/>
                  </w14:solidFill>
                </w14:textFill>
              </w:rPr>
              <w:t xml:space="preserve"> </w:t>
            </w:r>
            <w:r>
              <w:rPr>
                <w:b/>
                <w:bCs/>
                <w:color w:val="000000" w:themeColor="text1"/>
                <w:sz w:val="18"/>
                <w:szCs w:val="18"/>
                <w:lang w:bidi="en-US"/>
                <w14:textFill>
                  <w14:solidFill>
                    <w14:schemeClr w14:val="tx1"/>
                  </w14:solidFill>
                </w14:textFill>
              </w:rPr>
              <w:t>各类设备的噪声影响在厂界的贡献值结果（dB(A)）</w:t>
            </w:r>
          </w:p>
          <w:tbl>
            <w:tblPr>
              <w:tblStyle w:val="20"/>
              <w:tblW w:w="4998" w:type="pct"/>
              <w:tblInd w:w="0" w:type="dxa"/>
              <w:tblLayout w:type="autofit"/>
              <w:tblCellMar>
                <w:top w:w="0" w:type="dxa"/>
                <w:left w:w="108" w:type="dxa"/>
                <w:bottom w:w="0" w:type="dxa"/>
                <w:right w:w="108" w:type="dxa"/>
              </w:tblCellMar>
            </w:tblPr>
            <w:tblGrid>
              <w:gridCol w:w="2017"/>
              <w:gridCol w:w="1468"/>
              <w:gridCol w:w="1533"/>
              <w:gridCol w:w="954"/>
              <w:gridCol w:w="1241"/>
              <w:gridCol w:w="2405"/>
              <w:gridCol w:w="2020"/>
              <w:gridCol w:w="2029"/>
            </w:tblGrid>
            <w:tr w14:paraId="3144B962">
              <w:tblPrEx>
                <w:tblCellMar>
                  <w:top w:w="0" w:type="dxa"/>
                  <w:left w:w="108" w:type="dxa"/>
                  <w:bottom w:w="0" w:type="dxa"/>
                  <w:right w:w="108" w:type="dxa"/>
                </w:tblCellMar>
              </w:tblPrEx>
              <w:trPr>
                <w:trHeight w:val="23" w:hRule="atLeast"/>
              </w:trPr>
              <w:tc>
                <w:tcPr>
                  <w:tcW w:w="738"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15FB62B5">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预测方位</w:t>
                  </w:r>
                </w:p>
              </w:tc>
              <w:tc>
                <w:tcPr>
                  <w:tcW w:w="1447" w:type="pct"/>
                  <w:gridSpan w:val="3"/>
                  <w:tcBorders>
                    <w:top w:val="single" w:color="000000" w:sz="4" w:space="0"/>
                    <w:left w:val="single" w:color="000000" w:sz="4" w:space="0"/>
                    <w:bottom w:val="single" w:color="000000" w:sz="4" w:space="0"/>
                    <w:right w:val="single" w:color="000000" w:sz="4" w:space="0"/>
                  </w:tcBorders>
                  <w:shd w:val="clear" w:color="auto" w:fill="D9D9D9"/>
                  <w:vAlign w:val="center"/>
                </w:tcPr>
                <w:p w14:paraId="6806831B">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空间相对位置/m</w:t>
                  </w:r>
                </w:p>
              </w:tc>
              <w:tc>
                <w:tcPr>
                  <w:tcW w:w="454"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5CE09C57">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时段</w:t>
                  </w:r>
                </w:p>
              </w:tc>
              <w:tc>
                <w:tcPr>
                  <w:tcW w:w="880"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FDAA746">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最大贡献值</w:t>
                  </w:r>
                  <w:r>
                    <w:rPr>
                      <w:b/>
                      <w:bCs/>
                      <w:color w:val="000000" w:themeColor="text1"/>
                      <w14:textFill>
                        <w14:solidFill>
                          <w14:schemeClr w14:val="tx1"/>
                        </w14:solidFill>
                      </w14:textFill>
                    </w:rPr>
                    <w:br w:type="textWrapping"/>
                  </w:r>
                  <w:r>
                    <w:rPr>
                      <w:b/>
                      <w:bCs/>
                      <w:color w:val="000000" w:themeColor="text1"/>
                      <w14:textFill>
                        <w14:solidFill>
                          <w14:schemeClr w14:val="tx1"/>
                        </w14:solidFill>
                      </w14:textFill>
                    </w:rPr>
                    <w:t>(dB(A))</w:t>
                  </w:r>
                </w:p>
              </w:tc>
              <w:tc>
                <w:tcPr>
                  <w:tcW w:w="739"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24FF0F5">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标准限值</w:t>
                  </w:r>
                  <w:r>
                    <w:rPr>
                      <w:b/>
                      <w:bCs/>
                      <w:color w:val="000000" w:themeColor="text1"/>
                      <w14:textFill>
                        <w14:solidFill>
                          <w14:schemeClr w14:val="tx1"/>
                        </w14:solidFill>
                      </w14:textFill>
                    </w:rPr>
                    <w:br w:type="textWrapping"/>
                  </w:r>
                  <w:r>
                    <w:rPr>
                      <w:b/>
                      <w:bCs/>
                      <w:color w:val="000000" w:themeColor="text1"/>
                      <w14:textFill>
                        <w14:solidFill>
                          <w14:schemeClr w14:val="tx1"/>
                        </w14:solidFill>
                      </w14:textFill>
                    </w:rPr>
                    <w:t>(dB(A))</w:t>
                  </w:r>
                </w:p>
              </w:tc>
              <w:tc>
                <w:tcPr>
                  <w:tcW w:w="738" w:type="pct"/>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7FDBE09C">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达标情况</w:t>
                  </w:r>
                </w:p>
              </w:tc>
            </w:tr>
            <w:tr w14:paraId="3FBCCB37">
              <w:tblPrEx>
                <w:tblCellMar>
                  <w:top w:w="0" w:type="dxa"/>
                  <w:left w:w="108" w:type="dxa"/>
                  <w:bottom w:w="0" w:type="dxa"/>
                  <w:right w:w="108" w:type="dxa"/>
                </w:tblCellMar>
              </w:tblPrEx>
              <w:trPr>
                <w:trHeight w:val="23" w:hRule="atLeast"/>
              </w:trPr>
              <w:tc>
                <w:tcPr>
                  <w:tcW w:w="738"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3488B00E">
                  <w:pPr>
                    <w:pStyle w:val="46"/>
                    <w:rPr>
                      <w:color w:val="000000" w:themeColor="text1"/>
                      <w14:textFill>
                        <w14:solidFill>
                          <w14:schemeClr w14:val="tx1"/>
                        </w14:solidFill>
                      </w14:textFill>
                    </w:rPr>
                  </w:pPr>
                </w:p>
              </w:tc>
              <w:tc>
                <w:tcPr>
                  <w:tcW w:w="537"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AD6DF8D">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X</w:t>
                  </w:r>
                </w:p>
              </w:tc>
              <w:tc>
                <w:tcPr>
                  <w:tcW w:w="561"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204B1597">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Y</w:t>
                  </w:r>
                </w:p>
              </w:tc>
              <w:tc>
                <w:tcPr>
                  <w:tcW w:w="348" w:type="pct"/>
                  <w:tcBorders>
                    <w:top w:val="single" w:color="000000" w:sz="4" w:space="0"/>
                    <w:left w:val="single" w:color="000000" w:sz="4" w:space="0"/>
                    <w:bottom w:val="single" w:color="000000" w:sz="4" w:space="0"/>
                    <w:right w:val="single" w:color="000000" w:sz="4" w:space="0"/>
                  </w:tcBorders>
                  <w:shd w:val="clear" w:color="auto" w:fill="D9D9D9"/>
                  <w:vAlign w:val="center"/>
                </w:tcPr>
                <w:p w14:paraId="7B8814F3">
                  <w:pPr>
                    <w:pStyle w:val="46"/>
                    <w:rPr>
                      <w:b/>
                      <w:bCs/>
                      <w:color w:val="000000" w:themeColor="text1"/>
                      <w14:textFill>
                        <w14:solidFill>
                          <w14:schemeClr w14:val="tx1"/>
                        </w14:solidFill>
                      </w14:textFill>
                    </w:rPr>
                  </w:pPr>
                  <w:r>
                    <w:rPr>
                      <w:b/>
                      <w:bCs/>
                      <w:color w:val="000000" w:themeColor="text1"/>
                      <w14:textFill>
                        <w14:solidFill>
                          <w14:schemeClr w14:val="tx1"/>
                        </w14:solidFill>
                      </w14:textFill>
                    </w:rPr>
                    <w:t>Z</w:t>
                  </w:r>
                </w:p>
              </w:tc>
              <w:tc>
                <w:tcPr>
                  <w:tcW w:w="454"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E9898FA">
                  <w:pPr>
                    <w:pStyle w:val="46"/>
                    <w:rPr>
                      <w:color w:val="000000" w:themeColor="text1"/>
                      <w14:textFill>
                        <w14:solidFill>
                          <w14:schemeClr w14:val="tx1"/>
                        </w14:solidFill>
                      </w14:textFill>
                    </w:rPr>
                  </w:pPr>
                </w:p>
              </w:tc>
              <w:tc>
                <w:tcPr>
                  <w:tcW w:w="880"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2F317B79">
                  <w:pPr>
                    <w:pStyle w:val="46"/>
                    <w:rPr>
                      <w:color w:val="000000" w:themeColor="text1"/>
                      <w14:textFill>
                        <w14:solidFill>
                          <w14:schemeClr w14:val="tx1"/>
                        </w14:solidFill>
                      </w14:textFill>
                    </w:rPr>
                  </w:pPr>
                </w:p>
              </w:tc>
              <w:tc>
                <w:tcPr>
                  <w:tcW w:w="739"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185AA3D5">
                  <w:pPr>
                    <w:pStyle w:val="46"/>
                    <w:rPr>
                      <w:color w:val="000000" w:themeColor="text1"/>
                      <w14:textFill>
                        <w14:solidFill>
                          <w14:schemeClr w14:val="tx1"/>
                        </w14:solidFill>
                      </w14:textFill>
                    </w:rPr>
                  </w:pPr>
                </w:p>
              </w:tc>
              <w:tc>
                <w:tcPr>
                  <w:tcW w:w="738" w:type="pct"/>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84BD1CE">
                  <w:pPr>
                    <w:pStyle w:val="46"/>
                    <w:rPr>
                      <w:color w:val="000000" w:themeColor="text1"/>
                      <w14:textFill>
                        <w14:solidFill>
                          <w14:schemeClr w14:val="tx1"/>
                        </w14:solidFill>
                      </w14:textFill>
                    </w:rPr>
                  </w:pPr>
                </w:p>
              </w:tc>
            </w:tr>
            <w:tr w14:paraId="2A565F3D">
              <w:tblPrEx>
                <w:tblCellMar>
                  <w:top w:w="0" w:type="dxa"/>
                  <w:left w:w="108" w:type="dxa"/>
                  <w:bottom w:w="0" w:type="dxa"/>
                  <w:right w:w="108" w:type="dxa"/>
                </w:tblCellMar>
              </w:tblPrEx>
              <w:trPr>
                <w:trHeight w:val="131"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CCEBA">
                  <w:pPr>
                    <w:pStyle w:val="46"/>
                    <w:rPr>
                      <w:color w:val="000000" w:themeColor="text1"/>
                      <w14:textFill>
                        <w14:solidFill>
                          <w14:schemeClr w14:val="tx1"/>
                        </w14:solidFill>
                      </w14:textFill>
                    </w:rPr>
                  </w:pPr>
                  <w:r>
                    <w:rPr>
                      <w:color w:val="000000" w:themeColor="text1"/>
                      <w14:textFill>
                        <w14:solidFill>
                          <w14:schemeClr w14:val="tx1"/>
                        </w14:solidFill>
                      </w14:textFill>
                    </w:rPr>
                    <w:t>西侧</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395ED">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81.89</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B959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55.48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5A7E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6322A">
                  <w:pPr>
                    <w:pStyle w:val="46"/>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F3D6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49.4</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3E24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7E4E">
                  <w:pPr>
                    <w:pStyle w:val="46"/>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5D6D0E68">
              <w:tblPrEx>
                <w:tblCellMar>
                  <w:top w:w="0" w:type="dxa"/>
                  <w:left w:w="108" w:type="dxa"/>
                  <w:bottom w:w="0" w:type="dxa"/>
                  <w:right w:w="108" w:type="dxa"/>
                </w:tblCellMar>
              </w:tblPrEx>
              <w:trPr>
                <w:trHeight w:val="23"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06606">
                  <w:pPr>
                    <w:pStyle w:val="46"/>
                    <w:rPr>
                      <w:color w:val="000000" w:themeColor="text1"/>
                      <w14:textFill>
                        <w14:solidFill>
                          <w14:schemeClr w14:val="tx1"/>
                        </w14:solidFill>
                      </w14:textFill>
                    </w:rPr>
                  </w:pPr>
                  <w:r>
                    <w:rPr>
                      <w:color w:val="000000" w:themeColor="text1"/>
                      <w14:textFill>
                        <w14:solidFill>
                          <w14:schemeClr w14:val="tx1"/>
                        </w14:solidFill>
                      </w14:textFill>
                    </w:rPr>
                    <w:t>南侧</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DD3B">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111.85</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ED3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-108.60</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6F79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5C2DC">
                  <w:pPr>
                    <w:pStyle w:val="46"/>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14BC4">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38.9</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44983">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FFFB">
                  <w:pPr>
                    <w:pStyle w:val="46"/>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18D2BA1D">
              <w:tblPrEx>
                <w:tblCellMar>
                  <w:top w:w="0" w:type="dxa"/>
                  <w:left w:w="108" w:type="dxa"/>
                  <w:bottom w:w="0" w:type="dxa"/>
                  <w:right w:w="108" w:type="dxa"/>
                </w:tblCellMar>
              </w:tblPrEx>
              <w:trPr>
                <w:trHeight w:val="23"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9DE6">
                  <w:pPr>
                    <w:pStyle w:val="46"/>
                    <w:rPr>
                      <w:color w:val="000000" w:themeColor="text1"/>
                      <w14:textFill>
                        <w14:solidFill>
                          <w14:schemeClr w14:val="tx1"/>
                        </w14:solidFill>
                      </w14:textFill>
                    </w:rPr>
                  </w:pPr>
                  <w:r>
                    <w:rPr>
                      <w:color w:val="000000" w:themeColor="text1"/>
                      <w14:textFill>
                        <w14:solidFill>
                          <w14:schemeClr w14:val="tx1"/>
                        </w14:solidFill>
                      </w14:textFill>
                    </w:rPr>
                    <w:t>东侧</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C4C89">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296.11</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DE4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-67.58</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C9168">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FD90">
                  <w:pPr>
                    <w:pStyle w:val="46"/>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6570A">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38.5</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5F4FF">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4B6B8">
                  <w:pPr>
                    <w:pStyle w:val="46"/>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69859B72">
              <w:tblPrEx>
                <w:tblCellMar>
                  <w:top w:w="0" w:type="dxa"/>
                  <w:left w:w="108" w:type="dxa"/>
                  <w:bottom w:w="0" w:type="dxa"/>
                  <w:right w:w="108" w:type="dxa"/>
                </w:tblCellMar>
              </w:tblPrEx>
              <w:trPr>
                <w:trHeight w:val="23" w:hRule="atLeast"/>
              </w:trPr>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ABB6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北侧</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3781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242.07</w:t>
                  </w:r>
                </w:p>
              </w:tc>
              <w:tc>
                <w:tcPr>
                  <w:tcW w:w="5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1F95E">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67.85</w:t>
                  </w:r>
                </w:p>
              </w:tc>
              <w:tc>
                <w:tcPr>
                  <w:tcW w:w="3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8792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1.2</w:t>
                  </w:r>
                </w:p>
              </w:tc>
              <w:tc>
                <w:tcPr>
                  <w:tcW w:w="4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C4CCB">
                  <w:pPr>
                    <w:pStyle w:val="46"/>
                    <w:rPr>
                      <w:color w:val="000000" w:themeColor="text1"/>
                      <w14:textFill>
                        <w14:solidFill>
                          <w14:schemeClr w14:val="tx1"/>
                        </w14:solidFill>
                      </w14:textFill>
                    </w:rPr>
                  </w:pPr>
                  <w:r>
                    <w:rPr>
                      <w:color w:val="000000" w:themeColor="text1"/>
                      <w14:textFill>
                        <w14:solidFill>
                          <w14:schemeClr w14:val="tx1"/>
                        </w14:solidFill>
                      </w14:textFill>
                    </w:rPr>
                    <w:t>昼间</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AE51C">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53.8</w:t>
                  </w:r>
                </w:p>
              </w:tc>
              <w:tc>
                <w:tcPr>
                  <w:tcW w:w="73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42316">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60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2DA82">
                  <w:pPr>
                    <w:pStyle w:val="46"/>
                    <w:rPr>
                      <w:color w:val="000000" w:themeColor="text1"/>
                      <w14:textFill>
                        <w14:solidFill>
                          <w14:schemeClr w14:val="tx1"/>
                        </w14:solidFill>
                      </w14:textFill>
                    </w:rPr>
                  </w:pPr>
                  <w:r>
                    <w:rPr>
                      <w:color w:val="000000" w:themeColor="text1"/>
                      <w14:textFill>
                        <w14:solidFill>
                          <w14:schemeClr w14:val="tx1"/>
                        </w14:solidFill>
                      </w14:textFill>
                    </w:rPr>
                    <w:t>达标</w:t>
                  </w:r>
                </w:p>
              </w:tc>
            </w:tr>
            <w:tr w14:paraId="09E2A87C">
              <w:tblPrEx>
                <w:tblCellMar>
                  <w:top w:w="0" w:type="dxa"/>
                  <w:left w:w="108" w:type="dxa"/>
                  <w:bottom w:w="0" w:type="dxa"/>
                  <w:right w:w="108" w:type="dxa"/>
                </w:tblCellMar>
              </w:tblPrEx>
              <w:trPr>
                <w:trHeight w:val="23"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A945AC">
                  <w:pPr>
                    <w:pStyle w:val="46"/>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注：表中坐标以厂界西南角（经纬度：109.991516，21.574197）为坐标原点，正东向为X轴正方向，正北向为Y轴正方向；</w:t>
                  </w:r>
                </w:p>
              </w:tc>
            </w:tr>
          </w:tbl>
          <w:p w14:paraId="57665E15">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kern w:val="0"/>
                <w:szCs w:val="21"/>
                <w:lang w:bidi="ar"/>
                <w14:textFill>
                  <w14:solidFill>
                    <w14:schemeClr w14:val="tx1"/>
                  </w14:solidFill>
                </w14:textFill>
              </w:rPr>
              <w:t>通过对项目运营后的多个声源对环境的贡献值分布情况进行预测可知，</w:t>
            </w:r>
            <w:r>
              <w:rPr>
                <w:rFonts w:hint="eastAsia"/>
                <w:color w:val="000000" w:themeColor="text1"/>
                <w14:textFill>
                  <w14:solidFill>
                    <w14:schemeClr w14:val="tx1"/>
                  </w14:solidFill>
                </w14:textFill>
              </w:rPr>
              <w:t>采取措施后项目厂界噪声可达到《工业企业厂界环境噪声排放标准》（GB12348-2008）2类标准限值要求，对项目周边声环境影响较小。</w:t>
            </w:r>
          </w:p>
          <w:p w14:paraId="0D343EF2">
            <w:pPr>
              <w:adjustRightInd w:val="0"/>
              <w:snapToGrid w:val="0"/>
              <w:spacing w:line="360" w:lineRule="auto"/>
              <w:ind w:firstLine="42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4、降噪措施</w:t>
            </w:r>
          </w:p>
          <w:p w14:paraId="285F924C">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为避免项目产生的噪声对周围环境造成影响，建议建设单位采取以下措施进行有效防治：</w:t>
            </w:r>
          </w:p>
          <w:p w14:paraId="757C32EA">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（1）有针对性地对噪声设备进行合理布置，让噪声源尽量远离边界。</w:t>
            </w:r>
          </w:p>
          <w:p w14:paraId="38BA3BE3">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（2）对高噪声设备进行消音、隔声、减振等措施。</w:t>
            </w:r>
          </w:p>
          <w:p w14:paraId="5B983720">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（3）加强对设备的定期检查、维护和管理，以保证设备的正常运行，避免因设备异常运行所产生的噪声对周围环境的影响。</w:t>
            </w:r>
          </w:p>
          <w:p w14:paraId="7987A149">
            <w:pPr>
              <w:spacing w:line="360" w:lineRule="auto"/>
              <w:ind w:firstLine="422" w:firstLineChars="20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5</w:t>
            </w:r>
            <w:r>
              <w:rPr>
                <w:b/>
                <w:color w:val="000000" w:themeColor="text1"/>
                <w:szCs w:val="21"/>
                <w14:textFill>
                  <w14:solidFill>
                    <w14:schemeClr w14:val="tx1"/>
                  </w14:solidFill>
                </w14:textFill>
              </w:rPr>
              <w:t>、噪声</w:t>
            </w:r>
            <w:r>
              <w:rPr>
                <w:b/>
                <w:color w:val="000000" w:themeColor="text1"/>
                <w:spacing w:val="-10"/>
                <w:szCs w:val="21"/>
                <w14:textFill>
                  <w14:solidFill>
                    <w14:schemeClr w14:val="tx1"/>
                  </w14:solidFill>
                </w14:textFill>
              </w:rPr>
              <w:t>监测计划</w:t>
            </w:r>
          </w:p>
          <w:p w14:paraId="6343657A">
            <w:pPr>
              <w:snapToGrid w:val="0"/>
              <w:spacing w:line="360" w:lineRule="auto"/>
              <w:ind w:firstLine="420" w:firstLineChars="200"/>
              <w:rPr>
                <w:color w:val="000000" w:themeColor="text1"/>
                <w:kern w:val="0"/>
                <w:szCs w:val="21"/>
                <w:lang w:bidi="en-US"/>
                <w14:textFill>
                  <w14:solidFill>
                    <w14:schemeClr w14:val="tx1"/>
                  </w14:solidFill>
                </w14:textFill>
              </w:rPr>
            </w:pPr>
            <w:r>
              <w:rPr>
                <w:color w:val="000000" w:themeColor="text1"/>
                <w:kern w:val="0"/>
                <w:szCs w:val="21"/>
                <w:lang w:bidi="en-US"/>
                <w14:textFill>
                  <w14:solidFill>
                    <w14:schemeClr w14:val="tx1"/>
                  </w14:solidFill>
                </w14:textFill>
              </w:rPr>
              <w:t>参照《排污单位自行监测技术指南 总则》（HJ819-2017），厂界环境噪声每季度至少开展一次监测，夜间生产的要监测夜间噪声。本项目边界噪声监测计划见下表。</w:t>
            </w:r>
          </w:p>
          <w:p w14:paraId="2B98F22E">
            <w:pPr>
              <w:autoSpaceDE w:val="0"/>
              <w:autoSpaceDN w:val="0"/>
              <w:adjustRightInd w:val="0"/>
              <w:snapToGrid w:val="0"/>
              <w:spacing w:line="360" w:lineRule="auto"/>
              <w:ind w:firstLine="361" w:firstLineChars="200"/>
              <w:jc w:val="center"/>
              <w:rPr>
                <w:b/>
                <w:bCs/>
                <w:color w:val="000000" w:themeColor="text1"/>
                <w:sz w:val="18"/>
                <w:szCs w:val="18"/>
                <w:lang w:bidi="en-US"/>
                <w14:textFill>
                  <w14:solidFill>
                    <w14:schemeClr w14:val="tx1"/>
                  </w14:solidFill>
                </w14:textFill>
              </w:rPr>
            </w:pPr>
            <w:r>
              <w:rPr>
                <w:rFonts w:hint="eastAsia"/>
                <w:b/>
                <w:bCs/>
                <w:color w:val="000000" w:themeColor="text1"/>
                <w:sz w:val="18"/>
                <w:szCs w:val="18"/>
                <w:lang w:bidi="en-US"/>
                <w14:textFill>
                  <w14:solidFill>
                    <w14:schemeClr w14:val="tx1"/>
                  </w14:solidFill>
                </w14:textFill>
              </w:rPr>
              <w:t>表4-2</w:t>
            </w:r>
            <w:r>
              <w:rPr>
                <w:rFonts w:hint="eastAsia"/>
                <w:b/>
                <w:bCs/>
                <w:color w:val="000000" w:themeColor="text1"/>
                <w:sz w:val="18"/>
                <w:szCs w:val="18"/>
                <w:lang w:val="en-US" w:eastAsia="zh-CN" w:bidi="en-US"/>
                <w14:textFill>
                  <w14:solidFill>
                    <w14:schemeClr w14:val="tx1"/>
                  </w14:solidFill>
                </w14:textFill>
              </w:rPr>
              <w:t>2</w:t>
            </w:r>
            <w:r>
              <w:rPr>
                <w:rFonts w:hint="eastAsia"/>
                <w:b/>
                <w:bCs/>
                <w:color w:val="000000" w:themeColor="text1"/>
                <w:sz w:val="18"/>
                <w:szCs w:val="18"/>
                <w:lang w:bidi="en-US"/>
                <w14:textFill>
                  <w14:solidFill>
                    <w14:schemeClr w14:val="tx1"/>
                  </w14:solidFill>
                </w14:textFill>
              </w:rPr>
              <w:t xml:space="preserve"> 噪声监测要求</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842"/>
              <w:gridCol w:w="1959"/>
              <w:gridCol w:w="9096"/>
            </w:tblGrid>
            <w:tr w14:paraId="7927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shd w:val="clear" w:color="auto" w:fill="D9D9D9"/>
                  <w:vAlign w:val="center"/>
                </w:tcPr>
                <w:p w14:paraId="258FA807">
                  <w:pPr>
                    <w:jc w:val="center"/>
                    <w:rPr>
                      <w:b/>
                      <w:bCs/>
                      <w:color w:val="000000" w:themeColor="text1"/>
                      <w:sz w:val="18"/>
                      <w:szCs w:val="21"/>
                      <w:lang w:bidi="en-US"/>
                      <w14:textFill>
                        <w14:solidFill>
                          <w14:schemeClr w14:val="tx1"/>
                        </w14:solidFill>
                      </w14:textFill>
                    </w:rPr>
                  </w:pPr>
                  <w:r>
                    <w:rPr>
                      <w:b/>
                      <w:bCs/>
                      <w:color w:val="000000" w:themeColor="text1"/>
                      <w:sz w:val="18"/>
                      <w:szCs w:val="21"/>
                      <w:lang w:bidi="en-US"/>
                      <w14:textFill>
                        <w14:solidFill>
                          <w14:schemeClr w14:val="tx1"/>
                        </w14:solidFill>
                      </w14:textFill>
                    </w:rPr>
                    <w:t>序号</w:t>
                  </w:r>
                </w:p>
              </w:tc>
              <w:tc>
                <w:tcPr>
                  <w:tcW w:w="674" w:type="pct"/>
                  <w:shd w:val="clear" w:color="auto" w:fill="D9D9D9"/>
                  <w:vAlign w:val="center"/>
                </w:tcPr>
                <w:p w14:paraId="132DDBCE">
                  <w:pPr>
                    <w:jc w:val="center"/>
                    <w:rPr>
                      <w:b/>
                      <w:bCs/>
                      <w:color w:val="000000" w:themeColor="text1"/>
                      <w:sz w:val="18"/>
                      <w:szCs w:val="21"/>
                      <w:lang w:bidi="en-US"/>
                      <w14:textFill>
                        <w14:solidFill>
                          <w14:schemeClr w14:val="tx1"/>
                        </w14:solidFill>
                      </w14:textFill>
                    </w:rPr>
                  </w:pPr>
                  <w:r>
                    <w:rPr>
                      <w:b/>
                      <w:bCs/>
                      <w:color w:val="000000" w:themeColor="text1"/>
                      <w:sz w:val="18"/>
                      <w:szCs w:val="21"/>
                      <w:lang w:bidi="en-US"/>
                      <w14:textFill>
                        <w14:solidFill>
                          <w14:schemeClr w14:val="tx1"/>
                        </w14:solidFill>
                      </w14:textFill>
                    </w:rPr>
                    <w:t>监测点位</w:t>
                  </w:r>
                </w:p>
              </w:tc>
              <w:tc>
                <w:tcPr>
                  <w:tcW w:w="717" w:type="pct"/>
                  <w:shd w:val="clear" w:color="auto" w:fill="D9D9D9"/>
                  <w:vAlign w:val="center"/>
                </w:tcPr>
                <w:p w14:paraId="61561758">
                  <w:pPr>
                    <w:jc w:val="center"/>
                    <w:rPr>
                      <w:b/>
                      <w:bCs/>
                      <w:color w:val="000000" w:themeColor="text1"/>
                      <w:sz w:val="18"/>
                      <w:szCs w:val="21"/>
                      <w:lang w:bidi="en-US"/>
                      <w14:textFill>
                        <w14:solidFill>
                          <w14:schemeClr w14:val="tx1"/>
                        </w14:solidFill>
                      </w14:textFill>
                    </w:rPr>
                  </w:pPr>
                  <w:r>
                    <w:rPr>
                      <w:b/>
                      <w:bCs/>
                      <w:color w:val="000000" w:themeColor="text1"/>
                      <w:sz w:val="18"/>
                      <w:szCs w:val="21"/>
                      <w:lang w:bidi="en-US"/>
                      <w14:textFill>
                        <w14:solidFill>
                          <w14:schemeClr w14:val="tx1"/>
                        </w14:solidFill>
                      </w14:textFill>
                    </w:rPr>
                    <w:t>监测频次</w:t>
                  </w:r>
                </w:p>
              </w:tc>
              <w:tc>
                <w:tcPr>
                  <w:tcW w:w="3329" w:type="pct"/>
                  <w:shd w:val="clear" w:color="auto" w:fill="D9D9D9"/>
                  <w:vAlign w:val="center"/>
                </w:tcPr>
                <w:p w14:paraId="3ECA7CEF">
                  <w:pPr>
                    <w:jc w:val="center"/>
                    <w:rPr>
                      <w:b/>
                      <w:bCs/>
                      <w:color w:val="000000" w:themeColor="text1"/>
                      <w:sz w:val="18"/>
                      <w:szCs w:val="21"/>
                      <w:lang w:bidi="en-US"/>
                      <w14:textFill>
                        <w14:solidFill>
                          <w14:schemeClr w14:val="tx1"/>
                        </w14:solidFill>
                      </w14:textFill>
                    </w:rPr>
                  </w:pPr>
                  <w:r>
                    <w:rPr>
                      <w:b/>
                      <w:bCs/>
                      <w:color w:val="000000" w:themeColor="text1"/>
                      <w:sz w:val="18"/>
                      <w:szCs w:val="21"/>
                      <w:lang w:bidi="en-US"/>
                      <w14:textFill>
                        <w14:solidFill>
                          <w14:schemeClr w14:val="tx1"/>
                        </w14:solidFill>
                      </w14:textFill>
                    </w:rPr>
                    <w:t>执行标准</w:t>
                  </w:r>
                </w:p>
              </w:tc>
            </w:tr>
            <w:tr w14:paraId="66701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8" w:type="pct"/>
                  <w:vAlign w:val="center"/>
                </w:tcPr>
                <w:p w14:paraId="052CB733">
                  <w:pPr>
                    <w:jc w:val="center"/>
                    <w:rPr>
                      <w:color w:val="000000" w:themeColor="text1"/>
                      <w:sz w:val="18"/>
                      <w:szCs w:val="21"/>
                      <w:lang w:bidi="en-US"/>
                      <w14:textFill>
                        <w14:solidFill>
                          <w14:schemeClr w14:val="tx1"/>
                        </w14:solidFill>
                      </w14:textFill>
                    </w:rPr>
                  </w:pPr>
                  <w:r>
                    <w:rPr>
                      <w:color w:val="000000" w:themeColor="text1"/>
                      <w:sz w:val="18"/>
                      <w:szCs w:val="21"/>
                      <w:lang w:bidi="en-US"/>
                      <w14:textFill>
                        <w14:solidFill>
                          <w14:schemeClr w14:val="tx1"/>
                        </w14:solidFill>
                      </w14:textFill>
                    </w:rPr>
                    <w:t>1</w:t>
                  </w:r>
                </w:p>
              </w:tc>
              <w:tc>
                <w:tcPr>
                  <w:tcW w:w="674" w:type="pct"/>
                  <w:vAlign w:val="center"/>
                </w:tcPr>
                <w:p w14:paraId="1F7CCD03">
                  <w:pPr>
                    <w:jc w:val="center"/>
                    <w:rPr>
                      <w:color w:val="000000" w:themeColor="text1"/>
                      <w:sz w:val="18"/>
                      <w:szCs w:val="21"/>
                      <w:lang w:bidi="en-US"/>
                      <w14:textFill>
                        <w14:solidFill>
                          <w14:schemeClr w14:val="tx1"/>
                        </w14:solidFill>
                      </w14:textFill>
                    </w:rPr>
                  </w:pPr>
                  <w:r>
                    <w:rPr>
                      <w:color w:val="000000" w:themeColor="text1"/>
                      <w:sz w:val="18"/>
                      <w:szCs w:val="21"/>
                      <w:lang w:bidi="en-US"/>
                      <w14:textFill>
                        <w14:solidFill>
                          <w14:schemeClr w14:val="tx1"/>
                        </w14:solidFill>
                      </w14:textFill>
                    </w:rPr>
                    <w:t>厂界四周外1m</w:t>
                  </w:r>
                </w:p>
              </w:tc>
              <w:tc>
                <w:tcPr>
                  <w:tcW w:w="717" w:type="pct"/>
                  <w:vAlign w:val="center"/>
                </w:tcPr>
                <w:p w14:paraId="11D1A962">
                  <w:pPr>
                    <w:jc w:val="center"/>
                    <w:rPr>
                      <w:color w:val="000000" w:themeColor="text1"/>
                      <w:sz w:val="18"/>
                      <w:szCs w:val="21"/>
                      <w:lang w:bidi="en-US"/>
                      <w14:textFill>
                        <w14:solidFill>
                          <w14:schemeClr w14:val="tx1"/>
                        </w14:solidFill>
                      </w14:textFill>
                    </w:rPr>
                  </w:pPr>
                  <w:r>
                    <w:rPr>
                      <w:color w:val="000000" w:themeColor="text1"/>
                      <w:sz w:val="18"/>
                      <w:szCs w:val="21"/>
                      <w:lang w:bidi="en-US"/>
                      <w14:textFill>
                        <w14:solidFill>
                          <w14:schemeClr w14:val="tx1"/>
                        </w14:solidFill>
                      </w14:textFill>
                    </w:rPr>
                    <w:t>1次/</w:t>
                  </w:r>
                  <w:r>
                    <w:rPr>
                      <w:rFonts w:hint="eastAsia"/>
                      <w:color w:val="000000" w:themeColor="text1"/>
                      <w:sz w:val="18"/>
                      <w:szCs w:val="21"/>
                      <w:lang w:bidi="en-US"/>
                      <w14:textFill>
                        <w14:solidFill>
                          <w14:schemeClr w14:val="tx1"/>
                        </w14:solidFill>
                      </w14:textFill>
                    </w:rPr>
                    <w:t>季（昼间）</w:t>
                  </w:r>
                </w:p>
              </w:tc>
              <w:tc>
                <w:tcPr>
                  <w:tcW w:w="3329" w:type="pct"/>
                  <w:vAlign w:val="center"/>
                </w:tcPr>
                <w:p w14:paraId="335BDE68">
                  <w:pPr>
                    <w:jc w:val="center"/>
                    <w:rPr>
                      <w:color w:val="000000" w:themeColor="text1"/>
                      <w:sz w:val="18"/>
                      <w:szCs w:val="21"/>
                      <w:lang w:bidi="en-US"/>
                      <w14:textFill>
                        <w14:solidFill>
                          <w14:schemeClr w14:val="tx1"/>
                        </w14:solidFill>
                      </w14:textFill>
                    </w:rPr>
                  </w:pPr>
                  <w:r>
                    <w:rPr>
                      <w:rFonts w:hint="eastAsia"/>
                      <w:color w:val="000000" w:themeColor="text1"/>
                      <w:sz w:val="18"/>
                      <w:szCs w:val="21"/>
                      <w:lang w:bidi="en-US"/>
                      <w14:textFill>
                        <w14:solidFill>
                          <w14:schemeClr w14:val="tx1"/>
                        </w14:solidFill>
                      </w14:textFill>
                    </w:rPr>
                    <w:t>项目厂界噪声执行</w:t>
                  </w:r>
                  <w:r>
                    <w:rPr>
                      <w:color w:val="000000" w:themeColor="text1"/>
                      <w:sz w:val="18"/>
                      <w:szCs w:val="21"/>
                      <w:lang w:bidi="en-US"/>
                      <w14:textFill>
                        <w14:solidFill>
                          <w14:schemeClr w14:val="tx1"/>
                        </w14:solidFill>
                      </w14:textFill>
                    </w:rPr>
                    <w:t>《工业企业厂界环境噪声排放标准》（GB12348-2008）</w:t>
                  </w:r>
                  <w:r>
                    <w:rPr>
                      <w:rFonts w:hint="eastAsia"/>
                      <w:color w:val="000000" w:themeColor="text1"/>
                      <w:sz w:val="18"/>
                      <w:szCs w:val="21"/>
                      <w:lang w:bidi="en-US"/>
                      <w14:textFill>
                        <w14:solidFill>
                          <w14:schemeClr w14:val="tx1"/>
                        </w14:solidFill>
                      </w14:textFill>
                    </w:rPr>
                    <w:t>2</w:t>
                  </w:r>
                  <w:r>
                    <w:rPr>
                      <w:color w:val="000000" w:themeColor="text1"/>
                      <w:sz w:val="18"/>
                      <w:szCs w:val="21"/>
                      <w:lang w:bidi="en-US"/>
                      <w14:textFill>
                        <w14:solidFill>
                          <w14:schemeClr w14:val="tx1"/>
                        </w14:solidFill>
                      </w14:textFill>
                    </w:rPr>
                    <w:t>类标准</w:t>
                  </w:r>
                </w:p>
              </w:tc>
            </w:tr>
          </w:tbl>
          <w:p w14:paraId="747EABFE">
            <w:pPr>
              <w:adjustRightInd w:val="0"/>
              <w:snapToGrid w:val="0"/>
              <w:spacing w:before="120" w:beforeLines="50" w:line="360" w:lineRule="auto"/>
              <w:ind w:firstLine="42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五、地下水、土壤影响分析</w:t>
            </w:r>
          </w:p>
          <w:p w14:paraId="3A99206A">
            <w:pPr>
              <w:pStyle w:val="36"/>
              <w:spacing w:line="360" w:lineRule="auto"/>
              <w:ind w:firstLine="420" w:firstLineChars="200"/>
              <w:rPr>
                <w:rFonts w:hint="eastAsia" w:ascii="Times New Roman" w:eastAsia="宋体"/>
                <w:color w:val="000000" w:themeColor="text1"/>
                <w:sz w:val="21"/>
                <w:szCs w:val="21"/>
                <w14:textFill>
                  <w14:solidFill>
                    <w14:schemeClr w14:val="tx1"/>
                  </w14:solidFill>
                </w14:textFill>
              </w:rPr>
            </w:pPr>
            <w:r>
              <w:rPr>
                <w:rFonts w:hint="eastAsia" w:ascii="Times New Roman" w:eastAsia="宋体"/>
                <w:color w:val="000000" w:themeColor="text1"/>
                <w:sz w:val="21"/>
                <w:szCs w:val="21"/>
                <w14:textFill>
                  <w14:solidFill>
                    <w14:schemeClr w14:val="tx1"/>
                  </w14:solidFill>
                </w14:textFill>
              </w:rPr>
              <w:t>本项目产生的生活污水经三级化粪池+一体化A/O生化装置处理后</w:t>
            </w:r>
            <w:r>
              <w:rPr>
                <w:rFonts w:hint="eastAsia" w:ascii="Times New Roman" w:eastAsia="宋体"/>
                <w:color w:val="000000" w:themeColor="text1"/>
                <w:sz w:val="21"/>
                <w:szCs w:val="21"/>
                <w:lang w:bidi="ar"/>
                <w14:textFill>
                  <w14:solidFill>
                    <w14:schemeClr w14:val="tx1"/>
                  </w14:solidFill>
                </w14:textFill>
              </w:rPr>
              <w:t>用于厂区周边林地灌溉</w:t>
            </w:r>
            <w:r>
              <w:rPr>
                <w:rFonts w:hint="eastAsia" w:ascii="Times New Roman" w:eastAsia="宋体"/>
                <w:color w:val="000000" w:themeColor="text1"/>
                <w:sz w:val="21"/>
                <w:szCs w:val="21"/>
                <w14:textFill>
                  <w14:solidFill>
                    <w14:schemeClr w14:val="tx1"/>
                  </w14:solidFill>
                </w14:textFill>
              </w:rPr>
              <w:t>；车辆冲洗废水经沉淀池处理后回用于车辆冲洗；初期雨水、生产系统废水经收集沉淀处理后回用于产品生产；各项固体废物均得到合理有效的收集、储存和处置；</w:t>
            </w:r>
          </w:p>
          <w:p w14:paraId="14ED2EB0">
            <w:pPr>
              <w:adjustRightInd w:val="0"/>
              <w:snapToGrid w:val="0"/>
              <w:spacing w:line="360" w:lineRule="auto"/>
              <w:ind w:firstLine="42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建设单位</w:t>
            </w:r>
            <w:r>
              <w:rPr>
                <w:rFonts w:hint="eastAsia" w:ascii="Times New Roman" w:hAnsi="Times New Roman" w:eastAsia="宋体" w:cs="Times New Roman"/>
                <w:color w:val="000000" w:themeColor="text1"/>
                <w:lang w:val="en-US" w:eastAsia="zh-CN"/>
                <w14:textFill>
                  <w14:solidFill>
                    <w14:schemeClr w14:val="tx1"/>
                  </w14:solidFill>
                </w14:textFill>
              </w:rPr>
              <w:t>需</w:t>
            </w:r>
            <w:r>
              <w:rPr>
                <w:rFonts w:hint="eastAsia" w:ascii="Times New Roman" w:hAnsi="Times New Roman" w:eastAsia="宋体" w:cs="Times New Roman"/>
                <w:color w:val="000000" w:themeColor="text1"/>
                <w14:textFill>
                  <w14:solidFill>
                    <w14:schemeClr w14:val="tx1"/>
                  </w14:solidFill>
                </w14:textFill>
              </w:rPr>
              <w:t>按照“源头控制、分区防控、污染监控、应急响应”的要求，划分为重点防渗区、一般防渗区、简单防渗区，具体划分原则如下：</w:t>
            </w:r>
          </w:p>
          <w:p w14:paraId="18B3BD23">
            <w:pPr>
              <w:adjustRightInd w:val="0"/>
              <w:snapToGrid w:val="0"/>
              <w:spacing w:line="360" w:lineRule="auto"/>
              <w:ind w:firstLine="42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①重点防渗区：危险废物暂存间。重点防渗区满足《环境影响评价技术导则地下水环境》（HJ610-2016）中表7的防渗技术要求。</w:t>
            </w:r>
          </w:p>
          <w:p w14:paraId="7A00D8AA">
            <w:pPr>
              <w:adjustRightInd w:val="0"/>
              <w:snapToGrid w:val="0"/>
              <w:spacing w:line="360" w:lineRule="auto"/>
              <w:ind w:firstLine="42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②一般防渗区：车间、一般工业固废暂存点。一般防渗区满足《环境影响评价技术导则地下水环境》（HJ610-2016）中表7的防渗技术要求。</w:t>
            </w:r>
          </w:p>
          <w:p w14:paraId="2701B59F">
            <w:pPr>
              <w:adjustRightInd w:val="0"/>
              <w:snapToGrid w:val="0"/>
              <w:spacing w:line="360" w:lineRule="auto"/>
              <w:ind w:firstLine="420" w:firstLineChars="200"/>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③简单防渗区：除重点防渗区、一般防渗区以外的厂房、办公区等均属于简单防渗区。简单防渗区满足《环境影响评价技术导则地下水环境》（HJ610-2016）中表7的防渗技术要求，具体防渗技术要求见下表：</w:t>
            </w:r>
          </w:p>
          <w:p w14:paraId="0F20A956">
            <w:pPr>
              <w:adjustRightInd w:val="0"/>
              <w:snapToGrid w:val="0"/>
              <w:spacing w:line="360" w:lineRule="auto"/>
              <w:jc w:val="center"/>
              <w:rPr>
                <w:rFonts w:ascii="Times New Roman" w:hAnsi="Times New Roman" w:eastAsia="宋体" w:cs="Times New Roman"/>
                <w:b/>
                <w:color w:val="000000" w:themeColor="text1"/>
                <w:sz w:val="18"/>
                <w:szCs w:val="18"/>
                <w14:textFill>
                  <w14:solidFill>
                    <w14:schemeClr w14:val="tx1"/>
                  </w14:solidFill>
                </w14:textFill>
              </w:rPr>
            </w:pPr>
            <w:r>
              <w:rPr>
                <w:rFonts w:ascii="Times New Roman" w:hAnsi="Times New Roman" w:eastAsia="宋体" w:cs="Times New Roman"/>
                <w:b/>
                <w:color w:val="000000" w:themeColor="text1"/>
                <w:sz w:val="18"/>
                <w:szCs w:val="18"/>
                <w14:textFill>
                  <w14:solidFill>
                    <w14:schemeClr w14:val="tx1"/>
                  </w14:solidFill>
                </w14:textFill>
              </w:rPr>
              <w:t>表4-</w:t>
            </w:r>
            <w:r>
              <w:rPr>
                <w:rFonts w:hint="eastAsia" w:ascii="Times New Roman" w:hAnsi="Times New Roman" w:eastAsia="宋体" w:cs="Times New Roman"/>
                <w:b/>
                <w:color w:val="000000" w:themeColor="text1"/>
                <w:sz w:val="18"/>
                <w:szCs w:val="18"/>
                <w:lang w:val="en-US" w:eastAsia="zh-CN"/>
                <w14:textFill>
                  <w14:solidFill>
                    <w14:schemeClr w14:val="tx1"/>
                  </w14:solidFill>
                </w14:textFill>
              </w:rPr>
              <w:t xml:space="preserve">23 </w:t>
            </w:r>
            <w:r>
              <w:rPr>
                <w:rFonts w:hint="eastAsia" w:ascii="Times New Roman" w:hAnsi="Times New Roman" w:eastAsia="宋体" w:cs="Times New Roman"/>
                <w:b/>
                <w:color w:val="000000" w:themeColor="text1"/>
                <w:sz w:val="18"/>
                <w:szCs w:val="18"/>
                <w14:textFill>
                  <w14:solidFill>
                    <w14:schemeClr w14:val="tx1"/>
                  </w14:solidFill>
                </w14:textFill>
              </w:rPr>
              <w:t>地下水污染防渗分区参照表</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53"/>
              <w:gridCol w:w="3426"/>
              <w:gridCol w:w="7583"/>
            </w:tblGrid>
            <w:tr w14:paraId="16DD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shd w:val="clear" w:color="auto" w:fill="D9D9D9"/>
                  <w:vAlign w:val="center"/>
                </w:tcPr>
                <w:p w14:paraId="2AC463EF">
                  <w:pPr>
                    <w:widowControl/>
                    <w:adjustRightInd w:val="0"/>
                    <w:snapToGrid w:val="0"/>
                    <w:jc w:val="center"/>
                    <w:rPr>
                      <w:rFonts w:ascii="Times New Roman" w:hAnsi="Times New Roman" w:eastAsia="宋体" w:cs="Times New Roman"/>
                      <w:b/>
                      <w:bCs/>
                      <w:color w:val="000000" w:themeColor="text1"/>
                      <w:kern w:val="0"/>
                      <w:sz w:val="18"/>
                      <w:szCs w:val="24"/>
                      <w:lang w:val="en-US" w:eastAsia="en-US" w:bidi="en-US"/>
                      <w14:textFill>
                        <w14:solidFill>
                          <w14:schemeClr w14:val="tx1"/>
                        </w14:solidFill>
                      </w14:textFill>
                    </w:rPr>
                  </w:pPr>
                  <w:r>
                    <w:rPr>
                      <w:rFonts w:ascii="Times New Roman" w:hAnsi="Times New Roman" w:eastAsia="宋体" w:cs="Times New Roman"/>
                      <w:b/>
                      <w:color w:val="000000" w:themeColor="text1"/>
                      <w:kern w:val="0"/>
                      <w:sz w:val="18"/>
                      <w:szCs w:val="24"/>
                      <w:lang w:val="en-US" w:eastAsia="en-US" w:bidi="en-US"/>
                      <w14:textFill>
                        <w14:solidFill>
                          <w14:schemeClr w14:val="tx1"/>
                        </w14:solidFill>
                      </w14:textFill>
                    </w:rPr>
                    <w:t>防渗分区</w:t>
                  </w:r>
                </w:p>
              </w:tc>
              <w:tc>
                <w:tcPr>
                  <w:tcW w:w="1254" w:type="pct"/>
                  <w:shd w:val="clear" w:color="auto" w:fill="D9D9D9"/>
                  <w:vAlign w:val="center"/>
                </w:tcPr>
                <w:p w14:paraId="1450B254">
                  <w:pPr>
                    <w:widowControl/>
                    <w:adjustRightInd w:val="0"/>
                    <w:snapToGrid w:val="0"/>
                    <w:jc w:val="center"/>
                    <w:rPr>
                      <w:rFonts w:ascii="Times New Roman" w:hAnsi="Times New Roman" w:eastAsia="宋体" w:cs="Times New Roman"/>
                      <w:b/>
                      <w:bCs/>
                      <w:color w:val="000000" w:themeColor="text1"/>
                      <w:kern w:val="0"/>
                      <w:sz w:val="18"/>
                      <w:szCs w:val="24"/>
                      <w:lang w:val="en-US" w:eastAsia="en-US" w:bidi="en-US"/>
                      <w14:textFill>
                        <w14:solidFill>
                          <w14:schemeClr w14:val="tx1"/>
                        </w14:solidFill>
                      </w14:textFill>
                    </w:rPr>
                  </w:pPr>
                  <w:r>
                    <w:rPr>
                      <w:rFonts w:ascii="Times New Roman" w:hAnsi="Times New Roman" w:eastAsia="宋体" w:cs="Times New Roman"/>
                      <w:b/>
                      <w:color w:val="000000" w:themeColor="text1"/>
                      <w:kern w:val="0"/>
                      <w:sz w:val="18"/>
                      <w:szCs w:val="24"/>
                      <w:lang w:val="en-US" w:eastAsia="en-US" w:bidi="en-US"/>
                      <w14:textFill>
                        <w14:solidFill>
                          <w14:schemeClr w14:val="tx1"/>
                        </w14:solidFill>
                      </w14:textFill>
                    </w:rPr>
                    <w:t>分区识别结果</w:t>
                  </w:r>
                </w:p>
              </w:tc>
              <w:tc>
                <w:tcPr>
                  <w:tcW w:w="2775" w:type="pct"/>
                  <w:shd w:val="clear" w:color="auto" w:fill="D9D9D9"/>
                  <w:vAlign w:val="center"/>
                </w:tcPr>
                <w:p w14:paraId="4866AAF2">
                  <w:pPr>
                    <w:widowControl/>
                    <w:adjustRightInd w:val="0"/>
                    <w:snapToGrid w:val="0"/>
                    <w:jc w:val="center"/>
                    <w:rPr>
                      <w:rFonts w:ascii="Times New Roman" w:hAnsi="Times New Roman" w:eastAsia="宋体" w:cs="Times New Roman"/>
                      <w:b/>
                      <w:bCs/>
                      <w:color w:val="000000" w:themeColor="text1"/>
                      <w:kern w:val="0"/>
                      <w:sz w:val="18"/>
                      <w:szCs w:val="24"/>
                      <w:lang w:val="en-US" w:eastAsia="en-US" w:bidi="en-US"/>
                      <w14:textFill>
                        <w14:solidFill>
                          <w14:schemeClr w14:val="tx1"/>
                        </w14:solidFill>
                      </w14:textFill>
                    </w:rPr>
                  </w:pPr>
                  <w:r>
                    <w:rPr>
                      <w:rFonts w:ascii="Times New Roman" w:hAnsi="Times New Roman" w:eastAsia="宋体" w:cs="Times New Roman"/>
                      <w:b/>
                      <w:color w:val="000000" w:themeColor="text1"/>
                      <w:kern w:val="0"/>
                      <w:sz w:val="18"/>
                      <w:szCs w:val="24"/>
                      <w:lang w:val="en-US" w:eastAsia="en-US" w:bidi="en-US"/>
                      <w14:textFill>
                        <w14:solidFill>
                          <w14:schemeClr w14:val="tx1"/>
                        </w14:solidFill>
                      </w14:textFill>
                    </w:rPr>
                    <w:t>防渗技术要求</w:t>
                  </w:r>
                </w:p>
              </w:tc>
            </w:tr>
            <w:tr w14:paraId="00A9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vAlign w:val="center"/>
                </w:tcPr>
                <w:p w14:paraId="4AB1FB0C">
                  <w:pPr>
                    <w:widowControl/>
                    <w:adjustRightInd w:val="0"/>
                    <w:snapToGrid w:val="0"/>
                    <w:jc w:val="center"/>
                    <w:rPr>
                      <w:rFonts w:ascii="Times New Roman" w:hAnsi="Times New Roman" w:eastAsia="宋体" w:cs="Times New Roman"/>
                      <w:color w:val="000000" w:themeColor="text1"/>
                      <w:kern w:val="0"/>
                      <w:sz w:val="18"/>
                      <w:szCs w:val="24"/>
                      <w:lang w:val="en-US" w:eastAsia="en-US"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en-US" w:bidi="en-US"/>
                      <w14:textFill>
                        <w14:solidFill>
                          <w14:schemeClr w14:val="tx1"/>
                        </w14:solidFill>
                      </w14:textFill>
                    </w:rPr>
                    <w:t>重点防渗区</w:t>
                  </w:r>
                </w:p>
              </w:tc>
              <w:tc>
                <w:tcPr>
                  <w:tcW w:w="1254" w:type="pct"/>
                  <w:vAlign w:val="center"/>
                </w:tcPr>
                <w:p w14:paraId="6FDECF99">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危险废物暂存间（地面）</w:t>
                  </w:r>
                </w:p>
              </w:tc>
              <w:tc>
                <w:tcPr>
                  <w:tcW w:w="2775" w:type="pct"/>
                  <w:vAlign w:val="center"/>
                </w:tcPr>
                <w:p w14:paraId="3BD5C7D7">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等效黏土防渗层Mb≥6.0m，K≤1</w:t>
                  </w:r>
                  <w:r>
                    <w:rPr>
                      <w:rFonts w:hint="eastAsia" w:ascii="宋体" w:hAnsi="宋体" w:eastAsia="宋体" w:cs="宋体"/>
                      <w:color w:val="000000" w:themeColor="text1"/>
                      <w:kern w:val="0"/>
                      <w:sz w:val="18"/>
                      <w:szCs w:val="24"/>
                      <w:lang w:val="en-US" w:eastAsia="zh-CN" w:bidi="en-US"/>
                      <w14:textFill>
                        <w14:solidFill>
                          <w14:schemeClr w14:val="tx1"/>
                        </w14:solidFill>
                      </w14:textFill>
                    </w:rPr>
                    <w:t>╳</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10</w:t>
                  </w:r>
                  <w:r>
                    <w:rPr>
                      <w:rFonts w:ascii="Times New Roman" w:hAnsi="Times New Roman" w:eastAsia="宋体" w:cs="Times New Roman"/>
                      <w:color w:val="000000" w:themeColor="text1"/>
                      <w:kern w:val="0"/>
                      <w:sz w:val="18"/>
                      <w:szCs w:val="24"/>
                      <w:vertAlign w:val="superscript"/>
                      <w:lang w:val="en-US" w:eastAsia="zh-CN" w:bidi="en-US"/>
                      <w14:textFill>
                        <w14:solidFill>
                          <w14:schemeClr w14:val="tx1"/>
                        </w14:solidFill>
                      </w14:textFill>
                    </w:rPr>
                    <w:t>-7</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cm/s；或参照GB18598执行</w:t>
                  </w:r>
                </w:p>
              </w:tc>
            </w:tr>
            <w:tr w14:paraId="0AD4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vAlign w:val="center"/>
                </w:tcPr>
                <w:p w14:paraId="75A8786B">
                  <w:pPr>
                    <w:widowControl/>
                    <w:adjustRightInd w:val="0"/>
                    <w:snapToGrid w:val="0"/>
                    <w:jc w:val="center"/>
                    <w:rPr>
                      <w:rFonts w:ascii="Times New Roman" w:hAnsi="Times New Roman" w:eastAsia="宋体" w:cs="Times New Roman"/>
                      <w:color w:val="000000" w:themeColor="text1"/>
                      <w:kern w:val="0"/>
                      <w:sz w:val="18"/>
                      <w:szCs w:val="24"/>
                      <w:lang w:val="en-US" w:eastAsia="en-US"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en-US" w:bidi="en-US"/>
                      <w14:textFill>
                        <w14:solidFill>
                          <w14:schemeClr w14:val="tx1"/>
                        </w14:solidFill>
                      </w14:textFill>
                    </w:rPr>
                    <w:t>一般防渗区</w:t>
                  </w:r>
                </w:p>
              </w:tc>
              <w:tc>
                <w:tcPr>
                  <w:tcW w:w="1254" w:type="pct"/>
                  <w:vAlign w:val="center"/>
                </w:tcPr>
                <w:p w14:paraId="38640B7C">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hint="eastAsia" w:ascii="Times New Roman" w:hAnsi="Times New Roman" w:eastAsia="宋体" w:cs="Times New Roman"/>
                      <w:color w:val="000000" w:themeColor="text1"/>
                      <w:kern w:val="0"/>
                      <w:sz w:val="18"/>
                      <w:szCs w:val="24"/>
                      <w:lang w:val="en-US" w:eastAsia="zh-CN" w:bidi="en-US"/>
                      <w14:textFill>
                        <w14:solidFill>
                          <w14:schemeClr w14:val="tx1"/>
                        </w14:solidFill>
                      </w14:textFill>
                    </w:rPr>
                    <w:t>车间、</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一般工业固废暂存点（地面）</w:t>
                  </w:r>
                </w:p>
              </w:tc>
              <w:tc>
                <w:tcPr>
                  <w:tcW w:w="2775" w:type="pct"/>
                  <w:vAlign w:val="center"/>
                </w:tcPr>
                <w:p w14:paraId="62F90112">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等效黏土防渗层Mb≥1.5m，K≤1</w:t>
                  </w:r>
                  <w:r>
                    <w:rPr>
                      <w:rFonts w:hint="eastAsia" w:ascii="宋体" w:hAnsi="宋体" w:eastAsia="宋体" w:cs="宋体"/>
                      <w:color w:val="000000" w:themeColor="text1"/>
                      <w:kern w:val="0"/>
                      <w:sz w:val="18"/>
                      <w:szCs w:val="24"/>
                      <w:lang w:val="en-US" w:eastAsia="zh-CN" w:bidi="en-US"/>
                      <w14:textFill>
                        <w14:solidFill>
                          <w14:schemeClr w14:val="tx1"/>
                        </w14:solidFill>
                      </w14:textFill>
                    </w:rPr>
                    <w:t>╳</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10</w:t>
                  </w:r>
                  <w:r>
                    <w:rPr>
                      <w:rFonts w:ascii="Times New Roman" w:hAnsi="Times New Roman" w:eastAsia="宋体" w:cs="Times New Roman"/>
                      <w:color w:val="000000" w:themeColor="text1"/>
                      <w:kern w:val="0"/>
                      <w:sz w:val="18"/>
                      <w:szCs w:val="24"/>
                      <w:vertAlign w:val="superscript"/>
                      <w:lang w:val="en-US" w:eastAsia="zh-CN" w:bidi="en-US"/>
                      <w14:textFill>
                        <w14:solidFill>
                          <w14:schemeClr w14:val="tx1"/>
                        </w14:solidFill>
                      </w14:textFill>
                    </w:rPr>
                    <w:t>-7</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cm/s；或参照GB18598执行</w:t>
                  </w:r>
                </w:p>
              </w:tc>
            </w:tr>
            <w:tr w14:paraId="640B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1" w:type="pct"/>
                  <w:vAlign w:val="center"/>
                </w:tcPr>
                <w:p w14:paraId="7C3AF053">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简单防渗区</w:t>
                  </w:r>
                </w:p>
              </w:tc>
              <w:tc>
                <w:tcPr>
                  <w:tcW w:w="1254" w:type="pct"/>
                  <w:vAlign w:val="center"/>
                </w:tcPr>
                <w:p w14:paraId="3F24B9B9">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办公</w:t>
                  </w:r>
                  <w:r>
                    <w:rPr>
                      <w:rFonts w:hint="eastAsia" w:ascii="Times New Roman" w:hAnsi="Times New Roman" w:eastAsia="宋体" w:cs="Times New Roman"/>
                      <w:color w:val="000000" w:themeColor="text1"/>
                      <w:kern w:val="0"/>
                      <w:sz w:val="18"/>
                      <w:szCs w:val="24"/>
                      <w:lang w:val="en-US" w:eastAsia="zh-CN" w:bidi="en-US"/>
                      <w14:textFill>
                        <w14:solidFill>
                          <w14:schemeClr w14:val="tx1"/>
                        </w14:solidFill>
                      </w14:textFill>
                    </w:rPr>
                    <w:t>区</w:t>
                  </w: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（地面）</w:t>
                  </w:r>
                </w:p>
              </w:tc>
              <w:tc>
                <w:tcPr>
                  <w:tcW w:w="2775" w:type="pct"/>
                  <w:vAlign w:val="center"/>
                </w:tcPr>
                <w:p w14:paraId="5732057E">
                  <w:pPr>
                    <w:widowControl/>
                    <w:adjustRightInd w:val="0"/>
                    <w:snapToGrid w:val="0"/>
                    <w:jc w:val="cente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pPr>
                  <w:r>
                    <w:rPr>
                      <w:rFonts w:ascii="Times New Roman" w:hAnsi="Times New Roman" w:eastAsia="宋体" w:cs="Times New Roman"/>
                      <w:color w:val="000000" w:themeColor="text1"/>
                      <w:kern w:val="0"/>
                      <w:sz w:val="18"/>
                      <w:szCs w:val="24"/>
                      <w:lang w:val="en-US" w:eastAsia="zh-CN" w:bidi="en-US"/>
                      <w14:textFill>
                        <w14:solidFill>
                          <w14:schemeClr w14:val="tx1"/>
                        </w14:solidFill>
                      </w14:textFill>
                    </w:rPr>
                    <w:t>一般地面硬化</w:t>
                  </w:r>
                </w:p>
              </w:tc>
            </w:tr>
          </w:tbl>
          <w:p w14:paraId="76594006">
            <w:pPr>
              <w:pStyle w:val="42"/>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项目落实上述防控措施，本项目对地下水、土壤的影响在可接受范围内。</w:t>
            </w:r>
          </w:p>
          <w:p w14:paraId="1F7D6724">
            <w:pPr>
              <w:pStyle w:val="36"/>
              <w:spacing w:line="360" w:lineRule="auto"/>
              <w:ind w:firstLine="422" w:firstLineChars="200"/>
              <w:rPr>
                <w:rFonts w:ascii="Times New Roman" w:eastAsia="宋体"/>
                <w:b/>
                <w:bCs/>
                <w:color w:val="000000" w:themeColor="text1"/>
                <w:sz w:val="21"/>
                <w:szCs w:val="21"/>
                <w14:textFill>
                  <w14:solidFill>
                    <w14:schemeClr w14:val="tx1"/>
                  </w14:solidFill>
                </w14:textFill>
              </w:rPr>
            </w:pPr>
            <w:r>
              <w:rPr>
                <w:rFonts w:ascii="Times New Roman" w:eastAsia="宋体"/>
                <w:b/>
                <w:bCs/>
                <w:color w:val="000000" w:themeColor="text1"/>
                <w:sz w:val="21"/>
                <w:szCs w:val="21"/>
                <w14:textFill>
                  <w14:solidFill>
                    <w14:schemeClr w14:val="tx1"/>
                  </w14:solidFill>
                </w14:textFill>
              </w:rPr>
              <w:t>六、生态环境影响分析</w:t>
            </w:r>
          </w:p>
          <w:p w14:paraId="28EA8162">
            <w:pPr>
              <w:pStyle w:val="42"/>
              <w:ind w:firstLine="420"/>
              <w:rPr>
                <w:color w:val="000000" w:themeColor="text1"/>
                <w14:textFill>
                  <w14:solidFill>
                    <w14:schemeClr w14:val="tx1"/>
                  </w14:solidFill>
                </w14:textFill>
              </w:rPr>
            </w:pPr>
            <w:r>
              <w:rPr>
                <w:color w:val="000000" w:themeColor="text1"/>
                <w14:textFill>
                  <w14:solidFill>
                    <w14:schemeClr w14:val="tx1"/>
                  </w14:solidFill>
                </w14:textFill>
              </w:rPr>
              <w:t>项目占地范围内无生态环境保护目标，无生态环境影响。</w:t>
            </w:r>
          </w:p>
          <w:p w14:paraId="47725402">
            <w:pPr>
              <w:pStyle w:val="36"/>
              <w:spacing w:line="360" w:lineRule="auto"/>
              <w:ind w:firstLine="422" w:firstLineChars="200"/>
              <w:rPr>
                <w:rFonts w:ascii="Times New Roman" w:eastAsia="宋体"/>
                <w:b/>
                <w:bCs/>
                <w:color w:val="000000" w:themeColor="text1"/>
                <w:sz w:val="21"/>
                <w:szCs w:val="21"/>
                <w14:textFill>
                  <w14:solidFill>
                    <w14:schemeClr w14:val="tx1"/>
                  </w14:solidFill>
                </w14:textFill>
              </w:rPr>
            </w:pPr>
            <w:r>
              <w:rPr>
                <w:rFonts w:ascii="Times New Roman" w:eastAsia="宋体"/>
                <w:b/>
                <w:bCs/>
                <w:color w:val="000000" w:themeColor="text1"/>
                <w:sz w:val="21"/>
                <w:szCs w:val="21"/>
                <w14:textFill>
                  <w14:solidFill>
                    <w14:schemeClr w14:val="tx1"/>
                  </w14:solidFill>
                </w14:textFill>
              </w:rPr>
              <w:t>七、环境风险影响分析</w:t>
            </w:r>
          </w:p>
          <w:p w14:paraId="080DAE8A">
            <w:pPr>
              <w:widowControl/>
              <w:spacing w:line="360" w:lineRule="auto"/>
              <w:ind w:firstLine="422" w:firstLineChars="200"/>
              <w:jc w:val="left"/>
              <w:rPr>
                <w:b/>
                <w:bCs/>
                <w:color w:val="000000" w:themeColor="text1"/>
                <w:kern w:val="0"/>
                <w:szCs w:val="21"/>
                <w:lang w:bidi="ar"/>
                <w14:textFill>
                  <w14:solidFill>
                    <w14:schemeClr w14:val="tx1"/>
                  </w14:solidFill>
                </w14:textFill>
              </w:rPr>
            </w:pPr>
            <w:r>
              <w:rPr>
                <w:b/>
                <w:bCs/>
                <w:color w:val="000000" w:themeColor="text1"/>
                <w:kern w:val="0"/>
                <w:szCs w:val="21"/>
                <w:lang w:bidi="ar"/>
                <w14:textFill>
                  <w14:solidFill>
                    <w14:schemeClr w14:val="tx1"/>
                  </w14:solidFill>
                </w14:textFill>
              </w:rPr>
              <w:t>1、Q值计算</w:t>
            </w:r>
          </w:p>
          <w:p w14:paraId="0FEDA77F">
            <w:pPr>
              <w:widowControl/>
              <w:spacing w:line="360" w:lineRule="auto"/>
              <w:ind w:firstLine="420" w:firstLineChars="200"/>
              <w:jc w:val="left"/>
              <w:rPr>
                <w:color w:val="000000" w:themeColor="text1"/>
                <w:kern w:val="0"/>
                <w:szCs w:val="21"/>
                <w:lang w:bidi="ar"/>
                <w14:textFill>
                  <w14:solidFill>
                    <w14:schemeClr w14:val="tx1"/>
                  </w14:solidFill>
                </w14:textFill>
              </w:rPr>
            </w:pPr>
            <w:r>
              <w:rPr>
                <w:color w:val="000000" w:themeColor="text1"/>
                <w:kern w:val="0"/>
                <w:szCs w:val="21"/>
                <w:lang w:bidi="ar"/>
                <w14:textFill>
                  <w14:solidFill>
                    <w14:schemeClr w14:val="tx1"/>
                  </w14:solidFill>
                </w14:textFill>
              </w:rPr>
              <w:t>根据《建设项目环境风险评价技术导则》（HJ169-2018）</w:t>
            </w:r>
            <w:r>
              <w:rPr>
                <w:rFonts w:hint="eastAsia"/>
                <w:color w:val="000000" w:themeColor="text1"/>
                <w:kern w:val="0"/>
                <w:szCs w:val="21"/>
                <w:lang w:bidi="ar"/>
                <w14:textFill>
                  <w14:solidFill>
                    <w14:schemeClr w14:val="tx1"/>
                  </w14:solidFill>
                </w14:textFill>
              </w:rPr>
              <w:t>）附录B中表B.1，废机油属于环境风险物质，临界量为2500吨</w:t>
            </w:r>
            <w:r>
              <w:rPr>
                <w:color w:val="000000" w:themeColor="text1"/>
                <w:kern w:val="0"/>
                <w:szCs w:val="21"/>
                <w:lang w:bidi="ar"/>
                <w14:textFill>
                  <w14:solidFill>
                    <w14:schemeClr w14:val="tx1"/>
                  </w14:solidFill>
                </w14:textFill>
              </w:rPr>
              <w:t>。</w:t>
            </w:r>
            <w:r>
              <w:rPr>
                <w:rFonts w:hint="eastAsia"/>
                <w:color w:val="000000" w:themeColor="text1"/>
                <w:kern w:val="0"/>
                <w:szCs w:val="21"/>
                <w:lang w:bidi="ar"/>
                <w14:textFill>
                  <w14:solidFill>
                    <w14:schemeClr w14:val="tx1"/>
                  </w14:solidFill>
                </w14:textFill>
              </w:rPr>
              <w:t>废机油</w:t>
            </w:r>
            <w:r>
              <w:rPr>
                <w:color w:val="000000" w:themeColor="text1"/>
                <w:kern w:val="0"/>
                <w:szCs w:val="21"/>
                <w:lang w:bidi="ar"/>
                <w14:textFill>
                  <w14:solidFill>
                    <w14:schemeClr w14:val="tx1"/>
                  </w14:solidFill>
                </w14:textFill>
              </w:rPr>
              <w:t>数量和分布情况见下表。</w:t>
            </w:r>
          </w:p>
          <w:p w14:paraId="2B3F71EE">
            <w:pPr>
              <w:pStyle w:val="45"/>
              <w:rPr>
                <w:color w:val="000000" w:themeColor="text1"/>
                <w14:textFill>
                  <w14:solidFill>
                    <w14:schemeClr w14:val="tx1"/>
                  </w14:solidFill>
                </w14:textFill>
              </w:rPr>
            </w:pPr>
            <w:r>
              <w:rPr>
                <w:color w:val="000000" w:themeColor="text1"/>
                <w14:textFill>
                  <w14:solidFill>
                    <w14:schemeClr w14:val="tx1"/>
                  </w14:solidFill>
                </w14:textFill>
              </w:rPr>
              <w:t>表4-</w:t>
            </w: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项目涉及的危险物质数量和分布情况</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3289"/>
              <w:gridCol w:w="1593"/>
              <w:gridCol w:w="3063"/>
              <w:gridCol w:w="2352"/>
              <w:gridCol w:w="2216"/>
            </w:tblGrid>
            <w:tr w14:paraId="308D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419" w:type="pct"/>
                  <w:shd w:val="clear" w:color="auto" w:fill="D9D9D9"/>
                  <w:vAlign w:val="center"/>
                </w:tcPr>
                <w:p w14:paraId="3C02732E">
                  <w:pPr>
                    <w:widowControl/>
                    <w:jc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序号</w:t>
                  </w:r>
                </w:p>
              </w:tc>
              <w:tc>
                <w:tcPr>
                  <w:tcW w:w="1204" w:type="pct"/>
                  <w:shd w:val="clear" w:color="auto" w:fill="D9D9D9"/>
                  <w:vAlign w:val="center"/>
                </w:tcPr>
                <w:p w14:paraId="45097CA2">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名称</w:t>
                  </w:r>
                </w:p>
              </w:tc>
              <w:tc>
                <w:tcPr>
                  <w:tcW w:w="583" w:type="pct"/>
                  <w:shd w:val="clear" w:color="auto" w:fill="D9D9D9"/>
                  <w:vAlign w:val="center"/>
                </w:tcPr>
                <w:p w14:paraId="17FF3349">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CAS号</w:t>
                  </w:r>
                </w:p>
              </w:tc>
              <w:tc>
                <w:tcPr>
                  <w:tcW w:w="1121" w:type="pct"/>
                  <w:shd w:val="clear" w:color="auto" w:fill="D9D9D9"/>
                  <w:vAlign w:val="center"/>
                </w:tcPr>
                <w:p w14:paraId="345F4898">
                  <w:pPr>
                    <w:widowControl/>
                    <w:jc w:val="center"/>
                    <w:rPr>
                      <w:b/>
                      <w:bCs/>
                      <w:color w:val="000000" w:themeColor="text1"/>
                      <w:kern w:val="0"/>
                      <w:sz w:val="18"/>
                      <w:szCs w:val="18"/>
                      <w:lang w:bidi="ar"/>
                      <w14:textFill>
                        <w14:solidFill>
                          <w14:schemeClr w14:val="tx1"/>
                        </w14:solidFill>
                      </w14:textFill>
                    </w:rPr>
                  </w:pPr>
                  <w:r>
                    <w:rPr>
                      <w:b/>
                      <w:bCs/>
                      <w:color w:val="000000" w:themeColor="text1"/>
                      <w:kern w:val="0"/>
                      <w:sz w:val="18"/>
                      <w:szCs w:val="18"/>
                      <w:lang w:bidi="ar"/>
                      <w14:textFill>
                        <w14:solidFill>
                          <w14:schemeClr w14:val="tx1"/>
                        </w14:solidFill>
                      </w14:textFill>
                    </w:rPr>
                    <w:t>最大储存量</w:t>
                  </w:r>
                  <w:r>
                    <w:rPr>
                      <w:rFonts w:hint="eastAsia"/>
                      <w:b/>
                      <w:bCs/>
                      <w:color w:val="000000" w:themeColor="text1"/>
                      <w:kern w:val="0"/>
                      <w:sz w:val="18"/>
                      <w:szCs w:val="18"/>
                      <w:lang w:bidi="ar"/>
                      <w14:textFill>
                        <w14:solidFill>
                          <w14:schemeClr w14:val="tx1"/>
                        </w14:solidFill>
                      </w14:textFill>
                    </w:rPr>
                    <w:t>（</w:t>
                  </w:r>
                  <w:r>
                    <w:rPr>
                      <w:b/>
                      <w:bCs/>
                      <w:color w:val="000000" w:themeColor="text1"/>
                      <w:kern w:val="0"/>
                      <w:sz w:val="18"/>
                      <w:szCs w:val="18"/>
                      <w:lang w:bidi="ar"/>
                      <w14:textFill>
                        <w14:solidFill>
                          <w14:schemeClr w14:val="tx1"/>
                        </w14:solidFill>
                      </w14:textFill>
                    </w:rPr>
                    <w:t>t</w:t>
                  </w:r>
                  <w:r>
                    <w:rPr>
                      <w:rFonts w:hint="eastAsia"/>
                      <w:b/>
                      <w:bCs/>
                      <w:color w:val="000000" w:themeColor="text1"/>
                      <w:kern w:val="0"/>
                      <w:sz w:val="18"/>
                      <w:szCs w:val="18"/>
                      <w:lang w:bidi="ar"/>
                      <w14:textFill>
                        <w14:solidFill>
                          <w14:schemeClr w14:val="tx1"/>
                        </w14:solidFill>
                      </w14:textFill>
                    </w:rPr>
                    <w:t>）</w:t>
                  </w:r>
                </w:p>
              </w:tc>
              <w:tc>
                <w:tcPr>
                  <w:tcW w:w="860" w:type="pct"/>
                  <w:shd w:val="clear" w:color="auto" w:fill="D9D9D9"/>
                  <w:vAlign w:val="center"/>
                </w:tcPr>
                <w:p w14:paraId="4670B73A">
                  <w:pPr>
                    <w:widowControl/>
                    <w:jc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临界量（t）</w:t>
                  </w:r>
                </w:p>
              </w:tc>
              <w:tc>
                <w:tcPr>
                  <w:tcW w:w="811" w:type="pct"/>
                  <w:shd w:val="clear" w:color="auto" w:fill="D9D9D9"/>
                  <w:vAlign w:val="center"/>
                </w:tcPr>
                <w:p w14:paraId="6D31F4E6">
                  <w:pPr>
                    <w:widowControl/>
                    <w:jc w:val="center"/>
                    <w:rPr>
                      <w:b/>
                      <w:bCs/>
                      <w:color w:val="000000" w:themeColor="text1"/>
                      <w:kern w:val="0"/>
                      <w:sz w:val="18"/>
                      <w:szCs w:val="18"/>
                      <w:lang w:bidi="ar"/>
                      <w14:textFill>
                        <w14:solidFill>
                          <w14:schemeClr w14:val="tx1"/>
                        </w14:solidFill>
                      </w14:textFill>
                    </w:rPr>
                  </w:pPr>
                  <w:r>
                    <w:rPr>
                      <w:rFonts w:hint="eastAsia"/>
                      <w:b/>
                      <w:bCs/>
                      <w:color w:val="000000" w:themeColor="text1"/>
                      <w:kern w:val="0"/>
                      <w:sz w:val="18"/>
                      <w:szCs w:val="18"/>
                      <w:lang w:bidi="ar"/>
                      <w14:textFill>
                        <w14:solidFill>
                          <w14:schemeClr w14:val="tx1"/>
                        </w14:solidFill>
                      </w14:textFill>
                    </w:rPr>
                    <w:t>比值(Q)</w:t>
                  </w:r>
                </w:p>
              </w:tc>
            </w:tr>
            <w:tr w14:paraId="66C5C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19" w:type="pct"/>
                  <w:vAlign w:val="center"/>
                </w:tcPr>
                <w:p w14:paraId="2DDF50B6">
                  <w:pPr>
                    <w:adjustRightInd w:val="0"/>
                    <w:snapToGrid w:val="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1204" w:type="pct"/>
                  <w:vAlign w:val="center"/>
                </w:tcPr>
                <w:p w14:paraId="6B2822FE">
                  <w:pPr>
                    <w:adjustRightInd w:val="0"/>
                    <w:snapToGrid w:val="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废机油</w:t>
                  </w:r>
                </w:p>
              </w:tc>
              <w:tc>
                <w:tcPr>
                  <w:tcW w:w="583" w:type="pct"/>
                  <w:vAlign w:val="center"/>
                </w:tcPr>
                <w:p w14:paraId="7DD3520C">
                  <w:pPr>
                    <w:widowControl/>
                    <w:jc w:val="center"/>
                    <w:rPr>
                      <w:color w:val="000000" w:themeColor="text1"/>
                      <w:kern w:val="0"/>
                      <w:sz w:val="18"/>
                      <w:szCs w:val="18"/>
                      <w:lang w:bidi="ar"/>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1121" w:type="pct"/>
                  <w:vAlign w:val="center"/>
                </w:tcPr>
                <w:p w14:paraId="2EFF863B">
                  <w:pPr>
                    <w:adjustRightInd w:val="0"/>
                    <w:snapToGrid w:val="0"/>
                    <w:jc w:val="center"/>
                    <w:rPr>
                      <w:color w:val="000000" w:themeColor="text1"/>
                      <w:kern w:val="0"/>
                      <w:sz w:val="18"/>
                      <w:szCs w:val="18"/>
                      <w:lang w:bidi="ar"/>
                      <w14:textFill>
                        <w14:solidFill>
                          <w14:schemeClr w14:val="tx1"/>
                        </w14:solidFill>
                      </w14:textFill>
                    </w:rPr>
                  </w:pPr>
                  <w:r>
                    <w:rPr>
                      <w:rFonts w:hint="eastAsia"/>
                      <w:color w:val="000000" w:themeColor="text1"/>
                      <w:sz w:val="18"/>
                      <w:szCs w:val="18"/>
                      <w14:textFill>
                        <w14:solidFill>
                          <w14:schemeClr w14:val="tx1"/>
                        </w14:solidFill>
                      </w14:textFill>
                    </w:rPr>
                    <w:t>0.05</w:t>
                  </w:r>
                </w:p>
              </w:tc>
              <w:tc>
                <w:tcPr>
                  <w:tcW w:w="860" w:type="pct"/>
                </w:tcPr>
                <w:p w14:paraId="1BCD4041">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2500</w:t>
                  </w:r>
                </w:p>
              </w:tc>
              <w:tc>
                <w:tcPr>
                  <w:tcW w:w="811" w:type="pct"/>
                  <w:vAlign w:val="center"/>
                </w:tcPr>
                <w:p w14:paraId="2C26C7A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r>
            <w:tr w14:paraId="5EA8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88" w:type="pct"/>
                  <w:gridSpan w:val="5"/>
                  <w:vAlign w:val="center"/>
                </w:tcPr>
                <w:p w14:paraId="4CE71406">
                  <w:pPr>
                    <w:pStyle w:val="46"/>
                    <w:rPr>
                      <w:color w:val="000000" w:themeColor="text1"/>
                      <w14:textFill>
                        <w14:solidFill>
                          <w14:schemeClr w14:val="tx1"/>
                        </w14:solidFill>
                      </w14:textFill>
                    </w:rPr>
                  </w:pPr>
                  <w:r>
                    <w:rPr>
                      <w:color w:val="000000" w:themeColor="text1"/>
                      <w14:textFill>
                        <w14:solidFill>
                          <w14:schemeClr w14:val="tx1"/>
                        </w14:solidFill>
                      </w14:textFill>
                    </w:rPr>
                    <w:t>合计Q值</w:t>
                  </w:r>
                </w:p>
              </w:tc>
              <w:tc>
                <w:tcPr>
                  <w:tcW w:w="811" w:type="pct"/>
                  <w:vAlign w:val="center"/>
                </w:tcPr>
                <w:p w14:paraId="57F7F615">
                  <w:pPr>
                    <w:pStyle w:val="46"/>
                    <w:rPr>
                      <w:color w:val="000000" w:themeColor="text1"/>
                      <w14:textFill>
                        <w14:solidFill>
                          <w14:schemeClr w14:val="tx1"/>
                        </w14:solidFill>
                      </w14:textFill>
                    </w:rPr>
                  </w:pPr>
                  <w:r>
                    <w:rPr>
                      <w:rFonts w:hint="eastAsia"/>
                      <w:color w:val="000000" w:themeColor="text1"/>
                      <w14:textFill>
                        <w14:solidFill>
                          <w14:schemeClr w14:val="tx1"/>
                        </w14:solidFill>
                      </w14:textFill>
                    </w:rPr>
                    <w:t>0.00002</w:t>
                  </w:r>
                </w:p>
              </w:tc>
            </w:tr>
          </w:tbl>
          <w:p w14:paraId="7C197622">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从上表可知，本项目风险物质总量与其临界值比值Q=0.00002&lt;1，</w:t>
            </w:r>
            <w:r>
              <w:rPr>
                <w:color w:val="000000" w:themeColor="text1"/>
                <w14:textFill>
                  <w14:solidFill>
                    <w14:schemeClr w14:val="tx1"/>
                  </w14:solidFill>
                </w14:textFill>
              </w:rPr>
              <w:t>当Q＜1时，根据《建设项目环境影响报告表编制技术指南（污染影响类）（试行）》中</w:t>
            </w:r>
            <w:r>
              <w:rPr>
                <w:rFonts w:hint="eastAsia"/>
                <w:color w:val="000000" w:themeColor="text1"/>
                <w14:textFill>
                  <w14:solidFill>
                    <w14:schemeClr w14:val="tx1"/>
                  </w14:solidFill>
                </w14:textFill>
              </w:rPr>
              <w:t>“表1专项评价设置原则表”</w:t>
            </w:r>
            <w:r>
              <w:rPr>
                <w:color w:val="000000" w:themeColor="text1"/>
                <w14:textFill>
                  <w14:solidFill>
                    <w14:schemeClr w14:val="tx1"/>
                  </w14:solidFill>
                </w14:textFill>
              </w:rPr>
              <w:t>的要求，Q＜1，无需设置环境风险专项评价，本项目仅进行简单分析。</w:t>
            </w:r>
          </w:p>
          <w:p w14:paraId="77D5F1FB">
            <w:pPr>
              <w:pStyle w:val="42"/>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b/>
                <w:bCs/>
                <w:color w:val="000000" w:themeColor="text1"/>
                <w14:textFill>
                  <w14:solidFill>
                    <w14:schemeClr w14:val="tx1"/>
                  </w14:solidFill>
                </w14:textFill>
              </w:rPr>
              <w:t>、环境风险分析</w:t>
            </w:r>
          </w:p>
          <w:p w14:paraId="65B11F4B">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根据环境风险识别，本项目可能发生危险废物泄漏事件、火灾引发的次生环境污染事件。</w:t>
            </w:r>
          </w:p>
          <w:p w14:paraId="570A7CDA">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（1）危险废物泄漏事件</w:t>
            </w:r>
          </w:p>
          <w:p w14:paraId="486493A8">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项目危险废物正常暂存于危险废物暂存间时，不会对周边环境造成影响，当发生危险废物储存容器破损或人为操作失误等因素时，会造成危险废物泄漏，可能通过雨水径流等途径污染周边水体。</w:t>
            </w:r>
          </w:p>
          <w:p w14:paraId="5581736A">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（2）火灾引发的次生环境污染事件</w:t>
            </w:r>
          </w:p>
          <w:p w14:paraId="62358C1D">
            <w:pPr>
              <w:pStyle w:val="52"/>
              <w:rPr>
                <w:rFonts w:hint="default"/>
                <w:color w:val="000000" w:themeColor="text1"/>
                <w14:textFill>
                  <w14:solidFill>
                    <w14:schemeClr w14:val="tx1"/>
                  </w14:solidFill>
                </w14:textFill>
              </w:rPr>
            </w:pPr>
            <w:r>
              <w:rPr>
                <w:color w:val="000000" w:themeColor="text1"/>
                <w14:textFill>
                  <w14:solidFill>
                    <w14:schemeClr w14:val="tx1"/>
                  </w14:solidFill>
                </w14:textFill>
              </w:rPr>
              <w:t>含油危险废物遇明火时易引发火灾事故，可能伴生大气污染物一氧化碳等污染周边大气环境、消防废水溢流污染周边水体。</w:t>
            </w:r>
          </w:p>
          <w:p w14:paraId="3B4D0FE0">
            <w:pPr>
              <w:widowControl/>
              <w:spacing w:line="360" w:lineRule="auto"/>
              <w:ind w:firstLine="422" w:firstLineChars="200"/>
              <w:jc w:val="left"/>
              <w:rPr>
                <w:color w:val="000000" w:themeColor="text1"/>
                <w:szCs w:val="21"/>
                <w14:textFill>
                  <w14:solidFill>
                    <w14:schemeClr w14:val="tx1"/>
                  </w14:solidFill>
                </w14:textFill>
              </w:rPr>
            </w:pPr>
            <w:r>
              <w:rPr>
                <w:rFonts w:hint="eastAsia"/>
                <w:b/>
                <w:bCs/>
                <w:color w:val="000000" w:themeColor="text1"/>
                <w:kern w:val="0"/>
                <w:szCs w:val="21"/>
                <w:lang w:bidi="ar"/>
                <w14:textFill>
                  <w14:solidFill>
                    <w14:schemeClr w14:val="tx1"/>
                  </w14:solidFill>
                </w14:textFill>
              </w:rPr>
              <w:t>3</w:t>
            </w:r>
            <w:r>
              <w:rPr>
                <w:b/>
                <w:bCs/>
                <w:color w:val="000000" w:themeColor="text1"/>
                <w:kern w:val="0"/>
                <w:szCs w:val="21"/>
                <w:lang w:bidi="ar"/>
                <w14:textFill>
                  <w14:solidFill>
                    <w14:schemeClr w14:val="tx1"/>
                  </w14:solidFill>
                </w14:textFill>
              </w:rPr>
              <w:t>、环境风险防范措施及应急要求</w:t>
            </w:r>
          </w:p>
          <w:p w14:paraId="1666C7F7">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（1）危险废物泄漏风险防范措施</w:t>
            </w:r>
          </w:p>
          <w:p w14:paraId="0011FC11">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危险废物暂存间按《危险废物贮存污染控制标准》（GB18597-2023）的相关要求进行建设。项目所产生的危险废物要严格管理，集中收集，分类处理，严格按照要求暂存，交由具有相关危险废物经营许可证的单位处理。一旦出现泄漏事故，应急措施主要是断源(减少泄出量)、隔离(将事故区域与其他区域隔离，防止扩大、蔓延及连锁反应，降低危害)、回收(及时将泄漏、散落废物收集)、清污(消除现场泄漏物，处理已泄出危废造成的后果),组织人员撤离及救护。</w:t>
            </w:r>
          </w:p>
          <w:p w14:paraId="4CFFC788">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（2）火灾事故风险防范措施</w:t>
            </w:r>
          </w:p>
          <w:p w14:paraId="0B967E75">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对明火严格控制，明火发生源为火柴、打火机等，维修用火控制，对设备维修检查，需进行维修焊接，应经安全部门确认、准许，并有记录在案。项目需要加强消防设备的管理工作，按照要求设置足够数量的消防栓、消防水带、消防枪、灭火器、消防沙等应急物资，安排专人管理，需定期对消防设备进行检查并记录，以保证消防设备能够正常使用，定期对员工进行培训消防器材的使用方法。在厂区周边设置截流沟和收集池，发生火灾事故时，消防废水通过截流沟和收集池拦截在厂区内，因本项目不涉及有毒有害化学品的使用，消防废水可委托有资质单位收运处理。</w:t>
            </w:r>
          </w:p>
          <w:p w14:paraId="277E0BA6">
            <w:pPr>
              <w:pStyle w:val="42"/>
              <w:ind w:firstLine="42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4、分析结论</w:t>
            </w:r>
          </w:p>
          <w:p w14:paraId="29919B2D">
            <w:pPr>
              <w:pStyle w:val="42"/>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通过以上分析，本项目存在潜在的危险废物泄漏、火灾/引发的次生环境污染、废气处理设施事故导致次生环境污染的风险。如管理不当，可能对环境造成一定的影响。因此，建设单位应按照相关要求，做好各项风险的预防和应急措施，建立环境风险应急体系，开展应对环境风险事故的培训、宣传和必要的应急演练。在做好风险防范措施的情况下，可最大限度地降低环境风险，对周边的环境敏感点影响较小。</w:t>
            </w:r>
          </w:p>
          <w:p w14:paraId="51FAC5D8">
            <w:pPr>
              <w:spacing w:line="360" w:lineRule="auto"/>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八、电磁辐射</w:t>
            </w:r>
          </w:p>
          <w:p w14:paraId="1C84C7A9">
            <w:pPr>
              <w:spacing w:line="360" w:lineRule="auto"/>
              <w:ind w:firstLine="420" w:firstLineChars="200"/>
              <w:rPr>
                <w:bCs/>
                <w:color w:val="000000" w:themeColor="text1"/>
                <w:spacing w:val="8"/>
                <w:szCs w:val="21"/>
                <w14:textFill>
                  <w14:solidFill>
                    <w14:schemeClr w14:val="tx1"/>
                  </w14:solidFill>
                </w14:textFill>
              </w:rPr>
            </w:pPr>
            <w:r>
              <w:rPr>
                <w:bCs/>
                <w:color w:val="000000" w:themeColor="text1"/>
                <w:szCs w:val="21"/>
                <w14:textFill>
                  <w14:solidFill>
                    <w14:schemeClr w14:val="tx1"/>
                  </w14:solidFill>
                </w14:textFill>
              </w:rPr>
              <w:t>项目不属于电磁辐射项目，也不使用电磁辐射设备，本环评不进行电磁辐射影响评价</w:t>
            </w:r>
            <w:r>
              <w:rPr>
                <w:bCs/>
                <w:color w:val="000000" w:themeColor="text1"/>
                <w:spacing w:val="8"/>
                <w:szCs w:val="21"/>
                <w14:textFill>
                  <w14:solidFill>
                    <w14:schemeClr w14:val="tx1"/>
                  </w14:solidFill>
                </w14:textFill>
              </w:rPr>
              <w:t>。</w:t>
            </w:r>
          </w:p>
          <w:p w14:paraId="627655C9">
            <w:pPr>
              <w:spacing w:line="360" w:lineRule="auto"/>
              <w:ind w:firstLine="452" w:firstLineChars="200"/>
              <w:rPr>
                <w:bCs/>
                <w:color w:val="000000" w:themeColor="text1"/>
                <w:spacing w:val="8"/>
                <w:szCs w:val="21"/>
                <w14:textFill>
                  <w14:solidFill>
                    <w14:schemeClr w14:val="tx1"/>
                  </w14:solidFill>
                </w14:textFill>
              </w:rPr>
            </w:pPr>
          </w:p>
          <w:p w14:paraId="177DC939">
            <w:pPr>
              <w:spacing w:line="360" w:lineRule="auto"/>
              <w:ind w:firstLine="452" w:firstLineChars="200"/>
              <w:rPr>
                <w:bCs/>
                <w:color w:val="000000" w:themeColor="text1"/>
                <w:spacing w:val="8"/>
                <w:szCs w:val="21"/>
                <w14:textFill>
                  <w14:solidFill>
                    <w14:schemeClr w14:val="tx1"/>
                  </w14:solidFill>
                </w14:textFill>
              </w:rPr>
            </w:pPr>
          </w:p>
        </w:tc>
      </w:tr>
    </w:tbl>
    <w:p w14:paraId="0599D54F">
      <w:pPr>
        <w:rPr>
          <w:color w:val="000000" w:themeColor="text1"/>
          <w14:textFill>
            <w14:solidFill>
              <w14:schemeClr w14:val="tx1"/>
            </w14:solidFill>
          </w14:textFill>
        </w:rPr>
        <w:sectPr>
          <w:pgSz w:w="16838" w:h="11905" w:orient="landscape"/>
          <w:pgMar w:top="1417" w:right="1587" w:bottom="1417" w:left="1587" w:header="850" w:footer="1077" w:gutter="0"/>
          <w:cols w:space="720" w:num="1"/>
          <w:docGrid w:linePitch="312" w:charSpace="0"/>
        </w:sectPr>
      </w:pPr>
    </w:p>
    <w:p w14:paraId="7998FDAE">
      <w:pPr>
        <w:pStyle w:val="18"/>
        <w:spacing w:before="0" w:beforeAutospacing="0" w:after="0" w:afterAutospacing="0"/>
        <w:jc w:val="center"/>
        <w:outlineLvl w:val="0"/>
        <w:rPr>
          <w:rFonts w:ascii="Times New Roman" w:hAnsi="Times New Roman" w:eastAsia="黑体"/>
          <w:snapToGrid w:val="0"/>
          <w:color w:val="000000" w:themeColor="text1"/>
          <w:sz w:val="30"/>
          <w:szCs w:val="30"/>
          <w14:textFill>
            <w14:solidFill>
              <w14:schemeClr w14:val="tx1"/>
            </w14:solidFill>
          </w14:textFill>
        </w:rPr>
      </w:pPr>
      <w:bookmarkStart w:id="19" w:name="_Toc1584"/>
      <w:r>
        <w:rPr>
          <w:rFonts w:ascii="Times New Roman" w:hAnsi="Times New Roman" w:eastAsia="黑体"/>
          <w:snapToGrid w:val="0"/>
          <w:color w:val="000000" w:themeColor="text1"/>
          <w:sz w:val="30"/>
          <w:szCs w:val="30"/>
          <w14:textFill>
            <w14:solidFill>
              <w14:schemeClr w14:val="tx1"/>
            </w14:solidFill>
          </w14:textFill>
        </w:rPr>
        <w:t>五、</w:t>
      </w:r>
      <w:bookmarkStart w:id="20"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9"/>
      <w:bookmarkEnd w:id="20"/>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02"/>
        <w:gridCol w:w="1563"/>
        <w:gridCol w:w="1453"/>
        <w:gridCol w:w="1825"/>
        <w:gridCol w:w="2357"/>
      </w:tblGrid>
      <w:tr w14:paraId="6F0736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1602" w:type="dxa"/>
            <w:tcBorders>
              <w:tl2br w:val="single" w:color="auto" w:sz="4" w:space="0"/>
            </w:tcBorders>
            <w:vAlign w:val="center"/>
          </w:tcPr>
          <w:p w14:paraId="7D48EF13">
            <w:pPr>
              <w:adjustRightInd w:val="0"/>
              <w:snapToGrid w:val="0"/>
              <w:ind w:firstLine="84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w:t>
            </w:r>
          </w:p>
          <w:p w14:paraId="72089746">
            <w:pPr>
              <w:adjustRightInd w:val="0"/>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要素</w:t>
            </w:r>
          </w:p>
        </w:tc>
        <w:tc>
          <w:tcPr>
            <w:tcW w:w="1563" w:type="dxa"/>
            <w:vAlign w:val="center"/>
          </w:tcPr>
          <w:p w14:paraId="4EA03D8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排放口(编号、</w:t>
            </w:r>
          </w:p>
          <w:p w14:paraId="74647F69">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名称)/污染源</w:t>
            </w:r>
          </w:p>
        </w:tc>
        <w:tc>
          <w:tcPr>
            <w:tcW w:w="1453" w:type="dxa"/>
            <w:vAlign w:val="center"/>
          </w:tcPr>
          <w:p w14:paraId="4E78E185">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污染物项目</w:t>
            </w:r>
          </w:p>
        </w:tc>
        <w:tc>
          <w:tcPr>
            <w:tcW w:w="1825" w:type="dxa"/>
            <w:vAlign w:val="center"/>
          </w:tcPr>
          <w:p w14:paraId="0E708742">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环境保护措施</w:t>
            </w:r>
          </w:p>
        </w:tc>
        <w:tc>
          <w:tcPr>
            <w:tcW w:w="2357" w:type="dxa"/>
            <w:vAlign w:val="center"/>
          </w:tcPr>
          <w:p w14:paraId="0E019D96">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执行标准</w:t>
            </w:r>
          </w:p>
        </w:tc>
      </w:tr>
      <w:tr w14:paraId="7EAA6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602" w:type="dxa"/>
            <w:vMerge w:val="restart"/>
            <w:vAlign w:val="center"/>
          </w:tcPr>
          <w:p w14:paraId="02B7DB1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大气环境</w:t>
            </w:r>
          </w:p>
        </w:tc>
        <w:tc>
          <w:tcPr>
            <w:tcW w:w="1563" w:type="dxa"/>
            <w:vAlign w:val="center"/>
          </w:tcPr>
          <w:p w14:paraId="625BAAA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汽车运输</w:t>
            </w:r>
          </w:p>
        </w:tc>
        <w:tc>
          <w:tcPr>
            <w:tcW w:w="1453" w:type="dxa"/>
            <w:vAlign w:val="center"/>
          </w:tcPr>
          <w:p w14:paraId="71AFEC6A">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825" w:type="dxa"/>
            <w:vAlign w:val="center"/>
          </w:tcPr>
          <w:p w14:paraId="050DA47C">
            <w:pPr>
              <w:adjustRightInd w:val="0"/>
              <w:snapToGrid w:val="0"/>
              <w:jc w:val="center"/>
              <w:rPr>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道路硬化，出入车辆冲洗及加强车辆管理</w:t>
            </w:r>
          </w:p>
        </w:tc>
        <w:tc>
          <w:tcPr>
            <w:tcW w:w="2357" w:type="dxa"/>
            <w:vMerge w:val="restart"/>
            <w:vAlign w:val="center"/>
          </w:tcPr>
          <w:p w14:paraId="776BD3D4">
            <w:pPr>
              <w:adjustRightInd w:val="0"/>
              <w:snapToGrid w:val="0"/>
              <w:jc w:val="center"/>
              <w:rPr>
                <w:color w:val="000000" w:themeColor="text1"/>
                <w:szCs w:val="21"/>
                <w:shd w:val="clear" w:color="auto" w:fill="FFFFFF"/>
                <w14:textFill>
                  <w14:solidFill>
                    <w14:schemeClr w14:val="tx1"/>
                  </w14:solidFill>
                </w14:textFill>
              </w:rPr>
            </w:pPr>
            <w:r>
              <w:rPr>
                <w:color w:val="000000" w:themeColor="text1"/>
                <w:szCs w:val="21"/>
                <w14:textFill>
                  <w14:solidFill>
                    <w14:schemeClr w14:val="tx1"/>
                  </w14:solidFill>
                </w14:textFill>
              </w:rPr>
              <w:t>广东省《大气污染物排放限值》（DB44/27-2001）中第二时段无组织排放监控浓度限值要求</w:t>
            </w:r>
          </w:p>
        </w:tc>
      </w:tr>
      <w:tr w14:paraId="18B674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602" w:type="dxa"/>
            <w:vMerge w:val="continue"/>
            <w:vAlign w:val="center"/>
          </w:tcPr>
          <w:p w14:paraId="6965A4EA">
            <w:pPr>
              <w:adjustRightInd w:val="0"/>
              <w:snapToGrid w:val="0"/>
              <w:jc w:val="center"/>
              <w:rPr>
                <w:bCs/>
                <w:color w:val="000000" w:themeColor="text1"/>
                <w:spacing w:val="-10"/>
                <w:szCs w:val="21"/>
                <w14:textFill>
                  <w14:solidFill>
                    <w14:schemeClr w14:val="tx1"/>
                  </w14:solidFill>
                </w14:textFill>
              </w:rPr>
            </w:pPr>
          </w:p>
        </w:tc>
        <w:tc>
          <w:tcPr>
            <w:tcW w:w="1563" w:type="dxa"/>
            <w:vAlign w:val="center"/>
          </w:tcPr>
          <w:p w14:paraId="7B74A282">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装卸</w:t>
            </w:r>
          </w:p>
        </w:tc>
        <w:tc>
          <w:tcPr>
            <w:tcW w:w="1453" w:type="dxa"/>
            <w:vAlign w:val="center"/>
          </w:tcPr>
          <w:p w14:paraId="448B5EF2">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颗粒物</w:t>
            </w:r>
          </w:p>
        </w:tc>
        <w:tc>
          <w:tcPr>
            <w:tcW w:w="1825" w:type="dxa"/>
            <w:vAlign w:val="center"/>
          </w:tcPr>
          <w:p w14:paraId="31C63E5C">
            <w:pPr>
              <w:adjustRightInd w:val="0"/>
              <w:snapToGrid w:val="0"/>
              <w:jc w:val="center"/>
              <w:rPr>
                <w:bCs/>
                <w:color w:val="000000" w:themeColor="text1"/>
                <w:spacing w:val="-10"/>
                <w:szCs w:val="21"/>
                <w14:textFill>
                  <w14:solidFill>
                    <w14:schemeClr w14:val="tx1"/>
                  </w14:solidFill>
                </w14:textFill>
              </w:rPr>
            </w:pPr>
            <w:r>
              <w:rPr>
                <w:rFonts w:hint="eastAsia" w:cs="宋体"/>
                <w:color w:val="000000" w:themeColor="text1"/>
                <w:szCs w:val="21"/>
                <w14:textFill>
                  <w14:solidFill>
                    <w14:schemeClr w14:val="tx1"/>
                  </w14:solidFill>
                </w14:textFill>
              </w:rPr>
              <w:t>洒水降尘、围栏</w:t>
            </w:r>
          </w:p>
        </w:tc>
        <w:tc>
          <w:tcPr>
            <w:tcW w:w="2357" w:type="dxa"/>
            <w:vMerge w:val="continue"/>
            <w:vAlign w:val="center"/>
          </w:tcPr>
          <w:p w14:paraId="1D531E19">
            <w:pPr>
              <w:adjustRightInd w:val="0"/>
              <w:snapToGrid w:val="0"/>
              <w:jc w:val="center"/>
              <w:rPr>
                <w:bCs/>
                <w:color w:val="000000" w:themeColor="text1"/>
                <w:spacing w:val="-10"/>
                <w:szCs w:val="21"/>
                <w14:textFill>
                  <w14:solidFill>
                    <w14:schemeClr w14:val="tx1"/>
                  </w14:solidFill>
                </w14:textFill>
              </w:rPr>
            </w:pPr>
          </w:p>
        </w:tc>
      </w:tr>
      <w:tr w14:paraId="17DE97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continue"/>
            <w:vAlign w:val="center"/>
          </w:tcPr>
          <w:p w14:paraId="2A97C7C6">
            <w:pPr>
              <w:adjustRightInd w:val="0"/>
              <w:snapToGrid w:val="0"/>
              <w:jc w:val="center"/>
              <w:rPr>
                <w:bCs/>
                <w:color w:val="000000" w:themeColor="text1"/>
                <w:spacing w:val="-10"/>
                <w:szCs w:val="21"/>
                <w14:textFill>
                  <w14:solidFill>
                    <w14:schemeClr w14:val="tx1"/>
                  </w14:solidFill>
                </w14:textFill>
              </w:rPr>
            </w:pPr>
          </w:p>
        </w:tc>
        <w:tc>
          <w:tcPr>
            <w:tcW w:w="1563" w:type="dxa"/>
            <w:vAlign w:val="center"/>
          </w:tcPr>
          <w:p w14:paraId="1BD7B3B3">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破碎、筛分</w:t>
            </w:r>
          </w:p>
        </w:tc>
        <w:tc>
          <w:tcPr>
            <w:tcW w:w="1453" w:type="dxa"/>
            <w:vAlign w:val="center"/>
          </w:tcPr>
          <w:p w14:paraId="3D15996B">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颗粒物</w:t>
            </w:r>
          </w:p>
        </w:tc>
        <w:tc>
          <w:tcPr>
            <w:tcW w:w="1825" w:type="dxa"/>
            <w:vAlign w:val="center"/>
          </w:tcPr>
          <w:p w14:paraId="00AB6AFA">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洒水降尘、围栏、重力沉降</w:t>
            </w:r>
          </w:p>
        </w:tc>
        <w:tc>
          <w:tcPr>
            <w:tcW w:w="2357" w:type="dxa"/>
            <w:vMerge w:val="continue"/>
            <w:vAlign w:val="center"/>
          </w:tcPr>
          <w:p w14:paraId="4B33A8C6">
            <w:pPr>
              <w:adjustRightInd w:val="0"/>
              <w:snapToGrid w:val="0"/>
              <w:jc w:val="center"/>
              <w:rPr>
                <w:bCs/>
                <w:color w:val="000000" w:themeColor="text1"/>
                <w:spacing w:val="-10"/>
                <w:szCs w:val="21"/>
                <w14:textFill>
                  <w14:solidFill>
                    <w14:schemeClr w14:val="tx1"/>
                  </w14:solidFill>
                </w14:textFill>
              </w:rPr>
            </w:pPr>
          </w:p>
        </w:tc>
      </w:tr>
      <w:tr w14:paraId="3BDC3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continue"/>
            <w:vAlign w:val="center"/>
          </w:tcPr>
          <w:p w14:paraId="1D861FE9">
            <w:pPr>
              <w:adjustRightInd w:val="0"/>
              <w:snapToGrid w:val="0"/>
              <w:jc w:val="center"/>
              <w:rPr>
                <w:bCs/>
                <w:color w:val="000000" w:themeColor="text1"/>
                <w:spacing w:val="-10"/>
                <w:szCs w:val="21"/>
                <w14:textFill>
                  <w14:solidFill>
                    <w14:schemeClr w14:val="tx1"/>
                  </w14:solidFill>
                </w14:textFill>
              </w:rPr>
            </w:pPr>
          </w:p>
        </w:tc>
        <w:tc>
          <w:tcPr>
            <w:tcW w:w="1563" w:type="dxa"/>
            <w:vAlign w:val="center"/>
          </w:tcPr>
          <w:p w14:paraId="618ECCCE">
            <w:pPr>
              <w:adjustRightInd w:val="0"/>
              <w:snapToGrid w:val="0"/>
              <w:jc w:val="center"/>
              <w:rPr>
                <w:rFonts w:hint="eastAsia"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堆场</w:t>
            </w:r>
          </w:p>
        </w:tc>
        <w:tc>
          <w:tcPr>
            <w:tcW w:w="1453" w:type="dxa"/>
            <w:vAlign w:val="center"/>
          </w:tcPr>
          <w:p w14:paraId="7C97E17A">
            <w:pPr>
              <w:adjustRightInd w:val="0"/>
              <w:snapToGrid w:val="0"/>
              <w:jc w:val="center"/>
              <w:rPr>
                <w:rFonts w:hint="eastAsia" w:eastAsia="宋体"/>
                <w:bCs/>
                <w:color w:val="000000" w:themeColor="text1"/>
                <w:spacing w:val="-10"/>
                <w:szCs w:val="21"/>
                <w:lang w:val="en-US" w:eastAsia="zh-CN"/>
                <w14:textFill>
                  <w14:solidFill>
                    <w14:schemeClr w14:val="tx1"/>
                  </w14:solidFill>
                </w14:textFill>
              </w:rPr>
            </w:pPr>
            <w:r>
              <w:rPr>
                <w:rFonts w:hint="eastAsia"/>
                <w:bCs/>
                <w:color w:val="000000" w:themeColor="text1"/>
                <w:spacing w:val="-10"/>
                <w:szCs w:val="21"/>
                <w:lang w:val="en-US" w:eastAsia="zh-CN"/>
                <w14:textFill>
                  <w14:solidFill>
                    <w14:schemeClr w14:val="tx1"/>
                  </w14:solidFill>
                </w14:textFill>
              </w:rPr>
              <w:t>颗粒物</w:t>
            </w:r>
          </w:p>
        </w:tc>
        <w:tc>
          <w:tcPr>
            <w:tcW w:w="1825" w:type="dxa"/>
            <w:vAlign w:val="center"/>
          </w:tcPr>
          <w:p w14:paraId="24279F3B">
            <w:pPr>
              <w:adjustRightInd w:val="0"/>
              <w:snapToGrid w:val="0"/>
              <w:jc w:val="center"/>
              <w:rPr>
                <w:rFonts w:hint="eastAsia"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洒水降尘、</w:t>
            </w:r>
            <w:r>
              <w:rPr>
                <w:rFonts w:hint="eastAsia" w:cs="宋体"/>
                <w:color w:val="000000" w:themeColor="text1"/>
                <w:szCs w:val="21"/>
                <w:lang w:val="en-US" w:eastAsia="zh-CN"/>
                <w14:textFill>
                  <w14:solidFill>
                    <w14:schemeClr w14:val="tx1"/>
                  </w14:solidFill>
                </w14:textFill>
              </w:rPr>
              <w:t>编织覆盖</w:t>
            </w:r>
            <w:r>
              <w:rPr>
                <w:rFonts w:hint="eastAsia" w:cs="宋体"/>
                <w:color w:val="000000" w:themeColor="text1"/>
                <w:szCs w:val="21"/>
                <w14:textFill>
                  <w14:solidFill>
                    <w14:schemeClr w14:val="tx1"/>
                  </w14:solidFill>
                </w14:textFill>
              </w:rPr>
              <w:t>、</w:t>
            </w:r>
            <w:r>
              <w:rPr>
                <w:rFonts w:hint="eastAsia" w:cs="宋体"/>
                <w:color w:val="000000" w:themeColor="text1"/>
                <w:szCs w:val="21"/>
                <w:lang w:val="en-US" w:eastAsia="zh-CN"/>
                <w14:textFill>
                  <w14:solidFill>
                    <w14:schemeClr w14:val="tx1"/>
                  </w14:solidFill>
                </w14:textFill>
              </w:rPr>
              <w:t>半敞开式堆场</w:t>
            </w:r>
          </w:p>
        </w:tc>
        <w:tc>
          <w:tcPr>
            <w:tcW w:w="2357" w:type="dxa"/>
            <w:vMerge w:val="continue"/>
            <w:vAlign w:val="center"/>
          </w:tcPr>
          <w:p w14:paraId="166117D8">
            <w:pPr>
              <w:adjustRightInd w:val="0"/>
              <w:snapToGrid w:val="0"/>
              <w:jc w:val="center"/>
              <w:rPr>
                <w:bCs/>
                <w:color w:val="000000" w:themeColor="text1"/>
                <w:spacing w:val="-10"/>
                <w:szCs w:val="21"/>
                <w14:textFill>
                  <w14:solidFill>
                    <w14:schemeClr w14:val="tx1"/>
                  </w14:solidFill>
                </w14:textFill>
              </w:rPr>
            </w:pPr>
          </w:p>
        </w:tc>
      </w:tr>
      <w:tr w14:paraId="2568D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continue"/>
            <w:vAlign w:val="center"/>
          </w:tcPr>
          <w:p w14:paraId="4B1F197D">
            <w:pPr>
              <w:adjustRightInd w:val="0"/>
              <w:snapToGrid w:val="0"/>
              <w:jc w:val="center"/>
              <w:rPr>
                <w:bCs/>
                <w:color w:val="000000" w:themeColor="text1"/>
                <w:spacing w:val="-10"/>
                <w:szCs w:val="21"/>
                <w14:textFill>
                  <w14:solidFill>
                    <w14:schemeClr w14:val="tx1"/>
                  </w14:solidFill>
                </w14:textFill>
              </w:rPr>
            </w:pPr>
          </w:p>
        </w:tc>
        <w:tc>
          <w:tcPr>
            <w:tcW w:w="1563" w:type="dxa"/>
            <w:vAlign w:val="center"/>
          </w:tcPr>
          <w:p w14:paraId="3AF970D3">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运输车辆尾气</w:t>
            </w:r>
          </w:p>
        </w:tc>
        <w:tc>
          <w:tcPr>
            <w:tcW w:w="1453" w:type="dxa"/>
            <w:vAlign w:val="center"/>
          </w:tcPr>
          <w:p w14:paraId="0B5394EE">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CO、NOx、THC、PM</w:t>
            </w:r>
          </w:p>
        </w:tc>
        <w:tc>
          <w:tcPr>
            <w:tcW w:w="1825" w:type="dxa"/>
            <w:vAlign w:val="center"/>
          </w:tcPr>
          <w:p w14:paraId="17950EC8">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加强扩散、大气稀释</w:t>
            </w:r>
          </w:p>
        </w:tc>
        <w:tc>
          <w:tcPr>
            <w:tcW w:w="2357" w:type="dxa"/>
            <w:vMerge w:val="continue"/>
            <w:vAlign w:val="center"/>
          </w:tcPr>
          <w:p w14:paraId="057A4C15">
            <w:pPr>
              <w:adjustRightInd w:val="0"/>
              <w:snapToGrid w:val="0"/>
              <w:jc w:val="center"/>
              <w:rPr>
                <w:bCs/>
                <w:color w:val="000000" w:themeColor="text1"/>
                <w:spacing w:val="-10"/>
                <w:szCs w:val="21"/>
                <w14:textFill>
                  <w14:solidFill>
                    <w14:schemeClr w14:val="tx1"/>
                  </w14:solidFill>
                </w14:textFill>
              </w:rPr>
            </w:pPr>
          </w:p>
        </w:tc>
      </w:tr>
      <w:tr w14:paraId="46960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602" w:type="dxa"/>
            <w:vMerge w:val="continue"/>
            <w:vAlign w:val="center"/>
          </w:tcPr>
          <w:p w14:paraId="57D95338">
            <w:pPr>
              <w:adjustRightInd w:val="0"/>
              <w:snapToGrid w:val="0"/>
              <w:jc w:val="center"/>
              <w:rPr>
                <w:bCs/>
                <w:color w:val="000000" w:themeColor="text1"/>
                <w:spacing w:val="-10"/>
                <w:szCs w:val="21"/>
                <w14:textFill>
                  <w14:solidFill>
                    <w14:schemeClr w14:val="tx1"/>
                  </w14:solidFill>
                </w14:textFill>
              </w:rPr>
            </w:pPr>
          </w:p>
        </w:tc>
        <w:tc>
          <w:tcPr>
            <w:tcW w:w="1563" w:type="dxa"/>
            <w:vAlign w:val="center"/>
          </w:tcPr>
          <w:p w14:paraId="26240BC5">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DA001（食堂油烟）</w:t>
            </w:r>
          </w:p>
        </w:tc>
        <w:tc>
          <w:tcPr>
            <w:tcW w:w="1453" w:type="dxa"/>
            <w:vAlign w:val="center"/>
          </w:tcPr>
          <w:p w14:paraId="4FE44BAC">
            <w:pPr>
              <w:adjustRightInd w:val="0"/>
              <w:snapToGrid w:val="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油烟</w:t>
            </w:r>
          </w:p>
        </w:tc>
        <w:tc>
          <w:tcPr>
            <w:tcW w:w="1825" w:type="dxa"/>
            <w:vAlign w:val="center"/>
          </w:tcPr>
          <w:p w14:paraId="0437EDCA">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静电</w:t>
            </w:r>
            <w:r>
              <w:rPr>
                <w:rFonts w:hint="eastAsia" w:cs="宋体"/>
                <w:color w:val="000000" w:themeColor="text1"/>
                <w:szCs w:val="21"/>
                <w14:textFill>
                  <w14:solidFill>
                    <w14:schemeClr w14:val="tx1"/>
                  </w14:solidFill>
                </w14:textFill>
              </w:rPr>
              <w:t>油烟净化装置</w:t>
            </w:r>
          </w:p>
        </w:tc>
        <w:tc>
          <w:tcPr>
            <w:tcW w:w="2357" w:type="dxa"/>
            <w:vAlign w:val="center"/>
          </w:tcPr>
          <w:p w14:paraId="70AA0BDD">
            <w:pPr>
              <w:adjustRightInd w:val="0"/>
              <w:snapToGrid w:val="0"/>
              <w:jc w:val="center"/>
              <w:rPr>
                <w:bCs/>
                <w:color w:val="000000" w:themeColor="text1"/>
                <w:spacing w:val="-10"/>
                <w:szCs w:val="21"/>
                <w14:textFill>
                  <w14:solidFill>
                    <w14:schemeClr w14:val="tx1"/>
                  </w14:solidFill>
                </w14:textFill>
              </w:rPr>
            </w:pPr>
            <w:r>
              <w:rPr>
                <w:bCs/>
                <w:color w:val="000000" w:themeColor="text1"/>
                <w:spacing w:val="-10"/>
                <w:szCs w:val="21"/>
                <w14:textFill>
                  <w14:solidFill>
                    <w14:schemeClr w14:val="tx1"/>
                  </w14:solidFill>
                </w14:textFill>
              </w:rPr>
              <w:t>《饮食业油烟排放标准（试行）》（GB18483-2001）</w:t>
            </w:r>
            <w:r>
              <w:rPr>
                <w:rFonts w:hint="eastAsia"/>
                <w:bCs/>
                <w:color w:val="000000" w:themeColor="text1"/>
                <w:spacing w:val="-10"/>
                <w:szCs w:val="21"/>
                <w14:textFill>
                  <w14:solidFill>
                    <w14:schemeClr w14:val="tx1"/>
                  </w14:solidFill>
                </w14:textFill>
              </w:rPr>
              <w:t>中</w:t>
            </w:r>
            <w:r>
              <w:rPr>
                <w:bCs/>
                <w:color w:val="000000" w:themeColor="text1"/>
                <w:spacing w:val="-10"/>
                <w:szCs w:val="21"/>
                <w14:textFill>
                  <w14:solidFill>
                    <w14:schemeClr w14:val="tx1"/>
                  </w14:solidFill>
                </w14:textFill>
              </w:rPr>
              <w:t>型规模标准</w:t>
            </w:r>
          </w:p>
        </w:tc>
      </w:tr>
      <w:tr w14:paraId="594D0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602" w:type="dxa"/>
            <w:vMerge w:val="restart"/>
            <w:vAlign w:val="center"/>
          </w:tcPr>
          <w:p w14:paraId="03AEE782">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563" w:type="dxa"/>
            <w:vAlign w:val="center"/>
          </w:tcPr>
          <w:p w14:paraId="67F4246A">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生活污水</w:t>
            </w:r>
          </w:p>
        </w:tc>
        <w:tc>
          <w:tcPr>
            <w:tcW w:w="1453" w:type="dxa"/>
            <w:vAlign w:val="center"/>
          </w:tcPr>
          <w:p w14:paraId="1C25ED92">
            <w:pPr>
              <w:pStyle w:val="40"/>
              <w:autoSpaceDE/>
              <w:autoSpaceDN/>
              <w:jc w:val="center"/>
              <w:rPr>
                <w:rFonts w:ascii="Times New Roman" w:hAnsi="Times New Roman" w:eastAsia="Times New Roman"/>
                <w:color w:val="000000" w:themeColor="text1"/>
                <w:sz w:val="21"/>
                <w:szCs w:val="21"/>
                <w14:textFill>
                  <w14:solidFill>
                    <w14:schemeClr w14:val="tx1"/>
                  </w14:solidFill>
                </w14:textFill>
              </w:rPr>
            </w:pPr>
            <w:r>
              <w:rPr>
                <w:rFonts w:ascii="Times New Roman" w:hAnsi="Times New Roman" w:eastAsia="Times New Roman"/>
                <w:color w:val="000000" w:themeColor="text1"/>
                <w:sz w:val="21"/>
                <w:szCs w:val="21"/>
                <w14:textFill>
                  <w14:solidFill>
                    <w14:schemeClr w14:val="tx1"/>
                  </w14:solidFill>
                </w14:textFill>
              </w:rPr>
              <w:t>COD</w:t>
            </w:r>
            <w:r>
              <w:rPr>
                <w:rFonts w:ascii="Times New Roman" w:hAnsi="Times New Roman" w:eastAsia="Times New Roman"/>
                <w:color w:val="000000" w:themeColor="text1"/>
                <w:sz w:val="21"/>
                <w:szCs w:val="21"/>
                <w:vertAlign w:val="subscript"/>
                <w14:textFill>
                  <w14:solidFill>
                    <w14:schemeClr w14:val="tx1"/>
                  </w14:solidFill>
                </w14:textFill>
              </w:rPr>
              <w:t>Cr</w:t>
            </w:r>
            <w:r>
              <w:rPr>
                <w:rFonts w:ascii="Times New Roman" w:hAnsi="Times New Roman"/>
                <w:color w:val="000000" w:themeColor="text1"/>
                <w:sz w:val="21"/>
                <w:szCs w:val="21"/>
                <w14:textFill>
                  <w14:solidFill>
                    <w14:schemeClr w14:val="tx1"/>
                  </w14:solidFill>
                </w14:textFill>
              </w:rPr>
              <w:t>、</w:t>
            </w:r>
            <w:r>
              <w:rPr>
                <w:rFonts w:ascii="Times New Roman" w:hAnsi="Times New Roman" w:eastAsia="Times New Roman"/>
                <w:color w:val="000000" w:themeColor="text1"/>
                <w:sz w:val="21"/>
                <w:szCs w:val="21"/>
                <w14:textFill>
                  <w14:solidFill>
                    <w14:schemeClr w14:val="tx1"/>
                  </w14:solidFill>
                </w14:textFill>
              </w:rPr>
              <w:t>BOD</w:t>
            </w:r>
            <w:r>
              <w:rPr>
                <w:rFonts w:ascii="Times New Roman" w:hAnsi="Times New Roman" w:eastAsia="Times New Roman"/>
                <w:color w:val="000000" w:themeColor="text1"/>
                <w:sz w:val="21"/>
                <w:szCs w:val="21"/>
                <w:vertAlign w:val="subscript"/>
                <w14:textFill>
                  <w14:solidFill>
                    <w14:schemeClr w14:val="tx1"/>
                  </w14:solidFill>
                </w14:textFill>
              </w:rPr>
              <w:t>5</w:t>
            </w:r>
            <w:r>
              <w:rPr>
                <w:rFonts w:ascii="Times New Roman" w:hAnsi="Times New Roman"/>
                <w:color w:val="000000" w:themeColor="text1"/>
                <w:sz w:val="21"/>
                <w:szCs w:val="21"/>
                <w14:textFill>
                  <w14:solidFill>
                    <w14:schemeClr w14:val="tx1"/>
                  </w14:solidFill>
                </w14:textFill>
              </w:rPr>
              <w:t>、</w:t>
            </w:r>
            <w:r>
              <w:rPr>
                <w:rFonts w:ascii="Times New Roman" w:hAnsi="Times New Roman" w:eastAsia="Times New Roman"/>
                <w:color w:val="000000" w:themeColor="text1"/>
                <w:sz w:val="21"/>
                <w:szCs w:val="21"/>
                <w14:textFill>
                  <w14:solidFill>
                    <w14:schemeClr w14:val="tx1"/>
                  </w14:solidFill>
                </w14:textFill>
              </w:rPr>
              <w:t>NH</w:t>
            </w:r>
            <w:r>
              <w:rPr>
                <w:rFonts w:ascii="Times New Roman" w:hAnsi="Times New Roman" w:eastAsia="Times New Roman"/>
                <w:color w:val="000000" w:themeColor="text1"/>
                <w:sz w:val="21"/>
                <w:szCs w:val="21"/>
                <w:vertAlign w:val="subscript"/>
                <w14:textFill>
                  <w14:solidFill>
                    <w14:schemeClr w14:val="tx1"/>
                  </w14:solidFill>
                </w14:textFill>
              </w:rPr>
              <w:t>3</w:t>
            </w:r>
            <w:r>
              <w:rPr>
                <w:rFonts w:ascii="Times New Roman" w:hAnsi="Times New Roman" w:eastAsia="Times New Roman"/>
                <w:color w:val="000000" w:themeColor="text1"/>
                <w:sz w:val="21"/>
                <w:szCs w:val="21"/>
                <w14:textFill>
                  <w14:solidFill>
                    <w14:schemeClr w14:val="tx1"/>
                  </w14:solidFill>
                </w14:textFill>
              </w:rPr>
              <w:t>-N</w:t>
            </w:r>
            <w:r>
              <w:rPr>
                <w:rFonts w:ascii="Times New Roman" w:hAnsi="Times New Roman"/>
                <w:color w:val="000000" w:themeColor="text1"/>
                <w:sz w:val="21"/>
                <w:szCs w:val="21"/>
                <w14:textFill>
                  <w14:solidFill>
                    <w14:schemeClr w14:val="tx1"/>
                  </w14:solidFill>
                </w14:textFill>
              </w:rPr>
              <w:t>、</w:t>
            </w:r>
            <w:r>
              <w:rPr>
                <w:rFonts w:ascii="Times New Roman" w:hAnsi="Times New Roman" w:eastAsia="Times New Roman"/>
                <w:color w:val="000000" w:themeColor="text1"/>
                <w:sz w:val="21"/>
                <w:szCs w:val="21"/>
                <w14:textFill>
                  <w14:solidFill>
                    <w14:schemeClr w14:val="tx1"/>
                  </w14:solidFill>
                </w14:textFill>
              </w:rPr>
              <w:t>SS</w:t>
            </w:r>
            <w:r>
              <w:rPr>
                <w:rFonts w:hint="eastAsia"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lang w:val="en-US"/>
                <w14:textFill>
                  <w14:solidFill>
                    <w14:schemeClr w14:val="tx1"/>
                  </w14:solidFill>
                </w14:textFill>
              </w:rPr>
              <w:t>动植物油</w:t>
            </w:r>
          </w:p>
        </w:tc>
        <w:tc>
          <w:tcPr>
            <w:tcW w:w="1825" w:type="dxa"/>
            <w:vAlign w:val="center"/>
          </w:tcPr>
          <w:p w14:paraId="7617C590">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经三级化粪池/三级隔油池+一体化A/O生化装置处理后用于周边林地灌溉</w:t>
            </w:r>
            <w:r>
              <w:rPr>
                <w:rFonts w:hint="eastAsia" w:cs="宋体"/>
                <w:color w:val="000000" w:themeColor="text1"/>
                <w:kern w:val="0"/>
                <w:szCs w:val="21"/>
                <w:lang w:bidi="ar"/>
                <w14:textFill>
                  <w14:solidFill>
                    <w14:schemeClr w14:val="tx1"/>
                  </w14:solidFill>
                </w14:textFill>
              </w:rPr>
              <w:t>，不外排</w:t>
            </w:r>
          </w:p>
        </w:tc>
        <w:tc>
          <w:tcPr>
            <w:tcW w:w="2357" w:type="dxa"/>
            <w:vAlign w:val="center"/>
          </w:tcPr>
          <w:p w14:paraId="0903291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《农田灌溉水质标准》（GB5084-2021）中旱作标准</w:t>
            </w:r>
          </w:p>
        </w:tc>
      </w:tr>
      <w:tr w14:paraId="071779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602" w:type="dxa"/>
            <w:vMerge w:val="continue"/>
            <w:vAlign w:val="center"/>
          </w:tcPr>
          <w:p w14:paraId="7AB23022">
            <w:pPr>
              <w:adjustRightInd w:val="0"/>
              <w:snapToGrid w:val="0"/>
              <w:jc w:val="center"/>
              <w:rPr>
                <w:color w:val="000000" w:themeColor="text1"/>
                <w:szCs w:val="21"/>
                <w14:textFill>
                  <w14:solidFill>
                    <w14:schemeClr w14:val="tx1"/>
                  </w14:solidFill>
                </w14:textFill>
              </w:rPr>
            </w:pPr>
          </w:p>
        </w:tc>
        <w:tc>
          <w:tcPr>
            <w:tcW w:w="1563" w:type="dxa"/>
            <w:vAlign w:val="center"/>
          </w:tcPr>
          <w:p w14:paraId="20ED8AC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车辆冲洗废水</w:t>
            </w:r>
          </w:p>
        </w:tc>
        <w:tc>
          <w:tcPr>
            <w:tcW w:w="1453" w:type="dxa"/>
            <w:vAlign w:val="center"/>
          </w:tcPr>
          <w:p w14:paraId="53F2BD74">
            <w:pPr>
              <w:pStyle w:val="40"/>
              <w:autoSpaceDE/>
              <w:autoSpaceDN/>
              <w:jc w:val="center"/>
              <w:rPr>
                <w:rFonts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14:textFill>
                  <w14:solidFill>
                    <w14:schemeClr w14:val="tx1"/>
                  </w14:solidFill>
                </w14:textFill>
              </w:rPr>
              <w:t>SS</w:t>
            </w:r>
          </w:p>
        </w:tc>
        <w:tc>
          <w:tcPr>
            <w:tcW w:w="1825" w:type="dxa"/>
            <w:vAlign w:val="center"/>
          </w:tcPr>
          <w:p w14:paraId="225AE2F5">
            <w:pPr>
              <w:widowControl/>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经洗车台沉淀池沉淀</w:t>
            </w:r>
            <w:r>
              <w:rPr>
                <w:rFonts w:hint="eastAsia" w:cs="宋体"/>
                <w:color w:val="000000" w:themeColor="text1"/>
                <w:kern w:val="0"/>
                <w:szCs w:val="21"/>
                <w:lang w:bidi="ar"/>
                <w14:textFill>
                  <w14:solidFill>
                    <w14:schemeClr w14:val="tx1"/>
                  </w14:solidFill>
                </w14:textFill>
              </w:rPr>
              <w:t>处理后，回用于道路、厂房等区域洒水降尘，不外排</w:t>
            </w:r>
          </w:p>
        </w:tc>
        <w:tc>
          <w:tcPr>
            <w:tcW w:w="2357" w:type="dxa"/>
            <w:vAlign w:val="center"/>
          </w:tcPr>
          <w:p w14:paraId="13C1A65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28DF51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602" w:type="dxa"/>
            <w:vMerge w:val="continue"/>
            <w:vAlign w:val="center"/>
          </w:tcPr>
          <w:p w14:paraId="2AAC5708">
            <w:pPr>
              <w:adjustRightInd w:val="0"/>
              <w:snapToGrid w:val="0"/>
              <w:jc w:val="center"/>
              <w:rPr>
                <w:color w:val="000000" w:themeColor="text1"/>
                <w:szCs w:val="21"/>
                <w14:textFill>
                  <w14:solidFill>
                    <w14:schemeClr w14:val="tx1"/>
                  </w14:solidFill>
                </w14:textFill>
              </w:rPr>
            </w:pPr>
          </w:p>
        </w:tc>
        <w:tc>
          <w:tcPr>
            <w:tcW w:w="1563" w:type="dxa"/>
            <w:vAlign w:val="center"/>
          </w:tcPr>
          <w:p w14:paraId="309385A7">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初期雨水</w:t>
            </w:r>
          </w:p>
        </w:tc>
        <w:tc>
          <w:tcPr>
            <w:tcW w:w="1453" w:type="dxa"/>
            <w:vMerge w:val="restart"/>
            <w:vAlign w:val="center"/>
          </w:tcPr>
          <w:p w14:paraId="267B36E7">
            <w:pPr>
              <w:pStyle w:val="40"/>
              <w:autoSpaceDE/>
              <w:autoSpaceDN/>
              <w:jc w:val="center"/>
              <w:rPr>
                <w:rFonts w:ascii="Times New Roman" w:hAnsi="Times New Roman"/>
                <w:color w:val="000000" w:themeColor="text1"/>
                <w:sz w:val="21"/>
                <w:szCs w:val="21"/>
                <w:lang w:val="en-US"/>
                <w14:textFill>
                  <w14:solidFill>
                    <w14:schemeClr w14:val="tx1"/>
                  </w14:solidFill>
                </w14:textFill>
              </w:rPr>
            </w:pPr>
            <w:r>
              <w:rPr>
                <w:rFonts w:hint="eastAsia" w:ascii="Times New Roman" w:hAnsi="Times New Roman"/>
                <w:color w:val="000000" w:themeColor="text1"/>
                <w:sz w:val="21"/>
                <w:szCs w:val="21"/>
                <w:lang w:val="en-US"/>
                <w14:textFill>
                  <w14:solidFill>
                    <w14:schemeClr w14:val="tx1"/>
                  </w14:solidFill>
                </w14:textFill>
              </w:rPr>
              <w:t>SS</w:t>
            </w:r>
          </w:p>
        </w:tc>
        <w:tc>
          <w:tcPr>
            <w:tcW w:w="1825" w:type="dxa"/>
            <w:vAlign w:val="center"/>
          </w:tcPr>
          <w:p w14:paraId="5FF61096">
            <w:pPr>
              <w:widowControl/>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经雨水池沉淀处理后回用于生产系统（洗砂工序）</w:t>
            </w:r>
            <w:r>
              <w:rPr>
                <w:rFonts w:cs="宋体"/>
                <w:color w:val="000000" w:themeColor="text1"/>
                <w:szCs w:val="21"/>
                <w14:textFill>
                  <w14:solidFill>
                    <w14:schemeClr w14:val="tx1"/>
                  </w14:solidFill>
                </w14:textFill>
              </w:rPr>
              <w:t>，不外排</w:t>
            </w:r>
          </w:p>
        </w:tc>
        <w:tc>
          <w:tcPr>
            <w:tcW w:w="2357" w:type="dxa"/>
            <w:vMerge w:val="restart"/>
            <w:vAlign w:val="center"/>
          </w:tcPr>
          <w:p w14:paraId="7DE72E12">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14:paraId="55DB7D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602" w:type="dxa"/>
            <w:vMerge w:val="continue"/>
            <w:vAlign w:val="center"/>
          </w:tcPr>
          <w:p w14:paraId="1A4F9A67">
            <w:pPr>
              <w:adjustRightInd w:val="0"/>
              <w:snapToGrid w:val="0"/>
              <w:jc w:val="center"/>
              <w:rPr>
                <w:color w:val="000000" w:themeColor="text1"/>
                <w:szCs w:val="21"/>
                <w14:textFill>
                  <w14:solidFill>
                    <w14:schemeClr w14:val="tx1"/>
                  </w14:solidFill>
                </w14:textFill>
              </w:rPr>
            </w:pPr>
          </w:p>
        </w:tc>
        <w:tc>
          <w:tcPr>
            <w:tcW w:w="1563" w:type="dxa"/>
            <w:vAlign w:val="center"/>
          </w:tcPr>
          <w:p w14:paraId="7AE3139E">
            <w:pPr>
              <w:adjustRightInd w:val="0"/>
              <w:snapToGrid w:val="0"/>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生产系统废水</w:t>
            </w:r>
          </w:p>
        </w:tc>
        <w:tc>
          <w:tcPr>
            <w:tcW w:w="1453" w:type="dxa"/>
            <w:vMerge w:val="continue"/>
            <w:vAlign w:val="center"/>
          </w:tcPr>
          <w:p w14:paraId="7474890F">
            <w:pPr>
              <w:pStyle w:val="40"/>
              <w:autoSpaceDE/>
              <w:autoSpaceDN/>
              <w:jc w:val="center"/>
              <w:rPr>
                <w:rFonts w:ascii="Times New Roman" w:hAnsi="Times New Roman" w:eastAsia="Times New Roman"/>
                <w:color w:val="000000" w:themeColor="text1"/>
                <w:sz w:val="21"/>
                <w:szCs w:val="21"/>
                <w14:textFill>
                  <w14:solidFill>
                    <w14:schemeClr w14:val="tx1"/>
                  </w14:solidFill>
                </w14:textFill>
              </w:rPr>
            </w:pPr>
          </w:p>
        </w:tc>
        <w:tc>
          <w:tcPr>
            <w:tcW w:w="1825" w:type="dxa"/>
            <w:shd w:val="clear" w:color="auto" w:fill="auto"/>
            <w:vAlign w:val="center"/>
          </w:tcPr>
          <w:p w14:paraId="35BAFD9C">
            <w:pPr>
              <w:widowControl/>
              <w:jc w:val="center"/>
              <w:rPr>
                <w:rFonts w:cs="宋体"/>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收集至污水池后，通过沉淀罐沉淀沉淀处理后，回用生产系统（洒水喷淋、洗砂工序）用水，不外排</w:t>
            </w:r>
          </w:p>
        </w:tc>
        <w:tc>
          <w:tcPr>
            <w:tcW w:w="2357" w:type="dxa"/>
            <w:vMerge w:val="continue"/>
            <w:vAlign w:val="center"/>
          </w:tcPr>
          <w:p w14:paraId="61A01892">
            <w:pPr>
              <w:adjustRightInd w:val="0"/>
              <w:snapToGrid w:val="0"/>
              <w:jc w:val="center"/>
              <w:rPr>
                <w:color w:val="000000" w:themeColor="text1"/>
                <w:szCs w:val="21"/>
                <w14:textFill>
                  <w14:solidFill>
                    <w14:schemeClr w14:val="tx1"/>
                  </w14:solidFill>
                </w14:textFill>
              </w:rPr>
            </w:pPr>
          </w:p>
        </w:tc>
      </w:tr>
      <w:tr w14:paraId="3497E5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602" w:type="dxa"/>
            <w:vAlign w:val="center"/>
          </w:tcPr>
          <w:p w14:paraId="605CC1B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563" w:type="dxa"/>
            <w:vAlign w:val="center"/>
          </w:tcPr>
          <w:p w14:paraId="617F878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生产设备</w:t>
            </w:r>
          </w:p>
        </w:tc>
        <w:tc>
          <w:tcPr>
            <w:tcW w:w="1453" w:type="dxa"/>
            <w:vAlign w:val="center"/>
          </w:tcPr>
          <w:p w14:paraId="74802DC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825" w:type="dxa"/>
            <w:vAlign w:val="center"/>
          </w:tcPr>
          <w:p w14:paraId="7468E0F0">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选用低噪声设备、合理布局、隔声、减振。</w:t>
            </w:r>
          </w:p>
        </w:tc>
        <w:tc>
          <w:tcPr>
            <w:tcW w:w="2357" w:type="dxa"/>
            <w:vAlign w:val="center"/>
          </w:tcPr>
          <w:p w14:paraId="768A597C">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r>
              <w:rPr>
                <w:rFonts w:hint="eastAsia"/>
                <w:color w:val="000000" w:themeColor="text1"/>
                <w:szCs w:val="21"/>
                <w14:textFill>
                  <w14:solidFill>
                    <w14:schemeClr w14:val="tx1"/>
                  </w14:solidFill>
                </w14:textFill>
              </w:rPr>
              <w:t>2</w:t>
            </w:r>
            <w:r>
              <w:rPr>
                <w:color w:val="000000" w:themeColor="text1"/>
                <w:szCs w:val="21"/>
                <w14:textFill>
                  <w14:solidFill>
                    <w14:schemeClr w14:val="tx1"/>
                  </w14:solidFill>
                </w14:textFill>
              </w:rPr>
              <w:t>类标准</w:t>
            </w:r>
          </w:p>
        </w:tc>
      </w:tr>
      <w:tr w14:paraId="73732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602" w:type="dxa"/>
            <w:vAlign w:val="center"/>
          </w:tcPr>
          <w:p w14:paraId="424A734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563" w:type="dxa"/>
            <w:vAlign w:val="center"/>
          </w:tcPr>
          <w:p w14:paraId="3D351FF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453" w:type="dxa"/>
            <w:vAlign w:val="center"/>
          </w:tcPr>
          <w:p w14:paraId="3A192BC4">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25" w:type="dxa"/>
            <w:vAlign w:val="center"/>
          </w:tcPr>
          <w:p w14:paraId="72B0C588">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357" w:type="dxa"/>
            <w:vAlign w:val="center"/>
          </w:tcPr>
          <w:p w14:paraId="0296EF9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14:paraId="384D2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22DC899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198" w:type="dxa"/>
            <w:gridSpan w:val="4"/>
            <w:vAlign w:val="center"/>
          </w:tcPr>
          <w:p w14:paraId="0197D182">
            <w:pPr>
              <w:widowControl/>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生活垃圾定期交由环卫部门清运处理；餐厨垃圾及废油脂交由有相关处理能力的单位回收处理；淤泥泥饼</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含水60%</w:t>
            </w:r>
            <w:r>
              <w:rPr>
                <w:rFonts w:hint="eastAsia"/>
                <w:color w:val="000000" w:themeColor="text1"/>
                <w:szCs w:val="21"/>
                <w:lang w:eastAsia="zh-CN"/>
                <w14:textFill>
                  <w14:solidFill>
                    <w14:schemeClr w14:val="tx1"/>
                  </w14:solidFill>
                </w14:textFill>
              </w:rPr>
              <w:t>）</w:t>
            </w:r>
            <w:r>
              <w:rPr>
                <w:rFonts w:hint="eastAsia"/>
                <w:color w:val="000000" w:themeColor="text1"/>
                <w:szCs w:val="21"/>
                <w14:textFill>
                  <w14:solidFill>
                    <w14:schemeClr w14:val="tx1"/>
                  </w14:solidFill>
                </w14:textFill>
              </w:rPr>
              <w:t>、弃土</w:t>
            </w:r>
            <w:r>
              <w:rPr>
                <w:rFonts w:hint="eastAsia"/>
                <w:color w:val="000000" w:themeColor="text1"/>
                <w:szCs w:val="21"/>
                <w:lang w:val="en-US" w:eastAsia="zh-CN"/>
                <w14:textFill>
                  <w14:solidFill>
                    <w14:schemeClr w14:val="tx1"/>
                  </w14:solidFill>
                </w14:textFill>
              </w:rPr>
              <w:t>交由交由中铁大桥局集团有限公司新建合浦至湛江铁路（广东段）站前工程 HZGDSG-1 标项目经理部统一处理</w:t>
            </w:r>
            <w:r>
              <w:rPr>
                <w:rFonts w:hint="eastAsia"/>
                <w:color w:val="000000" w:themeColor="text1"/>
                <w:szCs w:val="21"/>
                <w14:textFill>
                  <w14:solidFill>
                    <w14:schemeClr w14:val="tx1"/>
                  </w14:solidFill>
                </w14:textFill>
              </w:rPr>
              <w:t>；废机油、废含油手套及抹布、废油桶</w:t>
            </w:r>
            <w:r>
              <w:rPr>
                <w:color w:val="000000" w:themeColor="text1"/>
                <w:szCs w:val="21"/>
                <w14:textFill>
                  <w14:solidFill>
                    <w14:schemeClr w14:val="tx1"/>
                  </w14:solidFill>
                </w14:textFill>
              </w:rPr>
              <w:t>委托有资质单</w:t>
            </w:r>
            <w:r>
              <w:rPr>
                <w:rFonts w:hint="eastAsia" w:cs="宋体"/>
                <w:color w:val="000000" w:themeColor="text1"/>
                <w:szCs w:val="21"/>
                <w14:textFill>
                  <w14:solidFill>
                    <w14:schemeClr w14:val="tx1"/>
                  </w14:solidFill>
                </w14:textFill>
              </w:rPr>
              <w:t>位处理。</w:t>
            </w:r>
          </w:p>
        </w:tc>
      </w:tr>
      <w:tr w14:paraId="27929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1602" w:type="dxa"/>
            <w:vAlign w:val="center"/>
          </w:tcPr>
          <w:p w14:paraId="02AAE8DE">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14:paraId="71B4401F">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7198" w:type="dxa"/>
            <w:gridSpan w:val="4"/>
            <w:vAlign w:val="center"/>
          </w:tcPr>
          <w:p w14:paraId="2B0CDD4D">
            <w:pPr>
              <w:tabs>
                <w:tab w:val="center" w:pos="3463"/>
                <w:tab w:val="left" w:pos="3990"/>
              </w:tabs>
              <w:adjustRightInd w:val="0"/>
              <w:snapToGrid w:val="0"/>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场地硬化防渗处理。</w:t>
            </w:r>
          </w:p>
        </w:tc>
      </w:tr>
      <w:tr w14:paraId="2DE35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602" w:type="dxa"/>
            <w:vAlign w:val="center"/>
          </w:tcPr>
          <w:p w14:paraId="3EA0D465">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198" w:type="dxa"/>
            <w:gridSpan w:val="4"/>
            <w:vAlign w:val="center"/>
          </w:tcPr>
          <w:p w14:paraId="3B00EF26">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w:t>
            </w:r>
          </w:p>
        </w:tc>
      </w:tr>
      <w:tr w14:paraId="7536A4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1602" w:type="dxa"/>
            <w:vAlign w:val="center"/>
          </w:tcPr>
          <w:p w14:paraId="04AA6906">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14:paraId="188BCF38">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198" w:type="dxa"/>
            <w:gridSpan w:val="4"/>
            <w:vAlign w:val="center"/>
          </w:tcPr>
          <w:p w14:paraId="4699481F">
            <w:pPr>
              <w:pStyle w:val="52"/>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（1）危险废物泄漏风险防范措施</w:t>
            </w:r>
          </w:p>
          <w:p w14:paraId="0170B09F">
            <w:pPr>
              <w:pStyle w:val="52"/>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危险废物暂存间按《危险废物贮存污染控制标准》(GB18597-2023)的相关要求进行建设。项目所产生的危险废物要严格管理，集中收集，分类处理，严格按照要求暂存，交由具有相关危险废物经营许可证的单位处理。一旦出现泄漏事故，应急措施主要是断源(减少泄出量)、隔离(将事故区域与其他区域隔离，防止扩大、蔓延及连锁反应，降低危害)、回收(及时将泄漏、散落废物收集)、清污(消除现场泄漏物，处理已泄出危废造成的后果),组织人员撤离及救护。</w:t>
            </w:r>
          </w:p>
          <w:p w14:paraId="5B3471B1">
            <w:pPr>
              <w:pStyle w:val="52"/>
              <w:spacing w:line="240" w:lineRule="auto"/>
              <w:rPr>
                <w:rFonts w:hint="default"/>
                <w:color w:val="000000" w:themeColor="text1"/>
                <w14:textFill>
                  <w14:solidFill>
                    <w14:schemeClr w14:val="tx1"/>
                  </w14:solidFill>
                </w14:textFill>
              </w:rPr>
            </w:pPr>
            <w:r>
              <w:rPr>
                <w:color w:val="000000" w:themeColor="text1"/>
                <w14:textFill>
                  <w14:solidFill>
                    <w14:schemeClr w14:val="tx1"/>
                  </w14:solidFill>
                </w14:textFill>
              </w:rPr>
              <w:t>（2）火灾事故风险防范措施</w:t>
            </w:r>
          </w:p>
          <w:p w14:paraId="05FA7A68">
            <w:pPr>
              <w:pStyle w:val="52"/>
              <w:spacing w:line="240" w:lineRule="auto"/>
              <w:rPr>
                <w:rFonts w:hint="default"/>
                <w:color w:val="000000" w:themeColor="text1"/>
                <w:szCs w:val="21"/>
                <w14:textFill>
                  <w14:solidFill>
                    <w14:schemeClr w14:val="tx1"/>
                  </w14:solidFill>
                </w14:textFill>
              </w:rPr>
            </w:pPr>
            <w:r>
              <w:rPr>
                <w:color w:val="000000" w:themeColor="text1"/>
                <w14:textFill>
                  <w14:solidFill>
                    <w14:schemeClr w14:val="tx1"/>
                  </w14:solidFill>
                </w14:textFill>
              </w:rPr>
              <w:t>对明火严格控制，明火发生源为火柴、打火机等，维修用火控制，对设备维修检查，需进行维修焊接，应经安全部门确认、准许，并有记录在案。项目需要加强消防设备的管理工作，按照要求设置足够数量的消防栓、消防水带、消防枪、灭火器、消防沙等应急物资，安排专人管理，需定期对消防设备进行检查并记录，以保证消防设备能够正常使用，定期对员工进行培训消防器材的使用方法。在厂区周边设置截流沟和收集池，发生火灾事故时，消防废水通过截流沟和收集池拦截在厂区内，因本项目不涉及有毒有害化学品的使用，消防废水收集后委托有资质单位收运处理。</w:t>
            </w:r>
          </w:p>
        </w:tc>
      </w:tr>
      <w:tr w14:paraId="13ECD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1602" w:type="dxa"/>
            <w:vAlign w:val="center"/>
          </w:tcPr>
          <w:p w14:paraId="4C4AD500">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14:paraId="6DDA3A89">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198" w:type="dxa"/>
            <w:gridSpan w:val="4"/>
            <w:vAlign w:val="center"/>
          </w:tcPr>
          <w:p w14:paraId="68049C4B">
            <w:pPr>
              <w:adjustRightInd w:val="0"/>
              <w:snapToGrid w:val="0"/>
              <w:ind w:firstLine="420" w:firstLineChars="20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bl>
    <w:p w14:paraId="7F71D8BA">
      <w:pPr>
        <w:pStyle w:val="18"/>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21" w:name="_Toc15282"/>
      <w:r>
        <w:rPr>
          <w:rFonts w:ascii="Times New Roman" w:hAnsi="Times New Roman" w:eastAsia="黑体"/>
          <w:snapToGrid w:val="0"/>
          <w:color w:val="000000" w:themeColor="text1"/>
          <w:sz w:val="30"/>
          <w:szCs w:val="30"/>
          <w14:textFill>
            <w14:solidFill>
              <w14:schemeClr w14:val="tx1"/>
            </w14:solidFill>
          </w14:textFill>
        </w:rPr>
        <w:t>六、结论</w:t>
      </w:r>
      <w:bookmarkEnd w:id="21"/>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C9605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4D944F88">
            <w:pPr>
              <w:spacing w:line="360" w:lineRule="auto"/>
              <w:ind w:firstLine="420" w:firstLineChars="200"/>
              <w:rPr>
                <w:color w:val="000000" w:themeColor="text1"/>
                <w:szCs w:val="21"/>
                <w14:textFill>
                  <w14:solidFill>
                    <w14:schemeClr w14:val="tx1"/>
                  </w14:solidFill>
                </w14:textFill>
              </w:rPr>
            </w:pPr>
          </w:p>
          <w:p w14:paraId="4DBBE6E7">
            <w:pPr>
              <w:spacing w:line="360" w:lineRule="auto"/>
              <w:ind w:firstLine="420" w:firstLineChars="200"/>
              <w:rPr>
                <w:color w:val="000000" w:themeColor="text1"/>
                <w:sz w:val="24"/>
                <w14:textFill>
                  <w14:solidFill>
                    <w14:schemeClr w14:val="tx1"/>
                  </w14:solidFill>
                </w14:textFill>
              </w:rPr>
            </w:pPr>
            <w:r>
              <w:rPr>
                <w:rFonts w:hint="eastAsia"/>
                <w:color w:val="000000" w:themeColor="text1"/>
                <w:szCs w:val="21"/>
                <w14:textFill>
                  <w14:solidFill>
                    <w14:schemeClr w14:val="tx1"/>
                  </w14:solidFill>
                </w14:textFill>
              </w:rPr>
              <w:t>综上所述，本项目符合国家和地方的产业政策，用地合法，选址合理。本项目运营时产生的各种污染物经治理后，均能达到相关环境标准和环保法规的要求，对周围水环境、大气环境、声环境及生态环境的影响较小。本项目在运营过程中，必须严格落实本评价提出的各项污染防治措施和相关管理规定，确保环保设施正常运转，确保污染物稳定达标排放，将项目对环境的影响控制在最低限度。只有在严格落实本评价的相关污染防治措施，认真执行环保“三同时”制度的情况下，从环境保护角度分析，本项目建设是可行的。</w:t>
            </w:r>
          </w:p>
        </w:tc>
      </w:tr>
    </w:tbl>
    <w:p w14:paraId="6253960D">
      <w:pPr>
        <w:rPr>
          <w:color w:val="000000" w:themeColor="text1"/>
          <w14:textFill>
            <w14:solidFill>
              <w14:schemeClr w14:val="tx1"/>
            </w14:solidFill>
          </w14:textFill>
        </w:rPr>
        <w:sectPr>
          <w:pgSz w:w="11905" w:h="16838"/>
          <w:pgMar w:top="1587" w:right="1417" w:bottom="1587" w:left="1417" w:header="850" w:footer="1077" w:gutter="0"/>
          <w:cols w:space="720" w:num="1"/>
          <w:docGrid w:linePitch="312" w:charSpace="0"/>
        </w:sectPr>
      </w:pPr>
    </w:p>
    <w:p w14:paraId="0D8DE823">
      <w:pPr>
        <w:pStyle w:val="18"/>
        <w:adjustRightInd w:val="0"/>
        <w:snapToGrid w:val="0"/>
        <w:spacing w:before="0" w:beforeAutospacing="0" w:after="0" w:afterAutospacing="0" w:line="600" w:lineRule="auto"/>
        <w:outlineLvl w:val="0"/>
        <w:rPr>
          <w:rFonts w:ascii="Times New Roman" w:hAnsi="Times New Roman" w:eastAsia="黑体"/>
          <w:snapToGrid w:val="0"/>
          <w:color w:val="000000" w:themeColor="text1"/>
          <w:sz w:val="32"/>
          <w:szCs w:val="32"/>
          <w14:textFill>
            <w14:solidFill>
              <w14:schemeClr w14:val="tx1"/>
            </w14:solidFill>
          </w14:textFill>
        </w:rPr>
      </w:pPr>
      <w:bookmarkStart w:id="22" w:name="_Toc14929"/>
      <w:r>
        <w:rPr>
          <w:rFonts w:ascii="Times New Roman" w:hAnsi="Times New Roman" w:eastAsia="黑体"/>
          <w:snapToGrid w:val="0"/>
          <w:color w:val="000000" w:themeColor="text1"/>
          <w:sz w:val="32"/>
          <w:szCs w:val="32"/>
          <w14:textFill>
            <w14:solidFill>
              <w14:schemeClr w14:val="tx1"/>
            </w14:solidFill>
          </w14:textFill>
        </w:rPr>
        <w:t>附表</w:t>
      </w:r>
      <w:bookmarkEnd w:id="22"/>
    </w:p>
    <w:p w14:paraId="401BAF96">
      <w:pPr>
        <w:pStyle w:val="18"/>
        <w:adjustRightInd w:val="0"/>
        <w:snapToGrid w:val="0"/>
        <w:spacing w:before="0" w:beforeAutospacing="0" w:after="0" w:afterAutospacing="0"/>
        <w:jc w:val="center"/>
        <w:rPr>
          <w:rFonts w:ascii="Times New Roman" w:hAnsi="Times New Roman" w:eastAsia="方正小标宋_GBK"/>
          <w:b/>
          <w:bCs/>
          <w:snapToGrid w:val="0"/>
          <w:color w:val="000000" w:themeColor="text1"/>
          <w:sz w:val="38"/>
          <w:szCs w:val="38"/>
          <w14:textFill>
            <w14:solidFill>
              <w14:schemeClr w14:val="tx1"/>
            </w14:solidFill>
          </w14:textFill>
        </w:rPr>
      </w:pPr>
      <w:r>
        <w:rPr>
          <w:rFonts w:ascii="Times New Roman" w:hAnsi="Times New Roman" w:eastAsia="方正小标宋_GBK"/>
          <w:b/>
          <w:bCs/>
          <w:snapToGrid w:val="0"/>
          <w:color w:val="000000" w:themeColor="text1"/>
          <w:sz w:val="38"/>
          <w:szCs w:val="38"/>
          <w14:textFill>
            <w14:solidFill>
              <w14:schemeClr w14:val="tx1"/>
            </w14:solidFill>
          </w14:textFill>
        </w:rPr>
        <w:t>建设项目污染物排放量汇总表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282"/>
        <w:gridCol w:w="1883"/>
        <w:gridCol w:w="795"/>
        <w:gridCol w:w="1936"/>
        <w:gridCol w:w="2148"/>
        <w:gridCol w:w="1247"/>
        <w:gridCol w:w="2223"/>
        <w:gridCol w:w="1332"/>
      </w:tblGrid>
      <w:tr w14:paraId="1A3508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2" w:hRule="atLeast"/>
          <w:tblHeader/>
        </w:trPr>
        <w:tc>
          <w:tcPr>
            <w:tcW w:w="875" w:type="dxa"/>
            <w:tcBorders>
              <w:tl2br w:val="single" w:color="auto" w:sz="4" w:space="0"/>
            </w:tcBorders>
            <w:tcMar>
              <w:left w:w="28" w:type="dxa"/>
              <w:right w:w="28" w:type="dxa"/>
            </w:tcMar>
            <w:vAlign w:val="center"/>
          </w:tcPr>
          <w:p w14:paraId="65C857F3">
            <w:pPr>
              <w:pStyle w:val="39"/>
              <w:spacing w:beforeLines="0" w:afterLines="0" w:line="240" w:lineRule="auto"/>
              <w:ind w:firstLine="0"/>
              <w:jc w:val="right"/>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项目</w:t>
            </w:r>
          </w:p>
          <w:p w14:paraId="38BF9A30">
            <w:pPr>
              <w:pStyle w:val="39"/>
              <w:spacing w:beforeLines="0" w:afterLines="0" w:line="240" w:lineRule="auto"/>
              <w:ind w:firstLine="0"/>
              <w:jc w:val="both"/>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分类</w:t>
            </w:r>
          </w:p>
        </w:tc>
        <w:tc>
          <w:tcPr>
            <w:tcW w:w="1282" w:type="dxa"/>
            <w:tcMar>
              <w:left w:w="28" w:type="dxa"/>
              <w:right w:w="28" w:type="dxa"/>
            </w:tcMar>
            <w:vAlign w:val="center"/>
          </w:tcPr>
          <w:p w14:paraId="32ED2E9D">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污染物名称</w:t>
            </w:r>
          </w:p>
        </w:tc>
        <w:tc>
          <w:tcPr>
            <w:tcW w:w="0" w:type="auto"/>
            <w:tcMar>
              <w:left w:w="28" w:type="dxa"/>
              <w:right w:w="28" w:type="dxa"/>
            </w:tcMar>
            <w:vAlign w:val="center"/>
          </w:tcPr>
          <w:p w14:paraId="41E9BEAE">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现有工程</w:t>
            </w:r>
          </w:p>
          <w:p w14:paraId="160D64F2">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①</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0" w:type="auto"/>
            <w:tcMar>
              <w:left w:w="28" w:type="dxa"/>
              <w:right w:w="28" w:type="dxa"/>
            </w:tcMar>
            <w:vAlign w:val="center"/>
          </w:tcPr>
          <w:p w14:paraId="0DE3E231">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现有工程</w:t>
            </w:r>
          </w:p>
          <w:p w14:paraId="30635D2F">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许可排放量</w:t>
            </w:r>
          </w:p>
          <w:p w14:paraId="0C725EA7">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hint="eastAsia" w:hAnsi="宋体" w:cs="宋体"/>
                <w:snapToGrid w:val="0"/>
                <w:color w:val="000000" w:themeColor="text1"/>
                <w:spacing w:val="-6"/>
                <w:kern w:val="21"/>
                <w:sz w:val="21"/>
                <w:szCs w:val="21"/>
                <w14:textFill>
                  <w14:solidFill>
                    <w14:schemeClr w14:val="tx1"/>
                  </w14:solidFill>
                </w14:textFill>
              </w:rPr>
              <w:t>②</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1936" w:type="dxa"/>
            <w:tcMar>
              <w:left w:w="28" w:type="dxa"/>
              <w:right w:w="28" w:type="dxa"/>
            </w:tcMar>
            <w:vAlign w:val="center"/>
          </w:tcPr>
          <w:p w14:paraId="6AFBB157">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在建工程</w:t>
            </w:r>
          </w:p>
          <w:p w14:paraId="7E68D215">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③</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2148" w:type="dxa"/>
            <w:tcMar>
              <w:left w:w="28" w:type="dxa"/>
              <w:right w:w="28" w:type="dxa"/>
            </w:tcMar>
            <w:vAlign w:val="center"/>
          </w:tcPr>
          <w:p w14:paraId="5FEAE17A">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本项目</w:t>
            </w:r>
          </w:p>
          <w:p w14:paraId="720634D2">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排放量（固体废物产生量）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④</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c>
          <w:tcPr>
            <w:tcW w:w="0" w:type="auto"/>
            <w:tcMar>
              <w:left w:w="28" w:type="dxa"/>
              <w:right w:w="28" w:type="dxa"/>
            </w:tcMar>
            <w:vAlign w:val="center"/>
          </w:tcPr>
          <w:p w14:paraId="0A0E2D6F">
            <w:pPr>
              <w:pStyle w:val="39"/>
              <w:spacing w:beforeLines="0" w:afterLines="0" w:line="240" w:lineRule="auto"/>
              <w:ind w:firstLine="0"/>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以新带老削减量</w:t>
            </w:r>
          </w:p>
          <w:p w14:paraId="7A7D0521">
            <w:pPr>
              <w:pStyle w:val="39"/>
              <w:spacing w:beforeLines="0" w:afterLines="0" w:line="240" w:lineRule="auto"/>
              <w:ind w:firstLine="0"/>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（新建项目不填）</w:t>
            </w:r>
            <w:r>
              <w:rPr>
                <w:rFonts w:asci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eastAsia="黑体"/>
                <w:snapToGrid w:val="0"/>
                <w:color w:val="000000" w:themeColor="text1"/>
                <w:spacing w:val="-16"/>
                <w:kern w:val="21"/>
                <w:sz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⑤</w:t>
            </w:r>
            <w:r>
              <w:rPr>
                <w:rFonts w:ascii="Times New Roman" w:eastAsia="黑体"/>
                <w:snapToGrid w:val="0"/>
                <w:color w:val="000000" w:themeColor="text1"/>
                <w:spacing w:val="-16"/>
                <w:kern w:val="21"/>
                <w:sz w:val="21"/>
                <w:szCs w:val="21"/>
                <w14:textFill>
                  <w14:solidFill>
                    <w14:schemeClr w14:val="tx1"/>
                  </w14:solidFill>
                </w14:textFill>
              </w:rPr>
              <w:fldChar w:fldCharType="end"/>
            </w:r>
          </w:p>
        </w:tc>
        <w:tc>
          <w:tcPr>
            <w:tcW w:w="0" w:type="auto"/>
            <w:tcMar>
              <w:left w:w="28" w:type="dxa"/>
              <w:right w:w="28" w:type="dxa"/>
            </w:tcMar>
            <w:vAlign w:val="center"/>
          </w:tcPr>
          <w:p w14:paraId="4F2CD5D8">
            <w:pPr>
              <w:pStyle w:val="39"/>
              <w:spacing w:beforeLines="0" w:afterLines="0" w:line="240" w:lineRule="auto"/>
              <w:ind w:firstLine="0"/>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本项目建成后</w:t>
            </w:r>
          </w:p>
          <w:p w14:paraId="6B3E346F">
            <w:pPr>
              <w:pStyle w:val="39"/>
              <w:spacing w:beforeLines="0" w:afterLines="0" w:line="240" w:lineRule="auto"/>
              <w:ind w:firstLine="0"/>
              <w:rPr>
                <w:rFonts w:ascii="Times New Roman" w:eastAsia="黑体"/>
                <w:snapToGrid w:val="0"/>
                <w:color w:val="000000" w:themeColor="text1"/>
                <w:spacing w:val="-16"/>
                <w:kern w:val="21"/>
                <w:sz w:val="21"/>
                <w:szCs w:val="21"/>
                <w14:textFill>
                  <w14:solidFill>
                    <w14:schemeClr w14:val="tx1"/>
                  </w14:solidFill>
                </w14:textFill>
              </w:rPr>
            </w:pPr>
            <w:r>
              <w:rPr>
                <w:rFonts w:ascii="Times New Roman" w:eastAsia="黑体"/>
                <w:snapToGrid w:val="0"/>
                <w:color w:val="000000" w:themeColor="text1"/>
                <w:spacing w:val="-16"/>
                <w:kern w:val="21"/>
                <w:sz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 w:val="21"/>
                <w:szCs w:val="21"/>
                <w14:textFill>
                  <w14:solidFill>
                    <w14:schemeClr w14:val="tx1"/>
                  </w14:solidFill>
                </w14:textFill>
              </w:rPr>
              <w:fldChar w:fldCharType="begin"/>
            </w:r>
            <w:r>
              <w:rPr>
                <w:rFonts w:ascii="Times New Roman" w:eastAsia="黑体"/>
                <w:snapToGrid w:val="0"/>
                <w:color w:val="000000" w:themeColor="text1"/>
                <w:spacing w:val="-16"/>
                <w:kern w:val="21"/>
                <w:sz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⑥</w:t>
            </w:r>
            <w:r>
              <w:rPr>
                <w:rFonts w:ascii="Times New Roman" w:eastAsia="黑体"/>
                <w:snapToGrid w:val="0"/>
                <w:color w:val="000000" w:themeColor="text1"/>
                <w:spacing w:val="-16"/>
                <w:kern w:val="21"/>
                <w:sz w:val="21"/>
                <w:szCs w:val="21"/>
                <w14:textFill>
                  <w14:solidFill>
                    <w14:schemeClr w14:val="tx1"/>
                  </w14:solidFill>
                </w14:textFill>
              </w:rPr>
              <w:fldChar w:fldCharType="end"/>
            </w:r>
          </w:p>
        </w:tc>
        <w:tc>
          <w:tcPr>
            <w:tcW w:w="1227" w:type="dxa"/>
            <w:tcMar>
              <w:left w:w="28" w:type="dxa"/>
              <w:right w:w="28" w:type="dxa"/>
            </w:tcMar>
            <w:vAlign w:val="center"/>
          </w:tcPr>
          <w:p w14:paraId="07D990F3">
            <w:pPr>
              <w:pStyle w:val="39"/>
              <w:spacing w:beforeLines="0" w:afterLines="0" w:line="240" w:lineRule="auto"/>
              <w:ind w:firstLine="0"/>
              <w:rPr>
                <w:rFonts w:ascii="Times New Roman" w:eastAsia="黑体"/>
                <w:snapToGrid w:val="0"/>
                <w:color w:val="000000" w:themeColor="text1"/>
                <w:spacing w:val="-6"/>
                <w:kern w:val="21"/>
                <w:sz w:val="21"/>
                <w:szCs w:val="21"/>
                <w14:textFill>
                  <w14:solidFill>
                    <w14:schemeClr w14:val="tx1"/>
                  </w14:solidFill>
                </w14:textFill>
              </w:rPr>
            </w:pPr>
            <w:r>
              <w:rPr>
                <w:rFonts w:ascii="Times New Roman" w:eastAsia="黑体"/>
                <w:snapToGrid w:val="0"/>
                <w:color w:val="000000" w:themeColor="text1"/>
                <w:spacing w:val="-6"/>
                <w:kern w:val="21"/>
                <w:sz w:val="21"/>
                <w:szCs w:val="21"/>
                <w14:textFill>
                  <w14:solidFill>
                    <w14:schemeClr w14:val="tx1"/>
                  </w14:solidFill>
                </w14:textFill>
              </w:rPr>
              <w:t>变化量</w:t>
            </w:r>
            <w:r>
              <w:rPr>
                <w:rFonts w:ascii="Times New Roman" w:eastAsia="黑体"/>
                <w:snapToGrid w:val="0"/>
                <w:color w:val="000000" w:themeColor="text1"/>
                <w:spacing w:val="-6"/>
                <w:kern w:val="21"/>
                <w:sz w:val="21"/>
                <w:szCs w:val="21"/>
                <w14:textFill>
                  <w14:solidFill>
                    <w14:schemeClr w14:val="tx1"/>
                  </w14:solidFill>
                </w14:textFill>
              </w:rPr>
              <w:fldChar w:fldCharType="begin"/>
            </w:r>
            <w:r>
              <w:rPr>
                <w:rFonts w:ascii="Times New Roman" w:eastAsia="黑体"/>
                <w:snapToGrid w:val="0"/>
                <w:color w:val="000000" w:themeColor="text1"/>
                <w:spacing w:val="-6"/>
                <w:kern w:val="21"/>
                <w:sz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 w:val="21"/>
                <w:szCs w:val="21"/>
                <w14:textFill>
                  <w14:solidFill>
                    <w14:schemeClr w14:val="tx1"/>
                  </w14:solidFill>
                </w14:textFill>
              </w:rPr>
              <w:fldChar w:fldCharType="separate"/>
            </w:r>
            <w:r>
              <w:rPr>
                <w:rFonts w:hint="eastAsia" w:hAnsi="宋体" w:cs="宋体"/>
                <w:color w:val="000000" w:themeColor="text1"/>
                <w:kern w:val="2"/>
                <w:sz w:val="21"/>
                <w:szCs w:val="21"/>
                <w14:textFill>
                  <w14:solidFill>
                    <w14:schemeClr w14:val="tx1"/>
                  </w14:solidFill>
                </w14:textFill>
              </w:rPr>
              <w:t>⑦</w:t>
            </w:r>
            <w:r>
              <w:rPr>
                <w:rFonts w:ascii="Times New Roman" w:eastAsia="黑体"/>
                <w:snapToGrid w:val="0"/>
                <w:color w:val="000000" w:themeColor="text1"/>
                <w:spacing w:val="-6"/>
                <w:kern w:val="21"/>
                <w:sz w:val="21"/>
                <w:szCs w:val="21"/>
                <w14:textFill>
                  <w14:solidFill>
                    <w14:schemeClr w14:val="tx1"/>
                  </w14:solidFill>
                </w14:textFill>
              </w:rPr>
              <w:fldChar w:fldCharType="end"/>
            </w:r>
          </w:p>
        </w:tc>
      </w:tr>
      <w:tr w14:paraId="46A1F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5" w:type="dxa"/>
            <w:vMerge w:val="restart"/>
            <w:vAlign w:val="center"/>
          </w:tcPr>
          <w:p w14:paraId="689159C6">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废气</w:t>
            </w:r>
          </w:p>
        </w:tc>
        <w:tc>
          <w:tcPr>
            <w:tcW w:w="1282" w:type="dxa"/>
            <w:vAlign w:val="center"/>
          </w:tcPr>
          <w:p w14:paraId="05E1C99A">
            <w:pPr>
              <w:snapToGrid w:val="0"/>
              <w:jc w:val="center"/>
              <w:rPr>
                <w:color w:val="000000" w:themeColor="text1"/>
                <w:szCs w:val="21"/>
                <w14:textFill>
                  <w14:solidFill>
                    <w14:schemeClr w14:val="tx1"/>
                  </w14:solidFill>
                </w14:textFill>
              </w:rPr>
            </w:pPr>
            <w:r>
              <w:rPr>
                <w:snapToGrid w:val="0"/>
                <w:color w:val="000000" w:themeColor="text1"/>
                <w:kern w:val="21"/>
                <w:szCs w:val="21"/>
                <w14:textFill>
                  <w14:solidFill>
                    <w14:schemeClr w14:val="tx1"/>
                  </w14:solidFill>
                </w14:textFill>
              </w:rPr>
              <w:t>颗粒物</w:t>
            </w:r>
          </w:p>
        </w:tc>
        <w:tc>
          <w:tcPr>
            <w:tcW w:w="0" w:type="auto"/>
            <w:vAlign w:val="center"/>
          </w:tcPr>
          <w:p w14:paraId="18D0C77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41ECEEDE">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6F9C101B">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72FF821D">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84</w:t>
            </w:r>
            <w:r>
              <w:rPr>
                <w:rFonts w:hint="eastAsia"/>
                <w:color w:val="000000" w:themeColor="text1"/>
                <w:szCs w:val="21"/>
                <w14:textFill>
                  <w14:solidFill>
                    <w14:schemeClr w14:val="tx1"/>
                  </w14:solidFill>
                </w14:textFill>
              </w:rPr>
              <w:t>t/a</w:t>
            </w:r>
          </w:p>
        </w:tc>
        <w:tc>
          <w:tcPr>
            <w:tcW w:w="0" w:type="auto"/>
            <w:vAlign w:val="center"/>
          </w:tcPr>
          <w:p w14:paraId="0CE3BCA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50009A6E">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84</w:t>
            </w:r>
            <w:r>
              <w:rPr>
                <w:rFonts w:hint="eastAsia"/>
                <w:color w:val="000000" w:themeColor="text1"/>
                <w:szCs w:val="21"/>
                <w14:textFill>
                  <w14:solidFill>
                    <w14:schemeClr w14:val="tx1"/>
                  </w14:solidFill>
                </w14:textFill>
              </w:rPr>
              <w:t>t/a</w:t>
            </w:r>
          </w:p>
        </w:tc>
        <w:tc>
          <w:tcPr>
            <w:tcW w:w="1227" w:type="dxa"/>
            <w:vAlign w:val="center"/>
          </w:tcPr>
          <w:p w14:paraId="5F729E34">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84</w:t>
            </w:r>
            <w:r>
              <w:rPr>
                <w:rFonts w:hint="eastAsia"/>
                <w:color w:val="000000" w:themeColor="text1"/>
                <w:szCs w:val="21"/>
                <w14:textFill>
                  <w14:solidFill>
                    <w14:schemeClr w14:val="tx1"/>
                  </w14:solidFill>
                </w14:textFill>
              </w:rPr>
              <w:t>t/a</w:t>
            </w:r>
          </w:p>
        </w:tc>
      </w:tr>
      <w:tr w14:paraId="15FB5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5" w:type="dxa"/>
            <w:vMerge w:val="continue"/>
            <w:vAlign w:val="center"/>
          </w:tcPr>
          <w:p w14:paraId="7A30FBCD">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vAlign w:val="center"/>
          </w:tcPr>
          <w:p w14:paraId="49ACC6C1">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油烟</w:t>
            </w:r>
          </w:p>
        </w:tc>
        <w:tc>
          <w:tcPr>
            <w:tcW w:w="0" w:type="auto"/>
            <w:vAlign w:val="center"/>
          </w:tcPr>
          <w:p w14:paraId="28F0D036">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6689D108">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936" w:type="dxa"/>
            <w:vAlign w:val="center"/>
          </w:tcPr>
          <w:p w14:paraId="3EB8E167">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48" w:type="dxa"/>
            <w:vAlign w:val="center"/>
          </w:tcPr>
          <w:p w14:paraId="6CAC4B8A">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0.002508t/a</w:t>
            </w:r>
          </w:p>
        </w:tc>
        <w:tc>
          <w:tcPr>
            <w:tcW w:w="0" w:type="auto"/>
            <w:vAlign w:val="center"/>
          </w:tcPr>
          <w:p w14:paraId="28FA3A13">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0B7792A5">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0.002508t/a</w:t>
            </w:r>
          </w:p>
        </w:tc>
        <w:tc>
          <w:tcPr>
            <w:tcW w:w="1227" w:type="dxa"/>
            <w:vAlign w:val="center"/>
          </w:tcPr>
          <w:p w14:paraId="1847B467">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+0.002508t/a</w:t>
            </w:r>
          </w:p>
        </w:tc>
      </w:tr>
      <w:tr w14:paraId="6A94EA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5" w:type="dxa"/>
            <w:vMerge w:val="continue"/>
            <w:vAlign w:val="center"/>
          </w:tcPr>
          <w:p w14:paraId="0957503F">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shd w:val="clear" w:color="auto" w:fill="auto"/>
            <w:vAlign w:val="center"/>
          </w:tcPr>
          <w:p w14:paraId="0A83C1B8">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CO</w:t>
            </w:r>
          </w:p>
        </w:tc>
        <w:tc>
          <w:tcPr>
            <w:tcW w:w="0" w:type="auto"/>
            <w:vAlign w:val="center"/>
          </w:tcPr>
          <w:p w14:paraId="136DD5B8">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68C43207">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936" w:type="dxa"/>
            <w:vAlign w:val="center"/>
          </w:tcPr>
          <w:p w14:paraId="4C36C1AE">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48" w:type="dxa"/>
            <w:vAlign w:val="center"/>
          </w:tcPr>
          <w:p w14:paraId="1488286E">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0.175t/a</w:t>
            </w:r>
          </w:p>
        </w:tc>
        <w:tc>
          <w:tcPr>
            <w:tcW w:w="0" w:type="auto"/>
            <w:vAlign w:val="center"/>
          </w:tcPr>
          <w:p w14:paraId="61514A68">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7C8C5469">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0.175t/a</w:t>
            </w:r>
          </w:p>
        </w:tc>
        <w:tc>
          <w:tcPr>
            <w:tcW w:w="1227" w:type="dxa"/>
            <w:vAlign w:val="center"/>
          </w:tcPr>
          <w:p w14:paraId="606495D6">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+0.175t/a</w:t>
            </w:r>
          </w:p>
        </w:tc>
      </w:tr>
      <w:tr w14:paraId="1D9379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5" w:type="dxa"/>
            <w:vMerge w:val="continue"/>
            <w:vAlign w:val="center"/>
          </w:tcPr>
          <w:p w14:paraId="0AC87DA8">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shd w:val="clear" w:color="auto" w:fill="auto"/>
            <w:vAlign w:val="center"/>
          </w:tcPr>
          <w:p w14:paraId="2380B7E0">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THC</w:t>
            </w:r>
          </w:p>
        </w:tc>
        <w:tc>
          <w:tcPr>
            <w:tcW w:w="0" w:type="auto"/>
            <w:vAlign w:val="center"/>
          </w:tcPr>
          <w:p w14:paraId="749DA1C2">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6FE26A07">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936" w:type="dxa"/>
            <w:vAlign w:val="center"/>
          </w:tcPr>
          <w:p w14:paraId="6AC36010">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48" w:type="dxa"/>
            <w:vAlign w:val="center"/>
          </w:tcPr>
          <w:p w14:paraId="2E57ECF1">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0.0873t/a</w:t>
            </w:r>
          </w:p>
        </w:tc>
        <w:tc>
          <w:tcPr>
            <w:tcW w:w="0" w:type="auto"/>
            <w:vAlign w:val="center"/>
          </w:tcPr>
          <w:p w14:paraId="7D28FCF7">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3C2E2563">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0.0873t/a</w:t>
            </w:r>
          </w:p>
        </w:tc>
        <w:tc>
          <w:tcPr>
            <w:tcW w:w="1227" w:type="dxa"/>
            <w:vAlign w:val="center"/>
          </w:tcPr>
          <w:p w14:paraId="765E22F2">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+0.0873t/a</w:t>
            </w:r>
          </w:p>
        </w:tc>
      </w:tr>
      <w:tr w14:paraId="25401E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875" w:type="dxa"/>
            <w:vMerge w:val="continue"/>
            <w:vAlign w:val="center"/>
          </w:tcPr>
          <w:p w14:paraId="0AD356A4">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shd w:val="clear" w:color="auto" w:fill="auto"/>
            <w:vAlign w:val="center"/>
          </w:tcPr>
          <w:p w14:paraId="5BA1D57A">
            <w:pPr>
              <w:snapToGrid w:val="0"/>
              <w:jc w:val="center"/>
              <w:rPr>
                <w:snapToGrid w:val="0"/>
                <w:color w:val="000000" w:themeColor="text1"/>
                <w:kern w:val="21"/>
                <w:szCs w:val="21"/>
                <w14:textFill>
                  <w14:solidFill>
                    <w14:schemeClr w14:val="tx1"/>
                  </w14:solidFill>
                </w14:textFill>
              </w:rPr>
            </w:pPr>
            <w:r>
              <w:rPr>
                <w:rFonts w:hint="eastAsia"/>
                <w:snapToGrid w:val="0"/>
                <w:color w:val="000000" w:themeColor="text1"/>
                <w:kern w:val="21"/>
                <w:szCs w:val="21"/>
                <w14:textFill>
                  <w14:solidFill>
                    <w14:schemeClr w14:val="tx1"/>
                  </w14:solidFill>
                </w14:textFill>
              </w:rPr>
              <w:t>NOx</w:t>
            </w:r>
          </w:p>
        </w:tc>
        <w:tc>
          <w:tcPr>
            <w:tcW w:w="0" w:type="auto"/>
            <w:vAlign w:val="center"/>
          </w:tcPr>
          <w:p w14:paraId="5B0B53DF">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15E53CF0">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936" w:type="dxa"/>
            <w:vAlign w:val="center"/>
          </w:tcPr>
          <w:p w14:paraId="23B7C54B">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48" w:type="dxa"/>
            <w:vAlign w:val="center"/>
          </w:tcPr>
          <w:p w14:paraId="162CC078">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0.284t/a</w:t>
            </w:r>
          </w:p>
        </w:tc>
        <w:tc>
          <w:tcPr>
            <w:tcW w:w="0" w:type="auto"/>
            <w:vAlign w:val="center"/>
          </w:tcPr>
          <w:p w14:paraId="7730BF7A">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0F464DA0">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0.284t/a</w:t>
            </w:r>
          </w:p>
        </w:tc>
        <w:tc>
          <w:tcPr>
            <w:tcW w:w="1227" w:type="dxa"/>
            <w:vAlign w:val="center"/>
          </w:tcPr>
          <w:p w14:paraId="3581FF8F">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+0.284t/a</w:t>
            </w:r>
          </w:p>
        </w:tc>
      </w:tr>
      <w:tr w14:paraId="2E4C9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75" w:type="dxa"/>
            <w:vMerge w:val="restart"/>
            <w:vAlign w:val="center"/>
          </w:tcPr>
          <w:p w14:paraId="70C58DAC">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废水</w:t>
            </w:r>
          </w:p>
        </w:tc>
        <w:tc>
          <w:tcPr>
            <w:tcW w:w="1282" w:type="dxa"/>
            <w:vAlign w:val="center"/>
          </w:tcPr>
          <w:p w14:paraId="4CB296F8">
            <w:pPr>
              <w:pStyle w:val="39"/>
              <w:snapToGrid/>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COD</w:t>
            </w:r>
          </w:p>
        </w:tc>
        <w:tc>
          <w:tcPr>
            <w:tcW w:w="0" w:type="auto"/>
            <w:vAlign w:val="center"/>
          </w:tcPr>
          <w:p w14:paraId="418133C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7974EDFD">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06C1DD4E">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664F5C1F">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5D356889">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5DA5F70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27" w:type="dxa"/>
            <w:vAlign w:val="center"/>
          </w:tcPr>
          <w:p w14:paraId="19A8E538">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6F185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75" w:type="dxa"/>
            <w:vMerge w:val="continue"/>
            <w:vAlign w:val="center"/>
          </w:tcPr>
          <w:p w14:paraId="7D636FD7">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vAlign w:val="center"/>
          </w:tcPr>
          <w:p w14:paraId="542F7026">
            <w:pPr>
              <w:pStyle w:val="39"/>
              <w:snapToGrid/>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NH</w:t>
            </w:r>
            <w:r>
              <w:rPr>
                <w:rFonts w:ascii="Times New Roman"/>
                <w:snapToGrid w:val="0"/>
                <w:color w:val="000000" w:themeColor="text1"/>
                <w:kern w:val="21"/>
                <w:sz w:val="21"/>
                <w:szCs w:val="21"/>
                <w:vertAlign w:val="subscript"/>
                <w14:textFill>
                  <w14:solidFill>
                    <w14:schemeClr w14:val="tx1"/>
                  </w14:solidFill>
                </w14:textFill>
              </w:rPr>
              <w:t>3</w:t>
            </w:r>
            <w:r>
              <w:rPr>
                <w:rFonts w:ascii="Times New Roman"/>
                <w:snapToGrid w:val="0"/>
                <w:color w:val="000000" w:themeColor="text1"/>
                <w:kern w:val="21"/>
                <w:sz w:val="21"/>
                <w:szCs w:val="21"/>
                <w14:textFill>
                  <w14:solidFill>
                    <w14:schemeClr w14:val="tx1"/>
                  </w14:solidFill>
                </w14:textFill>
              </w:rPr>
              <w:t>-N</w:t>
            </w:r>
          </w:p>
        </w:tc>
        <w:tc>
          <w:tcPr>
            <w:tcW w:w="0" w:type="auto"/>
            <w:vAlign w:val="center"/>
          </w:tcPr>
          <w:p w14:paraId="346730F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675C6CD1">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7F12B3C3">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6CEA3592">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3FB1999F">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50E5BFEC">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227" w:type="dxa"/>
            <w:vAlign w:val="center"/>
          </w:tcPr>
          <w:p w14:paraId="60C7768D">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r>
      <w:tr w14:paraId="39C5B0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75" w:type="dxa"/>
            <w:vMerge w:val="restart"/>
            <w:vAlign w:val="center"/>
          </w:tcPr>
          <w:p w14:paraId="624D0847">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生活垃圾</w:t>
            </w:r>
          </w:p>
        </w:tc>
        <w:tc>
          <w:tcPr>
            <w:tcW w:w="1282" w:type="dxa"/>
            <w:vAlign w:val="center"/>
          </w:tcPr>
          <w:p w14:paraId="145A4060">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员工生活垃圾</w:t>
            </w:r>
          </w:p>
        </w:tc>
        <w:tc>
          <w:tcPr>
            <w:tcW w:w="0" w:type="auto"/>
            <w:vAlign w:val="center"/>
          </w:tcPr>
          <w:p w14:paraId="315B81F8">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5DD3C89D">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471E776C">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3BBCDD3B">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4.83t/a</w:t>
            </w:r>
          </w:p>
        </w:tc>
        <w:tc>
          <w:tcPr>
            <w:tcW w:w="0" w:type="auto"/>
            <w:vAlign w:val="center"/>
          </w:tcPr>
          <w:p w14:paraId="4FDAFB18">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vAlign w:val="center"/>
          </w:tcPr>
          <w:p w14:paraId="00E86F30">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4.83t/a</w:t>
            </w:r>
          </w:p>
        </w:tc>
        <w:tc>
          <w:tcPr>
            <w:tcW w:w="1227" w:type="dxa"/>
            <w:vAlign w:val="center"/>
          </w:tcPr>
          <w:p w14:paraId="1F2D4D51">
            <w:pPr>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+4.83t/a</w:t>
            </w:r>
          </w:p>
        </w:tc>
      </w:tr>
      <w:tr w14:paraId="1160C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75" w:type="dxa"/>
            <w:vMerge w:val="continue"/>
            <w:vAlign w:val="center"/>
          </w:tcPr>
          <w:p w14:paraId="77CF216A">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shd w:val="clear" w:color="auto" w:fill="auto"/>
            <w:vAlign w:val="center"/>
          </w:tcPr>
          <w:p w14:paraId="1C76B07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餐厨垃圾及废油脂</w:t>
            </w:r>
          </w:p>
        </w:tc>
        <w:tc>
          <w:tcPr>
            <w:tcW w:w="0" w:type="auto"/>
            <w:shd w:val="clear" w:color="auto" w:fill="auto"/>
            <w:vAlign w:val="center"/>
          </w:tcPr>
          <w:p w14:paraId="540E1339">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shd w:val="clear" w:color="auto" w:fill="auto"/>
            <w:vAlign w:val="center"/>
          </w:tcPr>
          <w:p w14:paraId="27D5B3BF">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1936" w:type="dxa"/>
            <w:shd w:val="clear" w:color="auto" w:fill="auto"/>
            <w:vAlign w:val="center"/>
          </w:tcPr>
          <w:p w14:paraId="3F50375E">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2148" w:type="dxa"/>
            <w:shd w:val="clear" w:color="auto" w:fill="auto"/>
            <w:vAlign w:val="center"/>
          </w:tcPr>
          <w:p w14:paraId="42EC5793">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r>
              <w:rPr>
                <w:rFonts w:hint="eastAsia"/>
                <w:color w:val="000000" w:themeColor="text1"/>
                <w:szCs w:val="21"/>
                <w:lang w:val="en-US" w:eastAsia="zh-CN"/>
                <w14:textFill>
                  <w14:solidFill>
                    <w14:schemeClr w14:val="tx1"/>
                  </w14:solidFill>
                </w14:textFill>
              </w:rPr>
              <w:t>61</w:t>
            </w:r>
            <w:r>
              <w:rPr>
                <w:rFonts w:hint="eastAsia"/>
                <w:color w:val="000000" w:themeColor="text1"/>
                <w:szCs w:val="21"/>
                <w14:textFill>
                  <w14:solidFill>
                    <w14:schemeClr w14:val="tx1"/>
                  </w14:solidFill>
                </w14:textFill>
              </w:rPr>
              <w:t>t/a</w:t>
            </w:r>
          </w:p>
        </w:tc>
        <w:tc>
          <w:tcPr>
            <w:tcW w:w="0" w:type="auto"/>
            <w:shd w:val="clear" w:color="auto" w:fill="auto"/>
            <w:vAlign w:val="center"/>
          </w:tcPr>
          <w:p w14:paraId="6FA8360F">
            <w:pPr>
              <w:widowControl/>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w:t>
            </w:r>
          </w:p>
        </w:tc>
        <w:tc>
          <w:tcPr>
            <w:tcW w:w="0" w:type="auto"/>
            <w:shd w:val="clear" w:color="auto" w:fill="auto"/>
            <w:vAlign w:val="center"/>
          </w:tcPr>
          <w:p w14:paraId="667AAB5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r>
              <w:rPr>
                <w:rFonts w:hint="eastAsia"/>
                <w:color w:val="000000" w:themeColor="text1"/>
                <w:szCs w:val="21"/>
                <w:lang w:val="en-US" w:eastAsia="zh-CN"/>
                <w14:textFill>
                  <w14:solidFill>
                    <w14:schemeClr w14:val="tx1"/>
                  </w14:solidFill>
                </w14:textFill>
              </w:rPr>
              <w:t>61</w:t>
            </w:r>
            <w:r>
              <w:rPr>
                <w:rFonts w:hint="eastAsia"/>
                <w:color w:val="000000" w:themeColor="text1"/>
                <w:szCs w:val="21"/>
                <w14:textFill>
                  <w14:solidFill>
                    <w14:schemeClr w14:val="tx1"/>
                  </w14:solidFill>
                </w14:textFill>
              </w:rPr>
              <w:t>t/a</w:t>
            </w:r>
          </w:p>
        </w:tc>
        <w:tc>
          <w:tcPr>
            <w:tcW w:w="1227" w:type="dxa"/>
            <w:shd w:val="clear" w:color="auto" w:fill="auto"/>
            <w:vAlign w:val="center"/>
          </w:tcPr>
          <w:p w14:paraId="349D9F3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r>
              <w:rPr>
                <w:rFonts w:hint="eastAsia"/>
                <w:color w:val="000000" w:themeColor="text1"/>
                <w:szCs w:val="21"/>
                <w:lang w:val="en-US" w:eastAsia="zh-CN"/>
                <w14:textFill>
                  <w14:solidFill>
                    <w14:schemeClr w14:val="tx1"/>
                  </w14:solidFill>
                </w14:textFill>
              </w:rPr>
              <w:t>61</w:t>
            </w:r>
            <w:r>
              <w:rPr>
                <w:rFonts w:hint="eastAsia"/>
                <w:color w:val="000000" w:themeColor="text1"/>
                <w:szCs w:val="21"/>
                <w14:textFill>
                  <w14:solidFill>
                    <w14:schemeClr w14:val="tx1"/>
                  </w14:solidFill>
                </w14:textFill>
              </w:rPr>
              <w:t>t/a</w:t>
            </w:r>
          </w:p>
        </w:tc>
      </w:tr>
      <w:tr w14:paraId="115AA2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75" w:type="dxa"/>
            <w:vMerge w:val="restart"/>
            <w:vAlign w:val="center"/>
          </w:tcPr>
          <w:p w14:paraId="35D17602">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一般工业固体废物</w:t>
            </w:r>
          </w:p>
        </w:tc>
        <w:tc>
          <w:tcPr>
            <w:tcW w:w="1282" w:type="dxa"/>
            <w:vAlign w:val="center"/>
          </w:tcPr>
          <w:p w14:paraId="65E8252D">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淤泥泥饼</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含水60%</w:t>
            </w:r>
            <w:r>
              <w:rPr>
                <w:rFonts w:hint="eastAsia"/>
                <w:color w:val="000000" w:themeColor="text1"/>
                <w:szCs w:val="21"/>
                <w:lang w:eastAsia="zh-CN"/>
                <w14:textFill>
                  <w14:solidFill>
                    <w14:schemeClr w14:val="tx1"/>
                  </w14:solidFill>
                </w14:textFill>
              </w:rPr>
              <w:t>）</w:t>
            </w:r>
          </w:p>
        </w:tc>
        <w:tc>
          <w:tcPr>
            <w:tcW w:w="0" w:type="auto"/>
            <w:vAlign w:val="center"/>
          </w:tcPr>
          <w:p w14:paraId="651DDBAF">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1A65B875">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2242C125">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528005FF">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65938.9t/a</w:t>
            </w:r>
          </w:p>
        </w:tc>
        <w:tc>
          <w:tcPr>
            <w:tcW w:w="0" w:type="auto"/>
            <w:vAlign w:val="center"/>
          </w:tcPr>
          <w:p w14:paraId="627A1BB3">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08D93A0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65938.9t/a</w:t>
            </w:r>
          </w:p>
        </w:tc>
        <w:tc>
          <w:tcPr>
            <w:tcW w:w="1227" w:type="dxa"/>
            <w:vAlign w:val="center"/>
          </w:tcPr>
          <w:p w14:paraId="3118CCB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+65938.9t/a</w:t>
            </w:r>
          </w:p>
        </w:tc>
      </w:tr>
      <w:tr w14:paraId="72CAA3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75" w:type="dxa"/>
            <w:vMerge w:val="continue"/>
            <w:vAlign w:val="center"/>
          </w:tcPr>
          <w:p w14:paraId="78ABC006">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vAlign w:val="center"/>
          </w:tcPr>
          <w:p w14:paraId="7FEF96E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弃土</w:t>
            </w:r>
          </w:p>
        </w:tc>
        <w:tc>
          <w:tcPr>
            <w:tcW w:w="0" w:type="auto"/>
            <w:vAlign w:val="center"/>
          </w:tcPr>
          <w:p w14:paraId="7BF0F94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004DC89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57AD0050">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74BF9A3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88833.6t/a</w:t>
            </w:r>
          </w:p>
        </w:tc>
        <w:tc>
          <w:tcPr>
            <w:tcW w:w="0" w:type="auto"/>
            <w:vAlign w:val="center"/>
          </w:tcPr>
          <w:p w14:paraId="39824DAB">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392566D5">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88833.6t/a</w:t>
            </w:r>
          </w:p>
        </w:tc>
        <w:tc>
          <w:tcPr>
            <w:tcW w:w="1227" w:type="dxa"/>
            <w:vAlign w:val="center"/>
          </w:tcPr>
          <w:p w14:paraId="4A8DB061">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+88833.6t/a</w:t>
            </w:r>
          </w:p>
        </w:tc>
      </w:tr>
      <w:tr w14:paraId="11A5A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875" w:type="dxa"/>
            <w:vMerge w:val="restart"/>
            <w:vAlign w:val="center"/>
          </w:tcPr>
          <w:p w14:paraId="5EE563C3">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ascii="Times New Roman"/>
                <w:snapToGrid w:val="0"/>
                <w:color w:val="000000" w:themeColor="text1"/>
                <w:kern w:val="21"/>
                <w:sz w:val="21"/>
                <w:szCs w:val="21"/>
                <w14:textFill>
                  <w14:solidFill>
                    <w14:schemeClr w14:val="tx1"/>
                  </w14:solidFill>
                </w14:textFill>
              </w:rPr>
              <w:t>危险废物</w:t>
            </w:r>
          </w:p>
        </w:tc>
        <w:tc>
          <w:tcPr>
            <w:tcW w:w="1282" w:type="dxa"/>
            <w:vAlign w:val="center"/>
          </w:tcPr>
          <w:p w14:paraId="2283FB39">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废机油</w:t>
            </w:r>
          </w:p>
        </w:tc>
        <w:tc>
          <w:tcPr>
            <w:tcW w:w="0" w:type="auto"/>
            <w:vAlign w:val="center"/>
          </w:tcPr>
          <w:p w14:paraId="6F3D0D1D">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3FADD934">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2AB96DDE">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7D58FB35">
            <w:pPr>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0.05t/a</w:t>
            </w:r>
          </w:p>
        </w:tc>
        <w:tc>
          <w:tcPr>
            <w:tcW w:w="0" w:type="auto"/>
            <w:vAlign w:val="center"/>
          </w:tcPr>
          <w:p w14:paraId="40CAF2FC">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41E78022">
            <w:pPr>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0.1t/a</w:t>
            </w:r>
          </w:p>
        </w:tc>
        <w:tc>
          <w:tcPr>
            <w:tcW w:w="1227" w:type="dxa"/>
            <w:vAlign w:val="center"/>
          </w:tcPr>
          <w:p w14:paraId="52DBB0D3">
            <w:pPr>
              <w:adjustRightInd w:val="0"/>
              <w:snapToGrid w:val="0"/>
              <w:jc w:val="center"/>
              <w:rPr>
                <w:color w:val="000000" w:themeColor="text1"/>
                <w:kern w:val="0"/>
                <w:szCs w:val="21"/>
                <w:lang w:bidi="ar"/>
                <w14:textFill>
                  <w14:solidFill>
                    <w14:schemeClr w14:val="tx1"/>
                  </w14:solidFill>
                </w14:textFill>
              </w:rPr>
            </w:pPr>
            <w:r>
              <w:rPr>
                <w:rFonts w:hint="eastAsia"/>
                <w:color w:val="000000" w:themeColor="text1"/>
                <w:szCs w:val="21"/>
                <w14:textFill>
                  <w14:solidFill>
                    <w14:schemeClr w14:val="tx1"/>
                  </w14:solidFill>
                </w14:textFill>
              </w:rPr>
              <w:t>+0.1t/a</w:t>
            </w:r>
          </w:p>
        </w:tc>
      </w:tr>
      <w:tr w14:paraId="32C93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875" w:type="dxa"/>
            <w:vMerge w:val="continue"/>
            <w:vAlign w:val="center"/>
          </w:tcPr>
          <w:p w14:paraId="70B4A5CD">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vAlign w:val="center"/>
          </w:tcPr>
          <w:p w14:paraId="1B2BBAE2">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废含油抹布及手套</w:t>
            </w:r>
          </w:p>
        </w:tc>
        <w:tc>
          <w:tcPr>
            <w:tcW w:w="0" w:type="auto"/>
            <w:vAlign w:val="center"/>
          </w:tcPr>
          <w:p w14:paraId="78B45D31">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3ACB65A6">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155A6327">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0148C404">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0.005t/a</w:t>
            </w:r>
          </w:p>
        </w:tc>
        <w:tc>
          <w:tcPr>
            <w:tcW w:w="0" w:type="auto"/>
            <w:vAlign w:val="center"/>
          </w:tcPr>
          <w:p w14:paraId="2DCC6C76">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35EDD8CB">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0.005t/a</w:t>
            </w:r>
          </w:p>
        </w:tc>
        <w:tc>
          <w:tcPr>
            <w:tcW w:w="1227" w:type="dxa"/>
            <w:vAlign w:val="center"/>
          </w:tcPr>
          <w:p w14:paraId="019275EA">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+0.005t/a</w:t>
            </w:r>
          </w:p>
        </w:tc>
      </w:tr>
      <w:tr w14:paraId="1D6518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75" w:type="dxa"/>
            <w:vMerge w:val="continue"/>
            <w:vAlign w:val="center"/>
          </w:tcPr>
          <w:p w14:paraId="7F0D0244">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p>
        </w:tc>
        <w:tc>
          <w:tcPr>
            <w:tcW w:w="1282" w:type="dxa"/>
            <w:vAlign w:val="center"/>
          </w:tcPr>
          <w:p w14:paraId="1B789FE9">
            <w:pPr>
              <w:pStyle w:val="39"/>
              <w:spacing w:beforeLines="0" w:afterLines="0" w:line="240" w:lineRule="auto"/>
              <w:ind w:firstLine="0"/>
              <w:rPr>
                <w:rFonts w:ascii="Times New Roman"/>
                <w:snapToGrid w:val="0"/>
                <w:color w:val="000000" w:themeColor="text1"/>
                <w:kern w:val="21"/>
                <w:sz w:val="21"/>
                <w:szCs w:val="21"/>
                <w14:textFill>
                  <w14:solidFill>
                    <w14:schemeClr w14:val="tx1"/>
                  </w14:solidFill>
                </w14:textFill>
              </w:rPr>
            </w:pPr>
            <w:r>
              <w:rPr>
                <w:rFonts w:hint="eastAsia" w:ascii="Times New Roman"/>
                <w:snapToGrid w:val="0"/>
                <w:color w:val="000000" w:themeColor="text1"/>
                <w:kern w:val="21"/>
                <w:sz w:val="21"/>
                <w:szCs w:val="21"/>
                <w14:textFill>
                  <w14:solidFill>
                    <w14:schemeClr w14:val="tx1"/>
                  </w14:solidFill>
                </w14:textFill>
              </w:rPr>
              <w:t>废油桶</w:t>
            </w:r>
          </w:p>
        </w:tc>
        <w:tc>
          <w:tcPr>
            <w:tcW w:w="0" w:type="auto"/>
            <w:vAlign w:val="center"/>
          </w:tcPr>
          <w:p w14:paraId="38FC6638">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3BFD6E6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1936" w:type="dxa"/>
            <w:vAlign w:val="center"/>
          </w:tcPr>
          <w:p w14:paraId="74B4E053">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2148" w:type="dxa"/>
            <w:vAlign w:val="center"/>
          </w:tcPr>
          <w:p w14:paraId="6CBEC649">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0.01t/a</w:t>
            </w:r>
          </w:p>
        </w:tc>
        <w:tc>
          <w:tcPr>
            <w:tcW w:w="0" w:type="auto"/>
            <w:vAlign w:val="center"/>
          </w:tcPr>
          <w:p w14:paraId="36C8CDEF">
            <w:pPr>
              <w:widowControl/>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w:t>
            </w:r>
          </w:p>
        </w:tc>
        <w:tc>
          <w:tcPr>
            <w:tcW w:w="0" w:type="auto"/>
            <w:vAlign w:val="center"/>
          </w:tcPr>
          <w:p w14:paraId="40EA83B8">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0.01t/a</w:t>
            </w:r>
          </w:p>
        </w:tc>
        <w:tc>
          <w:tcPr>
            <w:tcW w:w="1227" w:type="dxa"/>
            <w:vAlign w:val="center"/>
          </w:tcPr>
          <w:p w14:paraId="1D99A1B0">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+0.01t/a</w:t>
            </w:r>
          </w:p>
        </w:tc>
      </w:tr>
    </w:tbl>
    <w:p w14:paraId="7B1AB6C8">
      <w:pPr>
        <w:pStyle w:val="39"/>
        <w:spacing w:before="192" w:beforeLines="80" w:after="24"/>
        <w:jc w:val="left"/>
        <w:rPr>
          <w:rFonts w:ascii="Times New Roman"/>
          <w:snapToGrid w:val="0"/>
          <w:color w:val="000000" w:themeColor="text1"/>
          <w:spacing w:val="-6"/>
          <w:kern w:val="21"/>
          <w:szCs w:val="21"/>
          <w14:textFill>
            <w14:solidFill>
              <w14:schemeClr w14:val="tx1"/>
            </w14:solidFill>
          </w14:textFill>
        </w:rPr>
        <w:sectPr>
          <w:pgSz w:w="16838" w:h="11905" w:orient="landscape"/>
          <w:pgMar w:top="1417" w:right="1587" w:bottom="1417" w:left="1587" w:header="850" w:footer="1077" w:gutter="0"/>
          <w:cols w:space="720" w:num="1"/>
          <w:docGrid w:linePitch="312" w:charSpace="0"/>
        </w:sect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hint="eastAsia" w:hAnsi="宋体" w:cs="宋体"/>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bookmarkStart w:id="23" w:name="_GoBack"/>
      <w:bookmarkEnd w:id="23"/>
    </w:p>
    <w:p w14:paraId="1A5AC412">
      <w:pPr>
        <w:pStyle w:val="39"/>
        <w:spacing w:before="192" w:beforeLines="80" w:after="24"/>
        <w:ind w:left="0" w:leftChars="0" w:firstLine="0" w:firstLineChars="0"/>
        <w:jc w:val="left"/>
        <w:rPr>
          <w:rFonts w:hint="default" w:ascii="Times New Roman"/>
          <w:snapToGrid w:val="0"/>
          <w:color w:val="000000" w:themeColor="text1"/>
          <w:spacing w:val="-6"/>
          <w:kern w:val="21"/>
          <w:szCs w:val="21"/>
          <w:lang w:val="en-US" w:eastAsia="zh-CN"/>
          <w14:textFill>
            <w14:solidFill>
              <w14:schemeClr w14:val="tx1"/>
            </w14:solidFill>
          </w14:textFill>
        </w:rPr>
      </w:pPr>
    </w:p>
    <w:p w14:paraId="364A3D79">
      <w:pPr>
        <w:bidi w:val="0"/>
        <w:rPr>
          <w:rFonts w:hint="default"/>
          <w:lang w:val="en-US" w:eastAsia="zh-CN"/>
        </w:rPr>
      </w:pPr>
    </w:p>
    <w:p w14:paraId="7B123A08">
      <w:pPr>
        <w:bidi w:val="0"/>
        <w:rPr>
          <w:rFonts w:hint="default"/>
          <w:lang w:val="en-US" w:eastAsia="zh-CN"/>
        </w:rPr>
      </w:pPr>
    </w:p>
    <w:p w14:paraId="6FCDB243">
      <w:pPr>
        <w:bidi w:val="0"/>
        <w:rPr>
          <w:rFonts w:hint="default"/>
          <w:lang w:val="en-US" w:eastAsia="zh-CN"/>
        </w:rPr>
      </w:pPr>
    </w:p>
    <w:p w14:paraId="75D68257">
      <w:pPr>
        <w:bidi w:val="0"/>
        <w:rPr>
          <w:rFonts w:hint="default"/>
          <w:lang w:val="en-US" w:eastAsia="zh-CN"/>
        </w:rPr>
      </w:pPr>
    </w:p>
    <w:p w14:paraId="20763358">
      <w:pPr>
        <w:bidi w:val="0"/>
        <w:rPr>
          <w:rFonts w:hint="default"/>
          <w:lang w:val="en-US" w:eastAsia="zh-CN"/>
        </w:rPr>
      </w:pPr>
    </w:p>
    <w:p w14:paraId="106EB935">
      <w:pPr>
        <w:bidi w:val="0"/>
        <w:rPr>
          <w:rFonts w:hint="default"/>
          <w:lang w:val="en-US" w:eastAsia="zh-CN"/>
        </w:rPr>
      </w:pPr>
    </w:p>
    <w:p w14:paraId="0429A998">
      <w:pPr>
        <w:tabs>
          <w:tab w:val="left" w:pos="8707"/>
        </w:tabs>
        <w:bidi w:val="0"/>
        <w:jc w:val="left"/>
        <w:rPr>
          <w:rFonts w:hint="default"/>
          <w:lang w:val="en-US" w:eastAsia="zh-CN"/>
        </w:rPr>
      </w:pPr>
      <w:r>
        <w:rPr>
          <w:rFonts w:hint="eastAsia"/>
          <w:lang w:val="en-US" w:eastAsia="zh-CN"/>
        </w:rPr>
        <w:tab/>
      </w:r>
    </w:p>
    <w:sectPr>
      <w:headerReference r:id="rId6" w:type="default"/>
      <w:footerReference r:id="rId7" w:type="default"/>
      <w:pgSz w:w="16838" w:h="11905" w:orient="landscape"/>
      <w:pgMar w:top="1417" w:right="1587" w:bottom="1417" w:left="1587" w:header="850" w:footer="1077"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3361F4D-F638-4CE9-9003-C7012EAFA87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69D949F-B9FD-45E1-9943-EDEE7018FA8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9D1138C6-3769-4D6F-9DBF-FEAF508F69DA}"/>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C2370481-0718-454F-97C6-30F760BA2D23}"/>
  </w:font>
  <w:font w:name="新宋体-18030">
    <w:altName w:val="微软雅黑"/>
    <w:panose1 w:val="00000000000000000000"/>
    <w:charset w:val="86"/>
    <w:family w:val="auto"/>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embedRegular r:id="rId5" w:fontKey="{2524573B-66EA-443B-B403-17B99E831F58}"/>
  </w:font>
  <w:font w:name="仿宋_GB2312">
    <w:altName w:val="仿宋"/>
    <w:panose1 w:val="02010609030101010101"/>
    <w:charset w:val="86"/>
    <w:family w:val="modern"/>
    <w:pitch w:val="default"/>
    <w:sig w:usb0="00000000" w:usb1="00000000" w:usb2="00000000" w:usb3="00000000" w:csb0="00040000" w:csb1="00000000"/>
    <w:embedRegular r:id="rId6" w:fontKey="{925D39FF-41AA-4B3E-BA1C-EA147C9B627D}"/>
  </w:font>
  <w:font w:name="方正小标宋_GBK">
    <w:panose1 w:val="02000000000000000000"/>
    <w:charset w:val="86"/>
    <w:family w:val="script"/>
    <w:pitch w:val="default"/>
    <w:sig w:usb0="A00002BF" w:usb1="38CF7CFA" w:usb2="00082016" w:usb3="00000000" w:csb0="00040001" w:csb1="00000000"/>
    <w:embedRegular r:id="rId7" w:fontKey="{7ACA9064-1B5C-4D02-9FA7-2163AFEF4F95}"/>
  </w:font>
  <w:font w:name="楷体_GB2312">
    <w:altName w:val="楷体"/>
    <w:panose1 w:val="02010609030101010101"/>
    <w:charset w:val="86"/>
    <w:family w:val="auto"/>
    <w:pitch w:val="default"/>
    <w:sig w:usb0="00000000" w:usb1="00000000" w:usb2="00000000" w:usb3="00000000" w:csb0="00040000" w:csb1="00000000"/>
    <w:embedRegular r:id="rId8" w:fontKey="{F1F0250F-F9BD-4361-83CD-F55F71906FC8}"/>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embedRegular r:id="rId9" w:fontKey="{C201A98E-CE9D-4A24-9075-996FE6B41FA4}"/>
  </w:font>
  <w:font w:name="Wingdings 2">
    <w:panose1 w:val="05020102010507070707"/>
    <w:charset w:val="02"/>
    <w:family w:val="roman"/>
    <w:pitch w:val="default"/>
    <w:sig w:usb0="00000000" w:usb1="00000000" w:usb2="00000000" w:usb3="00000000" w:csb0="80000000" w:csb1="00000000"/>
    <w:embedRegular r:id="rId10" w:fontKey="{4C775455-D494-4D39-84A7-C20F12162C1A}"/>
  </w:font>
  <w:font w:name="Cambria Math">
    <w:panose1 w:val="02040503050406030204"/>
    <w:charset w:val="00"/>
    <w:family w:val="roman"/>
    <w:pitch w:val="default"/>
    <w:sig w:usb0="E00006FF" w:usb1="420024FF" w:usb2="02000000" w:usb3="00000000" w:csb0="2000019F" w:csb1="00000000"/>
    <w:embedRegular r:id="rId11" w:fontKey="{65A95B5E-35C4-47C5-B3A0-5A1F0963EA33}"/>
  </w:font>
  <w:font w:name="WPSEMBED15">
    <w:panose1 w:val="02000000000000000000"/>
    <w:charset w:val="86"/>
    <w:family w:val="auto"/>
    <w:pitch w:val="default"/>
    <w:sig w:usb0="A00002BF" w:usb1="38CF7CFA" w:usb2="00082016" w:usb3="00000000" w:csb0="00040001" w:csb1="00000000"/>
  </w:font>
  <w:font w:name="KSOFE44F9426">
    <w:panose1 w:val="02010609060101010101"/>
    <w:charset w:val="86"/>
    <w:family w:val="auto"/>
    <w:pitch w:val="default"/>
    <w:sig w:usb0="00000001" w:usb1="00000000" w:usb2="0000000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B620">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6AB8A">
    <w:pPr>
      <w:tabs>
        <w:tab w:val="center" w:pos="4153"/>
        <w:tab w:val="right" w:pos="8306"/>
      </w:tabs>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216CC">
                          <w:pPr>
                            <w:pStyle w:val="1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14:paraId="7CD216CC">
                    <w:pPr>
                      <w:pStyle w:val="1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B3B8D">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851CE">
                          <w:pPr>
                            <w:pStyle w:val="16"/>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735851CE">
                    <w:pPr>
                      <w:pStyle w:val="16"/>
                    </w:pPr>
                    <w:r>
                      <w:fldChar w:fldCharType="begin"/>
                    </w:r>
                    <w:r>
                      <w:instrText xml:space="preserve"> PAGE  \* MERGEFORMAT </w:instrText>
                    </w:r>
                    <w:r>
                      <w:fldChar w:fldCharType="separate"/>
                    </w:r>
                    <w:r>
                      <w:t>93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19D6C">
    <w:pPr>
      <w:pStyle w:val="17"/>
      <w:pBdr>
        <w:bottom w:val="none" w:color="auto" w:sz="0" w:space="1"/>
      </w:pBdr>
    </w:pPr>
    <w:r>
      <w:rPr>
        <w:sz w:val="18"/>
      </w:rPr>
      <w:pict>
        <v:shape id="PowerPlusWaterMarkObject155385" o:spid="_x0000_s2059" o:spt="136" type="#_x0000_t136" style="position:absolute;left:0pt;height:108.95pt;width:478.3pt;mso-position-horizontal:center;mso-position-horizontal-relative:margin;mso-position-vertical:center;mso-position-vertical-relative:margin;rotation:-2949120f;z-index:-251649024;mso-width-relative:page;mso-height-relative:page;" fillcolor="#C0C0C0" filled="t" stroked="f" coordsize="21600,21600" adj="10800">
          <v:path/>
          <v:fill on="t" opacity="64880f" focussize="0,0"/>
          <v:stroke on="f"/>
          <v:imagedata o:title=""/>
          <o:lock v:ext="edit" aspectratio="t"/>
          <v:textpath on="t" fitshape="t" fitpath="t" trim="t" xscale="f" string="仅公示使用" style="font-family:楷体;font-size:36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638FB">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5CB773"/>
    <w:multiLevelType w:val="singleLevel"/>
    <w:tmpl w:val="995CB773"/>
    <w:lvl w:ilvl="0" w:tentative="0">
      <w:start w:val="1"/>
      <w:numFmt w:val="bullet"/>
      <w:pStyle w:val="10"/>
      <w:lvlText w:val=""/>
      <w:lvlJc w:val="left"/>
      <w:pPr>
        <w:tabs>
          <w:tab w:val="left" w:pos="1070"/>
        </w:tabs>
        <w:ind w:left="1070" w:hanging="360"/>
      </w:pPr>
      <w:rPr>
        <w:rFonts w:hint="default" w:ascii="Wingdings" w:hAnsi="Wingdings"/>
      </w:rPr>
    </w:lvl>
  </w:abstractNum>
  <w:abstractNum w:abstractNumId="1">
    <w:nsid w:val="EC1550F5"/>
    <w:multiLevelType w:val="singleLevel"/>
    <w:tmpl w:val="EC1550F5"/>
    <w:lvl w:ilvl="0" w:tentative="0">
      <w:start w:val="1"/>
      <w:numFmt w:val="decimal"/>
      <w:suff w:val="nothing"/>
      <w:lvlText w:val="%1、"/>
      <w:lvlJc w:val="left"/>
    </w:lvl>
  </w:abstractNum>
  <w:abstractNum w:abstractNumId="2">
    <w:nsid w:val="11BAC7AE"/>
    <w:multiLevelType w:val="singleLevel"/>
    <w:tmpl w:val="11BAC7AE"/>
    <w:lvl w:ilvl="0" w:tentative="0">
      <w:start w:val="3"/>
      <w:numFmt w:val="decimal"/>
      <w:suff w:val="nothing"/>
      <w:lvlText w:val="（%1）"/>
      <w:lvlJc w:val="left"/>
    </w:lvl>
  </w:abstractNum>
  <w:abstractNum w:abstractNumId="3">
    <w:nsid w:val="66870708"/>
    <w:multiLevelType w:val="multilevel"/>
    <w:tmpl w:val="66870708"/>
    <w:lvl w:ilvl="0" w:tentative="0">
      <w:start w:val="1"/>
      <w:numFmt w:val="decimal"/>
      <w:lvlText w:val="第%1章"/>
      <w:lvlJc w:val="left"/>
      <w:pPr>
        <w:ind w:left="425" w:hanging="425"/>
      </w:pPr>
      <w:rPr>
        <w:rFonts w:hint="default" w:ascii="Times New Roman" w:hAnsi="Times New Roman" w:cs="Times New Roman"/>
        <w:b/>
        <w:sz w:val="36"/>
        <w:szCs w:val="36"/>
      </w:rPr>
    </w:lvl>
    <w:lvl w:ilvl="1" w:tentative="0">
      <w:start w:val="1"/>
      <w:numFmt w:val="decimal"/>
      <w:lvlText w:val="%1.%2"/>
      <w:lvlJc w:val="left"/>
      <w:pPr>
        <w:ind w:left="567" w:hanging="567"/>
      </w:pPr>
      <w:rPr>
        <w:rFonts w:hint="eastAsia"/>
      </w:rPr>
    </w:lvl>
    <w:lvl w:ilvl="2" w:tentative="0">
      <w:start w:val="1"/>
      <w:numFmt w:val="decimal"/>
      <w:pStyle w:val="4"/>
      <w:lvlText w:val="%1.%2.%3"/>
      <w:lvlJc w:val="left"/>
      <w:pPr>
        <w:ind w:left="113" w:hanging="113"/>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210"/>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5M2Y3NmM1MGU2YjQxNjgzNjBlMjAxZDA0MmIwOGMifQ=="/>
  </w:docVars>
  <w:rsids>
    <w:rsidRoot w:val="00172A27"/>
    <w:rsid w:val="00005B1C"/>
    <w:rsid w:val="000060B3"/>
    <w:rsid w:val="000218D5"/>
    <w:rsid w:val="00027B4D"/>
    <w:rsid w:val="00035B14"/>
    <w:rsid w:val="00040B14"/>
    <w:rsid w:val="000432C9"/>
    <w:rsid w:val="0004364B"/>
    <w:rsid w:val="00046B62"/>
    <w:rsid w:val="00061B1F"/>
    <w:rsid w:val="000653C8"/>
    <w:rsid w:val="00072C34"/>
    <w:rsid w:val="000733C4"/>
    <w:rsid w:val="00074783"/>
    <w:rsid w:val="00074F7B"/>
    <w:rsid w:val="00077C08"/>
    <w:rsid w:val="0008070B"/>
    <w:rsid w:val="000810AC"/>
    <w:rsid w:val="00081A02"/>
    <w:rsid w:val="00082231"/>
    <w:rsid w:val="00083E44"/>
    <w:rsid w:val="00092079"/>
    <w:rsid w:val="00092D38"/>
    <w:rsid w:val="0009377B"/>
    <w:rsid w:val="00094E0B"/>
    <w:rsid w:val="000A20C9"/>
    <w:rsid w:val="000B058F"/>
    <w:rsid w:val="000B42CF"/>
    <w:rsid w:val="000B4467"/>
    <w:rsid w:val="000B4DB9"/>
    <w:rsid w:val="000C09AC"/>
    <w:rsid w:val="000C767F"/>
    <w:rsid w:val="000D5A44"/>
    <w:rsid w:val="000E1D0D"/>
    <w:rsid w:val="000E3ED2"/>
    <w:rsid w:val="000F0D16"/>
    <w:rsid w:val="000F7C54"/>
    <w:rsid w:val="00100F1C"/>
    <w:rsid w:val="0010133C"/>
    <w:rsid w:val="00115B4A"/>
    <w:rsid w:val="00127952"/>
    <w:rsid w:val="00127957"/>
    <w:rsid w:val="00131F42"/>
    <w:rsid w:val="001333F1"/>
    <w:rsid w:val="001351BB"/>
    <w:rsid w:val="001357F1"/>
    <w:rsid w:val="00135B40"/>
    <w:rsid w:val="00140FA8"/>
    <w:rsid w:val="00142FEB"/>
    <w:rsid w:val="00143A2D"/>
    <w:rsid w:val="00145A41"/>
    <w:rsid w:val="00150A8D"/>
    <w:rsid w:val="00151675"/>
    <w:rsid w:val="00157435"/>
    <w:rsid w:val="00170394"/>
    <w:rsid w:val="001710FD"/>
    <w:rsid w:val="00172A27"/>
    <w:rsid w:val="0017504D"/>
    <w:rsid w:val="0017671A"/>
    <w:rsid w:val="00177422"/>
    <w:rsid w:val="00181997"/>
    <w:rsid w:val="00184590"/>
    <w:rsid w:val="00185C60"/>
    <w:rsid w:val="001870D1"/>
    <w:rsid w:val="0018781E"/>
    <w:rsid w:val="0019262D"/>
    <w:rsid w:val="001A1B35"/>
    <w:rsid w:val="001A300A"/>
    <w:rsid w:val="001A48A2"/>
    <w:rsid w:val="001A5C25"/>
    <w:rsid w:val="001A6F61"/>
    <w:rsid w:val="001B72B8"/>
    <w:rsid w:val="001C67F2"/>
    <w:rsid w:val="001C69B3"/>
    <w:rsid w:val="001D5595"/>
    <w:rsid w:val="001D75C8"/>
    <w:rsid w:val="001D7874"/>
    <w:rsid w:val="001D7F22"/>
    <w:rsid w:val="001E215A"/>
    <w:rsid w:val="001F0F17"/>
    <w:rsid w:val="001F196C"/>
    <w:rsid w:val="001F3347"/>
    <w:rsid w:val="001F55ED"/>
    <w:rsid w:val="001F5647"/>
    <w:rsid w:val="001F69E4"/>
    <w:rsid w:val="00206262"/>
    <w:rsid w:val="00207652"/>
    <w:rsid w:val="002125B4"/>
    <w:rsid w:val="002155B8"/>
    <w:rsid w:val="00223720"/>
    <w:rsid w:val="00224668"/>
    <w:rsid w:val="00224839"/>
    <w:rsid w:val="002249B2"/>
    <w:rsid w:val="00226574"/>
    <w:rsid w:val="002278EC"/>
    <w:rsid w:val="0023280E"/>
    <w:rsid w:val="002377D1"/>
    <w:rsid w:val="00242A20"/>
    <w:rsid w:val="002444A9"/>
    <w:rsid w:val="002506BC"/>
    <w:rsid w:val="00254345"/>
    <w:rsid w:val="00264557"/>
    <w:rsid w:val="002805AB"/>
    <w:rsid w:val="00284204"/>
    <w:rsid w:val="00291773"/>
    <w:rsid w:val="00296395"/>
    <w:rsid w:val="002A168C"/>
    <w:rsid w:val="002A3DC7"/>
    <w:rsid w:val="002B0844"/>
    <w:rsid w:val="002B49E2"/>
    <w:rsid w:val="002B7B00"/>
    <w:rsid w:val="002B7C44"/>
    <w:rsid w:val="002C060E"/>
    <w:rsid w:val="002C2B17"/>
    <w:rsid w:val="002D10D1"/>
    <w:rsid w:val="002D3DD0"/>
    <w:rsid w:val="002D41EA"/>
    <w:rsid w:val="002E1F3A"/>
    <w:rsid w:val="002E298A"/>
    <w:rsid w:val="002E44F7"/>
    <w:rsid w:val="00301978"/>
    <w:rsid w:val="0030332C"/>
    <w:rsid w:val="003051C2"/>
    <w:rsid w:val="00312296"/>
    <w:rsid w:val="00314F0E"/>
    <w:rsid w:val="00321D8E"/>
    <w:rsid w:val="00322FC6"/>
    <w:rsid w:val="00325928"/>
    <w:rsid w:val="00332863"/>
    <w:rsid w:val="0033684D"/>
    <w:rsid w:val="00337B42"/>
    <w:rsid w:val="00341B42"/>
    <w:rsid w:val="00341D44"/>
    <w:rsid w:val="0034348F"/>
    <w:rsid w:val="00344C04"/>
    <w:rsid w:val="003507BE"/>
    <w:rsid w:val="00356653"/>
    <w:rsid w:val="0035743F"/>
    <w:rsid w:val="00357BE2"/>
    <w:rsid w:val="0036170C"/>
    <w:rsid w:val="003655C1"/>
    <w:rsid w:val="00366E0F"/>
    <w:rsid w:val="00381A72"/>
    <w:rsid w:val="003822AC"/>
    <w:rsid w:val="00384676"/>
    <w:rsid w:val="00384BFD"/>
    <w:rsid w:val="00390857"/>
    <w:rsid w:val="003967C0"/>
    <w:rsid w:val="0039734D"/>
    <w:rsid w:val="003A4BF3"/>
    <w:rsid w:val="003B420D"/>
    <w:rsid w:val="003C6015"/>
    <w:rsid w:val="003C6C16"/>
    <w:rsid w:val="003D0404"/>
    <w:rsid w:val="003D17D7"/>
    <w:rsid w:val="003D3100"/>
    <w:rsid w:val="003D794D"/>
    <w:rsid w:val="003E0F74"/>
    <w:rsid w:val="003E3058"/>
    <w:rsid w:val="003E76A9"/>
    <w:rsid w:val="003F0809"/>
    <w:rsid w:val="003F413A"/>
    <w:rsid w:val="003F6A8C"/>
    <w:rsid w:val="003F755C"/>
    <w:rsid w:val="00406361"/>
    <w:rsid w:val="00406F01"/>
    <w:rsid w:val="004079B6"/>
    <w:rsid w:val="00413AFC"/>
    <w:rsid w:val="00416CED"/>
    <w:rsid w:val="00416D50"/>
    <w:rsid w:val="00416FD5"/>
    <w:rsid w:val="00417772"/>
    <w:rsid w:val="00420E6A"/>
    <w:rsid w:val="004226C1"/>
    <w:rsid w:val="00425A9E"/>
    <w:rsid w:val="00426D6B"/>
    <w:rsid w:val="00431E6C"/>
    <w:rsid w:val="00433CE7"/>
    <w:rsid w:val="004416F0"/>
    <w:rsid w:val="00446514"/>
    <w:rsid w:val="00450215"/>
    <w:rsid w:val="00452738"/>
    <w:rsid w:val="00456091"/>
    <w:rsid w:val="00466321"/>
    <w:rsid w:val="00473D65"/>
    <w:rsid w:val="00484B9B"/>
    <w:rsid w:val="004855F6"/>
    <w:rsid w:val="0048661E"/>
    <w:rsid w:val="00494670"/>
    <w:rsid w:val="004A3823"/>
    <w:rsid w:val="004B304E"/>
    <w:rsid w:val="004B48CF"/>
    <w:rsid w:val="004B59C1"/>
    <w:rsid w:val="004B6F87"/>
    <w:rsid w:val="004C4AD0"/>
    <w:rsid w:val="004C63FE"/>
    <w:rsid w:val="004E6946"/>
    <w:rsid w:val="004F1AD8"/>
    <w:rsid w:val="005039CB"/>
    <w:rsid w:val="0050558F"/>
    <w:rsid w:val="00506286"/>
    <w:rsid w:val="00510813"/>
    <w:rsid w:val="00511990"/>
    <w:rsid w:val="00511DE0"/>
    <w:rsid w:val="00514870"/>
    <w:rsid w:val="00514B9B"/>
    <w:rsid w:val="00517F02"/>
    <w:rsid w:val="00520FA7"/>
    <w:rsid w:val="00524303"/>
    <w:rsid w:val="005258A2"/>
    <w:rsid w:val="005401AE"/>
    <w:rsid w:val="00542E07"/>
    <w:rsid w:val="00545424"/>
    <w:rsid w:val="00554A7B"/>
    <w:rsid w:val="0055572C"/>
    <w:rsid w:val="0056106A"/>
    <w:rsid w:val="00562665"/>
    <w:rsid w:val="00565971"/>
    <w:rsid w:val="005720AE"/>
    <w:rsid w:val="0058312F"/>
    <w:rsid w:val="00584645"/>
    <w:rsid w:val="00592F7A"/>
    <w:rsid w:val="00594D77"/>
    <w:rsid w:val="005969E4"/>
    <w:rsid w:val="005A06B7"/>
    <w:rsid w:val="005A1759"/>
    <w:rsid w:val="005A68A7"/>
    <w:rsid w:val="005C0526"/>
    <w:rsid w:val="005C3204"/>
    <w:rsid w:val="005C32F5"/>
    <w:rsid w:val="005D3089"/>
    <w:rsid w:val="005D31DE"/>
    <w:rsid w:val="005D36AB"/>
    <w:rsid w:val="005E37DF"/>
    <w:rsid w:val="00603EB4"/>
    <w:rsid w:val="00617CC3"/>
    <w:rsid w:val="006241BB"/>
    <w:rsid w:val="00631785"/>
    <w:rsid w:val="006377A6"/>
    <w:rsid w:val="00637A3D"/>
    <w:rsid w:val="006411EF"/>
    <w:rsid w:val="00645C34"/>
    <w:rsid w:val="00654CFB"/>
    <w:rsid w:val="006655AC"/>
    <w:rsid w:val="006748B8"/>
    <w:rsid w:val="006775C3"/>
    <w:rsid w:val="00681BE2"/>
    <w:rsid w:val="006826C2"/>
    <w:rsid w:val="0069290A"/>
    <w:rsid w:val="0069775A"/>
    <w:rsid w:val="00697813"/>
    <w:rsid w:val="006A3EE8"/>
    <w:rsid w:val="006A72BF"/>
    <w:rsid w:val="006B03F2"/>
    <w:rsid w:val="006B0647"/>
    <w:rsid w:val="006B101A"/>
    <w:rsid w:val="006B13E7"/>
    <w:rsid w:val="006B37DC"/>
    <w:rsid w:val="006B4F68"/>
    <w:rsid w:val="006C0592"/>
    <w:rsid w:val="006C272E"/>
    <w:rsid w:val="006C4E42"/>
    <w:rsid w:val="006C5479"/>
    <w:rsid w:val="006D13B5"/>
    <w:rsid w:val="006E12FF"/>
    <w:rsid w:val="006E36D0"/>
    <w:rsid w:val="006E4373"/>
    <w:rsid w:val="006E607E"/>
    <w:rsid w:val="00705CB0"/>
    <w:rsid w:val="00706C5D"/>
    <w:rsid w:val="00720AC7"/>
    <w:rsid w:val="00731369"/>
    <w:rsid w:val="00732922"/>
    <w:rsid w:val="00733AD7"/>
    <w:rsid w:val="007442AC"/>
    <w:rsid w:val="0075162E"/>
    <w:rsid w:val="007519DC"/>
    <w:rsid w:val="00754034"/>
    <w:rsid w:val="00756556"/>
    <w:rsid w:val="007618C4"/>
    <w:rsid w:val="007663BD"/>
    <w:rsid w:val="00767980"/>
    <w:rsid w:val="00770B19"/>
    <w:rsid w:val="00770D21"/>
    <w:rsid w:val="00773916"/>
    <w:rsid w:val="0077463F"/>
    <w:rsid w:val="007747D5"/>
    <w:rsid w:val="007836EA"/>
    <w:rsid w:val="0078375D"/>
    <w:rsid w:val="00784CDA"/>
    <w:rsid w:val="007906C4"/>
    <w:rsid w:val="00790800"/>
    <w:rsid w:val="007940EA"/>
    <w:rsid w:val="007967E8"/>
    <w:rsid w:val="007A2170"/>
    <w:rsid w:val="007A22BF"/>
    <w:rsid w:val="007A3323"/>
    <w:rsid w:val="007B44B0"/>
    <w:rsid w:val="007B63F2"/>
    <w:rsid w:val="007B6E4B"/>
    <w:rsid w:val="007B72B8"/>
    <w:rsid w:val="007B7A58"/>
    <w:rsid w:val="007C21B5"/>
    <w:rsid w:val="007C4578"/>
    <w:rsid w:val="007C4E57"/>
    <w:rsid w:val="007E0186"/>
    <w:rsid w:val="007E09D8"/>
    <w:rsid w:val="007E4BD2"/>
    <w:rsid w:val="007F72AF"/>
    <w:rsid w:val="00801393"/>
    <w:rsid w:val="00802F88"/>
    <w:rsid w:val="0081293E"/>
    <w:rsid w:val="00815465"/>
    <w:rsid w:val="00817E9A"/>
    <w:rsid w:val="00823255"/>
    <w:rsid w:val="008306BD"/>
    <w:rsid w:val="00831A80"/>
    <w:rsid w:val="0083355D"/>
    <w:rsid w:val="00833743"/>
    <w:rsid w:val="008340A4"/>
    <w:rsid w:val="00841A67"/>
    <w:rsid w:val="008643D9"/>
    <w:rsid w:val="00867445"/>
    <w:rsid w:val="0087135F"/>
    <w:rsid w:val="00872D94"/>
    <w:rsid w:val="00876E0A"/>
    <w:rsid w:val="00880364"/>
    <w:rsid w:val="0088628B"/>
    <w:rsid w:val="00886E86"/>
    <w:rsid w:val="00891592"/>
    <w:rsid w:val="00891E9E"/>
    <w:rsid w:val="0089663A"/>
    <w:rsid w:val="008A2F68"/>
    <w:rsid w:val="008A506B"/>
    <w:rsid w:val="008B418C"/>
    <w:rsid w:val="008B4FA6"/>
    <w:rsid w:val="008B5282"/>
    <w:rsid w:val="008B57F1"/>
    <w:rsid w:val="008B7C17"/>
    <w:rsid w:val="008C2D01"/>
    <w:rsid w:val="008C40E6"/>
    <w:rsid w:val="008C6DAB"/>
    <w:rsid w:val="008D0F7A"/>
    <w:rsid w:val="008D138C"/>
    <w:rsid w:val="008D3B9A"/>
    <w:rsid w:val="008D68E4"/>
    <w:rsid w:val="008E0506"/>
    <w:rsid w:val="008E0CFF"/>
    <w:rsid w:val="008E5D6B"/>
    <w:rsid w:val="008E76F0"/>
    <w:rsid w:val="008F15FE"/>
    <w:rsid w:val="008F211A"/>
    <w:rsid w:val="008F2D29"/>
    <w:rsid w:val="008F5187"/>
    <w:rsid w:val="008F60D8"/>
    <w:rsid w:val="00902727"/>
    <w:rsid w:val="0090312B"/>
    <w:rsid w:val="009064FA"/>
    <w:rsid w:val="0091051A"/>
    <w:rsid w:val="0091736D"/>
    <w:rsid w:val="00920750"/>
    <w:rsid w:val="00924652"/>
    <w:rsid w:val="0093037A"/>
    <w:rsid w:val="00933DCE"/>
    <w:rsid w:val="0094154D"/>
    <w:rsid w:val="00950EE7"/>
    <w:rsid w:val="00951181"/>
    <w:rsid w:val="0095155F"/>
    <w:rsid w:val="00951B69"/>
    <w:rsid w:val="00953932"/>
    <w:rsid w:val="00954429"/>
    <w:rsid w:val="009563CE"/>
    <w:rsid w:val="009668E6"/>
    <w:rsid w:val="00966DB3"/>
    <w:rsid w:val="00975537"/>
    <w:rsid w:val="00976328"/>
    <w:rsid w:val="0097680D"/>
    <w:rsid w:val="00982438"/>
    <w:rsid w:val="0098404C"/>
    <w:rsid w:val="00985283"/>
    <w:rsid w:val="00993C56"/>
    <w:rsid w:val="009951E4"/>
    <w:rsid w:val="00995992"/>
    <w:rsid w:val="009A03E5"/>
    <w:rsid w:val="009A0896"/>
    <w:rsid w:val="009A0AC8"/>
    <w:rsid w:val="009A0F3B"/>
    <w:rsid w:val="009A1BB4"/>
    <w:rsid w:val="009A2628"/>
    <w:rsid w:val="009A3200"/>
    <w:rsid w:val="009B0897"/>
    <w:rsid w:val="009B3277"/>
    <w:rsid w:val="009B3EDA"/>
    <w:rsid w:val="009B7BD9"/>
    <w:rsid w:val="009C7DD5"/>
    <w:rsid w:val="009E227D"/>
    <w:rsid w:val="009E5019"/>
    <w:rsid w:val="009E6BB4"/>
    <w:rsid w:val="009F728D"/>
    <w:rsid w:val="00A0394F"/>
    <w:rsid w:val="00A04F1B"/>
    <w:rsid w:val="00A0501B"/>
    <w:rsid w:val="00A14947"/>
    <w:rsid w:val="00A31722"/>
    <w:rsid w:val="00A32A83"/>
    <w:rsid w:val="00A368DB"/>
    <w:rsid w:val="00A423AA"/>
    <w:rsid w:val="00A53EC6"/>
    <w:rsid w:val="00A55C0F"/>
    <w:rsid w:val="00A77BD0"/>
    <w:rsid w:val="00A8713F"/>
    <w:rsid w:val="00A90BA1"/>
    <w:rsid w:val="00A949B6"/>
    <w:rsid w:val="00A97A9A"/>
    <w:rsid w:val="00AA0671"/>
    <w:rsid w:val="00AA1EAB"/>
    <w:rsid w:val="00AA2531"/>
    <w:rsid w:val="00AB1E09"/>
    <w:rsid w:val="00AB4DA6"/>
    <w:rsid w:val="00AB5330"/>
    <w:rsid w:val="00AB7747"/>
    <w:rsid w:val="00AC14CE"/>
    <w:rsid w:val="00AC2A56"/>
    <w:rsid w:val="00AC3EC8"/>
    <w:rsid w:val="00AD055E"/>
    <w:rsid w:val="00AD1650"/>
    <w:rsid w:val="00AD47A7"/>
    <w:rsid w:val="00AF0CBF"/>
    <w:rsid w:val="00AF133F"/>
    <w:rsid w:val="00AF257F"/>
    <w:rsid w:val="00AF33CF"/>
    <w:rsid w:val="00AF4D50"/>
    <w:rsid w:val="00AF6179"/>
    <w:rsid w:val="00B042B2"/>
    <w:rsid w:val="00B052C7"/>
    <w:rsid w:val="00B069F3"/>
    <w:rsid w:val="00B1295A"/>
    <w:rsid w:val="00B20A45"/>
    <w:rsid w:val="00B22C5C"/>
    <w:rsid w:val="00B24F30"/>
    <w:rsid w:val="00B31ABF"/>
    <w:rsid w:val="00B33BE3"/>
    <w:rsid w:val="00B37E7F"/>
    <w:rsid w:val="00B53B5D"/>
    <w:rsid w:val="00B5494B"/>
    <w:rsid w:val="00B56417"/>
    <w:rsid w:val="00B6055E"/>
    <w:rsid w:val="00B607AB"/>
    <w:rsid w:val="00B6317D"/>
    <w:rsid w:val="00B64209"/>
    <w:rsid w:val="00B7723F"/>
    <w:rsid w:val="00B80534"/>
    <w:rsid w:val="00B8433C"/>
    <w:rsid w:val="00B87491"/>
    <w:rsid w:val="00BA29E9"/>
    <w:rsid w:val="00BA7067"/>
    <w:rsid w:val="00BA7142"/>
    <w:rsid w:val="00BB0F28"/>
    <w:rsid w:val="00BB237C"/>
    <w:rsid w:val="00BB41A3"/>
    <w:rsid w:val="00BB4459"/>
    <w:rsid w:val="00BB6E09"/>
    <w:rsid w:val="00BB6F41"/>
    <w:rsid w:val="00BB7E2A"/>
    <w:rsid w:val="00BC32DC"/>
    <w:rsid w:val="00BC35B6"/>
    <w:rsid w:val="00BD1143"/>
    <w:rsid w:val="00BD1B51"/>
    <w:rsid w:val="00BD4447"/>
    <w:rsid w:val="00BD4596"/>
    <w:rsid w:val="00BD78D5"/>
    <w:rsid w:val="00BD7B7A"/>
    <w:rsid w:val="00BE1405"/>
    <w:rsid w:val="00BE2D67"/>
    <w:rsid w:val="00BE312D"/>
    <w:rsid w:val="00BE4358"/>
    <w:rsid w:val="00BE49B3"/>
    <w:rsid w:val="00BF0B5F"/>
    <w:rsid w:val="00BF1C20"/>
    <w:rsid w:val="00BF5B6C"/>
    <w:rsid w:val="00C00775"/>
    <w:rsid w:val="00C031EB"/>
    <w:rsid w:val="00C063E0"/>
    <w:rsid w:val="00C10578"/>
    <w:rsid w:val="00C10D8F"/>
    <w:rsid w:val="00C135BC"/>
    <w:rsid w:val="00C14CBF"/>
    <w:rsid w:val="00C15C95"/>
    <w:rsid w:val="00C17168"/>
    <w:rsid w:val="00C1743E"/>
    <w:rsid w:val="00C2596A"/>
    <w:rsid w:val="00C27537"/>
    <w:rsid w:val="00C3219E"/>
    <w:rsid w:val="00C328FE"/>
    <w:rsid w:val="00C33507"/>
    <w:rsid w:val="00C4409D"/>
    <w:rsid w:val="00C44E72"/>
    <w:rsid w:val="00C45A06"/>
    <w:rsid w:val="00C46BEE"/>
    <w:rsid w:val="00C46CF1"/>
    <w:rsid w:val="00C47E5B"/>
    <w:rsid w:val="00C53CB1"/>
    <w:rsid w:val="00C61E4B"/>
    <w:rsid w:val="00C63F9E"/>
    <w:rsid w:val="00C64BFF"/>
    <w:rsid w:val="00C704E9"/>
    <w:rsid w:val="00C70F98"/>
    <w:rsid w:val="00C763C9"/>
    <w:rsid w:val="00C80057"/>
    <w:rsid w:val="00C82232"/>
    <w:rsid w:val="00C82913"/>
    <w:rsid w:val="00C90192"/>
    <w:rsid w:val="00C972B1"/>
    <w:rsid w:val="00CA2CCE"/>
    <w:rsid w:val="00CA43FD"/>
    <w:rsid w:val="00CA5395"/>
    <w:rsid w:val="00CA7EF8"/>
    <w:rsid w:val="00CB3608"/>
    <w:rsid w:val="00CB48F4"/>
    <w:rsid w:val="00CC489B"/>
    <w:rsid w:val="00CC7014"/>
    <w:rsid w:val="00CD2BCD"/>
    <w:rsid w:val="00CD3A4C"/>
    <w:rsid w:val="00CE10E9"/>
    <w:rsid w:val="00CE2910"/>
    <w:rsid w:val="00CE5393"/>
    <w:rsid w:val="00CF36BE"/>
    <w:rsid w:val="00CF6000"/>
    <w:rsid w:val="00D003F3"/>
    <w:rsid w:val="00D0364F"/>
    <w:rsid w:val="00D05F8A"/>
    <w:rsid w:val="00D06834"/>
    <w:rsid w:val="00D07A30"/>
    <w:rsid w:val="00D247D0"/>
    <w:rsid w:val="00D301AE"/>
    <w:rsid w:val="00D308ED"/>
    <w:rsid w:val="00D36D86"/>
    <w:rsid w:val="00D428AA"/>
    <w:rsid w:val="00D43022"/>
    <w:rsid w:val="00D4654E"/>
    <w:rsid w:val="00D50A34"/>
    <w:rsid w:val="00D53EFA"/>
    <w:rsid w:val="00D61307"/>
    <w:rsid w:val="00D63C31"/>
    <w:rsid w:val="00D652E7"/>
    <w:rsid w:val="00D81C3E"/>
    <w:rsid w:val="00D94A7C"/>
    <w:rsid w:val="00D95896"/>
    <w:rsid w:val="00DB2983"/>
    <w:rsid w:val="00DB72EC"/>
    <w:rsid w:val="00DC1257"/>
    <w:rsid w:val="00DC3DC0"/>
    <w:rsid w:val="00DC5B2B"/>
    <w:rsid w:val="00DD0E02"/>
    <w:rsid w:val="00DD318D"/>
    <w:rsid w:val="00DE3995"/>
    <w:rsid w:val="00DF2E12"/>
    <w:rsid w:val="00DF33AD"/>
    <w:rsid w:val="00DF514A"/>
    <w:rsid w:val="00DF6690"/>
    <w:rsid w:val="00DF6804"/>
    <w:rsid w:val="00DF7B80"/>
    <w:rsid w:val="00DF7D06"/>
    <w:rsid w:val="00E0054D"/>
    <w:rsid w:val="00E0358D"/>
    <w:rsid w:val="00E04323"/>
    <w:rsid w:val="00E070A2"/>
    <w:rsid w:val="00E13186"/>
    <w:rsid w:val="00E2656A"/>
    <w:rsid w:val="00E34DA1"/>
    <w:rsid w:val="00E36665"/>
    <w:rsid w:val="00E40AAE"/>
    <w:rsid w:val="00E412D0"/>
    <w:rsid w:val="00E43E59"/>
    <w:rsid w:val="00E50DC7"/>
    <w:rsid w:val="00E51C71"/>
    <w:rsid w:val="00E5491B"/>
    <w:rsid w:val="00E56322"/>
    <w:rsid w:val="00E57EC6"/>
    <w:rsid w:val="00E60982"/>
    <w:rsid w:val="00E62C62"/>
    <w:rsid w:val="00E654C1"/>
    <w:rsid w:val="00E65D97"/>
    <w:rsid w:val="00E666F2"/>
    <w:rsid w:val="00E719D1"/>
    <w:rsid w:val="00E72A5A"/>
    <w:rsid w:val="00E73354"/>
    <w:rsid w:val="00E91977"/>
    <w:rsid w:val="00E9242D"/>
    <w:rsid w:val="00E92A67"/>
    <w:rsid w:val="00E94977"/>
    <w:rsid w:val="00EA2253"/>
    <w:rsid w:val="00EA67E1"/>
    <w:rsid w:val="00EB5255"/>
    <w:rsid w:val="00EB5C47"/>
    <w:rsid w:val="00ED0639"/>
    <w:rsid w:val="00EE2732"/>
    <w:rsid w:val="00EE313F"/>
    <w:rsid w:val="00EE4F5A"/>
    <w:rsid w:val="00EF4755"/>
    <w:rsid w:val="00EF5572"/>
    <w:rsid w:val="00EF7135"/>
    <w:rsid w:val="00F027DB"/>
    <w:rsid w:val="00F14A7A"/>
    <w:rsid w:val="00F208B2"/>
    <w:rsid w:val="00F2166B"/>
    <w:rsid w:val="00F22985"/>
    <w:rsid w:val="00F26826"/>
    <w:rsid w:val="00F31BA6"/>
    <w:rsid w:val="00F3383E"/>
    <w:rsid w:val="00F377B7"/>
    <w:rsid w:val="00F37D17"/>
    <w:rsid w:val="00F465A7"/>
    <w:rsid w:val="00F50B7C"/>
    <w:rsid w:val="00F53E66"/>
    <w:rsid w:val="00F53FF3"/>
    <w:rsid w:val="00F550E6"/>
    <w:rsid w:val="00F74345"/>
    <w:rsid w:val="00F751BA"/>
    <w:rsid w:val="00F80A0A"/>
    <w:rsid w:val="00F82B19"/>
    <w:rsid w:val="00F9212D"/>
    <w:rsid w:val="00F93348"/>
    <w:rsid w:val="00F965DA"/>
    <w:rsid w:val="00FA406A"/>
    <w:rsid w:val="00FB0110"/>
    <w:rsid w:val="00FB503A"/>
    <w:rsid w:val="00FB516C"/>
    <w:rsid w:val="00FD0236"/>
    <w:rsid w:val="00FD18F4"/>
    <w:rsid w:val="00FD54DB"/>
    <w:rsid w:val="00FD619F"/>
    <w:rsid w:val="00FD7798"/>
    <w:rsid w:val="01021E1B"/>
    <w:rsid w:val="01040081"/>
    <w:rsid w:val="010F7FF3"/>
    <w:rsid w:val="01141B6D"/>
    <w:rsid w:val="011A24F4"/>
    <w:rsid w:val="011A35F2"/>
    <w:rsid w:val="011D12F1"/>
    <w:rsid w:val="011E7A61"/>
    <w:rsid w:val="01284C10"/>
    <w:rsid w:val="01290F7E"/>
    <w:rsid w:val="01357A85"/>
    <w:rsid w:val="013B0DE8"/>
    <w:rsid w:val="013D34C0"/>
    <w:rsid w:val="015D1E09"/>
    <w:rsid w:val="016814B1"/>
    <w:rsid w:val="01721581"/>
    <w:rsid w:val="017B100D"/>
    <w:rsid w:val="017B5688"/>
    <w:rsid w:val="017D7DA0"/>
    <w:rsid w:val="018830A2"/>
    <w:rsid w:val="019329D2"/>
    <w:rsid w:val="01B3167F"/>
    <w:rsid w:val="01B4669F"/>
    <w:rsid w:val="01B90EC2"/>
    <w:rsid w:val="01BA61B0"/>
    <w:rsid w:val="01C30A74"/>
    <w:rsid w:val="01D37272"/>
    <w:rsid w:val="01D408F4"/>
    <w:rsid w:val="01DF5F40"/>
    <w:rsid w:val="01E07D88"/>
    <w:rsid w:val="01E70628"/>
    <w:rsid w:val="01ED5F09"/>
    <w:rsid w:val="01F80802"/>
    <w:rsid w:val="01FF79C7"/>
    <w:rsid w:val="020B11EB"/>
    <w:rsid w:val="020B5EE9"/>
    <w:rsid w:val="020C476E"/>
    <w:rsid w:val="020D5934"/>
    <w:rsid w:val="0216427A"/>
    <w:rsid w:val="0216715F"/>
    <w:rsid w:val="021D12B5"/>
    <w:rsid w:val="021E41D8"/>
    <w:rsid w:val="02337D11"/>
    <w:rsid w:val="024108D4"/>
    <w:rsid w:val="02411BF5"/>
    <w:rsid w:val="0242796A"/>
    <w:rsid w:val="02511F45"/>
    <w:rsid w:val="02553004"/>
    <w:rsid w:val="025D4F91"/>
    <w:rsid w:val="025D633B"/>
    <w:rsid w:val="026525DA"/>
    <w:rsid w:val="02697903"/>
    <w:rsid w:val="02700433"/>
    <w:rsid w:val="027345B1"/>
    <w:rsid w:val="0273635F"/>
    <w:rsid w:val="02777BFD"/>
    <w:rsid w:val="027A344C"/>
    <w:rsid w:val="027D2D3A"/>
    <w:rsid w:val="027D71DE"/>
    <w:rsid w:val="028B7AEF"/>
    <w:rsid w:val="028E2A3C"/>
    <w:rsid w:val="028E4F47"/>
    <w:rsid w:val="02906F11"/>
    <w:rsid w:val="02924A37"/>
    <w:rsid w:val="02942085"/>
    <w:rsid w:val="029A6AAF"/>
    <w:rsid w:val="029E162E"/>
    <w:rsid w:val="02A209F3"/>
    <w:rsid w:val="02AE7397"/>
    <w:rsid w:val="02B12525"/>
    <w:rsid w:val="02BD2004"/>
    <w:rsid w:val="02BE582C"/>
    <w:rsid w:val="02C1356F"/>
    <w:rsid w:val="02CE2CB2"/>
    <w:rsid w:val="02CE336F"/>
    <w:rsid w:val="02D0730E"/>
    <w:rsid w:val="02D408DF"/>
    <w:rsid w:val="02D67A1F"/>
    <w:rsid w:val="02DA5CBD"/>
    <w:rsid w:val="02DA63DE"/>
    <w:rsid w:val="02DD2177"/>
    <w:rsid w:val="02EA04F8"/>
    <w:rsid w:val="02EA255C"/>
    <w:rsid w:val="02EC1059"/>
    <w:rsid w:val="02EE3C38"/>
    <w:rsid w:val="02F96569"/>
    <w:rsid w:val="02FC20A8"/>
    <w:rsid w:val="02FF7BF3"/>
    <w:rsid w:val="0301396B"/>
    <w:rsid w:val="03082BE0"/>
    <w:rsid w:val="0308774D"/>
    <w:rsid w:val="030B5862"/>
    <w:rsid w:val="030F5776"/>
    <w:rsid w:val="031172F9"/>
    <w:rsid w:val="0314405E"/>
    <w:rsid w:val="03161395"/>
    <w:rsid w:val="03165668"/>
    <w:rsid w:val="031A67DB"/>
    <w:rsid w:val="031C440B"/>
    <w:rsid w:val="032064E7"/>
    <w:rsid w:val="032A1114"/>
    <w:rsid w:val="032A3D5D"/>
    <w:rsid w:val="033169AF"/>
    <w:rsid w:val="03336FBB"/>
    <w:rsid w:val="03337DB4"/>
    <w:rsid w:val="0335375A"/>
    <w:rsid w:val="03391357"/>
    <w:rsid w:val="033E1498"/>
    <w:rsid w:val="033E4BBF"/>
    <w:rsid w:val="03433159"/>
    <w:rsid w:val="03470D80"/>
    <w:rsid w:val="03576036"/>
    <w:rsid w:val="035A20E2"/>
    <w:rsid w:val="03607F1C"/>
    <w:rsid w:val="03726964"/>
    <w:rsid w:val="037E18C1"/>
    <w:rsid w:val="0380392F"/>
    <w:rsid w:val="0381685A"/>
    <w:rsid w:val="03822CFE"/>
    <w:rsid w:val="03830824"/>
    <w:rsid w:val="038B10BD"/>
    <w:rsid w:val="03942739"/>
    <w:rsid w:val="03A9126F"/>
    <w:rsid w:val="03AC496B"/>
    <w:rsid w:val="03AF1A93"/>
    <w:rsid w:val="03B537F4"/>
    <w:rsid w:val="03BA3713"/>
    <w:rsid w:val="03BB7FBE"/>
    <w:rsid w:val="03C20F99"/>
    <w:rsid w:val="03C30C92"/>
    <w:rsid w:val="03C976B1"/>
    <w:rsid w:val="03C97E37"/>
    <w:rsid w:val="03D41080"/>
    <w:rsid w:val="03D472D2"/>
    <w:rsid w:val="03D66BA6"/>
    <w:rsid w:val="03DD60A5"/>
    <w:rsid w:val="03EA7B21"/>
    <w:rsid w:val="03EC461B"/>
    <w:rsid w:val="03F51722"/>
    <w:rsid w:val="03FA1EE1"/>
    <w:rsid w:val="041B0FFD"/>
    <w:rsid w:val="041D4259"/>
    <w:rsid w:val="04253689"/>
    <w:rsid w:val="04304798"/>
    <w:rsid w:val="04317E01"/>
    <w:rsid w:val="0433224A"/>
    <w:rsid w:val="04335DA6"/>
    <w:rsid w:val="043D09D3"/>
    <w:rsid w:val="0447422A"/>
    <w:rsid w:val="04493E2E"/>
    <w:rsid w:val="045D72C7"/>
    <w:rsid w:val="046378E3"/>
    <w:rsid w:val="0471202B"/>
    <w:rsid w:val="0478248A"/>
    <w:rsid w:val="047A1C27"/>
    <w:rsid w:val="04804CCE"/>
    <w:rsid w:val="048353E4"/>
    <w:rsid w:val="04854128"/>
    <w:rsid w:val="048E122E"/>
    <w:rsid w:val="04952304"/>
    <w:rsid w:val="04976897"/>
    <w:rsid w:val="049B3C06"/>
    <w:rsid w:val="04AF43D1"/>
    <w:rsid w:val="04B769D7"/>
    <w:rsid w:val="04BD453F"/>
    <w:rsid w:val="04C525B7"/>
    <w:rsid w:val="04C64E6C"/>
    <w:rsid w:val="04D414F3"/>
    <w:rsid w:val="04DD5E8C"/>
    <w:rsid w:val="04E30C67"/>
    <w:rsid w:val="04ED41A7"/>
    <w:rsid w:val="04EE7F1F"/>
    <w:rsid w:val="04EF5977"/>
    <w:rsid w:val="04F1003A"/>
    <w:rsid w:val="04F1489B"/>
    <w:rsid w:val="04F27FC6"/>
    <w:rsid w:val="05123C0E"/>
    <w:rsid w:val="05180E05"/>
    <w:rsid w:val="05184F9C"/>
    <w:rsid w:val="052120A3"/>
    <w:rsid w:val="052371A0"/>
    <w:rsid w:val="0527522E"/>
    <w:rsid w:val="052F2B9D"/>
    <w:rsid w:val="053047DC"/>
    <w:rsid w:val="05320201"/>
    <w:rsid w:val="05340449"/>
    <w:rsid w:val="05377B18"/>
    <w:rsid w:val="0538490A"/>
    <w:rsid w:val="053A13B6"/>
    <w:rsid w:val="053D094C"/>
    <w:rsid w:val="0541053E"/>
    <w:rsid w:val="05420AC0"/>
    <w:rsid w:val="05450D5B"/>
    <w:rsid w:val="05483CAB"/>
    <w:rsid w:val="055D5E88"/>
    <w:rsid w:val="056A57F8"/>
    <w:rsid w:val="05701058"/>
    <w:rsid w:val="05741BCE"/>
    <w:rsid w:val="05777F14"/>
    <w:rsid w:val="057A5A18"/>
    <w:rsid w:val="057B460B"/>
    <w:rsid w:val="05817383"/>
    <w:rsid w:val="058A128E"/>
    <w:rsid w:val="059211F2"/>
    <w:rsid w:val="05976C06"/>
    <w:rsid w:val="05A1031B"/>
    <w:rsid w:val="05A32387"/>
    <w:rsid w:val="05AF4F47"/>
    <w:rsid w:val="05BE5B43"/>
    <w:rsid w:val="05C05834"/>
    <w:rsid w:val="05C84C14"/>
    <w:rsid w:val="05CE389F"/>
    <w:rsid w:val="05D934A8"/>
    <w:rsid w:val="05DD5005"/>
    <w:rsid w:val="05F22089"/>
    <w:rsid w:val="05F5313C"/>
    <w:rsid w:val="05F83EAE"/>
    <w:rsid w:val="05FC256F"/>
    <w:rsid w:val="06005601"/>
    <w:rsid w:val="06071298"/>
    <w:rsid w:val="06085010"/>
    <w:rsid w:val="06190FCC"/>
    <w:rsid w:val="062071CF"/>
    <w:rsid w:val="063127B9"/>
    <w:rsid w:val="06315FC3"/>
    <w:rsid w:val="063319C5"/>
    <w:rsid w:val="0633208D"/>
    <w:rsid w:val="06345BBB"/>
    <w:rsid w:val="0636404E"/>
    <w:rsid w:val="0639341C"/>
    <w:rsid w:val="063E7D85"/>
    <w:rsid w:val="06471FDD"/>
    <w:rsid w:val="06472967"/>
    <w:rsid w:val="0648365F"/>
    <w:rsid w:val="06562220"/>
    <w:rsid w:val="065B3392"/>
    <w:rsid w:val="065E47FD"/>
    <w:rsid w:val="065F10D4"/>
    <w:rsid w:val="06602921"/>
    <w:rsid w:val="0661309E"/>
    <w:rsid w:val="06650974"/>
    <w:rsid w:val="066C414C"/>
    <w:rsid w:val="0677688D"/>
    <w:rsid w:val="067850D4"/>
    <w:rsid w:val="067863E5"/>
    <w:rsid w:val="06823015"/>
    <w:rsid w:val="06856661"/>
    <w:rsid w:val="068B1EC9"/>
    <w:rsid w:val="068B5BC7"/>
    <w:rsid w:val="068C5C42"/>
    <w:rsid w:val="06936FD0"/>
    <w:rsid w:val="06982838"/>
    <w:rsid w:val="06992401"/>
    <w:rsid w:val="06A37841"/>
    <w:rsid w:val="06A43ECD"/>
    <w:rsid w:val="06A44E95"/>
    <w:rsid w:val="06B036DE"/>
    <w:rsid w:val="06BC4CA1"/>
    <w:rsid w:val="06BD5DFB"/>
    <w:rsid w:val="06BF4ECA"/>
    <w:rsid w:val="06CA02A7"/>
    <w:rsid w:val="06D00722"/>
    <w:rsid w:val="06D7446F"/>
    <w:rsid w:val="06D876AC"/>
    <w:rsid w:val="06E635A4"/>
    <w:rsid w:val="06E72E78"/>
    <w:rsid w:val="06E74691"/>
    <w:rsid w:val="06F532F4"/>
    <w:rsid w:val="06F57F87"/>
    <w:rsid w:val="06FB0E58"/>
    <w:rsid w:val="0701285C"/>
    <w:rsid w:val="07016A24"/>
    <w:rsid w:val="070339B1"/>
    <w:rsid w:val="07033CCF"/>
    <w:rsid w:val="07034156"/>
    <w:rsid w:val="070B300A"/>
    <w:rsid w:val="070C4371"/>
    <w:rsid w:val="071D19F0"/>
    <w:rsid w:val="071E0F8F"/>
    <w:rsid w:val="072461A6"/>
    <w:rsid w:val="07255A53"/>
    <w:rsid w:val="07260A54"/>
    <w:rsid w:val="07293586"/>
    <w:rsid w:val="07295285"/>
    <w:rsid w:val="07347FFB"/>
    <w:rsid w:val="073562D9"/>
    <w:rsid w:val="0737095D"/>
    <w:rsid w:val="07375341"/>
    <w:rsid w:val="073842E1"/>
    <w:rsid w:val="073F7D72"/>
    <w:rsid w:val="074A1D85"/>
    <w:rsid w:val="074A3B33"/>
    <w:rsid w:val="074B46B2"/>
    <w:rsid w:val="074B4E78"/>
    <w:rsid w:val="0752240B"/>
    <w:rsid w:val="075E270E"/>
    <w:rsid w:val="07636392"/>
    <w:rsid w:val="0765050D"/>
    <w:rsid w:val="0768220B"/>
    <w:rsid w:val="077557CB"/>
    <w:rsid w:val="077566D6"/>
    <w:rsid w:val="07770C56"/>
    <w:rsid w:val="077B0190"/>
    <w:rsid w:val="077C03BD"/>
    <w:rsid w:val="07804C72"/>
    <w:rsid w:val="078F7E87"/>
    <w:rsid w:val="07921036"/>
    <w:rsid w:val="07996559"/>
    <w:rsid w:val="07996868"/>
    <w:rsid w:val="079B25E0"/>
    <w:rsid w:val="07A50D69"/>
    <w:rsid w:val="07B022F6"/>
    <w:rsid w:val="07B131E0"/>
    <w:rsid w:val="07B32131"/>
    <w:rsid w:val="07B40FAC"/>
    <w:rsid w:val="07BC27F4"/>
    <w:rsid w:val="07C815C0"/>
    <w:rsid w:val="07D23B28"/>
    <w:rsid w:val="07D50775"/>
    <w:rsid w:val="07DE5E76"/>
    <w:rsid w:val="07E46A84"/>
    <w:rsid w:val="07EA2111"/>
    <w:rsid w:val="07EB10A3"/>
    <w:rsid w:val="07EE750D"/>
    <w:rsid w:val="07FC261D"/>
    <w:rsid w:val="07FC3FBC"/>
    <w:rsid w:val="07FD79D6"/>
    <w:rsid w:val="08017E70"/>
    <w:rsid w:val="08034A6F"/>
    <w:rsid w:val="080842EB"/>
    <w:rsid w:val="080A297D"/>
    <w:rsid w:val="08123F24"/>
    <w:rsid w:val="081D2FF5"/>
    <w:rsid w:val="082F2D28"/>
    <w:rsid w:val="083420ED"/>
    <w:rsid w:val="08390136"/>
    <w:rsid w:val="083D5469"/>
    <w:rsid w:val="08484DBB"/>
    <w:rsid w:val="085836BA"/>
    <w:rsid w:val="085D5AE7"/>
    <w:rsid w:val="086707D7"/>
    <w:rsid w:val="086C1887"/>
    <w:rsid w:val="086E1341"/>
    <w:rsid w:val="086E1AA3"/>
    <w:rsid w:val="086F4ADE"/>
    <w:rsid w:val="08742965"/>
    <w:rsid w:val="087B41C0"/>
    <w:rsid w:val="087D5842"/>
    <w:rsid w:val="08843C6C"/>
    <w:rsid w:val="088E49C1"/>
    <w:rsid w:val="089A370F"/>
    <w:rsid w:val="089A4646"/>
    <w:rsid w:val="08AC6127"/>
    <w:rsid w:val="08B10F3A"/>
    <w:rsid w:val="08B66FA6"/>
    <w:rsid w:val="08C15EE6"/>
    <w:rsid w:val="08C6543B"/>
    <w:rsid w:val="08C770E5"/>
    <w:rsid w:val="08C97598"/>
    <w:rsid w:val="08CA6323"/>
    <w:rsid w:val="08CC67C9"/>
    <w:rsid w:val="08CE42EF"/>
    <w:rsid w:val="08D15EDE"/>
    <w:rsid w:val="08D27CA6"/>
    <w:rsid w:val="08DC6C8A"/>
    <w:rsid w:val="08E12275"/>
    <w:rsid w:val="08E52080"/>
    <w:rsid w:val="08E62227"/>
    <w:rsid w:val="08EB45FC"/>
    <w:rsid w:val="08EE327C"/>
    <w:rsid w:val="08F301FA"/>
    <w:rsid w:val="08F5187C"/>
    <w:rsid w:val="08FA1588"/>
    <w:rsid w:val="08FA5AF8"/>
    <w:rsid w:val="08FC0E5C"/>
    <w:rsid w:val="090221EB"/>
    <w:rsid w:val="09027469"/>
    <w:rsid w:val="09095816"/>
    <w:rsid w:val="090E293E"/>
    <w:rsid w:val="091C32AD"/>
    <w:rsid w:val="092217DD"/>
    <w:rsid w:val="092C039C"/>
    <w:rsid w:val="092C732C"/>
    <w:rsid w:val="09362C2D"/>
    <w:rsid w:val="093A7294"/>
    <w:rsid w:val="093F343F"/>
    <w:rsid w:val="093F51ED"/>
    <w:rsid w:val="093F6F9B"/>
    <w:rsid w:val="09563D32"/>
    <w:rsid w:val="095B523B"/>
    <w:rsid w:val="09616F12"/>
    <w:rsid w:val="096D2EE6"/>
    <w:rsid w:val="096E6105"/>
    <w:rsid w:val="097E4E88"/>
    <w:rsid w:val="098175B4"/>
    <w:rsid w:val="09880E84"/>
    <w:rsid w:val="098A4828"/>
    <w:rsid w:val="098B0432"/>
    <w:rsid w:val="09A35300"/>
    <w:rsid w:val="09B039F5"/>
    <w:rsid w:val="09B437A0"/>
    <w:rsid w:val="09C341EE"/>
    <w:rsid w:val="09CB40A4"/>
    <w:rsid w:val="09CB466D"/>
    <w:rsid w:val="09D83091"/>
    <w:rsid w:val="09DB79A7"/>
    <w:rsid w:val="09DC47EA"/>
    <w:rsid w:val="09E57A38"/>
    <w:rsid w:val="09ED4C49"/>
    <w:rsid w:val="09F558AC"/>
    <w:rsid w:val="0A002BCE"/>
    <w:rsid w:val="0A0124A3"/>
    <w:rsid w:val="0A06578F"/>
    <w:rsid w:val="0A0855DF"/>
    <w:rsid w:val="0A0A48B2"/>
    <w:rsid w:val="0A0F2E11"/>
    <w:rsid w:val="0A0F696E"/>
    <w:rsid w:val="0A1B3564"/>
    <w:rsid w:val="0A263993"/>
    <w:rsid w:val="0A2D3AC2"/>
    <w:rsid w:val="0A3129AC"/>
    <w:rsid w:val="0A33271D"/>
    <w:rsid w:val="0A485B7D"/>
    <w:rsid w:val="0A4C31B6"/>
    <w:rsid w:val="0A4E55E1"/>
    <w:rsid w:val="0A5847B8"/>
    <w:rsid w:val="0A5B349B"/>
    <w:rsid w:val="0A670558"/>
    <w:rsid w:val="0A6F565E"/>
    <w:rsid w:val="0A7313FD"/>
    <w:rsid w:val="0A7657E7"/>
    <w:rsid w:val="0A781036"/>
    <w:rsid w:val="0A8664FB"/>
    <w:rsid w:val="0A8A01E4"/>
    <w:rsid w:val="0A8A693C"/>
    <w:rsid w:val="0AA07F0D"/>
    <w:rsid w:val="0AA617F4"/>
    <w:rsid w:val="0AA755DF"/>
    <w:rsid w:val="0AB5146B"/>
    <w:rsid w:val="0AC77248"/>
    <w:rsid w:val="0AC8450F"/>
    <w:rsid w:val="0ADD3CCF"/>
    <w:rsid w:val="0AE93662"/>
    <w:rsid w:val="0AFA3151"/>
    <w:rsid w:val="0AFA5870"/>
    <w:rsid w:val="0AFF4C34"/>
    <w:rsid w:val="0B024724"/>
    <w:rsid w:val="0B0D2B16"/>
    <w:rsid w:val="0B120D44"/>
    <w:rsid w:val="0B162C01"/>
    <w:rsid w:val="0B1701D0"/>
    <w:rsid w:val="0B187AA4"/>
    <w:rsid w:val="0B1F0FC2"/>
    <w:rsid w:val="0B2428ED"/>
    <w:rsid w:val="0B3D750A"/>
    <w:rsid w:val="0B491C37"/>
    <w:rsid w:val="0B4B7AA5"/>
    <w:rsid w:val="0B5101BC"/>
    <w:rsid w:val="0B674BE6"/>
    <w:rsid w:val="0B682281"/>
    <w:rsid w:val="0B6B4077"/>
    <w:rsid w:val="0B6B7B05"/>
    <w:rsid w:val="0B6C5E87"/>
    <w:rsid w:val="0B6E18EB"/>
    <w:rsid w:val="0B705AA6"/>
    <w:rsid w:val="0B7644CD"/>
    <w:rsid w:val="0B772351"/>
    <w:rsid w:val="0B7E024F"/>
    <w:rsid w:val="0B892750"/>
    <w:rsid w:val="0B8D0492"/>
    <w:rsid w:val="0B8D42B9"/>
    <w:rsid w:val="0B9319D4"/>
    <w:rsid w:val="0BAF0051"/>
    <w:rsid w:val="0BB023D2"/>
    <w:rsid w:val="0BB848F4"/>
    <w:rsid w:val="0BB84DE3"/>
    <w:rsid w:val="0BBF36E8"/>
    <w:rsid w:val="0BBF6493"/>
    <w:rsid w:val="0BC30B0F"/>
    <w:rsid w:val="0BCA5242"/>
    <w:rsid w:val="0BCE43EF"/>
    <w:rsid w:val="0BD27BF6"/>
    <w:rsid w:val="0BD5530E"/>
    <w:rsid w:val="0BD834AB"/>
    <w:rsid w:val="0BDB18AC"/>
    <w:rsid w:val="0BE43E2A"/>
    <w:rsid w:val="0BE91440"/>
    <w:rsid w:val="0BF20899"/>
    <w:rsid w:val="0C03466A"/>
    <w:rsid w:val="0C0C797D"/>
    <w:rsid w:val="0C1E10EA"/>
    <w:rsid w:val="0C243D0E"/>
    <w:rsid w:val="0C2A7A8F"/>
    <w:rsid w:val="0C2B3807"/>
    <w:rsid w:val="0C2D757F"/>
    <w:rsid w:val="0C302FC2"/>
    <w:rsid w:val="0C321039"/>
    <w:rsid w:val="0C3B3C7D"/>
    <w:rsid w:val="0C3B6280"/>
    <w:rsid w:val="0C3C3C66"/>
    <w:rsid w:val="0C4049FC"/>
    <w:rsid w:val="0C43782D"/>
    <w:rsid w:val="0C474AE5"/>
    <w:rsid w:val="0C483CD8"/>
    <w:rsid w:val="0C492BE6"/>
    <w:rsid w:val="0C4F3999"/>
    <w:rsid w:val="0C5036FE"/>
    <w:rsid w:val="0C576B57"/>
    <w:rsid w:val="0C6A2581"/>
    <w:rsid w:val="0C7156BE"/>
    <w:rsid w:val="0C7B02EA"/>
    <w:rsid w:val="0C8F1FE8"/>
    <w:rsid w:val="0C914A49"/>
    <w:rsid w:val="0CA912FB"/>
    <w:rsid w:val="0CAB2EAE"/>
    <w:rsid w:val="0CB86B08"/>
    <w:rsid w:val="0CC25F19"/>
    <w:rsid w:val="0CD04C89"/>
    <w:rsid w:val="0CD214D8"/>
    <w:rsid w:val="0CD552AC"/>
    <w:rsid w:val="0CD8398F"/>
    <w:rsid w:val="0CE73BD2"/>
    <w:rsid w:val="0CF07DF5"/>
    <w:rsid w:val="0CF53D1A"/>
    <w:rsid w:val="0CFC6222"/>
    <w:rsid w:val="0D011E60"/>
    <w:rsid w:val="0D0C3638"/>
    <w:rsid w:val="0D0D0E61"/>
    <w:rsid w:val="0D116A79"/>
    <w:rsid w:val="0D146881"/>
    <w:rsid w:val="0D1700D3"/>
    <w:rsid w:val="0D18022F"/>
    <w:rsid w:val="0D187EE2"/>
    <w:rsid w:val="0D1F336B"/>
    <w:rsid w:val="0D2564A8"/>
    <w:rsid w:val="0D3B1BD3"/>
    <w:rsid w:val="0D4122A6"/>
    <w:rsid w:val="0D4236BB"/>
    <w:rsid w:val="0D447EFA"/>
    <w:rsid w:val="0D5374B9"/>
    <w:rsid w:val="0D5A43A4"/>
    <w:rsid w:val="0D5A7752"/>
    <w:rsid w:val="0D5F3532"/>
    <w:rsid w:val="0D621C7D"/>
    <w:rsid w:val="0D6A28A2"/>
    <w:rsid w:val="0D6A2BD4"/>
    <w:rsid w:val="0D6B4803"/>
    <w:rsid w:val="0D7F6A2A"/>
    <w:rsid w:val="0D7F7553"/>
    <w:rsid w:val="0D8A0478"/>
    <w:rsid w:val="0D9553DC"/>
    <w:rsid w:val="0D993E8E"/>
    <w:rsid w:val="0DAD613B"/>
    <w:rsid w:val="0DB52EF3"/>
    <w:rsid w:val="0DBB6FB2"/>
    <w:rsid w:val="0DBD2920"/>
    <w:rsid w:val="0DC3019B"/>
    <w:rsid w:val="0DD007EB"/>
    <w:rsid w:val="0DD203DE"/>
    <w:rsid w:val="0DD57ECE"/>
    <w:rsid w:val="0DE14864"/>
    <w:rsid w:val="0DEA1BCB"/>
    <w:rsid w:val="0DEB14A0"/>
    <w:rsid w:val="0DEC2C9D"/>
    <w:rsid w:val="0DF7267A"/>
    <w:rsid w:val="0DF8552C"/>
    <w:rsid w:val="0DFB6880"/>
    <w:rsid w:val="0E010E09"/>
    <w:rsid w:val="0E0B587A"/>
    <w:rsid w:val="0E0D58BA"/>
    <w:rsid w:val="0E1924B1"/>
    <w:rsid w:val="0E2D1AB8"/>
    <w:rsid w:val="0E2D36D6"/>
    <w:rsid w:val="0E305C32"/>
    <w:rsid w:val="0E375C2E"/>
    <w:rsid w:val="0E48359D"/>
    <w:rsid w:val="0E4A1F2E"/>
    <w:rsid w:val="0E4E7299"/>
    <w:rsid w:val="0E550BD9"/>
    <w:rsid w:val="0E574D87"/>
    <w:rsid w:val="0E585C97"/>
    <w:rsid w:val="0E5B222E"/>
    <w:rsid w:val="0E5D00BB"/>
    <w:rsid w:val="0E6E1C01"/>
    <w:rsid w:val="0E711068"/>
    <w:rsid w:val="0E73034D"/>
    <w:rsid w:val="0E756275"/>
    <w:rsid w:val="0E781553"/>
    <w:rsid w:val="0E792F4F"/>
    <w:rsid w:val="0E7D0050"/>
    <w:rsid w:val="0E81086D"/>
    <w:rsid w:val="0E8266C5"/>
    <w:rsid w:val="0E8268DF"/>
    <w:rsid w:val="0E8327C4"/>
    <w:rsid w:val="0E884F40"/>
    <w:rsid w:val="0E95409B"/>
    <w:rsid w:val="0E981627"/>
    <w:rsid w:val="0E9D6C3E"/>
    <w:rsid w:val="0EA224A6"/>
    <w:rsid w:val="0EA3277B"/>
    <w:rsid w:val="0EA646CE"/>
    <w:rsid w:val="0EA9472B"/>
    <w:rsid w:val="0EAA4272"/>
    <w:rsid w:val="0EB5446C"/>
    <w:rsid w:val="0EBE0962"/>
    <w:rsid w:val="0EC266A4"/>
    <w:rsid w:val="0EC91913"/>
    <w:rsid w:val="0ECC307F"/>
    <w:rsid w:val="0ED56DC0"/>
    <w:rsid w:val="0EE8782E"/>
    <w:rsid w:val="0EED537A"/>
    <w:rsid w:val="0EEF6D6E"/>
    <w:rsid w:val="0EF02D90"/>
    <w:rsid w:val="0EF21CE4"/>
    <w:rsid w:val="0EF62E89"/>
    <w:rsid w:val="0F00642D"/>
    <w:rsid w:val="0F072309"/>
    <w:rsid w:val="0F0A004B"/>
    <w:rsid w:val="0F0B1857"/>
    <w:rsid w:val="0F13775A"/>
    <w:rsid w:val="0F20161D"/>
    <w:rsid w:val="0F213556"/>
    <w:rsid w:val="0F26158E"/>
    <w:rsid w:val="0F2674FB"/>
    <w:rsid w:val="0F27519E"/>
    <w:rsid w:val="0F296723"/>
    <w:rsid w:val="0F2A1398"/>
    <w:rsid w:val="0F3E1C63"/>
    <w:rsid w:val="0F443040"/>
    <w:rsid w:val="0F4B1750"/>
    <w:rsid w:val="0F4C33C4"/>
    <w:rsid w:val="0F5231EE"/>
    <w:rsid w:val="0F525388"/>
    <w:rsid w:val="0F55637C"/>
    <w:rsid w:val="0F5D017B"/>
    <w:rsid w:val="0F5F45FE"/>
    <w:rsid w:val="0F6F56D7"/>
    <w:rsid w:val="0F715339"/>
    <w:rsid w:val="0F806F0F"/>
    <w:rsid w:val="0F84472A"/>
    <w:rsid w:val="0F8F5C4D"/>
    <w:rsid w:val="0F931DEF"/>
    <w:rsid w:val="0F985657"/>
    <w:rsid w:val="0F9A112B"/>
    <w:rsid w:val="0F9B6B6C"/>
    <w:rsid w:val="0FA364D6"/>
    <w:rsid w:val="0FA43FFC"/>
    <w:rsid w:val="0FA662EA"/>
    <w:rsid w:val="0FB64E35"/>
    <w:rsid w:val="0FCB1A87"/>
    <w:rsid w:val="0FD83CA6"/>
    <w:rsid w:val="0FD86801"/>
    <w:rsid w:val="0FDB3082"/>
    <w:rsid w:val="0FE443F8"/>
    <w:rsid w:val="0FE64D54"/>
    <w:rsid w:val="0FEE51C5"/>
    <w:rsid w:val="0FFC1742"/>
    <w:rsid w:val="10036F74"/>
    <w:rsid w:val="10042CED"/>
    <w:rsid w:val="10063A49"/>
    <w:rsid w:val="100B2C10"/>
    <w:rsid w:val="100D7DF3"/>
    <w:rsid w:val="101459EF"/>
    <w:rsid w:val="101767B5"/>
    <w:rsid w:val="101F03F1"/>
    <w:rsid w:val="10270FEE"/>
    <w:rsid w:val="10330AE4"/>
    <w:rsid w:val="1033355D"/>
    <w:rsid w:val="10374E70"/>
    <w:rsid w:val="103B5F50"/>
    <w:rsid w:val="103B7809"/>
    <w:rsid w:val="103C2486"/>
    <w:rsid w:val="104B091B"/>
    <w:rsid w:val="105341F4"/>
    <w:rsid w:val="105B4404"/>
    <w:rsid w:val="1067460C"/>
    <w:rsid w:val="106B4B1A"/>
    <w:rsid w:val="106D2F64"/>
    <w:rsid w:val="106F0166"/>
    <w:rsid w:val="106F460A"/>
    <w:rsid w:val="10710382"/>
    <w:rsid w:val="10740D66"/>
    <w:rsid w:val="108101C5"/>
    <w:rsid w:val="10831E63"/>
    <w:rsid w:val="10846DA4"/>
    <w:rsid w:val="10855BDB"/>
    <w:rsid w:val="108B5765"/>
    <w:rsid w:val="108E2FE9"/>
    <w:rsid w:val="108F25B6"/>
    <w:rsid w:val="109C4CD3"/>
    <w:rsid w:val="109D5625"/>
    <w:rsid w:val="10AB6CCD"/>
    <w:rsid w:val="10AF7487"/>
    <w:rsid w:val="10B021BD"/>
    <w:rsid w:val="10B63710"/>
    <w:rsid w:val="10B63FE7"/>
    <w:rsid w:val="10C44985"/>
    <w:rsid w:val="10C52369"/>
    <w:rsid w:val="10C76234"/>
    <w:rsid w:val="10D10813"/>
    <w:rsid w:val="10D317AB"/>
    <w:rsid w:val="10D62C3E"/>
    <w:rsid w:val="10D95BF6"/>
    <w:rsid w:val="10E02E12"/>
    <w:rsid w:val="10ED3CC5"/>
    <w:rsid w:val="10EF12A7"/>
    <w:rsid w:val="10F10820"/>
    <w:rsid w:val="10F5585D"/>
    <w:rsid w:val="110004CE"/>
    <w:rsid w:val="110113F5"/>
    <w:rsid w:val="11034D52"/>
    <w:rsid w:val="110506AA"/>
    <w:rsid w:val="11182482"/>
    <w:rsid w:val="111C2F7A"/>
    <w:rsid w:val="111C577F"/>
    <w:rsid w:val="111F723F"/>
    <w:rsid w:val="112C24FB"/>
    <w:rsid w:val="112D2675"/>
    <w:rsid w:val="11407D54"/>
    <w:rsid w:val="11423ACC"/>
    <w:rsid w:val="11427629"/>
    <w:rsid w:val="1144167F"/>
    <w:rsid w:val="11464976"/>
    <w:rsid w:val="11477335"/>
    <w:rsid w:val="114A2981"/>
    <w:rsid w:val="114A2DA0"/>
    <w:rsid w:val="114F7F97"/>
    <w:rsid w:val="11537A88"/>
    <w:rsid w:val="11577545"/>
    <w:rsid w:val="115832F0"/>
    <w:rsid w:val="11621A79"/>
    <w:rsid w:val="116538FB"/>
    <w:rsid w:val="11665CA1"/>
    <w:rsid w:val="116B48D8"/>
    <w:rsid w:val="1179517C"/>
    <w:rsid w:val="117A3266"/>
    <w:rsid w:val="11850FF5"/>
    <w:rsid w:val="11851C0B"/>
    <w:rsid w:val="11852E0E"/>
    <w:rsid w:val="118770D0"/>
    <w:rsid w:val="118934A9"/>
    <w:rsid w:val="118C11EC"/>
    <w:rsid w:val="119A64F4"/>
    <w:rsid w:val="11AB78C4"/>
    <w:rsid w:val="11B5429E"/>
    <w:rsid w:val="11BB73DB"/>
    <w:rsid w:val="11BE63FD"/>
    <w:rsid w:val="11C37011"/>
    <w:rsid w:val="11DB182B"/>
    <w:rsid w:val="11DD37F5"/>
    <w:rsid w:val="11E03D66"/>
    <w:rsid w:val="11E608FC"/>
    <w:rsid w:val="11E813CE"/>
    <w:rsid w:val="11E92E48"/>
    <w:rsid w:val="11EA598B"/>
    <w:rsid w:val="11FA7F03"/>
    <w:rsid w:val="11FE3CE4"/>
    <w:rsid w:val="120B0362"/>
    <w:rsid w:val="121C2ACA"/>
    <w:rsid w:val="12267F87"/>
    <w:rsid w:val="12282CC2"/>
    <w:rsid w:val="122A4C8C"/>
    <w:rsid w:val="122C3082"/>
    <w:rsid w:val="123E4294"/>
    <w:rsid w:val="12414B3D"/>
    <w:rsid w:val="12461988"/>
    <w:rsid w:val="12543AB7"/>
    <w:rsid w:val="12592A4E"/>
    <w:rsid w:val="125F4737"/>
    <w:rsid w:val="125F72C4"/>
    <w:rsid w:val="126E5B4B"/>
    <w:rsid w:val="128A1D63"/>
    <w:rsid w:val="128E2AF0"/>
    <w:rsid w:val="12911988"/>
    <w:rsid w:val="12A3059B"/>
    <w:rsid w:val="12A65A60"/>
    <w:rsid w:val="12B20545"/>
    <w:rsid w:val="12B427A8"/>
    <w:rsid w:val="12B44F27"/>
    <w:rsid w:val="12B95D7C"/>
    <w:rsid w:val="12BB2799"/>
    <w:rsid w:val="12BC78AF"/>
    <w:rsid w:val="12D270D2"/>
    <w:rsid w:val="12D50B2B"/>
    <w:rsid w:val="12D87F69"/>
    <w:rsid w:val="12E47F1F"/>
    <w:rsid w:val="12E57350"/>
    <w:rsid w:val="12E806A4"/>
    <w:rsid w:val="12EB3B84"/>
    <w:rsid w:val="12EC4FBA"/>
    <w:rsid w:val="12F14BE5"/>
    <w:rsid w:val="12F43706"/>
    <w:rsid w:val="12F87CBE"/>
    <w:rsid w:val="12FF663A"/>
    <w:rsid w:val="130410E0"/>
    <w:rsid w:val="130533F4"/>
    <w:rsid w:val="130536DA"/>
    <w:rsid w:val="13054DB2"/>
    <w:rsid w:val="130F0DA3"/>
    <w:rsid w:val="131136BA"/>
    <w:rsid w:val="1319126E"/>
    <w:rsid w:val="131D034D"/>
    <w:rsid w:val="132963A2"/>
    <w:rsid w:val="132A1884"/>
    <w:rsid w:val="1330713E"/>
    <w:rsid w:val="1331166E"/>
    <w:rsid w:val="13313DF9"/>
    <w:rsid w:val="13347FFE"/>
    <w:rsid w:val="133B0B7E"/>
    <w:rsid w:val="133B4C77"/>
    <w:rsid w:val="133D7B01"/>
    <w:rsid w:val="134B0F6B"/>
    <w:rsid w:val="134F0723"/>
    <w:rsid w:val="134F24D1"/>
    <w:rsid w:val="13511DA5"/>
    <w:rsid w:val="13613322"/>
    <w:rsid w:val="13651CF4"/>
    <w:rsid w:val="136A2E67"/>
    <w:rsid w:val="136B5923"/>
    <w:rsid w:val="13742627"/>
    <w:rsid w:val="13755ED0"/>
    <w:rsid w:val="13785584"/>
    <w:rsid w:val="137D0DEC"/>
    <w:rsid w:val="13802B81"/>
    <w:rsid w:val="13916571"/>
    <w:rsid w:val="13944BBB"/>
    <w:rsid w:val="13951726"/>
    <w:rsid w:val="1395604C"/>
    <w:rsid w:val="139E0D62"/>
    <w:rsid w:val="13B62550"/>
    <w:rsid w:val="13BB1914"/>
    <w:rsid w:val="13C22A57"/>
    <w:rsid w:val="13C55E56"/>
    <w:rsid w:val="13C829A7"/>
    <w:rsid w:val="13D03611"/>
    <w:rsid w:val="13D11EDE"/>
    <w:rsid w:val="13D645ED"/>
    <w:rsid w:val="13D660DB"/>
    <w:rsid w:val="13D821E4"/>
    <w:rsid w:val="13DC073F"/>
    <w:rsid w:val="13E07C2E"/>
    <w:rsid w:val="13E463E6"/>
    <w:rsid w:val="13EF1A9C"/>
    <w:rsid w:val="13F35552"/>
    <w:rsid w:val="13F82B68"/>
    <w:rsid w:val="13F848C4"/>
    <w:rsid w:val="142533AA"/>
    <w:rsid w:val="142B6A9A"/>
    <w:rsid w:val="142C636E"/>
    <w:rsid w:val="1434243A"/>
    <w:rsid w:val="14360420"/>
    <w:rsid w:val="14396509"/>
    <w:rsid w:val="143A0A8B"/>
    <w:rsid w:val="143A4F2F"/>
    <w:rsid w:val="143E4A1F"/>
    <w:rsid w:val="144809D3"/>
    <w:rsid w:val="144979C6"/>
    <w:rsid w:val="144B713C"/>
    <w:rsid w:val="145204CA"/>
    <w:rsid w:val="145C6C53"/>
    <w:rsid w:val="14681A9C"/>
    <w:rsid w:val="14755F67"/>
    <w:rsid w:val="14756DDD"/>
    <w:rsid w:val="14792BA1"/>
    <w:rsid w:val="14796CB6"/>
    <w:rsid w:val="147B7EA8"/>
    <w:rsid w:val="1481490C"/>
    <w:rsid w:val="148166BA"/>
    <w:rsid w:val="1488003E"/>
    <w:rsid w:val="148D505F"/>
    <w:rsid w:val="14A01236"/>
    <w:rsid w:val="14A0132A"/>
    <w:rsid w:val="14A625C4"/>
    <w:rsid w:val="14A8633C"/>
    <w:rsid w:val="14A91B7A"/>
    <w:rsid w:val="14AE3BD9"/>
    <w:rsid w:val="14AE7A98"/>
    <w:rsid w:val="14B5798C"/>
    <w:rsid w:val="14BA1C11"/>
    <w:rsid w:val="14BF42AA"/>
    <w:rsid w:val="14C321A3"/>
    <w:rsid w:val="14C93127"/>
    <w:rsid w:val="14D232A5"/>
    <w:rsid w:val="14D77D4A"/>
    <w:rsid w:val="14DC1B42"/>
    <w:rsid w:val="14DD2C3C"/>
    <w:rsid w:val="14DE4397"/>
    <w:rsid w:val="14DE58BA"/>
    <w:rsid w:val="14E33D53"/>
    <w:rsid w:val="14E37E2E"/>
    <w:rsid w:val="14E76E65"/>
    <w:rsid w:val="14F71D65"/>
    <w:rsid w:val="14FD0C2F"/>
    <w:rsid w:val="150712B5"/>
    <w:rsid w:val="15080F45"/>
    <w:rsid w:val="15107A3E"/>
    <w:rsid w:val="151101BB"/>
    <w:rsid w:val="151258F5"/>
    <w:rsid w:val="151565BC"/>
    <w:rsid w:val="151A0017"/>
    <w:rsid w:val="1530630C"/>
    <w:rsid w:val="153305F9"/>
    <w:rsid w:val="1536455A"/>
    <w:rsid w:val="153C092D"/>
    <w:rsid w:val="154059A7"/>
    <w:rsid w:val="154274F3"/>
    <w:rsid w:val="15442DF3"/>
    <w:rsid w:val="15473753"/>
    <w:rsid w:val="15486149"/>
    <w:rsid w:val="15575627"/>
    <w:rsid w:val="1557617A"/>
    <w:rsid w:val="15581B10"/>
    <w:rsid w:val="155B6F0B"/>
    <w:rsid w:val="15610299"/>
    <w:rsid w:val="156862E2"/>
    <w:rsid w:val="156C038F"/>
    <w:rsid w:val="15841A39"/>
    <w:rsid w:val="158B32E2"/>
    <w:rsid w:val="15910B7E"/>
    <w:rsid w:val="159C3FF8"/>
    <w:rsid w:val="159E3D47"/>
    <w:rsid w:val="15AC2887"/>
    <w:rsid w:val="15B14D7D"/>
    <w:rsid w:val="15BE749A"/>
    <w:rsid w:val="15C2342E"/>
    <w:rsid w:val="15C3681A"/>
    <w:rsid w:val="15D021AF"/>
    <w:rsid w:val="15EF58A5"/>
    <w:rsid w:val="15F10ABA"/>
    <w:rsid w:val="15F5464E"/>
    <w:rsid w:val="15F630D7"/>
    <w:rsid w:val="15F86BD7"/>
    <w:rsid w:val="15FF1F8C"/>
    <w:rsid w:val="16087E1D"/>
    <w:rsid w:val="160B6B83"/>
    <w:rsid w:val="16131508"/>
    <w:rsid w:val="16157A01"/>
    <w:rsid w:val="16257519"/>
    <w:rsid w:val="162714E3"/>
    <w:rsid w:val="162755D8"/>
    <w:rsid w:val="162A3115"/>
    <w:rsid w:val="162B5504"/>
    <w:rsid w:val="162F753B"/>
    <w:rsid w:val="16311102"/>
    <w:rsid w:val="163B30D5"/>
    <w:rsid w:val="16507CC6"/>
    <w:rsid w:val="16526560"/>
    <w:rsid w:val="16534086"/>
    <w:rsid w:val="165655D8"/>
    <w:rsid w:val="165878EE"/>
    <w:rsid w:val="16646FC0"/>
    <w:rsid w:val="166C4100"/>
    <w:rsid w:val="167C538B"/>
    <w:rsid w:val="16842491"/>
    <w:rsid w:val="16883EC5"/>
    <w:rsid w:val="16892847"/>
    <w:rsid w:val="1691475C"/>
    <w:rsid w:val="16924BAE"/>
    <w:rsid w:val="16942765"/>
    <w:rsid w:val="169721C5"/>
    <w:rsid w:val="16995DF6"/>
    <w:rsid w:val="169A606E"/>
    <w:rsid w:val="16A448E1"/>
    <w:rsid w:val="16A6065A"/>
    <w:rsid w:val="16A67664"/>
    <w:rsid w:val="16AE37B3"/>
    <w:rsid w:val="16AF0CC7"/>
    <w:rsid w:val="16B03286"/>
    <w:rsid w:val="16B30AB9"/>
    <w:rsid w:val="16B70925"/>
    <w:rsid w:val="16B8213B"/>
    <w:rsid w:val="16D65819"/>
    <w:rsid w:val="16DA0303"/>
    <w:rsid w:val="16DC0E50"/>
    <w:rsid w:val="16DE29CD"/>
    <w:rsid w:val="16DF591A"/>
    <w:rsid w:val="16E34270"/>
    <w:rsid w:val="16E70B7F"/>
    <w:rsid w:val="16E83311"/>
    <w:rsid w:val="16E97DDE"/>
    <w:rsid w:val="16ED44DA"/>
    <w:rsid w:val="16EF3DAF"/>
    <w:rsid w:val="16F2389F"/>
    <w:rsid w:val="16F969DB"/>
    <w:rsid w:val="17081F2F"/>
    <w:rsid w:val="170A774E"/>
    <w:rsid w:val="170D06D9"/>
    <w:rsid w:val="17190E2C"/>
    <w:rsid w:val="171E400F"/>
    <w:rsid w:val="1720354B"/>
    <w:rsid w:val="17232BBB"/>
    <w:rsid w:val="1724288A"/>
    <w:rsid w:val="172E751A"/>
    <w:rsid w:val="172F4AF3"/>
    <w:rsid w:val="172F715B"/>
    <w:rsid w:val="17310D7F"/>
    <w:rsid w:val="173D7210"/>
    <w:rsid w:val="17406E81"/>
    <w:rsid w:val="17422768"/>
    <w:rsid w:val="174340FA"/>
    <w:rsid w:val="17602EFE"/>
    <w:rsid w:val="176D2F90"/>
    <w:rsid w:val="17701D14"/>
    <w:rsid w:val="17735226"/>
    <w:rsid w:val="177B7203"/>
    <w:rsid w:val="177D2A78"/>
    <w:rsid w:val="177E6853"/>
    <w:rsid w:val="178D1819"/>
    <w:rsid w:val="17936E30"/>
    <w:rsid w:val="17952AE1"/>
    <w:rsid w:val="1798116C"/>
    <w:rsid w:val="17983EBD"/>
    <w:rsid w:val="17A728DB"/>
    <w:rsid w:val="17B32D3D"/>
    <w:rsid w:val="17B33B8E"/>
    <w:rsid w:val="17BD18E3"/>
    <w:rsid w:val="17BD3F00"/>
    <w:rsid w:val="17CF2D1A"/>
    <w:rsid w:val="17D738C7"/>
    <w:rsid w:val="17E175E6"/>
    <w:rsid w:val="17EF7DDE"/>
    <w:rsid w:val="17F31472"/>
    <w:rsid w:val="17F51296"/>
    <w:rsid w:val="17FA0F48"/>
    <w:rsid w:val="18002E5C"/>
    <w:rsid w:val="180150B7"/>
    <w:rsid w:val="18042206"/>
    <w:rsid w:val="18075128"/>
    <w:rsid w:val="18081156"/>
    <w:rsid w:val="180C01B6"/>
    <w:rsid w:val="18240B7D"/>
    <w:rsid w:val="18283232"/>
    <w:rsid w:val="182C4B8E"/>
    <w:rsid w:val="183547A6"/>
    <w:rsid w:val="183728A7"/>
    <w:rsid w:val="18475E6C"/>
    <w:rsid w:val="18495740"/>
    <w:rsid w:val="184D4DA9"/>
    <w:rsid w:val="18540E52"/>
    <w:rsid w:val="185540E5"/>
    <w:rsid w:val="18585984"/>
    <w:rsid w:val="185C68C8"/>
    <w:rsid w:val="18603039"/>
    <w:rsid w:val="18686C8C"/>
    <w:rsid w:val="186E164B"/>
    <w:rsid w:val="18702CCD"/>
    <w:rsid w:val="18713E68"/>
    <w:rsid w:val="18766A63"/>
    <w:rsid w:val="18796C49"/>
    <w:rsid w:val="18812A66"/>
    <w:rsid w:val="188350F6"/>
    <w:rsid w:val="18850BC0"/>
    <w:rsid w:val="188978CD"/>
    <w:rsid w:val="188A5017"/>
    <w:rsid w:val="188C359B"/>
    <w:rsid w:val="188D7D23"/>
    <w:rsid w:val="18933580"/>
    <w:rsid w:val="1897327F"/>
    <w:rsid w:val="189B06E3"/>
    <w:rsid w:val="189F624C"/>
    <w:rsid w:val="18A03F67"/>
    <w:rsid w:val="18A64941"/>
    <w:rsid w:val="18A80A77"/>
    <w:rsid w:val="18AA11CA"/>
    <w:rsid w:val="18BF5A03"/>
    <w:rsid w:val="18C026C2"/>
    <w:rsid w:val="18C10AF9"/>
    <w:rsid w:val="18C25362"/>
    <w:rsid w:val="18DB442C"/>
    <w:rsid w:val="18DF7E53"/>
    <w:rsid w:val="18E41EC1"/>
    <w:rsid w:val="18F801A6"/>
    <w:rsid w:val="19054AE9"/>
    <w:rsid w:val="19163285"/>
    <w:rsid w:val="1917723E"/>
    <w:rsid w:val="19187D6D"/>
    <w:rsid w:val="191E02D6"/>
    <w:rsid w:val="19246D7D"/>
    <w:rsid w:val="19274198"/>
    <w:rsid w:val="19297A6D"/>
    <w:rsid w:val="193006AE"/>
    <w:rsid w:val="193F08F1"/>
    <w:rsid w:val="194276D1"/>
    <w:rsid w:val="1945415A"/>
    <w:rsid w:val="194B434B"/>
    <w:rsid w:val="194D74B2"/>
    <w:rsid w:val="19500743"/>
    <w:rsid w:val="19570331"/>
    <w:rsid w:val="19572432"/>
    <w:rsid w:val="195919B3"/>
    <w:rsid w:val="19602FB6"/>
    <w:rsid w:val="19637EB1"/>
    <w:rsid w:val="196615E2"/>
    <w:rsid w:val="196B5B3F"/>
    <w:rsid w:val="1974548F"/>
    <w:rsid w:val="19755852"/>
    <w:rsid w:val="19767B74"/>
    <w:rsid w:val="1985052E"/>
    <w:rsid w:val="198C3287"/>
    <w:rsid w:val="19920127"/>
    <w:rsid w:val="199275F1"/>
    <w:rsid w:val="19966245"/>
    <w:rsid w:val="199A7E89"/>
    <w:rsid w:val="19A277FE"/>
    <w:rsid w:val="19A41FA1"/>
    <w:rsid w:val="19AA2BB6"/>
    <w:rsid w:val="19B16FEB"/>
    <w:rsid w:val="19BC52DB"/>
    <w:rsid w:val="19C84D8B"/>
    <w:rsid w:val="19D23F11"/>
    <w:rsid w:val="19D465D8"/>
    <w:rsid w:val="19DA24F1"/>
    <w:rsid w:val="19DB12DE"/>
    <w:rsid w:val="19DB6862"/>
    <w:rsid w:val="19DC4DA1"/>
    <w:rsid w:val="19DF7B2F"/>
    <w:rsid w:val="19E27BFB"/>
    <w:rsid w:val="19E37DEE"/>
    <w:rsid w:val="19F47485"/>
    <w:rsid w:val="19FD0192"/>
    <w:rsid w:val="1A0E6C42"/>
    <w:rsid w:val="1A116732"/>
    <w:rsid w:val="1A165D41"/>
    <w:rsid w:val="1A1A17C0"/>
    <w:rsid w:val="1A1C66C0"/>
    <w:rsid w:val="1A1D6E85"/>
    <w:rsid w:val="1A240213"/>
    <w:rsid w:val="1A2C32F9"/>
    <w:rsid w:val="1A330456"/>
    <w:rsid w:val="1A366775"/>
    <w:rsid w:val="1A3C6E14"/>
    <w:rsid w:val="1A41067B"/>
    <w:rsid w:val="1A4132A3"/>
    <w:rsid w:val="1A42393B"/>
    <w:rsid w:val="1A424B3D"/>
    <w:rsid w:val="1A4557CB"/>
    <w:rsid w:val="1A4B684A"/>
    <w:rsid w:val="1A6A5B64"/>
    <w:rsid w:val="1A7048F4"/>
    <w:rsid w:val="1A73464B"/>
    <w:rsid w:val="1A7751E9"/>
    <w:rsid w:val="1A781C6D"/>
    <w:rsid w:val="1A7F31EF"/>
    <w:rsid w:val="1A89276C"/>
    <w:rsid w:val="1A89451A"/>
    <w:rsid w:val="1A8E5A06"/>
    <w:rsid w:val="1A9B27DC"/>
    <w:rsid w:val="1A9F789A"/>
    <w:rsid w:val="1AA72548"/>
    <w:rsid w:val="1AA72BF2"/>
    <w:rsid w:val="1AA80E44"/>
    <w:rsid w:val="1AA9328C"/>
    <w:rsid w:val="1AAA2D0D"/>
    <w:rsid w:val="1AAD45DE"/>
    <w:rsid w:val="1AAE3F81"/>
    <w:rsid w:val="1AB05F4B"/>
    <w:rsid w:val="1AB1581F"/>
    <w:rsid w:val="1AB3728A"/>
    <w:rsid w:val="1AB570E8"/>
    <w:rsid w:val="1ABA0AB0"/>
    <w:rsid w:val="1ABE373E"/>
    <w:rsid w:val="1AC41621"/>
    <w:rsid w:val="1AC47290"/>
    <w:rsid w:val="1AC650E9"/>
    <w:rsid w:val="1AD02149"/>
    <w:rsid w:val="1AD27C59"/>
    <w:rsid w:val="1AD51DB2"/>
    <w:rsid w:val="1AD559B1"/>
    <w:rsid w:val="1AD75285"/>
    <w:rsid w:val="1ADD0158"/>
    <w:rsid w:val="1ADE5342"/>
    <w:rsid w:val="1AE94244"/>
    <w:rsid w:val="1AEA141D"/>
    <w:rsid w:val="1AEB0D31"/>
    <w:rsid w:val="1AF01713"/>
    <w:rsid w:val="1AF23E6D"/>
    <w:rsid w:val="1AF44089"/>
    <w:rsid w:val="1AF440D5"/>
    <w:rsid w:val="1AF851FC"/>
    <w:rsid w:val="1AF916A0"/>
    <w:rsid w:val="1B046F80"/>
    <w:rsid w:val="1B087B35"/>
    <w:rsid w:val="1B097B02"/>
    <w:rsid w:val="1B0E4A1F"/>
    <w:rsid w:val="1B0F08A0"/>
    <w:rsid w:val="1B1004E3"/>
    <w:rsid w:val="1B1F4E7E"/>
    <w:rsid w:val="1B256AEA"/>
    <w:rsid w:val="1B28788F"/>
    <w:rsid w:val="1B297F41"/>
    <w:rsid w:val="1B314890"/>
    <w:rsid w:val="1B3267B5"/>
    <w:rsid w:val="1B3D1C52"/>
    <w:rsid w:val="1B40161D"/>
    <w:rsid w:val="1B441859"/>
    <w:rsid w:val="1B4A2796"/>
    <w:rsid w:val="1B60171F"/>
    <w:rsid w:val="1B6606B1"/>
    <w:rsid w:val="1B6D1746"/>
    <w:rsid w:val="1B7546AC"/>
    <w:rsid w:val="1B7A20B5"/>
    <w:rsid w:val="1B813443"/>
    <w:rsid w:val="1B860386"/>
    <w:rsid w:val="1B861760"/>
    <w:rsid w:val="1B882A24"/>
    <w:rsid w:val="1B886C56"/>
    <w:rsid w:val="1B8A679C"/>
    <w:rsid w:val="1B901EDA"/>
    <w:rsid w:val="1B9273FE"/>
    <w:rsid w:val="1B932C4F"/>
    <w:rsid w:val="1B965141"/>
    <w:rsid w:val="1B9C027D"/>
    <w:rsid w:val="1B9C299F"/>
    <w:rsid w:val="1BA10C1F"/>
    <w:rsid w:val="1BA11DBE"/>
    <w:rsid w:val="1BA535D6"/>
    <w:rsid w:val="1BA61F06"/>
    <w:rsid w:val="1BB01BBD"/>
    <w:rsid w:val="1BB455C7"/>
    <w:rsid w:val="1BB716D0"/>
    <w:rsid w:val="1BBC08B6"/>
    <w:rsid w:val="1BC07719"/>
    <w:rsid w:val="1BD60CAC"/>
    <w:rsid w:val="1BDB0DA5"/>
    <w:rsid w:val="1BE0460E"/>
    <w:rsid w:val="1BE340FE"/>
    <w:rsid w:val="1BED2887"/>
    <w:rsid w:val="1BF10234"/>
    <w:rsid w:val="1BF956CF"/>
    <w:rsid w:val="1BFC4E10"/>
    <w:rsid w:val="1C00080C"/>
    <w:rsid w:val="1C0A168B"/>
    <w:rsid w:val="1C0C71B1"/>
    <w:rsid w:val="1C0D4E91"/>
    <w:rsid w:val="1C146065"/>
    <w:rsid w:val="1C163B8C"/>
    <w:rsid w:val="1C220989"/>
    <w:rsid w:val="1C2255E0"/>
    <w:rsid w:val="1C2357B1"/>
    <w:rsid w:val="1C28647A"/>
    <w:rsid w:val="1C2A7637"/>
    <w:rsid w:val="1C313715"/>
    <w:rsid w:val="1C3F526D"/>
    <w:rsid w:val="1C4511BF"/>
    <w:rsid w:val="1C4514D8"/>
    <w:rsid w:val="1C4C3A51"/>
    <w:rsid w:val="1C56042C"/>
    <w:rsid w:val="1C562A5B"/>
    <w:rsid w:val="1C5D7521"/>
    <w:rsid w:val="1C5D7A0C"/>
    <w:rsid w:val="1C5E7925"/>
    <w:rsid w:val="1C5F19D6"/>
    <w:rsid w:val="1C652929"/>
    <w:rsid w:val="1C693D35"/>
    <w:rsid w:val="1C6A612A"/>
    <w:rsid w:val="1C7B42F8"/>
    <w:rsid w:val="1C841299"/>
    <w:rsid w:val="1C8B14B9"/>
    <w:rsid w:val="1C9247EF"/>
    <w:rsid w:val="1C933574"/>
    <w:rsid w:val="1C985C05"/>
    <w:rsid w:val="1C9A5766"/>
    <w:rsid w:val="1C9C1842"/>
    <w:rsid w:val="1C9C1946"/>
    <w:rsid w:val="1CAC48A5"/>
    <w:rsid w:val="1CC218DE"/>
    <w:rsid w:val="1CC41839"/>
    <w:rsid w:val="1CD61E3B"/>
    <w:rsid w:val="1CDB7D93"/>
    <w:rsid w:val="1CDC1BD7"/>
    <w:rsid w:val="1CDD28FB"/>
    <w:rsid w:val="1CE15268"/>
    <w:rsid w:val="1CED198E"/>
    <w:rsid w:val="1CEE4B08"/>
    <w:rsid w:val="1CF33ECD"/>
    <w:rsid w:val="1CF75740"/>
    <w:rsid w:val="1CFD070F"/>
    <w:rsid w:val="1CFD0FC4"/>
    <w:rsid w:val="1CFF54A0"/>
    <w:rsid w:val="1D012A8E"/>
    <w:rsid w:val="1D023A72"/>
    <w:rsid w:val="1D032FB7"/>
    <w:rsid w:val="1D076F15"/>
    <w:rsid w:val="1D093359"/>
    <w:rsid w:val="1D0E1D61"/>
    <w:rsid w:val="1D1760A4"/>
    <w:rsid w:val="1D1D0BA2"/>
    <w:rsid w:val="1D241187"/>
    <w:rsid w:val="1D293D92"/>
    <w:rsid w:val="1D396F86"/>
    <w:rsid w:val="1D3A7D4E"/>
    <w:rsid w:val="1D3E15EC"/>
    <w:rsid w:val="1D413E69"/>
    <w:rsid w:val="1D4528BA"/>
    <w:rsid w:val="1D497F91"/>
    <w:rsid w:val="1D4A2828"/>
    <w:rsid w:val="1D533B29"/>
    <w:rsid w:val="1D54052D"/>
    <w:rsid w:val="1D5C7CC4"/>
    <w:rsid w:val="1D5F6196"/>
    <w:rsid w:val="1D6132A5"/>
    <w:rsid w:val="1D623AB5"/>
    <w:rsid w:val="1D662781"/>
    <w:rsid w:val="1D6848BB"/>
    <w:rsid w:val="1D691375"/>
    <w:rsid w:val="1D6A254F"/>
    <w:rsid w:val="1D6F3E9B"/>
    <w:rsid w:val="1D8E56D5"/>
    <w:rsid w:val="1D9D3D7D"/>
    <w:rsid w:val="1DAC0C4B"/>
    <w:rsid w:val="1DB45D52"/>
    <w:rsid w:val="1DB83A1E"/>
    <w:rsid w:val="1DC6338F"/>
    <w:rsid w:val="1DD45AAC"/>
    <w:rsid w:val="1DDD413D"/>
    <w:rsid w:val="1DE33295"/>
    <w:rsid w:val="1DE940DE"/>
    <w:rsid w:val="1DEA1774"/>
    <w:rsid w:val="1DEB1048"/>
    <w:rsid w:val="1DFB36C7"/>
    <w:rsid w:val="1DFC71C2"/>
    <w:rsid w:val="1DFF1F6A"/>
    <w:rsid w:val="1E05035C"/>
    <w:rsid w:val="1E053A28"/>
    <w:rsid w:val="1E08295D"/>
    <w:rsid w:val="1E0A37D5"/>
    <w:rsid w:val="1E1862E1"/>
    <w:rsid w:val="1E1A44F8"/>
    <w:rsid w:val="1E23137C"/>
    <w:rsid w:val="1E251C92"/>
    <w:rsid w:val="1E2F7187"/>
    <w:rsid w:val="1E3173A3"/>
    <w:rsid w:val="1E37603B"/>
    <w:rsid w:val="1E3C036B"/>
    <w:rsid w:val="1E433D4A"/>
    <w:rsid w:val="1E480248"/>
    <w:rsid w:val="1E4C0981"/>
    <w:rsid w:val="1E5170FD"/>
    <w:rsid w:val="1E555D56"/>
    <w:rsid w:val="1E5866DD"/>
    <w:rsid w:val="1E6D2E8C"/>
    <w:rsid w:val="1E6D76E7"/>
    <w:rsid w:val="1E6E3125"/>
    <w:rsid w:val="1E780D78"/>
    <w:rsid w:val="1E7874E1"/>
    <w:rsid w:val="1E7A2AF8"/>
    <w:rsid w:val="1E7A43DA"/>
    <w:rsid w:val="1E82375A"/>
    <w:rsid w:val="1E845724"/>
    <w:rsid w:val="1E854FF8"/>
    <w:rsid w:val="1E85595D"/>
    <w:rsid w:val="1EA27958"/>
    <w:rsid w:val="1EA8734F"/>
    <w:rsid w:val="1EC2624D"/>
    <w:rsid w:val="1EC340EC"/>
    <w:rsid w:val="1EC93D5C"/>
    <w:rsid w:val="1ED657E9"/>
    <w:rsid w:val="1EDA5344"/>
    <w:rsid w:val="1EDD3F91"/>
    <w:rsid w:val="1EE461C3"/>
    <w:rsid w:val="1EF714B6"/>
    <w:rsid w:val="1EFA334B"/>
    <w:rsid w:val="1F0423C1"/>
    <w:rsid w:val="1F0625DD"/>
    <w:rsid w:val="1F0A1AD7"/>
    <w:rsid w:val="1F0D0494"/>
    <w:rsid w:val="1F16074B"/>
    <w:rsid w:val="1F170346"/>
    <w:rsid w:val="1F1D25BF"/>
    <w:rsid w:val="1F1D7927"/>
    <w:rsid w:val="1F1E1EEA"/>
    <w:rsid w:val="1F1E561E"/>
    <w:rsid w:val="1F1E593A"/>
    <w:rsid w:val="1F236774"/>
    <w:rsid w:val="1F244811"/>
    <w:rsid w:val="1F2E2276"/>
    <w:rsid w:val="1F2F1A58"/>
    <w:rsid w:val="1F386BEC"/>
    <w:rsid w:val="1F3C1B5B"/>
    <w:rsid w:val="1F4002D6"/>
    <w:rsid w:val="1F473472"/>
    <w:rsid w:val="1F4C6C4C"/>
    <w:rsid w:val="1F4E188E"/>
    <w:rsid w:val="1F503046"/>
    <w:rsid w:val="1F565FB5"/>
    <w:rsid w:val="1F632F60"/>
    <w:rsid w:val="1F650595"/>
    <w:rsid w:val="1F672950"/>
    <w:rsid w:val="1F69491A"/>
    <w:rsid w:val="1F694FD5"/>
    <w:rsid w:val="1F751FA7"/>
    <w:rsid w:val="1F895E66"/>
    <w:rsid w:val="1F8B66DF"/>
    <w:rsid w:val="1F95570F"/>
    <w:rsid w:val="1F9D049A"/>
    <w:rsid w:val="1F9E45C4"/>
    <w:rsid w:val="1F9E57CF"/>
    <w:rsid w:val="1FA140B4"/>
    <w:rsid w:val="1FA47700"/>
    <w:rsid w:val="1FA91497"/>
    <w:rsid w:val="1FA9416F"/>
    <w:rsid w:val="1FAD0276"/>
    <w:rsid w:val="1FB964AF"/>
    <w:rsid w:val="1FBE11BA"/>
    <w:rsid w:val="1FCF7061"/>
    <w:rsid w:val="1FD014F4"/>
    <w:rsid w:val="1FD72C6D"/>
    <w:rsid w:val="1FD9358A"/>
    <w:rsid w:val="1FE02E2E"/>
    <w:rsid w:val="1FE04BDC"/>
    <w:rsid w:val="1FE7539E"/>
    <w:rsid w:val="1FE8583F"/>
    <w:rsid w:val="1FF269E9"/>
    <w:rsid w:val="1FF675B0"/>
    <w:rsid w:val="200076B1"/>
    <w:rsid w:val="20144886"/>
    <w:rsid w:val="201841D9"/>
    <w:rsid w:val="20221AF7"/>
    <w:rsid w:val="20256A93"/>
    <w:rsid w:val="203171E6"/>
    <w:rsid w:val="203E55D3"/>
    <w:rsid w:val="2040293A"/>
    <w:rsid w:val="20442BE7"/>
    <w:rsid w:val="2044634A"/>
    <w:rsid w:val="20484530"/>
    <w:rsid w:val="204A0CF5"/>
    <w:rsid w:val="204C58AF"/>
    <w:rsid w:val="205243C4"/>
    <w:rsid w:val="205379BC"/>
    <w:rsid w:val="20541191"/>
    <w:rsid w:val="20565428"/>
    <w:rsid w:val="2059498F"/>
    <w:rsid w:val="20671BE0"/>
    <w:rsid w:val="206B2952"/>
    <w:rsid w:val="206D0879"/>
    <w:rsid w:val="206F7D0E"/>
    <w:rsid w:val="207C1820"/>
    <w:rsid w:val="20847C5E"/>
    <w:rsid w:val="208732AA"/>
    <w:rsid w:val="208E7FFC"/>
    <w:rsid w:val="20921043"/>
    <w:rsid w:val="2096173F"/>
    <w:rsid w:val="20963CB8"/>
    <w:rsid w:val="20967991"/>
    <w:rsid w:val="20971013"/>
    <w:rsid w:val="20994D8B"/>
    <w:rsid w:val="209D0D1F"/>
    <w:rsid w:val="20A22433"/>
    <w:rsid w:val="20A55E6A"/>
    <w:rsid w:val="20A81A1B"/>
    <w:rsid w:val="20A82959"/>
    <w:rsid w:val="20B07FB6"/>
    <w:rsid w:val="20B646FB"/>
    <w:rsid w:val="20C01B12"/>
    <w:rsid w:val="20EA3CAD"/>
    <w:rsid w:val="20EE50D7"/>
    <w:rsid w:val="20FA00BD"/>
    <w:rsid w:val="20FD2D5C"/>
    <w:rsid w:val="210448FA"/>
    <w:rsid w:val="21117017"/>
    <w:rsid w:val="211D776A"/>
    <w:rsid w:val="21367791"/>
    <w:rsid w:val="213A72A4"/>
    <w:rsid w:val="213B74B1"/>
    <w:rsid w:val="213D47D2"/>
    <w:rsid w:val="21425D7D"/>
    <w:rsid w:val="214271D1"/>
    <w:rsid w:val="21475700"/>
    <w:rsid w:val="21481027"/>
    <w:rsid w:val="214D2EF9"/>
    <w:rsid w:val="21512975"/>
    <w:rsid w:val="21515666"/>
    <w:rsid w:val="215A2310"/>
    <w:rsid w:val="215B5318"/>
    <w:rsid w:val="215B796A"/>
    <w:rsid w:val="215D4F3B"/>
    <w:rsid w:val="215D5774"/>
    <w:rsid w:val="21612DB7"/>
    <w:rsid w:val="21723700"/>
    <w:rsid w:val="217575A6"/>
    <w:rsid w:val="21772BB1"/>
    <w:rsid w:val="217A2E0F"/>
    <w:rsid w:val="21823B8C"/>
    <w:rsid w:val="21843C8D"/>
    <w:rsid w:val="218646E7"/>
    <w:rsid w:val="218E5F64"/>
    <w:rsid w:val="218E68BA"/>
    <w:rsid w:val="21923FDD"/>
    <w:rsid w:val="21965E2D"/>
    <w:rsid w:val="219D4601"/>
    <w:rsid w:val="21A9727C"/>
    <w:rsid w:val="21B46321"/>
    <w:rsid w:val="21B52099"/>
    <w:rsid w:val="21BE2CFB"/>
    <w:rsid w:val="21C66054"/>
    <w:rsid w:val="21C67E02"/>
    <w:rsid w:val="21CB18BC"/>
    <w:rsid w:val="21CF69C9"/>
    <w:rsid w:val="21D40771"/>
    <w:rsid w:val="21D41B77"/>
    <w:rsid w:val="21DE318A"/>
    <w:rsid w:val="21DF46A4"/>
    <w:rsid w:val="21E0729C"/>
    <w:rsid w:val="21E10E5D"/>
    <w:rsid w:val="21E32762"/>
    <w:rsid w:val="21E3566B"/>
    <w:rsid w:val="21E362B0"/>
    <w:rsid w:val="21E86CA7"/>
    <w:rsid w:val="21ED35E0"/>
    <w:rsid w:val="21EF5B80"/>
    <w:rsid w:val="21F0260A"/>
    <w:rsid w:val="21F4671D"/>
    <w:rsid w:val="21F56839"/>
    <w:rsid w:val="21F9403F"/>
    <w:rsid w:val="21FE11B6"/>
    <w:rsid w:val="21FE57EE"/>
    <w:rsid w:val="220041E1"/>
    <w:rsid w:val="22054CE7"/>
    <w:rsid w:val="220A5F40"/>
    <w:rsid w:val="220D6342"/>
    <w:rsid w:val="2217755B"/>
    <w:rsid w:val="221F740F"/>
    <w:rsid w:val="222249C5"/>
    <w:rsid w:val="222B603B"/>
    <w:rsid w:val="2234120F"/>
    <w:rsid w:val="22356A48"/>
    <w:rsid w:val="22396826"/>
    <w:rsid w:val="22495458"/>
    <w:rsid w:val="224D407F"/>
    <w:rsid w:val="22553AF4"/>
    <w:rsid w:val="22576990"/>
    <w:rsid w:val="22590C76"/>
    <w:rsid w:val="225E6CD4"/>
    <w:rsid w:val="226A7D59"/>
    <w:rsid w:val="22743D02"/>
    <w:rsid w:val="227F6529"/>
    <w:rsid w:val="22887192"/>
    <w:rsid w:val="228B2BD9"/>
    <w:rsid w:val="229249BD"/>
    <w:rsid w:val="22925F36"/>
    <w:rsid w:val="229645E7"/>
    <w:rsid w:val="22A37524"/>
    <w:rsid w:val="22A55C69"/>
    <w:rsid w:val="22AA1A3B"/>
    <w:rsid w:val="22B73D94"/>
    <w:rsid w:val="22B91715"/>
    <w:rsid w:val="22C5110E"/>
    <w:rsid w:val="22D7603D"/>
    <w:rsid w:val="22DA03DE"/>
    <w:rsid w:val="22DC6047"/>
    <w:rsid w:val="22E04EF3"/>
    <w:rsid w:val="22E20C6B"/>
    <w:rsid w:val="22E5250A"/>
    <w:rsid w:val="22E74109"/>
    <w:rsid w:val="22EA3F19"/>
    <w:rsid w:val="22EE77CB"/>
    <w:rsid w:val="22F47480"/>
    <w:rsid w:val="23047A11"/>
    <w:rsid w:val="230C7A96"/>
    <w:rsid w:val="23116F20"/>
    <w:rsid w:val="231A7590"/>
    <w:rsid w:val="231B442D"/>
    <w:rsid w:val="2320696B"/>
    <w:rsid w:val="23250AF9"/>
    <w:rsid w:val="23333275"/>
    <w:rsid w:val="233C481F"/>
    <w:rsid w:val="233E4FE4"/>
    <w:rsid w:val="23405970"/>
    <w:rsid w:val="2342170A"/>
    <w:rsid w:val="234661E4"/>
    <w:rsid w:val="2348144C"/>
    <w:rsid w:val="234E0F2A"/>
    <w:rsid w:val="23567302"/>
    <w:rsid w:val="235B0B5A"/>
    <w:rsid w:val="235B705F"/>
    <w:rsid w:val="23601112"/>
    <w:rsid w:val="236478D2"/>
    <w:rsid w:val="237815D0"/>
    <w:rsid w:val="2378512C"/>
    <w:rsid w:val="237B45AD"/>
    <w:rsid w:val="238009CB"/>
    <w:rsid w:val="238364F0"/>
    <w:rsid w:val="23843AD1"/>
    <w:rsid w:val="239150D7"/>
    <w:rsid w:val="23916DF4"/>
    <w:rsid w:val="23931F66"/>
    <w:rsid w:val="23952182"/>
    <w:rsid w:val="2398757C"/>
    <w:rsid w:val="239C6BFF"/>
    <w:rsid w:val="239F1140"/>
    <w:rsid w:val="23A17CD6"/>
    <w:rsid w:val="23A20934"/>
    <w:rsid w:val="23A23767"/>
    <w:rsid w:val="23A309A1"/>
    <w:rsid w:val="23A93537"/>
    <w:rsid w:val="23AE0B4E"/>
    <w:rsid w:val="23AF26EE"/>
    <w:rsid w:val="23B30E35"/>
    <w:rsid w:val="23C47174"/>
    <w:rsid w:val="23D55C6C"/>
    <w:rsid w:val="23DE1C48"/>
    <w:rsid w:val="23E20AA8"/>
    <w:rsid w:val="23E40A13"/>
    <w:rsid w:val="23ED78C8"/>
    <w:rsid w:val="23F32A04"/>
    <w:rsid w:val="23F5677C"/>
    <w:rsid w:val="23F70746"/>
    <w:rsid w:val="23FA3D93"/>
    <w:rsid w:val="23FC7B0B"/>
    <w:rsid w:val="23FE4D7D"/>
    <w:rsid w:val="24002CCB"/>
    <w:rsid w:val="240115C5"/>
    <w:rsid w:val="240210CD"/>
    <w:rsid w:val="240510B5"/>
    <w:rsid w:val="240731F5"/>
    <w:rsid w:val="240C2653"/>
    <w:rsid w:val="24162CA0"/>
    <w:rsid w:val="241B0FA6"/>
    <w:rsid w:val="242A1C9E"/>
    <w:rsid w:val="242B5451"/>
    <w:rsid w:val="2432025D"/>
    <w:rsid w:val="24340826"/>
    <w:rsid w:val="2434162D"/>
    <w:rsid w:val="24342C2D"/>
    <w:rsid w:val="243A0EE4"/>
    <w:rsid w:val="24534A8E"/>
    <w:rsid w:val="245C4309"/>
    <w:rsid w:val="245F009A"/>
    <w:rsid w:val="246169C0"/>
    <w:rsid w:val="2461726B"/>
    <w:rsid w:val="24730342"/>
    <w:rsid w:val="2479115B"/>
    <w:rsid w:val="24816262"/>
    <w:rsid w:val="24827F25"/>
    <w:rsid w:val="24857D91"/>
    <w:rsid w:val="248B0E8F"/>
    <w:rsid w:val="248C7899"/>
    <w:rsid w:val="248E3AD4"/>
    <w:rsid w:val="249E5066"/>
    <w:rsid w:val="24A30154"/>
    <w:rsid w:val="24A57735"/>
    <w:rsid w:val="24AF7273"/>
    <w:rsid w:val="24B30593"/>
    <w:rsid w:val="24BC524C"/>
    <w:rsid w:val="24BE6D67"/>
    <w:rsid w:val="24BF09F7"/>
    <w:rsid w:val="24C945C3"/>
    <w:rsid w:val="24D40926"/>
    <w:rsid w:val="24D64800"/>
    <w:rsid w:val="24E13853"/>
    <w:rsid w:val="24E231A5"/>
    <w:rsid w:val="24E24565"/>
    <w:rsid w:val="24E24F53"/>
    <w:rsid w:val="24E449AD"/>
    <w:rsid w:val="24F133E8"/>
    <w:rsid w:val="24F668E2"/>
    <w:rsid w:val="24FA6C68"/>
    <w:rsid w:val="250B4862"/>
    <w:rsid w:val="25127598"/>
    <w:rsid w:val="25156167"/>
    <w:rsid w:val="25161939"/>
    <w:rsid w:val="251D6943"/>
    <w:rsid w:val="252D53FE"/>
    <w:rsid w:val="2535115F"/>
    <w:rsid w:val="25394189"/>
    <w:rsid w:val="253A782E"/>
    <w:rsid w:val="254E25E8"/>
    <w:rsid w:val="25506360"/>
    <w:rsid w:val="25536979"/>
    <w:rsid w:val="25541995"/>
    <w:rsid w:val="255E7956"/>
    <w:rsid w:val="2561056D"/>
    <w:rsid w:val="25653ABA"/>
    <w:rsid w:val="25685CD2"/>
    <w:rsid w:val="256A3BC1"/>
    <w:rsid w:val="257144A1"/>
    <w:rsid w:val="257E44AE"/>
    <w:rsid w:val="257F554C"/>
    <w:rsid w:val="25870A29"/>
    <w:rsid w:val="258A45EF"/>
    <w:rsid w:val="258C1AD4"/>
    <w:rsid w:val="25945B27"/>
    <w:rsid w:val="25950217"/>
    <w:rsid w:val="25984DDA"/>
    <w:rsid w:val="259D0E7A"/>
    <w:rsid w:val="25A02F00"/>
    <w:rsid w:val="25BA5ED0"/>
    <w:rsid w:val="25C14ADA"/>
    <w:rsid w:val="25C56066"/>
    <w:rsid w:val="25C87BB4"/>
    <w:rsid w:val="25D16D75"/>
    <w:rsid w:val="25E371D4"/>
    <w:rsid w:val="25E877BF"/>
    <w:rsid w:val="25EC2D81"/>
    <w:rsid w:val="25EE4FD0"/>
    <w:rsid w:val="25EE7927"/>
    <w:rsid w:val="25F20D49"/>
    <w:rsid w:val="25F4278B"/>
    <w:rsid w:val="25F50CB6"/>
    <w:rsid w:val="25FD7D1A"/>
    <w:rsid w:val="2600600F"/>
    <w:rsid w:val="2612587C"/>
    <w:rsid w:val="26126237"/>
    <w:rsid w:val="26235823"/>
    <w:rsid w:val="2624159B"/>
    <w:rsid w:val="262728E2"/>
    <w:rsid w:val="262D48F3"/>
    <w:rsid w:val="26301CEE"/>
    <w:rsid w:val="2633443E"/>
    <w:rsid w:val="26335313"/>
    <w:rsid w:val="26347A30"/>
    <w:rsid w:val="26455660"/>
    <w:rsid w:val="26467763"/>
    <w:rsid w:val="265A6D6B"/>
    <w:rsid w:val="265B3D7E"/>
    <w:rsid w:val="265B755E"/>
    <w:rsid w:val="2665408D"/>
    <w:rsid w:val="26663283"/>
    <w:rsid w:val="26700563"/>
    <w:rsid w:val="26706F79"/>
    <w:rsid w:val="267F5E11"/>
    <w:rsid w:val="267F67D1"/>
    <w:rsid w:val="268169ED"/>
    <w:rsid w:val="268918DF"/>
    <w:rsid w:val="268A3AF4"/>
    <w:rsid w:val="269230D3"/>
    <w:rsid w:val="269952EB"/>
    <w:rsid w:val="26AA3298"/>
    <w:rsid w:val="26B26BA7"/>
    <w:rsid w:val="26B27FFE"/>
    <w:rsid w:val="26B54D1B"/>
    <w:rsid w:val="26BA2AE6"/>
    <w:rsid w:val="26C92142"/>
    <w:rsid w:val="26CD1C32"/>
    <w:rsid w:val="26D77747"/>
    <w:rsid w:val="26DB7EAB"/>
    <w:rsid w:val="26DE0519"/>
    <w:rsid w:val="26E50F98"/>
    <w:rsid w:val="26E74AA2"/>
    <w:rsid w:val="26EA4592"/>
    <w:rsid w:val="26EC608C"/>
    <w:rsid w:val="26ED73EF"/>
    <w:rsid w:val="26F1147D"/>
    <w:rsid w:val="26F941D5"/>
    <w:rsid w:val="26FC2E9C"/>
    <w:rsid w:val="26FC6074"/>
    <w:rsid w:val="270C3937"/>
    <w:rsid w:val="27113E81"/>
    <w:rsid w:val="27114F64"/>
    <w:rsid w:val="27117D71"/>
    <w:rsid w:val="27166BF1"/>
    <w:rsid w:val="2717240A"/>
    <w:rsid w:val="27182EAE"/>
    <w:rsid w:val="27194E78"/>
    <w:rsid w:val="27196C26"/>
    <w:rsid w:val="271C10A1"/>
    <w:rsid w:val="2720227E"/>
    <w:rsid w:val="2724247E"/>
    <w:rsid w:val="272B0BF2"/>
    <w:rsid w:val="27324A97"/>
    <w:rsid w:val="27400656"/>
    <w:rsid w:val="27457A1B"/>
    <w:rsid w:val="27471F3A"/>
    <w:rsid w:val="274A4F73"/>
    <w:rsid w:val="2751016E"/>
    <w:rsid w:val="27543EB8"/>
    <w:rsid w:val="275C3136"/>
    <w:rsid w:val="275E10BB"/>
    <w:rsid w:val="27617694"/>
    <w:rsid w:val="27622B01"/>
    <w:rsid w:val="27666EE8"/>
    <w:rsid w:val="277057A2"/>
    <w:rsid w:val="27763E18"/>
    <w:rsid w:val="27895B59"/>
    <w:rsid w:val="278D07B1"/>
    <w:rsid w:val="278F35B6"/>
    <w:rsid w:val="279A37F9"/>
    <w:rsid w:val="279C5E68"/>
    <w:rsid w:val="27A13526"/>
    <w:rsid w:val="27A6670B"/>
    <w:rsid w:val="27A97FAA"/>
    <w:rsid w:val="27AB67EE"/>
    <w:rsid w:val="27AF5335"/>
    <w:rsid w:val="27B20784"/>
    <w:rsid w:val="27B21B89"/>
    <w:rsid w:val="27B60972"/>
    <w:rsid w:val="27B93C55"/>
    <w:rsid w:val="27BB2748"/>
    <w:rsid w:val="27BF7E62"/>
    <w:rsid w:val="27CE0DB4"/>
    <w:rsid w:val="27CF148D"/>
    <w:rsid w:val="27D310FD"/>
    <w:rsid w:val="27D3378A"/>
    <w:rsid w:val="27E50111"/>
    <w:rsid w:val="27ED6457"/>
    <w:rsid w:val="27EF253E"/>
    <w:rsid w:val="27FE6547"/>
    <w:rsid w:val="28035172"/>
    <w:rsid w:val="280451E0"/>
    <w:rsid w:val="28072B0B"/>
    <w:rsid w:val="280D678A"/>
    <w:rsid w:val="280D7ADD"/>
    <w:rsid w:val="2810627B"/>
    <w:rsid w:val="28231B61"/>
    <w:rsid w:val="283E01F4"/>
    <w:rsid w:val="283E1990"/>
    <w:rsid w:val="28460F90"/>
    <w:rsid w:val="28481571"/>
    <w:rsid w:val="2859377E"/>
    <w:rsid w:val="285C31AE"/>
    <w:rsid w:val="2861490A"/>
    <w:rsid w:val="286A6D1E"/>
    <w:rsid w:val="286B2E69"/>
    <w:rsid w:val="286D547B"/>
    <w:rsid w:val="286E1D4C"/>
    <w:rsid w:val="287819C4"/>
    <w:rsid w:val="28793E20"/>
    <w:rsid w:val="287B0BD3"/>
    <w:rsid w:val="287C121A"/>
    <w:rsid w:val="287E0A54"/>
    <w:rsid w:val="287F0812"/>
    <w:rsid w:val="288218A0"/>
    <w:rsid w:val="288822B5"/>
    <w:rsid w:val="288A754F"/>
    <w:rsid w:val="288C14AB"/>
    <w:rsid w:val="288C487B"/>
    <w:rsid w:val="288E0F4E"/>
    <w:rsid w:val="289679C6"/>
    <w:rsid w:val="289757D7"/>
    <w:rsid w:val="289B1FE8"/>
    <w:rsid w:val="289E1EBB"/>
    <w:rsid w:val="28A763F6"/>
    <w:rsid w:val="28A80261"/>
    <w:rsid w:val="28AF4EEF"/>
    <w:rsid w:val="28B05368"/>
    <w:rsid w:val="28B13B31"/>
    <w:rsid w:val="28B22E8E"/>
    <w:rsid w:val="28B74948"/>
    <w:rsid w:val="28C31581"/>
    <w:rsid w:val="28D30610"/>
    <w:rsid w:val="28DC615D"/>
    <w:rsid w:val="28DE1ED5"/>
    <w:rsid w:val="28DE30B2"/>
    <w:rsid w:val="28E219C5"/>
    <w:rsid w:val="28E825C3"/>
    <w:rsid w:val="28ED7DAC"/>
    <w:rsid w:val="28F04484"/>
    <w:rsid w:val="290C07F0"/>
    <w:rsid w:val="290D6316"/>
    <w:rsid w:val="2913131B"/>
    <w:rsid w:val="29141CC6"/>
    <w:rsid w:val="29206EB8"/>
    <w:rsid w:val="292375FC"/>
    <w:rsid w:val="292E6A47"/>
    <w:rsid w:val="29325629"/>
    <w:rsid w:val="2933460F"/>
    <w:rsid w:val="29351EDB"/>
    <w:rsid w:val="29395D7C"/>
    <w:rsid w:val="293C27AC"/>
    <w:rsid w:val="293F1394"/>
    <w:rsid w:val="2940493E"/>
    <w:rsid w:val="29421A86"/>
    <w:rsid w:val="2942634F"/>
    <w:rsid w:val="29437BE4"/>
    <w:rsid w:val="294406D3"/>
    <w:rsid w:val="29466370"/>
    <w:rsid w:val="294F4B81"/>
    <w:rsid w:val="294F692F"/>
    <w:rsid w:val="29544C87"/>
    <w:rsid w:val="29565CAE"/>
    <w:rsid w:val="29595666"/>
    <w:rsid w:val="295B5EB0"/>
    <w:rsid w:val="29621A0B"/>
    <w:rsid w:val="296A19BB"/>
    <w:rsid w:val="29721DDA"/>
    <w:rsid w:val="29736C6F"/>
    <w:rsid w:val="29794FFA"/>
    <w:rsid w:val="29847A81"/>
    <w:rsid w:val="29874881"/>
    <w:rsid w:val="298D5C1B"/>
    <w:rsid w:val="298F4F7D"/>
    <w:rsid w:val="29930F11"/>
    <w:rsid w:val="299D309F"/>
    <w:rsid w:val="29A031F9"/>
    <w:rsid w:val="29A671D2"/>
    <w:rsid w:val="29A924E3"/>
    <w:rsid w:val="29AF296D"/>
    <w:rsid w:val="29B11398"/>
    <w:rsid w:val="29B42C36"/>
    <w:rsid w:val="29B67620"/>
    <w:rsid w:val="29C00666"/>
    <w:rsid w:val="29C6651B"/>
    <w:rsid w:val="29C9048F"/>
    <w:rsid w:val="29CC6CB9"/>
    <w:rsid w:val="29DA6B40"/>
    <w:rsid w:val="29DD71B3"/>
    <w:rsid w:val="29E21551"/>
    <w:rsid w:val="29E325E0"/>
    <w:rsid w:val="29E47F3B"/>
    <w:rsid w:val="29F3792F"/>
    <w:rsid w:val="29F37D72"/>
    <w:rsid w:val="29F55728"/>
    <w:rsid w:val="29F67720"/>
    <w:rsid w:val="29FC59D6"/>
    <w:rsid w:val="2A004DA8"/>
    <w:rsid w:val="2A007C29"/>
    <w:rsid w:val="2A0140CD"/>
    <w:rsid w:val="2A257690"/>
    <w:rsid w:val="2A2642D8"/>
    <w:rsid w:val="2A2D00CE"/>
    <w:rsid w:val="2A2E29E8"/>
    <w:rsid w:val="2A391AB9"/>
    <w:rsid w:val="2A3F3258"/>
    <w:rsid w:val="2A443FBA"/>
    <w:rsid w:val="2A452503"/>
    <w:rsid w:val="2A47392C"/>
    <w:rsid w:val="2A4D774F"/>
    <w:rsid w:val="2A637354"/>
    <w:rsid w:val="2A6D4CAC"/>
    <w:rsid w:val="2A6F0C16"/>
    <w:rsid w:val="2A757D27"/>
    <w:rsid w:val="2A7D127A"/>
    <w:rsid w:val="2A806C45"/>
    <w:rsid w:val="2A841048"/>
    <w:rsid w:val="2A9211C9"/>
    <w:rsid w:val="2A95568F"/>
    <w:rsid w:val="2A962D4A"/>
    <w:rsid w:val="2A97233B"/>
    <w:rsid w:val="2AA131BA"/>
    <w:rsid w:val="2AAB5DE7"/>
    <w:rsid w:val="2AAF7673"/>
    <w:rsid w:val="2AB215C0"/>
    <w:rsid w:val="2AB84825"/>
    <w:rsid w:val="2ABF1892"/>
    <w:rsid w:val="2AC02AD9"/>
    <w:rsid w:val="2AC13E53"/>
    <w:rsid w:val="2AC1560A"/>
    <w:rsid w:val="2AC56010"/>
    <w:rsid w:val="2AC57686"/>
    <w:rsid w:val="2AC70583"/>
    <w:rsid w:val="2ACA5537"/>
    <w:rsid w:val="2AD05911"/>
    <w:rsid w:val="2AE35581"/>
    <w:rsid w:val="2AEB2687"/>
    <w:rsid w:val="2AEE5CF8"/>
    <w:rsid w:val="2AEF1115"/>
    <w:rsid w:val="2AF20B8D"/>
    <w:rsid w:val="2AF47A52"/>
    <w:rsid w:val="2AFA62D1"/>
    <w:rsid w:val="2B087110"/>
    <w:rsid w:val="2B105B42"/>
    <w:rsid w:val="2B121E0D"/>
    <w:rsid w:val="2B125E66"/>
    <w:rsid w:val="2B1716CE"/>
    <w:rsid w:val="2B1C4F36"/>
    <w:rsid w:val="2B381DE7"/>
    <w:rsid w:val="2B3B3641"/>
    <w:rsid w:val="2B4148B6"/>
    <w:rsid w:val="2B43443A"/>
    <w:rsid w:val="2B446B43"/>
    <w:rsid w:val="2B4D18B6"/>
    <w:rsid w:val="2B4D7CF0"/>
    <w:rsid w:val="2B4F70BA"/>
    <w:rsid w:val="2B5640A9"/>
    <w:rsid w:val="2B5B780D"/>
    <w:rsid w:val="2B5E72FD"/>
    <w:rsid w:val="2B6D0EA0"/>
    <w:rsid w:val="2B716BBE"/>
    <w:rsid w:val="2B7B32CE"/>
    <w:rsid w:val="2B7C0E52"/>
    <w:rsid w:val="2B852DC2"/>
    <w:rsid w:val="2B8A00F2"/>
    <w:rsid w:val="2B903558"/>
    <w:rsid w:val="2B9258E9"/>
    <w:rsid w:val="2B936012"/>
    <w:rsid w:val="2B992B21"/>
    <w:rsid w:val="2B9B6E26"/>
    <w:rsid w:val="2B9C53AD"/>
    <w:rsid w:val="2B9F25ED"/>
    <w:rsid w:val="2BA146A2"/>
    <w:rsid w:val="2BA47406"/>
    <w:rsid w:val="2BA719ED"/>
    <w:rsid w:val="2BA936A8"/>
    <w:rsid w:val="2BB1567F"/>
    <w:rsid w:val="2BB21C62"/>
    <w:rsid w:val="2BC53238"/>
    <w:rsid w:val="2BCA4992"/>
    <w:rsid w:val="2BCF5669"/>
    <w:rsid w:val="2BD31A99"/>
    <w:rsid w:val="2BD56C0E"/>
    <w:rsid w:val="2BDA4BD6"/>
    <w:rsid w:val="2BDF482F"/>
    <w:rsid w:val="2BE503A1"/>
    <w:rsid w:val="2BE75544"/>
    <w:rsid w:val="2BE82B03"/>
    <w:rsid w:val="2BEE0CF4"/>
    <w:rsid w:val="2BF437BD"/>
    <w:rsid w:val="2BF524BF"/>
    <w:rsid w:val="2BFC0FF0"/>
    <w:rsid w:val="2BFF04B1"/>
    <w:rsid w:val="2C103AAB"/>
    <w:rsid w:val="2C163734"/>
    <w:rsid w:val="2C1A6BED"/>
    <w:rsid w:val="2C1B4875"/>
    <w:rsid w:val="2C212804"/>
    <w:rsid w:val="2C21368C"/>
    <w:rsid w:val="2C275941"/>
    <w:rsid w:val="2C2C5974"/>
    <w:rsid w:val="2C315A5A"/>
    <w:rsid w:val="2C3D6F12"/>
    <w:rsid w:val="2C436713"/>
    <w:rsid w:val="2C4B1C25"/>
    <w:rsid w:val="2C73717A"/>
    <w:rsid w:val="2C751C27"/>
    <w:rsid w:val="2C7624A3"/>
    <w:rsid w:val="2C7A7508"/>
    <w:rsid w:val="2C7D6FFF"/>
    <w:rsid w:val="2C7E735A"/>
    <w:rsid w:val="2C8763E0"/>
    <w:rsid w:val="2C891CD4"/>
    <w:rsid w:val="2C8C0643"/>
    <w:rsid w:val="2C8E59C0"/>
    <w:rsid w:val="2C951F3F"/>
    <w:rsid w:val="2C9E7B4D"/>
    <w:rsid w:val="2CA814B4"/>
    <w:rsid w:val="2CA90A4C"/>
    <w:rsid w:val="2CAB7769"/>
    <w:rsid w:val="2CAE7E10"/>
    <w:rsid w:val="2CC55894"/>
    <w:rsid w:val="2CCB09C2"/>
    <w:rsid w:val="2CDE06F5"/>
    <w:rsid w:val="2CE341B5"/>
    <w:rsid w:val="2CE51A84"/>
    <w:rsid w:val="2CEC326F"/>
    <w:rsid w:val="2CF34931"/>
    <w:rsid w:val="2CF40A55"/>
    <w:rsid w:val="2CF75313"/>
    <w:rsid w:val="2CFC200B"/>
    <w:rsid w:val="2CFD3540"/>
    <w:rsid w:val="2D0637A8"/>
    <w:rsid w:val="2D0D1122"/>
    <w:rsid w:val="2D0D3220"/>
    <w:rsid w:val="2D157E8F"/>
    <w:rsid w:val="2D21532B"/>
    <w:rsid w:val="2D406CBA"/>
    <w:rsid w:val="2D4659B4"/>
    <w:rsid w:val="2D4C3391"/>
    <w:rsid w:val="2D566512"/>
    <w:rsid w:val="2D5E35E4"/>
    <w:rsid w:val="2D6D0EBE"/>
    <w:rsid w:val="2D943372"/>
    <w:rsid w:val="2D9456C5"/>
    <w:rsid w:val="2D9C735E"/>
    <w:rsid w:val="2D9E56F5"/>
    <w:rsid w:val="2D9E60D7"/>
    <w:rsid w:val="2DA67052"/>
    <w:rsid w:val="2DA7547F"/>
    <w:rsid w:val="2DAC07F4"/>
    <w:rsid w:val="2DB249DF"/>
    <w:rsid w:val="2DBA01FC"/>
    <w:rsid w:val="2DBA11A0"/>
    <w:rsid w:val="2DCE076A"/>
    <w:rsid w:val="2DCE09EC"/>
    <w:rsid w:val="2DCE5D64"/>
    <w:rsid w:val="2DD035ED"/>
    <w:rsid w:val="2DD76DEA"/>
    <w:rsid w:val="2DDF2977"/>
    <w:rsid w:val="2DE4242B"/>
    <w:rsid w:val="2DEA54F5"/>
    <w:rsid w:val="2DED6716"/>
    <w:rsid w:val="2DF11AEB"/>
    <w:rsid w:val="2DF4468B"/>
    <w:rsid w:val="2DF5751C"/>
    <w:rsid w:val="2E04418C"/>
    <w:rsid w:val="2E093550"/>
    <w:rsid w:val="2E0C3040"/>
    <w:rsid w:val="2E0E6A8A"/>
    <w:rsid w:val="2E190E69"/>
    <w:rsid w:val="2E1A39AF"/>
    <w:rsid w:val="2E1F2D74"/>
    <w:rsid w:val="2E34331E"/>
    <w:rsid w:val="2E344345"/>
    <w:rsid w:val="2E424CB4"/>
    <w:rsid w:val="2E4647A4"/>
    <w:rsid w:val="2E471786"/>
    <w:rsid w:val="2E494294"/>
    <w:rsid w:val="2E545C4E"/>
    <w:rsid w:val="2E602F86"/>
    <w:rsid w:val="2E6138CF"/>
    <w:rsid w:val="2E667F96"/>
    <w:rsid w:val="2E692241"/>
    <w:rsid w:val="2E6C1D31"/>
    <w:rsid w:val="2E70226B"/>
    <w:rsid w:val="2E776A61"/>
    <w:rsid w:val="2E796FC8"/>
    <w:rsid w:val="2E7F7CB6"/>
    <w:rsid w:val="2E80043B"/>
    <w:rsid w:val="2E8226AB"/>
    <w:rsid w:val="2E8343E0"/>
    <w:rsid w:val="2E840801"/>
    <w:rsid w:val="2E8C23C9"/>
    <w:rsid w:val="2E8D33AA"/>
    <w:rsid w:val="2E942D8A"/>
    <w:rsid w:val="2E9B18FC"/>
    <w:rsid w:val="2EA14A1D"/>
    <w:rsid w:val="2EAB4607"/>
    <w:rsid w:val="2EAB56A1"/>
    <w:rsid w:val="2EB2173C"/>
    <w:rsid w:val="2EB37960"/>
    <w:rsid w:val="2EC15BD9"/>
    <w:rsid w:val="2EC61509"/>
    <w:rsid w:val="2EC819A5"/>
    <w:rsid w:val="2ECD0A22"/>
    <w:rsid w:val="2ECD7E61"/>
    <w:rsid w:val="2ECE0A42"/>
    <w:rsid w:val="2ED27DE6"/>
    <w:rsid w:val="2EDD20FB"/>
    <w:rsid w:val="2EE10029"/>
    <w:rsid w:val="2EE1338C"/>
    <w:rsid w:val="2EE47B19"/>
    <w:rsid w:val="2EED4C20"/>
    <w:rsid w:val="2F0247C0"/>
    <w:rsid w:val="2F065CE2"/>
    <w:rsid w:val="2F071396"/>
    <w:rsid w:val="2F0957D2"/>
    <w:rsid w:val="2F0D36D0"/>
    <w:rsid w:val="2F0F4084"/>
    <w:rsid w:val="2F177C51"/>
    <w:rsid w:val="2F1C3757"/>
    <w:rsid w:val="2F2D326E"/>
    <w:rsid w:val="2F305712"/>
    <w:rsid w:val="2F33106A"/>
    <w:rsid w:val="2F40167C"/>
    <w:rsid w:val="2F4055FD"/>
    <w:rsid w:val="2F4131BE"/>
    <w:rsid w:val="2F500447"/>
    <w:rsid w:val="2F521474"/>
    <w:rsid w:val="2F567CE8"/>
    <w:rsid w:val="2F5A7DDB"/>
    <w:rsid w:val="2F5C6E60"/>
    <w:rsid w:val="2F600150"/>
    <w:rsid w:val="2F621497"/>
    <w:rsid w:val="2F671E9A"/>
    <w:rsid w:val="2F6952DF"/>
    <w:rsid w:val="2F6A1587"/>
    <w:rsid w:val="2F6A33C8"/>
    <w:rsid w:val="2F6B3D97"/>
    <w:rsid w:val="2F6B5909"/>
    <w:rsid w:val="2F6D14BB"/>
    <w:rsid w:val="2F7D543B"/>
    <w:rsid w:val="2F8D3988"/>
    <w:rsid w:val="2FA31782"/>
    <w:rsid w:val="2FA379D4"/>
    <w:rsid w:val="2FAC0502"/>
    <w:rsid w:val="2FB219C5"/>
    <w:rsid w:val="2FB45DAF"/>
    <w:rsid w:val="2FB947ED"/>
    <w:rsid w:val="2FBD0D16"/>
    <w:rsid w:val="2FBE7141"/>
    <w:rsid w:val="2FC121F0"/>
    <w:rsid w:val="2FCA1F32"/>
    <w:rsid w:val="2FCC0CD9"/>
    <w:rsid w:val="2FCF3953"/>
    <w:rsid w:val="2FD065E6"/>
    <w:rsid w:val="2FD96870"/>
    <w:rsid w:val="2FE6518C"/>
    <w:rsid w:val="2FE733C1"/>
    <w:rsid w:val="2FF859B7"/>
    <w:rsid w:val="2FFE5A1F"/>
    <w:rsid w:val="30004E27"/>
    <w:rsid w:val="3002294D"/>
    <w:rsid w:val="300246FB"/>
    <w:rsid w:val="30030473"/>
    <w:rsid w:val="30055F99"/>
    <w:rsid w:val="30077F63"/>
    <w:rsid w:val="300A0C8B"/>
    <w:rsid w:val="30106F8C"/>
    <w:rsid w:val="3027572C"/>
    <w:rsid w:val="302F0AB0"/>
    <w:rsid w:val="3033059F"/>
    <w:rsid w:val="303D3985"/>
    <w:rsid w:val="305500F6"/>
    <w:rsid w:val="30580BC9"/>
    <w:rsid w:val="305E5DD4"/>
    <w:rsid w:val="306058C5"/>
    <w:rsid w:val="30785A32"/>
    <w:rsid w:val="30842CF1"/>
    <w:rsid w:val="308563F2"/>
    <w:rsid w:val="308610E8"/>
    <w:rsid w:val="308C66BA"/>
    <w:rsid w:val="30923FF0"/>
    <w:rsid w:val="30977539"/>
    <w:rsid w:val="30980BBB"/>
    <w:rsid w:val="30986E0D"/>
    <w:rsid w:val="309B0DE4"/>
    <w:rsid w:val="30AB769A"/>
    <w:rsid w:val="30AD0B0B"/>
    <w:rsid w:val="30B31E99"/>
    <w:rsid w:val="30BB782E"/>
    <w:rsid w:val="30C46612"/>
    <w:rsid w:val="30C56173"/>
    <w:rsid w:val="30C65728"/>
    <w:rsid w:val="30C81594"/>
    <w:rsid w:val="30CB2D3F"/>
    <w:rsid w:val="30D03397"/>
    <w:rsid w:val="30D56A93"/>
    <w:rsid w:val="30E9458C"/>
    <w:rsid w:val="30EF0056"/>
    <w:rsid w:val="30F1651D"/>
    <w:rsid w:val="30F72470"/>
    <w:rsid w:val="31030732"/>
    <w:rsid w:val="31055AE9"/>
    <w:rsid w:val="3110132A"/>
    <w:rsid w:val="31105186"/>
    <w:rsid w:val="3115045E"/>
    <w:rsid w:val="31197F4E"/>
    <w:rsid w:val="311A5A74"/>
    <w:rsid w:val="311B6C77"/>
    <w:rsid w:val="311E2ED7"/>
    <w:rsid w:val="311F4D77"/>
    <w:rsid w:val="31325114"/>
    <w:rsid w:val="313A7EC4"/>
    <w:rsid w:val="314A71FD"/>
    <w:rsid w:val="314C4925"/>
    <w:rsid w:val="315619EE"/>
    <w:rsid w:val="3157538E"/>
    <w:rsid w:val="315C449C"/>
    <w:rsid w:val="31744860"/>
    <w:rsid w:val="3179263A"/>
    <w:rsid w:val="317B29B7"/>
    <w:rsid w:val="31862263"/>
    <w:rsid w:val="318725F9"/>
    <w:rsid w:val="31887D35"/>
    <w:rsid w:val="318906F7"/>
    <w:rsid w:val="318E3AE9"/>
    <w:rsid w:val="318F0ECE"/>
    <w:rsid w:val="31951EAC"/>
    <w:rsid w:val="319770C5"/>
    <w:rsid w:val="319B6BB5"/>
    <w:rsid w:val="319C5189"/>
    <w:rsid w:val="319E0453"/>
    <w:rsid w:val="31A55C86"/>
    <w:rsid w:val="31AD4202"/>
    <w:rsid w:val="31B067C5"/>
    <w:rsid w:val="31B11AA3"/>
    <w:rsid w:val="31B762AF"/>
    <w:rsid w:val="31B82709"/>
    <w:rsid w:val="31C37EBA"/>
    <w:rsid w:val="31C63D6A"/>
    <w:rsid w:val="31C77AF5"/>
    <w:rsid w:val="31D05482"/>
    <w:rsid w:val="31D6174A"/>
    <w:rsid w:val="31DE2CA1"/>
    <w:rsid w:val="31DE6831"/>
    <w:rsid w:val="31E20D51"/>
    <w:rsid w:val="31FA30D9"/>
    <w:rsid w:val="31FC1091"/>
    <w:rsid w:val="31FE5396"/>
    <w:rsid w:val="320049D3"/>
    <w:rsid w:val="320337FC"/>
    <w:rsid w:val="320504D2"/>
    <w:rsid w:val="320A19C2"/>
    <w:rsid w:val="320F20CD"/>
    <w:rsid w:val="32176419"/>
    <w:rsid w:val="321D1590"/>
    <w:rsid w:val="3220432F"/>
    <w:rsid w:val="322748ED"/>
    <w:rsid w:val="322A1CE7"/>
    <w:rsid w:val="32333292"/>
    <w:rsid w:val="32370698"/>
    <w:rsid w:val="32396F68"/>
    <w:rsid w:val="32400B34"/>
    <w:rsid w:val="32433370"/>
    <w:rsid w:val="324568EC"/>
    <w:rsid w:val="32456B21"/>
    <w:rsid w:val="324B74C8"/>
    <w:rsid w:val="324D69CA"/>
    <w:rsid w:val="324F40BE"/>
    <w:rsid w:val="325D098E"/>
    <w:rsid w:val="325D59BB"/>
    <w:rsid w:val="325E70E5"/>
    <w:rsid w:val="326C2300"/>
    <w:rsid w:val="32713DBA"/>
    <w:rsid w:val="32730FE0"/>
    <w:rsid w:val="3273283E"/>
    <w:rsid w:val="32747406"/>
    <w:rsid w:val="3276317E"/>
    <w:rsid w:val="328505A4"/>
    <w:rsid w:val="3287538B"/>
    <w:rsid w:val="328A597D"/>
    <w:rsid w:val="32973B4E"/>
    <w:rsid w:val="329A63C6"/>
    <w:rsid w:val="329E6876"/>
    <w:rsid w:val="32A001FB"/>
    <w:rsid w:val="32A1627D"/>
    <w:rsid w:val="32A91D88"/>
    <w:rsid w:val="32A97F0A"/>
    <w:rsid w:val="32B47FBD"/>
    <w:rsid w:val="32BA482A"/>
    <w:rsid w:val="32CA2C60"/>
    <w:rsid w:val="32D22A86"/>
    <w:rsid w:val="32D87F71"/>
    <w:rsid w:val="32DB1233"/>
    <w:rsid w:val="32E0684A"/>
    <w:rsid w:val="32ED01A4"/>
    <w:rsid w:val="32F131D4"/>
    <w:rsid w:val="32F56799"/>
    <w:rsid w:val="32FC1B81"/>
    <w:rsid w:val="32FD2EB8"/>
    <w:rsid w:val="33015626"/>
    <w:rsid w:val="331007CE"/>
    <w:rsid w:val="33174961"/>
    <w:rsid w:val="331D4B4E"/>
    <w:rsid w:val="332D0A59"/>
    <w:rsid w:val="332D5B6B"/>
    <w:rsid w:val="333015F2"/>
    <w:rsid w:val="333F7A14"/>
    <w:rsid w:val="3341553A"/>
    <w:rsid w:val="33450F1D"/>
    <w:rsid w:val="334B6320"/>
    <w:rsid w:val="334D2131"/>
    <w:rsid w:val="334F395F"/>
    <w:rsid w:val="33525999"/>
    <w:rsid w:val="33597662"/>
    <w:rsid w:val="336254B1"/>
    <w:rsid w:val="33654303"/>
    <w:rsid w:val="33655BA2"/>
    <w:rsid w:val="336631F3"/>
    <w:rsid w:val="33695AF1"/>
    <w:rsid w:val="336B6A5B"/>
    <w:rsid w:val="33772A89"/>
    <w:rsid w:val="337C47C4"/>
    <w:rsid w:val="337E50B9"/>
    <w:rsid w:val="33876AB9"/>
    <w:rsid w:val="339B7F53"/>
    <w:rsid w:val="33A54853"/>
    <w:rsid w:val="33AB50A9"/>
    <w:rsid w:val="33AD7E59"/>
    <w:rsid w:val="33B26438"/>
    <w:rsid w:val="33B3197D"/>
    <w:rsid w:val="33C817B8"/>
    <w:rsid w:val="33C94EE0"/>
    <w:rsid w:val="33D91C17"/>
    <w:rsid w:val="33D934D4"/>
    <w:rsid w:val="33E74334"/>
    <w:rsid w:val="33EE38DF"/>
    <w:rsid w:val="33F75168"/>
    <w:rsid w:val="33FB2AAF"/>
    <w:rsid w:val="33FE2F6A"/>
    <w:rsid w:val="33FE342B"/>
    <w:rsid w:val="33FF7F86"/>
    <w:rsid w:val="340E07E5"/>
    <w:rsid w:val="340F5440"/>
    <w:rsid w:val="34102291"/>
    <w:rsid w:val="34126B3F"/>
    <w:rsid w:val="34182424"/>
    <w:rsid w:val="341B328F"/>
    <w:rsid w:val="34203116"/>
    <w:rsid w:val="34235BF7"/>
    <w:rsid w:val="342A7BA0"/>
    <w:rsid w:val="342B1285"/>
    <w:rsid w:val="34383DD1"/>
    <w:rsid w:val="343A4F13"/>
    <w:rsid w:val="344025B6"/>
    <w:rsid w:val="344C16FE"/>
    <w:rsid w:val="345B6982"/>
    <w:rsid w:val="345D63A4"/>
    <w:rsid w:val="346844D6"/>
    <w:rsid w:val="347D775E"/>
    <w:rsid w:val="3482405C"/>
    <w:rsid w:val="348A40ED"/>
    <w:rsid w:val="348C7AC7"/>
    <w:rsid w:val="348F00FF"/>
    <w:rsid w:val="34914DCA"/>
    <w:rsid w:val="349B6ECC"/>
    <w:rsid w:val="34A12FFE"/>
    <w:rsid w:val="34A36F3F"/>
    <w:rsid w:val="34AA710F"/>
    <w:rsid w:val="34AF4725"/>
    <w:rsid w:val="34B800A1"/>
    <w:rsid w:val="34C208FD"/>
    <w:rsid w:val="34C27CA8"/>
    <w:rsid w:val="34C74165"/>
    <w:rsid w:val="34C85A00"/>
    <w:rsid w:val="34D92909"/>
    <w:rsid w:val="34DF325D"/>
    <w:rsid w:val="34EA2D01"/>
    <w:rsid w:val="34EE172B"/>
    <w:rsid w:val="34EE524E"/>
    <w:rsid w:val="34FC167B"/>
    <w:rsid w:val="35017A40"/>
    <w:rsid w:val="35092757"/>
    <w:rsid w:val="35134CB4"/>
    <w:rsid w:val="3518051D"/>
    <w:rsid w:val="351C000D"/>
    <w:rsid w:val="352E1AEE"/>
    <w:rsid w:val="3531125E"/>
    <w:rsid w:val="35492AA7"/>
    <w:rsid w:val="355264D7"/>
    <w:rsid w:val="355377A7"/>
    <w:rsid w:val="355411F6"/>
    <w:rsid w:val="35585FE3"/>
    <w:rsid w:val="35633FD8"/>
    <w:rsid w:val="356814A4"/>
    <w:rsid w:val="356B2D42"/>
    <w:rsid w:val="356B4AF0"/>
    <w:rsid w:val="35700877"/>
    <w:rsid w:val="357A2F85"/>
    <w:rsid w:val="357D4824"/>
    <w:rsid w:val="357E2A76"/>
    <w:rsid w:val="35804D56"/>
    <w:rsid w:val="35814314"/>
    <w:rsid w:val="358838F4"/>
    <w:rsid w:val="35884E86"/>
    <w:rsid w:val="358C5FA8"/>
    <w:rsid w:val="35917014"/>
    <w:rsid w:val="35925423"/>
    <w:rsid w:val="35944047"/>
    <w:rsid w:val="359B4F64"/>
    <w:rsid w:val="359D0A22"/>
    <w:rsid w:val="359F0C3E"/>
    <w:rsid w:val="35A9270C"/>
    <w:rsid w:val="35BE7316"/>
    <w:rsid w:val="35BF4E3C"/>
    <w:rsid w:val="35BF6BEA"/>
    <w:rsid w:val="35C15DF1"/>
    <w:rsid w:val="35C3492C"/>
    <w:rsid w:val="35C91C3F"/>
    <w:rsid w:val="35CF507F"/>
    <w:rsid w:val="35D408E8"/>
    <w:rsid w:val="35E054DE"/>
    <w:rsid w:val="35E33818"/>
    <w:rsid w:val="35E57FA8"/>
    <w:rsid w:val="35E91752"/>
    <w:rsid w:val="35F2645F"/>
    <w:rsid w:val="36074A7F"/>
    <w:rsid w:val="360D5FB1"/>
    <w:rsid w:val="3612023A"/>
    <w:rsid w:val="3619011B"/>
    <w:rsid w:val="36213401"/>
    <w:rsid w:val="36283EEA"/>
    <w:rsid w:val="362A59A9"/>
    <w:rsid w:val="36390BFB"/>
    <w:rsid w:val="363C0437"/>
    <w:rsid w:val="364558D8"/>
    <w:rsid w:val="364C66D0"/>
    <w:rsid w:val="364C71E5"/>
    <w:rsid w:val="365152BB"/>
    <w:rsid w:val="36525CB0"/>
    <w:rsid w:val="36637EBD"/>
    <w:rsid w:val="36691728"/>
    <w:rsid w:val="366C6D72"/>
    <w:rsid w:val="36733A0C"/>
    <w:rsid w:val="36751D82"/>
    <w:rsid w:val="3676199F"/>
    <w:rsid w:val="36774869"/>
    <w:rsid w:val="36775663"/>
    <w:rsid w:val="36837875"/>
    <w:rsid w:val="368A544A"/>
    <w:rsid w:val="368B1099"/>
    <w:rsid w:val="368F4250"/>
    <w:rsid w:val="369167D9"/>
    <w:rsid w:val="36923549"/>
    <w:rsid w:val="36943D56"/>
    <w:rsid w:val="36A91D0B"/>
    <w:rsid w:val="36AF1D05"/>
    <w:rsid w:val="36B10C29"/>
    <w:rsid w:val="36B7223B"/>
    <w:rsid w:val="36B75FBF"/>
    <w:rsid w:val="36BD0C45"/>
    <w:rsid w:val="36BD10D7"/>
    <w:rsid w:val="36D14ED5"/>
    <w:rsid w:val="36D52B69"/>
    <w:rsid w:val="36D83E65"/>
    <w:rsid w:val="36D93CDC"/>
    <w:rsid w:val="36DD39E4"/>
    <w:rsid w:val="36F70C99"/>
    <w:rsid w:val="36FA327F"/>
    <w:rsid w:val="36FC6348"/>
    <w:rsid w:val="37041FA9"/>
    <w:rsid w:val="37042ABB"/>
    <w:rsid w:val="370568E6"/>
    <w:rsid w:val="370C5E5F"/>
    <w:rsid w:val="370D55F9"/>
    <w:rsid w:val="37147DA6"/>
    <w:rsid w:val="37185EFF"/>
    <w:rsid w:val="3725246C"/>
    <w:rsid w:val="37324767"/>
    <w:rsid w:val="37500665"/>
    <w:rsid w:val="37517990"/>
    <w:rsid w:val="375537B3"/>
    <w:rsid w:val="375822A5"/>
    <w:rsid w:val="375F14B0"/>
    <w:rsid w:val="375F45D4"/>
    <w:rsid w:val="37646BA5"/>
    <w:rsid w:val="376B0DD8"/>
    <w:rsid w:val="376C68FE"/>
    <w:rsid w:val="37727331"/>
    <w:rsid w:val="377A54BF"/>
    <w:rsid w:val="37817F2B"/>
    <w:rsid w:val="378348C9"/>
    <w:rsid w:val="378A49E1"/>
    <w:rsid w:val="3793032E"/>
    <w:rsid w:val="37A50F3E"/>
    <w:rsid w:val="37AB4DCB"/>
    <w:rsid w:val="37B16457"/>
    <w:rsid w:val="37BD74F5"/>
    <w:rsid w:val="37C05FC9"/>
    <w:rsid w:val="37CC160C"/>
    <w:rsid w:val="37CE6420"/>
    <w:rsid w:val="37D83F93"/>
    <w:rsid w:val="37DA7D0B"/>
    <w:rsid w:val="37DD3152"/>
    <w:rsid w:val="37E00298"/>
    <w:rsid w:val="37E11C1A"/>
    <w:rsid w:val="37E33064"/>
    <w:rsid w:val="37F803F0"/>
    <w:rsid w:val="37FC5845"/>
    <w:rsid w:val="37FF7772"/>
    <w:rsid w:val="380A05F1"/>
    <w:rsid w:val="380B4369"/>
    <w:rsid w:val="38126F39"/>
    <w:rsid w:val="38132512"/>
    <w:rsid w:val="381512AD"/>
    <w:rsid w:val="381551E7"/>
    <w:rsid w:val="381E5545"/>
    <w:rsid w:val="38244FA6"/>
    <w:rsid w:val="383168F7"/>
    <w:rsid w:val="38334A88"/>
    <w:rsid w:val="383754C2"/>
    <w:rsid w:val="38390ED6"/>
    <w:rsid w:val="384B29B7"/>
    <w:rsid w:val="384E38F0"/>
    <w:rsid w:val="38537210"/>
    <w:rsid w:val="38561A88"/>
    <w:rsid w:val="38591A03"/>
    <w:rsid w:val="385A4BFD"/>
    <w:rsid w:val="386B4E07"/>
    <w:rsid w:val="386D6DD1"/>
    <w:rsid w:val="386E3E82"/>
    <w:rsid w:val="386F66A6"/>
    <w:rsid w:val="38710DDD"/>
    <w:rsid w:val="387D5266"/>
    <w:rsid w:val="38843646"/>
    <w:rsid w:val="388A34DF"/>
    <w:rsid w:val="389323F4"/>
    <w:rsid w:val="38960718"/>
    <w:rsid w:val="38966328"/>
    <w:rsid w:val="38A731BC"/>
    <w:rsid w:val="38AF73EA"/>
    <w:rsid w:val="38B302F9"/>
    <w:rsid w:val="38B54A28"/>
    <w:rsid w:val="38B7004D"/>
    <w:rsid w:val="38BE762D"/>
    <w:rsid w:val="38CE5AC2"/>
    <w:rsid w:val="38D02376"/>
    <w:rsid w:val="38E3651A"/>
    <w:rsid w:val="38E71D8F"/>
    <w:rsid w:val="38E726E0"/>
    <w:rsid w:val="38EA058F"/>
    <w:rsid w:val="38F02330"/>
    <w:rsid w:val="38F117B0"/>
    <w:rsid w:val="38F12CD3"/>
    <w:rsid w:val="38F94775"/>
    <w:rsid w:val="390715C9"/>
    <w:rsid w:val="390C2867"/>
    <w:rsid w:val="391F64ED"/>
    <w:rsid w:val="392971ED"/>
    <w:rsid w:val="392C4597"/>
    <w:rsid w:val="39325651"/>
    <w:rsid w:val="393F6923"/>
    <w:rsid w:val="394418E0"/>
    <w:rsid w:val="39461AFC"/>
    <w:rsid w:val="39483D62"/>
    <w:rsid w:val="39546DCF"/>
    <w:rsid w:val="39580388"/>
    <w:rsid w:val="39581F77"/>
    <w:rsid w:val="395B00F0"/>
    <w:rsid w:val="395F2BBE"/>
    <w:rsid w:val="396003DF"/>
    <w:rsid w:val="39616C82"/>
    <w:rsid w:val="39661562"/>
    <w:rsid w:val="39672B1A"/>
    <w:rsid w:val="39683588"/>
    <w:rsid w:val="396E1053"/>
    <w:rsid w:val="39884078"/>
    <w:rsid w:val="399D6836"/>
    <w:rsid w:val="39A24859"/>
    <w:rsid w:val="39A337B5"/>
    <w:rsid w:val="39A46618"/>
    <w:rsid w:val="39A86313"/>
    <w:rsid w:val="39AA1A47"/>
    <w:rsid w:val="39AE0FE0"/>
    <w:rsid w:val="39B12CEE"/>
    <w:rsid w:val="39B20F40"/>
    <w:rsid w:val="39B42EA8"/>
    <w:rsid w:val="39B46112"/>
    <w:rsid w:val="39B60304"/>
    <w:rsid w:val="39BB6709"/>
    <w:rsid w:val="39BC2840"/>
    <w:rsid w:val="39BE5B37"/>
    <w:rsid w:val="39C034E0"/>
    <w:rsid w:val="39CC4799"/>
    <w:rsid w:val="39CF3B8B"/>
    <w:rsid w:val="39D07618"/>
    <w:rsid w:val="39D25CE1"/>
    <w:rsid w:val="39D8535B"/>
    <w:rsid w:val="39DB7C2D"/>
    <w:rsid w:val="39DC420F"/>
    <w:rsid w:val="39E71E22"/>
    <w:rsid w:val="39E82BB3"/>
    <w:rsid w:val="39E92940"/>
    <w:rsid w:val="39EA7991"/>
    <w:rsid w:val="39F011D2"/>
    <w:rsid w:val="39F85378"/>
    <w:rsid w:val="39FE06A4"/>
    <w:rsid w:val="3A080B60"/>
    <w:rsid w:val="3A157488"/>
    <w:rsid w:val="3A175247"/>
    <w:rsid w:val="3A2B484E"/>
    <w:rsid w:val="3A3124C1"/>
    <w:rsid w:val="3A376F8F"/>
    <w:rsid w:val="3A3F57E0"/>
    <w:rsid w:val="3A4A0CAB"/>
    <w:rsid w:val="3A4E41E0"/>
    <w:rsid w:val="3A5169AB"/>
    <w:rsid w:val="3A543DA5"/>
    <w:rsid w:val="3A555D6F"/>
    <w:rsid w:val="3A571AE7"/>
    <w:rsid w:val="3A5913BB"/>
    <w:rsid w:val="3A656FC8"/>
    <w:rsid w:val="3A6A181A"/>
    <w:rsid w:val="3A7D68D2"/>
    <w:rsid w:val="3A856654"/>
    <w:rsid w:val="3A872856"/>
    <w:rsid w:val="3AA77EF5"/>
    <w:rsid w:val="3AAA205E"/>
    <w:rsid w:val="3AAC2850"/>
    <w:rsid w:val="3AAC3BE1"/>
    <w:rsid w:val="3AB17111"/>
    <w:rsid w:val="3AB335DE"/>
    <w:rsid w:val="3AC145EF"/>
    <w:rsid w:val="3AC748AD"/>
    <w:rsid w:val="3AD34C52"/>
    <w:rsid w:val="3AD91C84"/>
    <w:rsid w:val="3AD924FC"/>
    <w:rsid w:val="3ADA069E"/>
    <w:rsid w:val="3ADE0C5F"/>
    <w:rsid w:val="3ADE5B96"/>
    <w:rsid w:val="3AE02C12"/>
    <w:rsid w:val="3AE60B21"/>
    <w:rsid w:val="3AEE0A16"/>
    <w:rsid w:val="3AEE41FA"/>
    <w:rsid w:val="3AF34FB5"/>
    <w:rsid w:val="3AF7484F"/>
    <w:rsid w:val="3AF8517E"/>
    <w:rsid w:val="3AF9494C"/>
    <w:rsid w:val="3B051543"/>
    <w:rsid w:val="3B164C3C"/>
    <w:rsid w:val="3B165888"/>
    <w:rsid w:val="3B171F59"/>
    <w:rsid w:val="3B1E0225"/>
    <w:rsid w:val="3B252DD1"/>
    <w:rsid w:val="3B345984"/>
    <w:rsid w:val="3B375D87"/>
    <w:rsid w:val="3B3763D1"/>
    <w:rsid w:val="3B51442B"/>
    <w:rsid w:val="3B563B4D"/>
    <w:rsid w:val="3B5B5607"/>
    <w:rsid w:val="3B5B69D7"/>
    <w:rsid w:val="3B5E2A01"/>
    <w:rsid w:val="3B717768"/>
    <w:rsid w:val="3B783AC3"/>
    <w:rsid w:val="3B7B1805"/>
    <w:rsid w:val="3B880726"/>
    <w:rsid w:val="3B8B1FE5"/>
    <w:rsid w:val="3B8D689A"/>
    <w:rsid w:val="3B8E59E5"/>
    <w:rsid w:val="3B8E5DAE"/>
    <w:rsid w:val="3B950463"/>
    <w:rsid w:val="3B9528C7"/>
    <w:rsid w:val="3B994E02"/>
    <w:rsid w:val="3B9A7EDD"/>
    <w:rsid w:val="3BA47EB6"/>
    <w:rsid w:val="3BB80364"/>
    <w:rsid w:val="3BC02B4A"/>
    <w:rsid w:val="3BC92453"/>
    <w:rsid w:val="3BCD6E05"/>
    <w:rsid w:val="3BCF36CD"/>
    <w:rsid w:val="3BD64F66"/>
    <w:rsid w:val="3BDA14B4"/>
    <w:rsid w:val="3BDD426E"/>
    <w:rsid w:val="3BE22F9C"/>
    <w:rsid w:val="3BF10EB2"/>
    <w:rsid w:val="3BF93BCA"/>
    <w:rsid w:val="3BFA7D8D"/>
    <w:rsid w:val="3BFE66BE"/>
    <w:rsid w:val="3C032C20"/>
    <w:rsid w:val="3C055EE8"/>
    <w:rsid w:val="3C067E6D"/>
    <w:rsid w:val="3C0B6319"/>
    <w:rsid w:val="3C106222"/>
    <w:rsid w:val="3C137C90"/>
    <w:rsid w:val="3C1500AB"/>
    <w:rsid w:val="3C1602DC"/>
    <w:rsid w:val="3C221C81"/>
    <w:rsid w:val="3C237ED3"/>
    <w:rsid w:val="3C24440F"/>
    <w:rsid w:val="3C263193"/>
    <w:rsid w:val="3C270C10"/>
    <w:rsid w:val="3C276A75"/>
    <w:rsid w:val="3C28235F"/>
    <w:rsid w:val="3C294576"/>
    <w:rsid w:val="3C2F6E1E"/>
    <w:rsid w:val="3C300842"/>
    <w:rsid w:val="3C395948"/>
    <w:rsid w:val="3C3A6681"/>
    <w:rsid w:val="3C3C71E7"/>
    <w:rsid w:val="3C406CD8"/>
    <w:rsid w:val="3C4542ED"/>
    <w:rsid w:val="3C4F64BA"/>
    <w:rsid w:val="3C502C92"/>
    <w:rsid w:val="3C5207B8"/>
    <w:rsid w:val="3C5A1B8B"/>
    <w:rsid w:val="3C6E4D25"/>
    <w:rsid w:val="3C834D53"/>
    <w:rsid w:val="3C8626E8"/>
    <w:rsid w:val="3C8C391A"/>
    <w:rsid w:val="3C940DD1"/>
    <w:rsid w:val="3C97441D"/>
    <w:rsid w:val="3CAF3A1F"/>
    <w:rsid w:val="3CAF5C0A"/>
    <w:rsid w:val="3CAF79B9"/>
    <w:rsid w:val="3CB5431A"/>
    <w:rsid w:val="3CB95581"/>
    <w:rsid w:val="3CBB21E5"/>
    <w:rsid w:val="3CBB6BB2"/>
    <w:rsid w:val="3CBD75BF"/>
    <w:rsid w:val="3CBF57BA"/>
    <w:rsid w:val="3CC247C5"/>
    <w:rsid w:val="3CC24A65"/>
    <w:rsid w:val="3CC41C09"/>
    <w:rsid w:val="3CC72F54"/>
    <w:rsid w:val="3CCA47F2"/>
    <w:rsid w:val="3CCE1ED3"/>
    <w:rsid w:val="3CCF1E09"/>
    <w:rsid w:val="3CD26389"/>
    <w:rsid w:val="3CD4741F"/>
    <w:rsid w:val="3CD63197"/>
    <w:rsid w:val="3CDA245A"/>
    <w:rsid w:val="3CDC4526"/>
    <w:rsid w:val="3CE204EF"/>
    <w:rsid w:val="3CF17FD1"/>
    <w:rsid w:val="3CF47AC1"/>
    <w:rsid w:val="3CFD4BC8"/>
    <w:rsid w:val="3D0D2931"/>
    <w:rsid w:val="3D0F4747"/>
    <w:rsid w:val="3D136199"/>
    <w:rsid w:val="3D16759C"/>
    <w:rsid w:val="3D1C2E61"/>
    <w:rsid w:val="3D1E06B7"/>
    <w:rsid w:val="3D235CB1"/>
    <w:rsid w:val="3D255ECD"/>
    <w:rsid w:val="3D3659E4"/>
    <w:rsid w:val="3D3B124C"/>
    <w:rsid w:val="3D3D611F"/>
    <w:rsid w:val="3D406890"/>
    <w:rsid w:val="3D421203"/>
    <w:rsid w:val="3D4A113A"/>
    <w:rsid w:val="3D4F470C"/>
    <w:rsid w:val="3D595B76"/>
    <w:rsid w:val="3D606F05"/>
    <w:rsid w:val="3D6253E4"/>
    <w:rsid w:val="3D6B2D01"/>
    <w:rsid w:val="3D7604D6"/>
    <w:rsid w:val="3D785FFC"/>
    <w:rsid w:val="3D806AA1"/>
    <w:rsid w:val="3D8572DA"/>
    <w:rsid w:val="3D8C7CFA"/>
    <w:rsid w:val="3D93725E"/>
    <w:rsid w:val="3DB1362C"/>
    <w:rsid w:val="3DB86D41"/>
    <w:rsid w:val="3DBA1589"/>
    <w:rsid w:val="3DC15BF5"/>
    <w:rsid w:val="3DC300EC"/>
    <w:rsid w:val="3DC46EA8"/>
    <w:rsid w:val="3DC47494"/>
    <w:rsid w:val="3DC91787"/>
    <w:rsid w:val="3DCA622E"/>
    <w:rsid w:val="3DD0408A"/>
    <w:rsid w:val="3DD05DD3"/>
    <w:rsid w:val="3DE45F0D"/>
    <w:rsid w:val="3DE61F16"/>
    <w:rsid w:val="3DE9514C"/>
    <w:rsid w:val="3DEC0798"/>
    <w:rsid w:val="3DED5DDF"/>
    <w:rsid w:val="3DEE6A01"/>
    <w:rsid w:val="3DF848B9"/>
    <w:rsid w:val="3DFC4BC0"/>
    <w:rsid w:val="3DFF474F"/>
    <w:rsid w:val="3E080D4A"/>
    <w:rsid w:val="3E0812AB"/>
    <w:rsid w:val="3E0D0E3B"/>
    <w:rsid w:val="3E173A67"/>
    <w:rsid w:val="3E196D6F"/>
    <w:rsid w:val="3E197454"/>
    <w:rsid w:val="3E1A5306"/>
    <w:rsid w:val="3E23240C"/>
    <w:rsid w:val="3E241CE0"/>
    <w:rsid w:val="3E2717D1"/>
    <w:rsid w:val="3E2972F7"/>
    <w:rsid w:val="3E3416D5"/>
    <w:rsid w:val="3E3A1504"/>
    <w:rsid w:val="3E3C50B0"/>
    <w:rsid w:val="3E40074A"/>
    <w:rsid w:val="3E43485C"/>
    <w:rsid w:val="3E563125"/>
    <w:rsid w:val="3E575EF6"/>
    <w:rsid w:val="3E5B59F5"/>
    <w:rsid w:val="3E5E293D"/>
    <w:rsid w:val="3E5E6801"/>
    <w:rsid w:val="3E5F71BC"/>
    <w:rsid w:val="3E810EE1"/>
    <w:rsid w:val="3E8400D7"/>
    <w:rsid w:val="3E8A0BED"/>
    <w:rsid w:val="3E8A62FB"/>
    <w:rsid w:val="3E8B04E6"/>
    <w:rsid w:val="3E8F4A18"/>
    <w:rsid w:val="3E8F662D"/>
    <w:rsid w:val="3E927592"/>
    <w:rsid w:val="3E96482D"/>
    <w:rsid w:val="3E9D5996"/>
    <w:rsid w:val="3EA132AC"/>
    <w:rsid w:val="3EA61C0D"/>
    <w:rsid w:val="3EA70BCD"/>
    <w:rsid w:val="3EA97C35"/>
    <w:rsid w:val="3EAB0654"/>
    <w:rsid w:val="3EB23790"/>
    <w:rsid w:val="3EB43064"/>
    <w:rsid w:val="3EB47508"/>
    <w:rsid w:val="3EC86B10"/>
    <w:rsid w:val="3ECB7648"/>
    <w:rsid w:val="3ED26B8E"/>
    <w:rsid w:val="3ED2798E"/>
    <w:rsid w:val="3EDA0523"/>
    <w:rsid w:val="3EDD652A"/>
    <w:rsid w:val="3EE25B4D"/>
    <w:rsid w:val="3EFB5340"/>
    <w:rsid w:val="3EFE0BD3"/>
    <w:rsid w:val="3EFE4AAA"/>
    <w:rsid w:val="3F091272"/>
    <w:rsid w:val="3F0A5AC5"/>
    <w:rsid w:val="3F0F7B0C"/>
    <w:rsid w:val="3F102F27"/>
    <w:rsid w:val="3F12422F"/>
    <w:rsid w:val="3F1316A1"/>
    <w:rsid w:val="3F1B49F5"/>
    <w:rsid w:val="3F1C1543"/>
    <w:rsid w:val="3F297F7B"/>
    <w:rsid w:val="3F310B59"/>
    <w:rsid w:val="3F446ADE"/>
    <w:rsid w:val="3F454074"/>
    <w:rsid w:val="3F542A99"/>
    <w:rsid w:val="3F657755"/>
    <w:rsid w:val="3F665C33"/>
    <w:rsid w:val="3F6F1681"/>
    <w:rsid w:val="3F830C89"/>
    <w:rsid w:val="3F9457EA"/>
    <w:rsid w:val="3F9609BC"/>
    <w:rsid w:val="3F966D63"/>
    <w:rsid w:val="3F9D19BB"/>
    <w:rsid w:val="3FAE0A10"/>
    <w:rsid w:val="3FAF7CCF"/>
    <w:rsid w:val="3FBC6458"/>
    <w:rsid w:val="3FC31E22"/>
    <w:rsid w:val="3FC93BAA"/>
    <w:rsid w:val="3FCC0881"/>
    <w:rsid w:val="3FCC6AD3"/>
    <w:rsid w:val="3FD81712"/>
    <w:rsid w:val="3FD86BCA"/>
    <w:rsid w:val="3FE536F1"/>
    <w:rsid w:val="3FE917DC"/>
    <w:rsid w:val="3FF51AD3"/>
    <w:rsid w:val="3FF878C8"/>
    <w:rsid w:val="3FF90202"/>
    <w:rsid w:val="3FFC2326"/>
    <w:rsid w:val="3FFE4151"/>
    <w:rsid w:val="40050825"/>
    <w:rsid w:val="40061FE5"/>
    <w:rsid w:val="40077663"/>
    <w:rsid w:val="400C027F"/>
    <w:rsid w:val="400E0E9A"/>
    <w:rsid w:val="400E3F5F"/>
    <w:rsid w:val="40104C12"/>
    <w:rsid w:val="40104F72"/>
    <w:rsid w:val="40125E05"/>
    <w:rsid w:val="403A57EB"/>
    <w:rsid w:val="40457A0F"/>
    <w:rsid w:val="405A247B"/>
    <w:rsid w:val="405E2404"/>
    <w:rsid w:val="40630DD7"/>
    <w:rsid w:val="406B009A"/>
    <w:rsid w:val="406F2C49"/>
    <w:rsid w:val="40700133"/>
    <w:rsid w:val="407231D7"/>
    <w:rsid w:val="40737531"/>
    <w:rsid w:val="407A6407"/>
    <w:rsid w:val="407C4056"/>
    <w:rsid w:val="40815974"/>
    <w:rsid w:val="40824CA8"/>
    <w:rsid w:val="40864ED4"/>
    <w:rsid w:val="408F7457"/>
    <w:rsid w:val="409C2477"/>
    <w:rsid w:val="409D60BD"/>
    <w:rsid w:val="409E5FD2"/>
    <w:rsid w:val="40A77E2F"/>
    <w:rsid w:val="40A84E4B"/>
    <w:rsid w:val="40AF61D9"/>
    <w:rsid w:val="40B53005"/>
    <w:rsid w:val="40B60FC7"/>
    <w:rsid w:val="40B6621B"/>
    <w:rsid w:val="40C1105C"/>
    <w:rsid w:val="40C61775"/>
    <w:rsid w:val="40CA08EF"/>
    <w:rsid w:val="40CC5652"/>
    <w:rsid w:val="40D13D41"/>
    <w:rsid w:val="40D94F6E"/>
    <w:rsid w:val="40E345BE"/>
    <w:rsid w:val="40E85247"/>
    <w:rsid w:val="40ED6D01"/>
    <w:rsid w:val="40EF4827"/>
    <w:rsid w:val="40F40090"/>
    <w:rsid w:val="40F75580"/>
    <w:rsid w:val="410302B5"/>
    <w:rsid w:val="410361E9"/>
    <w:rsid w:val="410F34F8"/>
    <w:rsid w:val="410F4ECA"/>
    <w:rsid w:val="41126768"/>
    <w:rsid w:val="41200E85"/>
    <w:rsid w:val="412220A3"/>
    <w:rsid w:val="41227ACC"/>
    <w:rsid w:val="412A1D04"/>
    <w:rsid w:val="412F0DC7"/>
    <w:rsid w:val="4134048C"/>
    <w:rsid w:val="41372133"/>
    <w:rsid w:val="413B181B"/>
    <w:rsid w:val="413B78A0"/>
    <w:rsid w:val="414032D5"/>
    <w:rsid w:val="41436921"/>
    <w:rsid w:val="415C0579"/>
    <w:rsid w:val="41635215"/>
    <w:rsid w:val="416B0051"/>
    <w:rsid w:val="41744D2D"/>
    <w:rsid w:val="41797374"/>
    <w:rsid w:val="418157FD"/>
    <w:rsid w:val="418A7F85"/>
    <w:rsid w:val="41931657"/>
    <w:rsid w:val="4195322A"/>
    <w:rsid w:val="419B3F5A"/>
    <w:rsid w:val="419D481B"/>
    <w:rsid w:val="41A530E6"/>
    <w:rsid w:val="41AF045B"/>
    <w:rsid w:val="41B8081E"/>
    <w:rsid w:val="41BA3087"/>
    <w:rsid w:val="41BD4926"/>
    <w:rsid w:val="41CF11ED"/>
    <w:rsid w:val="41D4357B"/>
    <w:rsid w:val="41D66566"/>
    <w:rsid w:val="41D66AFC"/>
    <w:rsid w:val="41D904E8"/>
    <w:rsid w:val="41DA535A"/>
    <w:rsid w:val="41DA7286"/>
    <w:rsid w:val="41E45E99"/>
    <w:rsid w:val="41EC6844"/>
    <w:rsid w:val="41EC6FB9"/>
    <w:rsid w:val="41EE35C3"/>
    <w:rsid w:val="41F60B2A"/>
    <w:rsid w:val="41FC2CE3"/>
    <w:rsid w:val="4200449D"/>
    <w:rsid w:val="420267DC"/>
    <w:rsid w:val="42041029"/>
    <w:rsid w:val="42091919"/>
    <w:rsid w:val="42106946"/>
    <w:rsid w:val="42181B5C"/>
    <w:rsid w:val="421A0B83"/>
    <w:rsid w:val="421C40FC"/>
    <w:rsid w:val="42240501"/>
    <w:rsid w:val="42312C1E"/>
    <w:rsid w:val="423A3BCC"/>
    <w:rsid w:val="42442951"/>
    <w:rsid w:val="424B66AE"/>
    <w:rsid w:val="424E37D0"/>
    <w:rsid w:val="424E57D2"/>
    <w:rsid w:val="42551041"/>
    <w:rsid w:val="4255693A"/>
    <w:rsid w:val="42576B28"/>
    <w:rsid w:val="425A3F23"/>
    <w:rsid w:val="425A6618"/>
    <w:rsid w:val="425D3A13"/>
    <w:rsid w:val="42672AE3"/>
    <w:rsid w:val="426B36ED"/>
    <w:rsid w:val="426F2857"/>
    <w:rsid w:val="42711572"/>
    <w:rsid w:val="427E0C26"/>
    <w:rsid w:val="42826463"/>
    <w:rsid w:val="4283791D"/>
    <w:rsid w:val="42912D6C"/>
    <w:rsid w:val="42927B60"/>
    <w:rsid w:val="42976F25"/>
    <w:rsid w:val="429D5CB8"/>
    <w:rsid w:val="42A17DA3"/>
    <w:rsid w:val="42A47894"/>
    <w:rsid w:val="42B26C49"/>
    <w:rsid w:val="42BE6BA7"/>
    <w:rsid w:val="42C13FA2"/>
    <w:rsid w:val="42D24F90"/>
    <w:rsid w:val="42D7386E"/>
    <w:rsid w:val="42D847F0"/>
    <w:rsid w:val="42E065D2"/>
    <w:rsid w:val="4303280C"/>
    <w:rsid w:val="43123412"/>
    <w:rsid w:val="431629CE"/>
    <w:rsid w:val="43195439"/>
    <w:rsid w:val="431A7AEA"/>
    <w:rsid w:val="431E4982"/>
    <w:rsid w:val="43210EE4"/>
    <w:rsid w:val="43277BDB"/>
    <w:rsid w:val="432804C5"/>
    <w:rsid w:val="432851AF"/>
    <w:rsid w:val="432D7889"/>
    <w:rsid w:val="43324E9F"/>
    <w:rsid w:val="43394480"/>
    <w:rsid w:val="433A6FE6"/>
    <w:rsid w:val="4346094B"/>
    <w:rsid w:val="43480868"/>
    <w:rsid w:val="4350713C"/>
    <w:rsid w:val="43553283"/>
    <w:rsid w:val="435E3EE6"/>
    <w:rsid w:val="43617533"/>
    <w:rsid w:val="436653E0"/>
    <w:rsid w:val="436C6CEB"/>
    <w:rsid w:val="436C7657"/>
    <w:rsid w:val="436E4662"/>
    <w:rsid w:val="43703FBC"/>
    <w:rsid w:val="438737CF"/>
    <w:rsid w:val="43884ABF"/>
    <w:rsid w:val="438962C8"/>
    <w:rsid w:val="439135DA"/>
    <w:rsid w:val="439416B6"/>
    <w:rsid w:val="43952CF7"/>
    <w:rsid w:val="43957EDD"/>
    <w:rsid w:val="43985028"/>
    <w:rsid w:val="43994C05"/>
    <w:rsid w:val="43996C13"/>
    <w:rsid w:val="439E2535"/>
    <w:rsid w:val="439F7B4A"/>
    <w:rsid w:val="43A43045"/>
    <w:rsid w:val="43A713E9"/>
    <w:rsid w:val="43AA455F"/>
    <w:rsid w:val="43B23C13"/>
    <w:rsid w:val="43B454CC"/>
    <w:rsid w:val="43B606B7"/>
    <w:rsid w:val="43B81849"/>
    <w:rsid w:val="43B94965"/>
    <w:rsid w:val="43BF2D1D"/>
    <w:rsid w:val="43C43E33"/>
    <w:rsid w:val="43C4431A"/>
    <w:rsid w:val="43C81360"/>
    <w:rsid w:val="43CB7FDD"/>
    <w:rsid w:val="43CF26EE"/>
    <w:rsid w:val="43D20709"/>
    <w:rsid w:val="43D83C99"/>
    <w:rsid w:val="43DC49AE"/>
    <w:rsid w:val="43E03598"/>
    <w:rsid w:val="43E048FB"/>
    <w:rsid w:val="43E10A94"/>
    <w:rsid w:val="43E6034A"/>
    <w:rsid w:val="43ED0DC6"/>
    <w:rsid w:val="43F16B09"/>
    <w:rsid w:val="43F62371"/>
    <w:rsid w:val="43FB5CAD"/>
    <w:rsid w:val="44017717"/>
    <w:rsid w:val="44056985"/>
    <w:rsid w:val="44095C00"/>
    <w:rsid w:val="440E10EE"/>
    <w:rsid w:val="44143AFC"/>
    <w:rsid w:val="4416031D"/>
    <w:rsid w:val="44204B5B"/>
    <w:rsid w:val="44224F14"/>
    <w:rsid w:val="44406DAA"/>
    <w:rsid w:val="44494450"/>
    <w:rsid w:val="444A2031"/>
    <w:rsid w:val="444E4F44"/>
    <w:rsid w:val="44576D42"/>
    <w:rsid w:val="4464552C"/>
    <w:rsid w:val="4464649B"/>
    <w:rsid w:val="446A2417"/>
    <w:rsid w:val="44704138"/>
    <w:rsid w:val="44723EF7"/>
    <w:rsid w:val="44753296"/>
    <w:rsid w:val="447B1494"/>
    <w:rsid w:val="447D214A"/>
    <w:rsid w:val="44805039"/>
    <w:rsid w:val="44A4070A"/>
    <w:rsid w:val="44AB3E48"/>
    <w:rsid w:val="44B26298"/>
    <w:rsid w:val="44B3260D"/>
    <w:rsid w:val="44B85878"/>
    <w:rsid w:val="44B951CC"/>
    <w:rsid w:val="44B95392"/>
    <w:rsid w:val="44C65FC2"/>
    <w:rsid w:val="44CD14E0"/>
    <w:rsid w:val="44CE0BF8"/>
    <w:rsid w:val="44CE35F0"/>
    <w:rsid w:val="44CE6E4A"/>
    <w:rsid w:val="44D537EF"/>
    <w:rsid w:val="44D9245E"/>
    <w:rsid w:val="44DA5E0C"/>
    <w:rsid w:val="44E26451"/>
    <w:rsid w:val="44E550AE"/>
    <w:rsid w:val="44E673BF"/>
    <w:rsid w:val="44E87E09"/>
    <w:rsid w:val="44E919BB"/>
    <w:rsid w:val="44F20B0B"/>
    <w:rsid w:val="44F248E6"/>
    <w:rsid w:val="44F46A2D"/>
    <w:rsid w:val="44FC5765"/>
    <w:rsid w:val="450F2741"/>
    <w:rsid w:val="4513485D"/>
    <w:rsid w:val="451505D5"/>
    <w:rsid w:val="45227EA4"/>
    <w:rsid w:val="452E5F4C"/>
    <w:rsid w:val="453E5D7D"/>
    <w:rsid w:val="45492B81"/>
    <w:rsid w:val="454B049A"/>
    <w:rsid w:val="454B2248"/>
    <w:rsid w:val="454D6F89"/>
    <w:rsid w:val="45501FCB"/>
    <w:rsid w:val="45564F7E"/>
    <w:rsid w:val="45604523"/>
    <w:rsid w:val="45611939"/>
    <w:rsid w:val="45612018"/>
    <w:rsid w:val="457F41C4"/>
    <w:rsid w:val="457F5017"/>
    <w:rsid w:val="458138DD"/>
    <w:rsid w:val="458279C0"/>
    <w:rsid w:val="45835E86"/>
    <w:rsid w:val="458467A3"/>
    <w:rsid w:val="45853378"/>
    <w:rsid w:val="45854033"/>
    <w:rsid w:val="458946E9"/>
    <w:rsid w:val="458B2D0F"/>
    <w:rsid w:val="458C4D3B"/>
    <w:rsid w:val="458C5CEC"/>
    <w:rsid w:val="458E2F8D"/>
    <w:rsid w:val="459877B5"/>
    <w:rsid w:val="459A12C4"/>
    <w:rsid w:val="45A47C0E"/>
    <w:rsid w:val="45B41A97"/>
    <w:rsid w:val="45C67E24"/>
    <w:rsid w:val="45D4223E"/>
    <w:rsid w:val="45D52FBB"/>
    <w:rsid w:val="45D66F35"/>
    <w:rsid w:val="45E326F2"/>
    <w:rsid w:val="45EC1CC8"/>
    <w:rsid w:val="45EF0E26"/>
    <w:rsid w:val="45F44789"/>
    <w:rsid w:val="45F8417E"/>
    <w:rsid w:val="46032B23"/>
    <w:rsid w:val="46051DFE"/>
    <w:rsid w:val="460A3EB2"/>
    <w:rsid w:val="46102381"/>
    <w:rsid w:val="46164604"/>
    <w:rsid w:val="461F5BAF"/>
    <w:rsid w:val="462D194E"/>
    <w:rsid w:val="462F4CF4"/>
    <w:rsid w:val="463F51EE"/>
    <w:rsid w:val="464F5D68"/>
    <w:rsid w:val="46566D60"/>
    <w:rsid w:val="46577FD6"/>
    <w:rsid w:val="465E1FFC"/>
    <w:rsid w:val="46651743"/>
    <w:rsid w:val="466A4DD4"/>
    <w:rsid w:val="46733805"/>
    <w:rsid w:val="46761547"/>
    <w:rsid w:val="467A0664"/>
    <w:rsid w:val="467C4DAF"/>
    <w:rsid w:val="467F26B8"/>
    <w:rsid w:val="46894D4F"/>
    <w:rsid w:val="469656E8"/>
    <w:rsid w:val="469969C3"/>
    <w:rsid w:val="46A71700"/>
    <w:rsid w:val="46B31352"/>
    <w:rsid w:val="46B54833"/>
    <w:rsid w:val="46B957E7"/>
    <w:rsid w:val="46C202E8"/>
    <w:rsid w:val="46CE4EDF"/>
    <w:rsid w:val="46D955A7"/>
    <w:rsid w:val="46E97F6B"/>
    <w:rsid w:val="46EE37D3"/>
    <w:rsid w:val="46F07985"/>
    <w:rsid w:val="46F135A3"/>
    <w:rsid w:val="46F26E20"/>
    <w:rsid w:val="47064679"/>
    <w:rsid w:val="47064C0B"/>
    <w:rsid w:val="470E352E"/>
    <w:rsid w:val="47103C04"/>
    <w:rsid w:val="47133957"/>
    <w:rsid w:val="4715221E"/>
    <w:rsid w:val="47213FAC"/>
    <w:rsid w:val="47256037"/>
    <w:rsid w:val="47264D1B"/>
    <w:rsid w:val="47271340"/>
    <w:rsid w:val="472B40E0"/>
    <w:rsid w:val="472D60AA"/>
    <w:rsid w:val="47301934"/>
    <w:rsid w:val="47392CA0"/>
    <w:rsid w:val="473B735A"/>
    <w:rsid w:val="47477CB6"/>
    <w:rsid w:val="47480A6A"/>
    <w:rsid w:val="474B6ADD"/>
    <w:rsid w:val="475A5C59"/>
    <w:rsid w:val="475C24EB"/>
    <w:rsid w:val="475C698F"/>
    <w:rsid w:val="476601E2"/>
    <w:rsid w:val="476800FC"/>
    <w:rsid w:val="477E1F27"/>
    <w:rsid w:val="4787624B"/>
    <w:rsid w:val="478B2DD0"/>
    <w:rsid w:val="47991924"/>
    <w:rsid w:val="479B1265"/>
    <w:rsid w:val="47A07E0C"/>
    <w:rsid w:val="47A65E5C"/>
    <w:rsid w:val="47AB6FCE"/>
    <w:rsid w:val="47B16CDB"/>
    <w:rsid w:val="47B2035D"/>
    <w:rsid w:val="47B642F1"/>
    <w:rsid w:val="47D6229D"/>
    <w:rsid w:val="47DB7AD9"/>
    <w:rsid w:val="47DE79FD"/>
    <w:rsid w:val="47E26E94"/>
    <w:rsid w:val="47E9087B"/>
    <w:rsid w:val="47F170D7"/>
    <w:rsid w:val="47F57C70"/>
    <w:rsid w:val="47F93F94"/>
    <w:rsid w:val="48007381"/>
    <w:rsid w:val="48036E0A"/>
    <w:rsid w:val="48063907"/>
    <w:rsid w:val="480D12A0"/>
    <w:rsid w:val="48152B24"/>
    <w:rsid w:val="48172DD7"/>
    <w:rsid w:val="481B7A5A"/>
    <w:rsid w:val="481E3C44"/>
    <w:rsid w:val="48205C0E"/>
    <w:rsid w:val="482C2634"/>
    <w:rsid w:val="483C6AC2"/>
    <w:rsid w:val="483D7580"/>
    <w:rsid w:val="4841181A"/>
    <w:rsid w:val="4844156A"/>
    <w:rsid w:val="48455675"/>
    <w:rsid w:val="48486B1C"/>
    <w:rsid w:val="484F3DFE"/>
    <w:rsid w:val="484F599D"/>
    <w:rsid w:val="48543622"/>
    <w:rsid w:val="485567CF"/>
    <w:rsid w:val="486642CC"/>
    <w:rsid w:val="4870272E"/>
    <w:rsid w:val="487A531F"/>
    <w:rsid w:val="48822425"/>
    <w:rsid w:val="488A12DA"/>
    <w:rsid w:val="488F0A4A"/>
    <w:rsid w:val="48903AC5"/>
    <w:rsid w:val="48917B4E"/>
    <w:rsid w:val="48931C01"/>
    <w:rsid w:val="48981C49"/>
    <w:rsid w:val="48A11451"/>
    <w:rsid w:val="48A56114"/>
    <w:rsid w:val="48A573E5"/>
    <w:rsid w:val="48C12F4D"/>
    <w:rsid w:val="48C26CC5"/>
    <w:rsid w:val="48CB5B7A"/>
    <w:rsid w:val="48D32C81"/>
    <w:rsid w:val="48D34416"/>
    <w:rsid w:val="48D515B4"/>
    <w:rsid w:val="48EE489E"/>
    <w:rsid w:val="48F30973"/>
    <w:rsid w:val="48F3388E"/>
    <w:rsid w:val="48F6488C"/>
    <w:rsid w:val="48FE0008"/>
    <w:rsid w:val="48FF3E1F"/>
    <w:rsid w:val="490C0BCF"/>
    <w:rsid w:val="4918086C"/>
    <w:rsid w:val="4925186D"/>
    <w:rsid w:val="49263A4E"/>
    <w:rsid w:val="492A6746"/>
    <w:rsid w:val="493A006A"/>
    <w:rsid w:val="493C25D4"/>
    <w:rsid w:val="49415E3C"/>
    <w:rsid w:val="4942492D"/>
    <w:rsid w:val="4944592C"/>
    <w:rsid w:val="49463453"/>
    <w:rsid w:val="494A1F4C"/>
    <w:rsid w:val="49573CB4"/>
    <w:rsid w:val="4958339B"/>
    <w:rsid w:val="495A0CAC"/>
    <w:rsid w:val="495C4A24"/>
    <w:rsid w:val="495E079C"/>
    <w:rsid w:val="49627B61"/>
    <w:rsid w:val="49672399"/>
    <w:rsid w:val="49755955"/>
    <w:rsid w:val="497655A4"/>
    <w:rsid w:val="498056C8"/>
    <w:rsid w:val="49814566"/>
    <w:rsid w:val="49843F7B"/>
    <w:rsid w:val="49851F94"/>
    <w:rsid w:val="49884417"/>
    <w:rsid w:val="49997A26"/>
    <w:rsid w:val="499C65E2"/>
    <w:rsid w:val="499E1EB8"/>
    <w:rsid w:val="49A632F3"/>
    <w:rsid w:val="49A7648C"/>
    <w:rsid w:val="49A875E9"/>
    <w:rsid w:val="49AF5204"/>
    <w:rsid w:val="49B04D70"/>
    <w:rsid w:val="49B20AE8"/>
    <w:rsid w:val="49B24120"/>
    <w:rsid w:val="49D2715D"/>
    <w:rsid w:val="49D96075"/>
    <w:rsid w:val="49D96CC7"/>
    <w:rsid w:val="49DC7715"/>
    <w:rsid w:val="49EC67F4"/>
    <w:rsid w:val="49ED7CBD"/>
    <w:rsid w:val="49EF7646"/>
    <w:rsid w:val="49F03E7A"/>
    <w:rsid w:val="49F25388"/>
    <w:rsid w:val="49F42C58"/>
    <w:rsid w:val="49F72751"/>
    <w:rsid w:val="49F80902"/>
    <w:rsid w:val="4A023139"/>
    <w:rsid w:val="4A0A064B"/>
    <w:rsid w:val="4A0B01F8"/>
    <w:rsid w:val="4A0D5D1E"/>
    <w:rsid w:val="4A106AD4"/>
    <w:rsid w:val="4A145439"/>
    <w:rsid w:val="4A192915"/>
    <w:rsid w:val="4A1A5F35"/>
    <w:rsid w:val="4A1B668D"/>
    <w:rsid w:val="4A245115"/>
    <w:rsid w:val="4A286269"/>
    <w:rsid w:val="4A2D63C1"/>
    <w:rsid w:val="4A3C6FC0"/>
    <w:rsid w:val="4A3F5E22"/>
    <w:rsid w:val="4A4200BE"/>
    <w:rsid w:val="4A435BE4"/>
    <w:rsid w:val="4A4756D4"/>
    <w:rsid w:val="4A4832D7"/>
    <w:rsid w:val="4A4A7054"/>
    <w:rsid w:val="4A4F67A1"/>
    <w:rsid w:val="4A585309"/>
    <w:rsid w:val="4A5C24B4"/>
    <w:rsid w:val="4A5F4669"/>
    <w:rsid w:val="4A5F4C31"/>
    <w:rsid w:val="4A6609FA"/>
    <w:rsid w:val="4A6C0C97"/>
    <w:rsid w:val="4A6C513B"/>
    <w:rsid w:val="4A6F69D9"/>
    <w:rsid w:val="4A70224F"/>
    <w:rsid w:val="4A712484"/>
    <w:rsid w:val="4A734D7D"/>
    <w:rsid w:val="4A783AE0"/>
    <w:rsid w:val="4A7B576F"/>
    <w:rsid w:val="4A7C6C54"/>
    <w:rsid w:val="4A871F75"/>
    <w:rsid w:val="4A8A611D"/>
    <w:rsid w:val="4A8E6E5F"/>
    <w:rsid w:val="4A9106FD"/>
    <w:rsid w:val="4A967794"/>
    <w:rsid w:val="4A9C3F0A"/>
    <w:rsid w:val="4AA2290B"/>
    <w:rsid w:val="4AA743C5"/>
    <w:rsid w:val="4AA9329D"/>
    <w:rsid w:val="4AAA17BF"/>
    <w:rsid w:val="4AAF76E7"/>
    <w:rsid w:val="4ABA0734"/>
    <w:rsid w:val="4ABA7A6E"/>
    <w:rsid w:val="4AC07235"/>
    <w:rsid w:val="4AC24D5B"/>
    <w:rsid w:val="4AC46D25"/>
    <w:rsid w:val="4AC57617"/>
    <w:rsid w:val="4AC9433B"/>
    <w:rsid w:val="4AC95EBF"/>
    <w:rsid w:val="4ACB6BB7"/>
    <w:rsid w:val="4ACC05C3"/>
    <w:rsid w:val="4ACC2572"/>
    <w:rsid w:val="4ADA56EB"/>
    <w:rsid w:val="4AF561A9"/>
    <w:rsid w:val="4AF941C0"/>
    <w:rsid w:val="4B0020CC"/>
    <w:rsid w:val="4B074016"/>
    <w:rsid w:val="4B0C247A"/>
    <w:rsid w:val="4B0F3D5E"/>
    <w:rsid w:val="4B0F610D"/>
    <w:rsid w:val="4B101AD9"/>
    <w:rsid w:val="4B1832A7"/>
    <w:rsid w:val="4B20560A"/>
    <w:rsid w:val="4B2275E3"/>
    <w:rsid w:val="4B247582"/>
    <w:rsid w:val="4B266A67"/>
    <w:rsid w:val="4B2B7385"/>
    <w:rsid w:val="4B2B79DE"/>
    <w:rsid w:val="4B321EE0"/>
    <w:rsid w:val="4B337A07"/>
    <w:rsid w:val="4B4A6C13"/>
    <w:rsid w:val="4B4C5754"/>
    <w:rsid w:val="4B502367"/>
    <w:rsid w:val="4B5421DE"/>
    <w:rsid w:val="4B6D4D75"/>
    <w:rsid w:val="4B753765"/>
    <w:rsid w:val="4B7A38EB"/>
    <w:rsid w:val="4B816DED"/>
    <w:rsid w:val="4B8F416A"/>
    <w:rsid w:val="4B926F5B"/>
    <w:rsid w:val="4B9304A5"/>
    <w:rsid w:val="4B941E02"/>
    <w:rsid w:val="4B9506C1"/>
    <w:rsid w:val="4B9D30D2"/>
    <w:rsid w:val="4BA613D3"/>
    <w:rsid w:val="4BAB2A59"/>
    <w:rsid w:val="4BAC677A"/>
    <w:rsid w:val="4BB817D4"/>
    <w:rsid w:val="4BBA3165"/>
    <w:rsid w:val="4BC0573E"/>
    <w:rsid w:val="4BC5272D"/>
    <w:rsid w:val="4BCF5981"/>
    <w:rsid w:val="4BD67063"/>
    <w:rsid w:val="4BDA60D4"/>
    <w:rsid w:val="4BDB50BA"/>
    <w:rsid w:val="4BE331DB"/>
    <w:rsid w:val="4BE807F1"/>
    <w:rsid w:val="4BF21670"/>
    <w:rsid w:val="4C0A0767"/>
    <w:rsid w:val="4C125EF0"/>
    <w:rsid w:val="4C146064"/>
    <w:rsid w:val="4C1B2432"/>
    <w:rsid w:val="4C2113FC"/>
    <w:rsid w:val="4C2C5AD8"/>
    <w:rsid w:val="4C2E1176"/>
    <w:rsid w:val="4C33544F"/>
    <w:rsid w:val="4C3509BA"/>
    <w:rsid w:val="4C3A59AB"/>
    <w:rsid w:val="4C431ECB"/>
    <w:rsid w:val="4C4A0649"/>
    <w:rsid w:val="4C545173"/>
    <w:rsid w:val="4C547C35"/>
    <w:rsid w:val="4C625CB5"/>
    <w:rsid w:val="4C6538BC"/>
    <w:rsid w:val="4C76404F"/>
    <w:rsid w:val="4C765DFD"/>
    <w:rsid w:val="4C7E5ECA"/>
    <w:rsid w:val="4C8449B4"/>
    <w:rsid w:val="4C8524E4"/>
    <w:rsid w:val="4C876AA5"/>
    <w:rsid w:val="4C8C5620"/>
    <w:rsid w:val="4C8E2CCC"/>
    <w:rsid w:val="4C975D73"/>
    <w:rsid w:val="4C9E35A6"/>
    <w:rsid w:val="4CA015E5"/>
    <w:rsid w:val="4CA566E2"/>
    <w:rsid w:val="4CAE37E9"/>
    <w:rsid w:val="4CC0176E"/>
    <w:rsid w:val="4CC103F0"/>
    <w:rsid w:val="4CC4300C"/>
    <w:rsid w:val="4CC50B32"/>
    <w:rsid w:val="4CC535CC"/>
    <w:rsid w:val="4CE81047"/>
    <w:rsid w:val="4CEF3427"/>
    <w:rsid w:val="4CF51AE2"/>
    <w:rsid w:val="4CF93F3E"/>
    <w:rsid w:val="4D064ACC"/>
    <w:rsid w:val="4D0C5A9B"/>
    <w:rsid w:val="4D0E00FB"/>
    <w:rsid w:val="4D176606"/>
    <w:rsid w:val="4D1B1F96"/>
    <w:rsid w:val="4D1F46E6"/>
    <w:rsid w:val="4D2D1C39"/>
    <w:rsid w:val="4D3F5822"/>
    <w:rsid w:val="4D530790"/>
    <w:rsid w:val="4D546478"/>
    <w:rsid w:val="4D597BF1"/>
    <w:rsid w:val="4D5C432D"/>
    <w:rsid w:val="4D641651"/>
    <w:rsid w:val="4D6D63F4"/>
    <w:rsid w:val="4D704F42"/>
    <w:rsid w:val="4D741B8A"/>
    <w:rsid w:val="4D747BE9"/>
    <w:rsid w:val="4D754A97"/>
    <w:rsid w:val="4D7819E0"/>
    <w:rsid w:val="4D8B7E85"/>
    <w:rsid w:val="4D901140"/>
    <w:rsid w:val="4D9A5B1B"/>
    <w:rsid w:val="4DA1334D"/>
    <w:rsid w:val="4DA13C73"/>
    <w:rsid w:val="4DA30E74"/>
    <w:rsid w:val="4DA4106F"/>
    <w:rsid w:val="4DB0533F"/>
    <w:rsid w:val="4DB17AE4"/>
    <w:rsid w:val="4DB40BC7"/>
    <w:rsid w:val="4DB53802"/>
    <w:rsid w:val="4DBA440F"/>
    <w:rsid w:val="4DBD2BF7"/>
    <w:rsid w:val="4DBD43FB"/>
    <w:rsid w:val="4DBE3EFF"/>
    <w:rsid w:val="4DBE5CAD"/>
    <w:rsid w:val="4DC60E6F"/>
    <w:rsid w:val="4DCE1C69"/>
    <w:rsid w:val="4DD259B2"/>
    <w:rsid w:val="4DD347A3"/>
    <w:rsid w:val="4DDD3C5A"/>
    <w:rsid w:val="4DEA7611"/>
    <w:rsid w:val="4DEC4FB0"/>
    <w:rsid w:val="4DF27705"/>
    <w:rsid w:val="4DF92CF4"/>
    <w:rsid w:val="4DFE254E"/>
    <w:rsid w:val="4DFF1E22"/>
    <w:rsid w:val="4E014E21"/>
    <w:rsid w:val="4E075D8A"/>
    <w:rsid w:val="4E1018CD"/>
    <w:rsid w:val="4E164E84"/>
    <w:rsid w:val="4E232A50"/>
    <w:rsid w:val="4E2E1B88"/>
    <w:rsid w:val="4E347D1E"/>
    <w:rsid w:val="4E3B5B69"/>
    <w:rsid w:val="4E3F5287"/>
    <w:rsid w:val="4E401513"/>
    <w:rsid w:val="4E4C3506"/>
    <w:rsid w:val="4E56172D"/>
    <w:rsid w:val="4E6600F3"/>
    <w:rsid w:val="4E667329"/>
    <w:rsid w:val="4E676345"/>
    <w:rsid w:val="4E6A1991"/>
    <w:rsid w:val="4E7C0180"/>
    <w:rsid w:val="4E845DD1"/>
    <w:rsid w:val="4E850579"/>
    <w:rsid w:val="4E916F1E"/>
    <w:rsid w:val="4E985A3F"/>
    <w:rsid w:val="4EA8070C"/>
    <w:rsid w:val="4EAF1A9A"/>
    <w:rsid w:val="4EB422C3"/>
    <w:rsid w:val="4EB42C0C"/>
    <w:rsid w:val="4EB67779"/>
    <w:rsid w:val="4EB705E4"/>
    <w:rsid w:val="4EB87747"/>
    <w:rsid w:val="4EC00FAD"/>
    <w:rsid w:val="4EC215B6"/>
    <w:rsid w:val="4ED137BE"/>
    <w:rsid w:val="4ED26041"/>
    <w:rsid w:val="4ED63862"/>
    <w:rsid w:val="4EDE15E9"/>
    <w:rsid w:val="4EE51018"/>
    <w:rsid w:val="4EE527CC"/>
    <w:rsid w:val="4EE94FAC"/>
    <w:rsid w:val="4EEF00E8"/>
    <w:rsid w:val="4EF07898"/>
    <w:rsid w:val="4EF84707"/>
    <w:rsid w:val="4EFC0F67"/>
    <w:rsid w:val="4F005E52"/>
    <w:rsid w:val="4F0359C9"/>
    <w:rsid w:val="4F052784"/>
    <w:rsid w:val="4F0D5819"/>
    <w:rsid w:val="4F0D5CBB"/>
    <w:rsid w:val="4F18319B"/>
    <w:rsid w:val="4F1A74B9"/>
    <w:rsid w:val="4F1B2C8C"/>
    <w:rsid w:val="4F1C5461"/>
    <w:rsid w:val="4F2B566D"/>
    <w:rsid w:val="4F38383D"/>
    <w:rsid w:val="4F392556"/>
    <w:rsid w:val="4F3F0E7D"/>
    <w:rsid w:val="4F4827AE"/>
    <w:rsid w:val="4F5148FF"/>
    <w:rsid w:val="4F56149D"/>
    <w:rsid w:val="4F573452"/>
    <w:rsid w:val="4F5D32A4"/>
    <w:rsid w:val="4F635A31"/>
    <w:rsid w:val="4F6665FD"/>
    <w:rsid w:val="4F6A776F"/>
    <w:rsid w:val="4F6C1031"/>
    <w:rsid w:val="4F7B51BA"/>
    <w:rsid w:val="4F846A83"/>
    <w:rsid w:val="4F8B7E11"/>
    <w:rsid w:val="4F8E6029"/>
    <w:rsid w:val="4F9843DC"/>
    <w:rsid w:val="4FAB2261"/>
    <w:rsid w:val="4FB530E0"/>
    <w:rsid w:val="4FB64D53"/>
    <w:rsid w:val="4FB855E9"/>
    <w:rsid w:val="4FC3458A"/>
    <w:rsid w:val="4FC62A8C"/>
    <w:rsid w:val="4FC926E8"/>
    <w:rsid w:val="4FCD1ED7"/>
    <w:rsid w:val="4FDFF9A3"/>
    <w:rsid w:val="4FE20F0D"/>
    <w:rsid w:val="4FE45773"/>
    <w:rsid w:val="4FE51552"/>
    <w:rsid w:val="4FE85589"/>
    <w:rsid w:val="4FF276EE"/>
    <w:rsid w:val="50017FF6"/>
    <w:rsid w:val="50046AB7"/>
    <w:rsid w:val="500855AF"/>
    <w:rsid w:val="50131BB5"/>
    <w:rsid w:val="50146059"/>
    <w:rsid w:val="5019366F"/>
    <w:rsid w:val="501A2F43"/>
    <w:rsid w:val="501B7F95"/>
    <w:rsid w:val="501E5B4A"/>
    <w:rsid w:val="502213EB"/>
    <w:rsid w:val="50257559"/>
    <w:rsid w:val="50265D8C"/>
    <w:rsid w:val="502B7D02"/>
    <w:rsid w:val="50334005"/>
    <w:rsid w:val="50343E72"/>
    <w:rsid w:val="503E4E84"/>
    <w:rsid w:val="503F66A1"/>
    <w:rsid w:val="50487AB0"/>
    <w:rsid w:val="504B0D6E"/>
    <w:rsid w:val="50504C4B"/>
    <w:rsid w:val="505D088F"/>
    <w:rsid w:val="50696D3C"/>
    <w:rsid w:val="50734D13"/>
    <w:rsid w:val="507516D4"/>
    <w:rsid w:val="50813B95"/>
    <w:rsid w:val="50855832"/>
    <w:rsid w:val="508A1E77"/>
    <w:rsid w:val="50904BBB"/>
    <w:rsid w:val="5099655E"/>
    <w:rsid w:val="509C6E7C"/>
    <w:rsid w:val="509F53D6"/>
    <w:rsid w:val="50A56C8C"/>
    <w:rsid w:val="50A9660A"/>
    <w:rsid w:val="50B11AF9"/>
    <w:rsid w:val="50B22492"/>
    <w:rsid w:val="50B335C2"/>
    <w:rsid w:val="50B4655C"/>
    <w:rsid w:val="50B9275C"/>
    <w:rsid w:val="50BE1DFC"/>
    <w:rsid w:val="50C25AB5"/>
    <w:rsid w:val="50CA6717"/>
    <w:rsid w:val="50CB0283"/>
    <w:rsid w:val="50CC6933"/>
    <w:rsid w:val="50D060DC"/>
    <w:rsid w:val="50EB66E3"/>
    <w:rsid w:val="50EE413E"/>
    <w:rsid w:val="50F060DA"/>
    <w:rsid w:val="50F34EE8"/>
    <w:rsid w:val="50F75944"/>
    <w:rsid w:val="50FB5790"/>
    <w:rsid w:val="51021957"/>
    <w:rsid w:val="5107796B"/>
    <w:rsid w:val="51096870"/>
    <w:rsid w:val="510B6E43"/>
    <w:rsid w:val="51167BAE"/>
    <w:rsid w:val="511A2107"/>
    <w:rsid w:val="511B4058"/>
    <w:rsid w:val="511D0F3D"/>
    <w:rsid w:val="5120255D"/>
    <w:rsid w:val="513916E5"/>
    <w:rsid w:val="51423E30"/>
    <w:rsid w:val="515C6137"/>
    <w:rsid w:val="5162104E"/>
    <w:rsid w:val="51645E6E"/>
    <w:rsid w:val="516D3D75"/>
    <w:rsid w:val="516E2304"/>
    <w:rsid w:val="516E6ED8"/>
    <w:rsid w:val="51703763"/>
    <w:rsid w:val="51741AC5"/>
    <w:rsid w:val="517A5B7C"/>
    <w:rsid w:val="51850890"/>
    <w:rsid w:val="518B234A"/>
    <w:rsid w:val="518E0501"/>
    <w:rsid w:val="518E3BE9"/>
    <w:rsid w:val="5193250B"/>
    <w:rsid w:val="5196484B"/>
    <w:rsid w:val="51A0584E"/>
    <w:rsid w:val="51A21BF0"/>
    <w:rsid w:val="51A502B1"/>
    <w:rsid w:val="51A91D15"/>
    <w:rsid w:val="51AE2BD4"/>
    <w:rsid w:val="51B01565"/>
    <w:rsid w:val="51C72E25"/>
    <w:rsid w:val="51CA6D02"/>
    <w:rsid w:val="51D53C5B"/>
    <w:rsid w:val="51DA1232"/>
    <w:rsid w:val="51DD691E"/>
    <w:rsid w:val="51DE2CB7"/>
    <w:rsid w:val="51DF7500"/>
    <w:rsid w:val="51E86856"/>
    <w:rsid w:val="51EE1674"/>
    <w:rsid w:val="51F54744"/>
    <w:rsid w:val="51F83178"/>
    <w:rsid w:val="51FE1BA6"/>
    <w:rsid w:val="520420FD"/>
    <w:rsid w:val="52083889"/>
    <w:rsid w:val="5209076C"/>
    <w:rsid w:val="5209326F"/>
    <w:rsid w:val="520B6FE7"/>
    <w:rsid w:val="520C25D2"/>
    <w:rsid w:val="521453C1"/>
    <w:rsid w:val="52147B4A"/>
    <w:rsid w:val="52184428"/>
    <w:rsid w:val="521A722A"/>
    <w:rsid w:val="521D4F6D"/>
    <w:rsid w:val="521D5527"/>
    <w:rsid w:val="521F03B4"/>
    <w:rsid w:val="52233A34"/>
    <w:rsid w:val="52242E92"/>
    <w:rsid w:val="522B1438"/>
    <w:rsid w:val="522C6C56"/>
    <w:rsid w:val="52347712"/>
    <w:rsid w:val="52390930"/>
    <w:rsid w:val="5253273C"/>
    <w:rsid w:val="52593F69"/>
    <w:rsid w:val="52642504"/>
    <w:rsid w:val="526811B8"/>
    <w:rsid w:val="526E7576"/>
    <w:rsid w:val="52715AEA"/>
    <w:rsid w:val="527434F3"/>
    <w:rsid w:val="527728CF"/>
    <w:rsid w:val="52833022"/>
    <w:rsid w:val="5284642D"/>
    <w:rsid w:val="52862DFA"/>
    <w:rsid w:val="52900981"/>
    <w:rsid w:val="52990A97"/>
    <w:rsid w:val="529C19CD"/>
    <w:rsid w:val="529D3FC0"/>
    <w:rsid w:val="52A86F2C"/>
    <w:rsid w:val="52AB4326"/>
    <w:rsid w:val="52AC05A6"/>
    <w:rsid w:val="52B72CCB"/>
    <w:rsid w:val="52BD77B8"/>
    <w:rsid w:val="52CA50F4"/>
    <w:rsid w:val="52D1199C"/>
    <w:rsid w:val="52D41ACF"/>
    <w:rsid w:val="52E75EAF"/>
    <w:rsid w:val="52E86C1A"/>
    <w:rsid w:val="52F22D15"/>
    <w:rsid w:val="52F97788"/>
    <w:rsid w:val="52FD49CF"/>
    <w:rsid w:val="53000B16"/>
    <w:rsid w:val="53010309"/>
    <w:rsid w:val="530475B9"/>
    <w:rsid w:val="530544BE"/>
    <w:rsid w:val="5313754B"/>
    <w:rsid w:val="5314165B"/>
    <w:rsid w:val="53177F46"/>
    <w:rsid w:val="531B7AA5"/>
    <w:rsid w:val="5325232B"/>
    <w:rsid w:val="53295D7B"/>
    <w:rsid w:val="532C36B9"/>
    <w:rsid w:val="53325D2C"/>
    <w:rsid w:val="53334EF4"/>
    <w:rsid w:val="53354947"/>
    <w:rsid w:val="53367D05"/>
    <w:rsid w:val="53395DD6"/>
    <w:rsid w:val="533B1B4E"/>
    <w:rsid w:val="533D2F61"/>
    <w:rsid w:val="5342045D"/>
    <w:rsid w:val="53476745"/>
    <w:rsid w:val="53487DC7"/>
    <w:rsid w:val="53505621"/>
    <w:rsid w:val="53514C4B"/>
    <w:rsid w:val="535D1AC5"/>
    <w:rsid w:val="536C7F5A"/>
    <w:rsid w:val="536E3CD2"/>
    <w:rsid w:val="537868FE"/>
    <w:rsid w:val="537A2677"/>
    <w:rsid w:val="53870B3B"/>
    <w:rsid w:val="53871870"/>
    <w:rsid w:val="538E6122"/>
    <w:rsid w:val="53911F07"/>
    <w:rsid w:val="53A039CC"/>
    <w:rsid w:val="53A1505A"/>
    <w:rsid w:val="53A32632"/>
    <w:rsid w:val="53A72D40"/>
    <w:rsid w:val="53A95E5E"/>
    <w:rsid w:val="53BF0089"/>
    <w:rsid w:val="53C0466C"/>
    <w:rsid w:val="53C17DA1"/>
    <w:rsid w:val="53C818C9"/>
    <w:rsid w:val="53D0673A"/>
    <w:rsid w:val="53D124C9"/>
    <w:rsid w:val="53D12577"/>
    <w:rsid w:val="53D14261"/>
    <w:rsid w:val="53D14C9B"/>
    <w:rsid w:val="53E06252"/>
    <w:rsid w:val="53E24E44"/>
    <w:rsid w:val="53E775E0"/>
    <w:rsid w:val="53EE65B2"/>
    <w:rsid w:val="53F17173"/>
    <w:rsid w:val="53FC538C"/>
    <w:rsid w:val="54063E08"/>
    <w:rsid w:val="54077C82"/>
    <w:rsid w:val="540E1011"/>
    <w:rsid w:val="541226AA"/>
    <w:rsid w:val="54337823"/>
    <w:rsid w:val="543437E8"/>
    <w:rsid w:val="54372316"/>
    <w:rsid w:val="54421F76"/>
    <w:rsid w:val="544B38FD"/>
    <w:rsid w:val="544C32E6"/>
    <w:rsid w:val="545509EE"/>
    <w:rsid w:val="54571DC8"/>
    <w:rsid w:val="545C3056"/>
    <w:rsid w:val="545F186C"/>
    <w:rsid w:val="5461219A"/>
    <w:rsid w:val="54640C31"/>
    <w:rsid w:val="546F46E4"/>
    <w:rsid w:val="54745318"/>
    <w:rsid w:val="54776BB6"/>
    <w:rsid w:val="5479292E"/>
    <w:rsid w:val="547A66A6"/>
    <w:rsid w:val="5489085B"/>
    <w:rsid w:val="548C2D5E"/>
    <w:rsid w:val="548F2152"/>
    <w:rsid w:val="54901A26"/>
    <w:rsid w:val="54921C42"/>
    <w:rsid w:val="54947768"/>
    <w:rsid w:val="54992FD0"/>
    <w:rsid w:val="549B17E9"/>
    <w:rsid w:val="54A32358"/>
    <w:rsid w:val="54B25E40"/>
    <w:rsid w:val="54B27BEE"/>
    <w:rsid w:val="54B95421"/>
    <w:rsid w:val="54BF42A0"/>
    <w:rsid w:val="54C36822"/>
    <w:rsid w:val="54D656F3"/>
    <w:rsid w:val="54EA382C"/>
    <w:rsid w:val="54EE3869"/>
    <w:rsid w:val="54F73313"/>
    <w:rsid w:val="54F80955"/>
    <w:rsid w:val="550549AD"/>
    <w:rsid w:val="55055F70"/>
    <w:rsid w:val="55101341"/>
    <w:rsid w:val="551C5231"/>
    <w:rsid w:val="551D177B"/>
    <w:rsid w:val="551D2AB1"/>
    <w:rsid w:val="55277EF0"/>
    <w:rsid w:val="55300BF5"/>
    <w:rsid w:val="55372959"/>
    <w:rsid w:val="553819F5"/>
    <w:rsid w:val="55384597"/>
    <w:rsid w:val="553B4087"/>
    <w:rsid w:val="553C395C"/>
    <w:rsid w:val="55425416"/>
    <w:rsid w:val="554271C4"/>
    <w:rsid w:val="55466588"/>
    <w:rsid w:val="554747DA"/>
    <w:rsid w:val="554910BB"/>
    <w:rsid w:val="555170A7"/>
    <w:rsid w:val="55557125"/>
    <w:rsid w:val="5555753C"/>
    <w:rsid w:val="555831C2"/>
    <w:rsid w:val="555962BC"/>
    <w:rsid w:val="555A280A"/>
    <w:rsid w:val="556A3EFC"/>
    <w:rsid w:val="556C2493"/>
    <w:rsid w:val="5571190D"/>
    <w:rsid w:val="55772500"/>
    <w:rsid w:val="557755EC"/>
    <w:rsid w:val="557D644E"/>
    <w:rsid w:val="557F0AB7"/>
    <w:rsid w:val="558029E9"/>
    <w:rsid w:val="55805F3E"/>
    <w:rsid w:val="55874F5B"/>
    <w:rsid w:val="5587536D"/>
    <w:rsid w:val="558A67F2"/>
    <w:rsid w:val="558F7F2F"/>
    <w:rsid w:val="559612BE"/>
    <w:rsid w:val="559B174B"/>
    <w:rsid w:val="55A131FA"/>
    <w:rsid w:val="55AD7B52"/>
    <w:rsid w:val="55AE3448"/>
    <w:rsid w:val="55AF4990"/>
    <w:rsid w:val="55B11927"/>
    <w:rsid w:val="55B52C61"/>
    <w:rsid w:val="55B856D8"/>
    <w:rsid w:val="55BD0103"/>
    <w:rsid w:val="55CD7DE7"/>
    <w:rsid w:val="55CE0CF4"/>
    <w:rsid w:val="55D17D3D"/>
    <w:rsid w:val="55D55EC7"/>
    <w:rsid w:val="55DF4A13"/>
    <w:rsid w:val="55E262B1"/>
    <w:rsid w:val="55EC55F7"/>
    <w:rsid w:val="55EF64AD"/>
    <w:rsid w:val="55F83513"/>
    <w:rsid w:val="55FC43CF"/>
    <w:rsid w:val="56060762"/>
    <w:rsid w:val="560E354A"/>
    <w:rsid w:val="56110589"/>
    <w:rsid w:val="564205FD"/>
    <w:rsid w:val="56453C82"/>
    <w:rsid w:val="564723A0"/>
    <w:rsid w:val="564B72B1"/>
    <w:rsid w:val="564D7444"/>
    <w:rsid w:val="56522C8D"/>
    <w:rsid w:val="565E46E5"/>
    <w:rsid w:val="566C5B63"/>
    <w:rsid w:val="566C7899"/>
    <w:rsid w:val="56705FB3"/>
    <w:rsid w:val="56723939"/>
    <w:rsid w:val="56741741"/>
    <w:rsid w:val="56764C4B"/>
    <w:rsid w:val="56790979"/>
    <w:rsid w:val="567E7367"/>
    <w:rsid w:val="567F7FA4"/>
    <w:rsid w:val="56847368"/>
    <w:rsid w:val="56862C47"/>
    <w:rsid w:val="56871B8F"/>
    <w:rsid w:val="569E667C"/>
    <w:rsid w:val="56A104CC"/>
    <w:rsid w:val="56A30136"/>
    <w:rsid w:val="56A619D5"/>
    <w:rsid w:val="56A64B17"/>
    <w:rsid w:val="56B0589F"/>
    <w:rsid w:val="56B129E1"/>
    <w:rsid w:val="56B22A9C"/>
    <w:rsid w:val="56B53FE4"/>
    <w:rsid w:val="56BF6D5B"/>
    <w:rsid w:val="56C43781"/>
    <w:rsid w:val="56C8194B"/>
    <w:rsid w:val="56C9121F"/>
    <w:rsid w:val="56CA2895"/>
    <w:rsid w:val="56CE6835"/>
    <w:rsid w:val="56D0725B"/>
    <w:rsid w:val="56D17277"/>
    <w:rsid w:val="56D26326"/>
    <w:rsid w:val="56E00E5C"/>
    <w:rsid w:val="56E22949"/>
    <w:rsid w:val="56EA7519"/>
    <w:rsid w:val="56F20776"/>
    <w:rsid w:val="56F91B04"/>
    <w:rsid w:val="56FA7BD4"/>
    <w:rsid w:val="56FC58C0"/>
    <w:rsid w:val="56FE35BF"/>
    <w:rsid w:val="5702085E"/>
    <w:rsid w:val="5702188A"/>
    <w:rsid w:val="570626B3"/>
    <w:rsid w:val="570A3D11"/>
    <w:rsid w:val="57141578"/>
    <w:rsid w:val="57256D9D"/>
    <w:rsid w:val="572C3717"/>
    <w:rsid w:val="57310D23"/>
    <w:rsid w:val="57323268"/>
    <w:rsid w:val="573A5879"/>
    <w:rsid w:val="574511ED"/>
    <w:rsid w:val="57465CC1"/>
    <w:rsid w:val="574C221A"/>
    <w:rsid w:val="574C36F8"/>
    <w:rsid w:val="575261D9"/>
    <w:rsid w:val="57572CCF"/>
    <w:rsid w:val="57641F8B"/>
    <w:rsid w:val="576468B6"/>
    <w:rsid w:val="576F1DC6"/>
    <w:rsid w:val="577216B2"/>
    <w:rsid w:val="577401A1"/>
    <w:rsid w:val="577A62FB"/>
    <w:rsid w:val="57870164"/>
    <w:rsid w:val="578A4E52"/>
    <w:rsid w:val="579227B2"/>
    <w:rsid w:val="57923D07"/>
    <w:rsid w:val="57A74D3D"/>
    <w:rsid w:val="57AC4DC9"/>
    <w:rsid w:val="57B343A9"/>
    <w:rsid w:val="57B447D4"/>
    <w:rsid w:val="57B461A9"/>
    <w:rsid w:val="57B65C47"/>
    <w:rsid w:val="57B72A76"/>
    <w:rsid w:val="57BB7AC7"/>
    <w:rsid w:val="57C3426C"/>
    <w:rsid w:val="57C61A3D"/>
    <w:rsid w:val="57CE1F93"/>
    <w:rsid w:val="57D25FA3"/>
    <w:rsid w:val="57E0421D"/>
    <w:rsid w:val="57E62556"/>
    <w:rsid w:val="57E75E01"/>
    <w:rsid w:val="57E80FEC"/>
    <w:rsid w:val="57FA542C"/>
    <w:rsid w:val="57FB18AC"/>
    <w:rsid w:val="58070251"/>
    <w:rsid w:val="580E5A83"/>
    <w:rsid w:val="58242BB1"/>
    <w:rsid w:val="58265F64"/>
    <w:rsid w:val="582C357A"/>
    <w:rsid w:val="582C415B"/>
    <w:rsid w:val="583017D1"/>
    <w:rsid w:val="58484328"/>
    <w:rsid w:val="584F314B"/>
    <w:rsid w:val="58580DAF"/>
    <w:rsid w:val="585868D3"/>
    <w:rsid w:val="585A2A77"/>
    <w:rsid w:val="585C3C23"/>
    <w:rsid w:val="585D444F"/>
    <w:rsid w:val="58694A68"/>
    <w:rsid w:val="587D61B5"/>
    <w:rsid w:val="58846FB0"/>
    <w:rsid w:val="58856E82"/>
    <w:rsid w:val="588741D6"/>
    <w:rsid w:val="588743D1"/>
    <w:rsid w:val="5887701A"/>
    <w:rsid w:val="588B5DCB"/>
    <w:rsid w:val="58934F4B"/>
    <w:rsid w:val="58977827"/>
    <w:rsid w:val="589F66DB"/>
    <w:rsid w:val="58A00B23"/>
    <w:rsid w:val="58A551AF"/>
    <w:rsid w:val="58A605C3"/>
    <w:rsid w:val="58A623E5"/>
    <w:rsid w:val="58AC2BA6"/>
    <w:rsid w:val="58AE459A"/>
    <w:rsid w:val="58B00D99"/>
    <w:rsid w:val="58C03462"/>
    <w:rsid w:val="58C42B4B"/>
    <w:rsid w:val="58CF6576"/>
    <w:rsid w:val="58D50E49"/>
    <w:rsid w:val="58D81BED"/>
    <w:rsid w:val="58DA7713"/>
    <w:rsid w:val="58E74CC6"/>
    <w:rsid w:val="58EA5D70"/>
    <w:rsid w:val="58EB1921"/>
    <w:rsid w:val="58F5279F"/>
    <w:rsid w:val="59093434"/>
    <w:rsid w:val="590A0142"/>
    <w:rsid w:val="590B271E"/>
    <w:rsid w:val="59101387"/>
    <w:rsid w:val="59103135"/>
    <w:rsid w:val="59262959"/>
    <w:rsid w:val="59295CB0"/>
    <w:rsid w:val="59363FB4"/>
    <w:rsid w:val="59407EBE"/>
    <w:rsid w:val="59411541"/>
    <w:rsid w:val="59504EDB"/>
    <w:rsid w:val="59526501"/>
    <w:rsid w:val="59534961"/>
    <w:rsid w:val="595516CA"/>
    <w:rsid w:val="59562786"/>
    <w:rsid w:val="595F1264"/>
    <w:rsid w:val="596268DA"/>
    <w:rsid w:val="596479EA"/>
    <w:rsid w:val="598309C8"/>
    <w:rsid w:val="598F49A2"/>
    <w:rsid w:val="59981AA8"/>
    <w:rsid w:val="59A44FCD"/>
    <w:rsid w:val="59A541C5"/>
    <w:rsid w:val="59AD0D36"/>
    <w:rsid w:val="59AF0BA0"/>
    <w:rsid w:val="59AF294E"/>
    <w:rsid w:val="59B83EF9"/>
    <w:rsid w:val="59C0439F"/>
    <w:rsid w:val="59C44088"/>
    <w:rsid w:val="59C5049F"/>
    <w:rsid w:val="59CC3E9B"/>
    <w:rsid w:val="59CD1026"/>
    <w:rsid w:val="59D37F50"/>
    <w:rsid w:val="59E720E8"/>
    <w:rsid w:val="59EA7E2A"/>
    <w:rsid w:val="59ED41B0"/>
    <w:rsid w:val="5A000658"/>
    <w:rsid w:val="5A074538"/>
    <w:rsid w:val="5A087C5A"/>
    <w:rsid w:val="5A0E1D6B"/>
    <w:rsid w:val="5A134FAF"/>
    <w:rsid w:val="5A185EFF"/>
    <w:rsid w:val="5A1B3740"/>
    <w:rsid w:val="5A2401AD"/>
    <w:rsid w:val="5A276988"/>
    <w:rsid w:val="5A36306F"/>
    <w:rsid w:val="5A38042E"/>
    <w:rsid w:val="5A3A0BE1"/>
    <w:rsid w:val="5A3E3715"/>
    <w:rsid w:val="5A4320CB"/>
    <w:rsid w:val="5A4412E8"/>
    <w:rsid w:val="5A52471B"/>
    <w:rsid w:val="5A5359CF"/>
    <w:rsid w:val="5A551748"/>
    <w:rsid w:val="5A5A320B"/>
    <w:rsid w:val="5A615E58"/>
    <w:rsid w:val="5A633816"/>
    <w:rsid w:val="5A785436"/>
    <w:rsid w:val="5A84202D"/>
    <w:rsid w:val="5A853707"/>
    <w:rsid w:val="5A9B229D"/>
    <w:rsid w:val="5A9F51B2"/>
    <w:rsid w:val="5AA24B6A"/>
    <w:rsid w:val="5AA71877"/>
    <w:rsid w:val="5AAF2AFF"/>
    <w:rsid w:val="5AB14005"/>
    <w:rsid w:val="5AB32912"/>
    <w:rsid w:val="5AB53D42"/>
    <w:rsid w:val="5AB66A4E"/>
    <w:rsid w:val="5AB82750"/>
    <w:rsid w:val="5AB8707D"/>
    <w:rsid w:val="5ABB52A6"/>
    <w:rsid w:val="5ABE2233"/>
    <w:rsid w:val="5ABE2519"/>
    <w:rsid w:val="5AC16DDD"/>
    <w:rsid w:val="5AC20896"/>
    <w:rsid w:val="5AC307F2"/>
    <w:rsid w:val="5AD14D4E"/>
    <w:rsid w:val="5AD36B10"/>
    <w:rsid w:val="5ADA7B7B"/>
    <w:rsid w:val="5ADE77EC"/>
    <w:rsid w:val="5ADF1D7A"/>
    <w:rsid w:val="5AE67E70"/>
    <w:rsid w:val="5AEB2E4E"/>
    <w:rsid w:val="5AF01470"/>
    <w:rsid w:val="5AF30CF7"/>
    <w:rsid w:val="5AF77E50"/>
    <w:rsid w:val="5AFC1BC3"/>
    <w:rsid w:val="5AFD593B"/>
    <w:rsid w:val="5B04723E"/>
    <w:rsid w:val="5B0E18F6"/>
    <w:rsid w:val="5B0F5D9A"/>
    <w:rsid w:val="5B12588A"/>
    <w:rsid w:val="5B184080"/>
    <w:rsid w:val="5B1E7030"/>
    <w:rsid w:val="5B205522"/>
    <w:rsid w:val="5B231846"/>
    <w:rsid w:val="5B2731C7"/>
    <w:rsid w:val="5B294420"/>
    <w:rsid w:val="5B3508C9"/>
    <w:rsid w:val="5B352495"/>
    <w:rsid w:val="5B3C665E"/>
    <w:rsid w:val="5B4051BF"/>
    <w:rsid w:val="5B413A7A"/>
    <w:rsid w:val="5B4348A7"/>
    <w:rsid w:val="5B4377F2"/>
    <w:rsid w:val="5B4466CF"/>
    <w:rsid w:val="5B476996"/>
    <w:rsid w:val="5B5163B3"/>
    <w:rsid w:val="5B527A35"/>
    <w:rsid w:val="5B5473DC"/>
    <w:rsid w:val="5B5C4D58"/>
    <w:rsid w:val="5B624A7A"/>
    <w:rsid w:val="5B6634E0"/>
    <w:rsid w:val="5B6A1CBE"/>
    <w:rsid w:val="5B6B0AF7"/>
    <w:rsid w:val="5B7F628C"/>
    <w:rsid w:val="5B871DD5"/>
    <w:rsid w:val="5B8D3163"/>
    <w:rsid w:val="5B9810DE"/>
    <w:rsid w:val="5B9D0F23"/>
    <w:rsid w:val="5B9D1BCB"/>
    <w:rsid w:val="5B9F14C4"/>
    <w:rsid w:val="5BA35939"/>
    <w:rsid w:val="5BAD110F"/>
    <w:rsid w:val="5BB95D19"/>
    <w:rsid w:val="5BC07095"/>
    <w:rsid w:val="5BCB77E7"/>
    <w:rsid w:val="5BCC3C42"/>
    <w:rsid w:val="5BCE7A03"/>
    <w:rsid w:val="5BCF1086"/>
    <w:rsid w:val="5BD3501A"/>
    <w:rsid w:val="5BD60666"/>
    <w:rsid w:val="5BD62414"/>
    <w:rsid w:val="5BD82630"/>
    <w:rsid w:val="5BDF5D95"/>
    <w:rsid w:val="5BE2388B"/>
    <w:rsid w:val="5BE35796"/>
    <w:rsid w:val="5BE81608"/>
    <w:rsid w:val="5BFE7528"/>
    <w:rsid w:val="5C041320"/>
    <w:rsid w:val="5C074CC3"/>
    <w:rsid w:val="5C0B3326"/>
    <w:rsid w:val="5C0E385F"/>
    <w:rsid w:val="5C1E77B2"/>
    <w:rsid w:val="5C221F02"/>
    <w:rsid w:val="5C2F4E74"/>
    <w:rsid w:val="5C3976E9"/>
    <w:rsid w:val="5C3F26E5"/>
    <w:rsid w:val="5C40019E"/>
    <w:rsid w:val="5C427DE2"/>
    <w:rsid w:val="5C45671C"/>
    <w:rsid w:val="5C4C6B7A"/>
    <w:rsid w:val="5C537F09"/>
    <w:rsid w:val="5C58366C"/>
    <w:rsid w:val="5C6948D1"/>
    <w:rsid w:val="5C6E089F"/>
    <w:rsid w:val="5C71213D"/>
    <w:rsid w:val="5C74197C"/>
    <w:rsid w:val="5C756A88"/>
    <w:rsid w:val="5C950F74"/>
    <w:rsid w:val="5C9C02AF"/>
    <w:rsid w:val="5C9C18B0"/>
    <w:rsid w:val="5C9D0E52"/>
    <w:rsid w:val="5C9E6537"/>
    <w:rsid w:val="5CAB17F0"/>
    <w:rsid w:val="5CAF4B0F"/>
    <w:rsid w:val="5CB169DD"/>
    <w:rsid w:val="5CB83B3E"/>
    <w:rsid w:val="5CBD4A63"/>
    <w:rsid w:val="5CCB7A9F"/>
    <w:rsid w:val="5CD55AD2"/>
    <w:rsid w:val="5CE0592D"/>
    <w:rsid w:val="5CEB2603"/>
    <w:rsid w:val="5CF442BE"/>
    <w:rsid w:val="5CFA0384"/>
    <w:rsid w:val="5D153410"/>
    <w:rsid w:val="5D1D4073"/>
    <w:rsid w:val="5D23215F"/>
    <w:rsid w:val="5D256205"/>
    <w:rsid w:val="5D2C648F"/>
    <w:rsid w:val="5D3214B0"/>
    <w:rsid w:val="5D323F8A"/>
    <w:rsid w:val="5D3C274B"/>
    <w:rsid w:val="5D431D2B"/>
    <w:rsid w:val="5D4810F0"/>
    <w:rsid w:val="5D517F31"/>
    <w:rsid w:val="5D577585"/>
    <w:rsid w:val="5D590F3E"/>
    <w:rsid w:val="5D69550A"/>
    <w:rsid w:val="5D6D6DA8"/>
    <w:rsid w:val="5D6F2B20"/>
    <w:rsid w:val="5D7A3491"/>
    <w:rsid w:val="5D804D2D"/>
    <w:rsid w:val="5D832CA4"/>
    <w:rsid w:val="5D88216B"/>
    <w:rsid w:val="5D8B722E"/>
    <w:rsid w:val="5D9C143B"/>
    <w:rsid w:val="5DAD189A"/>
    <w:rsid w:val="5DB623B7"/>
    <w:rsid w:val="5DB9602E"/>
    <w:rsid w:val="5DBB3FB7"/>
    <w:rsid w:val="5DBE7604"/>
    <w:rsid w:val="5DBE7ABC"/>
    <w:rsid w:val="5DBF512A"/>
    <w:rsid w:val="5DC6470A"/>
    <w:rsid w:val="5DCC2E35"/>
    <w:rsid w:val="5DCF35BF"/>
    <w:rsid w:val="5DD45079"/>
    <w:rsid w:val="5DDD44E0"/>
    <w:rsid w:val="5DDF7A11"/>
    <w:rsid w:val="5DE51034"/>
    <w:rsid w:val="5DE975E0"/>
    <w:rsid w:val="5DED0D3E"/>
    <w:rsid w:val="5DEF78BB"/>
    <w:rsid w:val="5DF26102"/>
    <w:rsid w:val="5DF76AF3"/>
    <w:rsid w:val="5DFE20F6"/>
    <w:rsid w:val="5E025791"/>
    <w:rsid w:val="5E0C4813"/>
    <w:rsid w:val="5E103836"/>
    <w:rsid w:val="5E1C5DEB"/>
    <w:rsid w:val="5E1F0D0B"/>
    <w:rsid w:val="5E217CDB"/>
    <w:rsid w:val="5E2467F1"/>
    <w:rsid w:val="5E27069A"/>
    <w:rsid w:val="5E2A2522"/>
    <w:rsid w:val="5E317B16"/>
    <w:rsid w:val="5E342BA8"/>
    <w:rsid w:val="5E4C2B8A"/>
    <w:rsid w:val="5E4C344C"/>
    <w:rsid w:val="5E654C39"/>
    <w:rsid w:val="5E68756F"/>
    <w:rsid w:val="5E6A322F"/>
    <w:rsid w:val="5E6E26D7"/>
    <w:rsid w:val="5E700844"/>
    <w:rsid w:val="5E7122DA"/>
    <w:rsid w:val="5E772DBE"/>
    <w:rsid w:val="5E7A4C99"/>
    <w:rsid w:val="5E7B3747"/>
    <w:rsid w:val="5E7B54F5"/>
    <w:rsid w:val="5E806A4E"/>
    <w:rsid w:val="5E8343A9"/>
    <w:rsid w:val="5E895E64"/>
    <w:rsid w:val="5E8D24F9"/>
    <w:rsid w:val="5E8D407E"/>
    <w:rsid w:val="5E8E6FD6"/>
    <w:rsid w:val="5E9E7161"/>
    <w:rsid w:val="5E9F5BCB"/>
    <w:rsid w:val="5EA031AD"/>
    <w:rsid w:val="5EA467FA"/>
    <w:rsid w:val="5EAF03AC"/>
    <w:rsid w:val="5EBA426F"/>
    <w:rsid w:val="5EBB599F"/>
    <w:rsid w:val="5EC46E9C"/>
    <w:rsid w:val="5EC7073A"/>
    <w:rsid w:val="5EC72ECA"/>
    <w:rsid w:val="5EC944B2"/>
    <w:rsid w:val="5ECC058E"/>
    <w:rsid w:val="5ED33433"/>
    <w:rsid w:val="5EDA0282"/>
    <w:rsid w:val="5EE02B86"/>
    <w:rsid w:val="5EE53172"/>
    <w:rsid w:val="5EE531BC"/>
    <w:rsid w:val="5EEB267A"/>
    <w:rsid w:val="5EEC4644"/>
    <w:rsid w:val="5EEE46DB"/>
    <w:rsid w:val="5EFB592B"/>
    <w:rsid w:val="5F0D6D05"/>
    <w:rsid w:val="5F114B16"/>
    <w:rsid w:val="5F116B44"/>
    <w:rsid w:val="5F1A2B43"/>
    <w:rsid w:val="5F1C1A53"/>
    <w:rsid w:val="5F226AF3"/>
    <w:rsid w:val="5F2F716C"/>
    <w:rsid w:val="5F373B85"/>
    <w:rsid w:val="5F404534"/>
    <w:rsid w:val="5F40686D"/>
    <w:rsid w:val="5F4C2933"/>
    <w:rsid w:val="5F4D6E91"/>
    <w:rsid w:val="5F4F41BF"/>
    <w:rsid w:val="5F5726DE"/>
    <w:rsid w:val="5F5A4F47"/>
    <w:rsid w:val="5F5C0E82"/>
    <w:rsid w:val="5F6132FB"/>
    <w:rsid w:val="5F6E0BB6"/>
    <w:rsid w:val="5F6E6E08"/>
    <w:rsid w:val="5F702B80"/>
    <w:rsid w:val="5F727FFB"/>
    <w:rsid w:val="5F7408C2"/>
    <w:rsid w:val="5F750BB2"/>
    <w:rsid w:val="5F751F44"/>
    <w:rsid w:val="5F772199"/>
    <w:rsid w:val="5F9045F5"/>
    <w:rsid w:val="5F922074"/>
    <w:rsid w:val="5F98434D"/>
    <w:rsid w:val="5F9A5E4E"/>
    <w:rsid w:val="5F9C6D00"/>
    <w:rsid w:val="5FAB1C81"/>
    <w:rsid w:val="5FB7306B"/>
    <w:rsid w:val="5FB81523"/>
    <w:rsid w:val="5FB837BB"/>
    <w:rsid w:val="5FB962D5"/>
    <w:rsid w:val="5FBF16B3"/>
    <w:rsid w:val="5FC412C2"/>
    <w:rsid w:val="5FC5111D"/>
    <w:rsid w:val="5FCD3B2E"/>
    <w:rsid w:val="5FE1195A"/>
    <w:rsid w:val="5FE377F5"/>
    <w:rsid w:val="5FE570CA"/>
    <w:rsid w:val="5FF351F1"/>
    <w:rsid w:val="5FFB68ED"/>
    <w:rsid w:val="5FFD302E"/>
    <w:rsid w:val="5FFF00D6"/>
    <w:rsid w:val="600532C8"/>
    <w:rsid w:val="600F7493"/>
    <w:rsid w:val="60114363"/>
    <w:rsid w:val="60116111"/>
    <w:rsid w:val="601479AF"/>
    <w:rsid w:val="60176202"/>
    <w:rsid w:val="601D7DD9"/>
    <w:rsid w:val="60202F75"/>
    <w:rsid w:val="60271CF1"/>
    <w:rsid w:val="602B4C88"/>
    <w:rsid w:val="603356F8"/>
    <w:rsid w:val="60335C18"/>
    <w:rsid w:val="60394C13"/>
    <w:rsid w:val="603E1D94"/>
    <w:rsid w:val="60455CFF"/>
    <w:rsid w:val="604B2BAC"/>
    <w:rsid w:val="60567FC7"/>
    <w:rsid w:val="605A3180"/>
    <w:rsid w:val="60602BF4"/>
    <w:rsid w:val="60771CEC"/>
    <w:rsid w:val="6078165F"/>
    <w:rsid w:val="60786190"/>
    <w:rsid w:val="60805044"/>
    <w:rsid w:val="608B3161"/>
    <w:rsid w:val="608C5797"/>
    <w:rsid w:val="609E54CA"/>
    <w:rsid w:val="60A10FAE"/>
    <w:rsid w:val="60B12A0E"/>
    <w:rsid w:val="60BB7E2A"/>
    <w:rsid w:val="60BF5B6D"/>
    <w:rsid w:val="60C04DBB"/>
    <w:rsid w:val="60C6278F"/>
    <w:rsid w:val="60C74F64"/>
    <w:rsid w:val="60CC405A"/>
    <w:rsid w:val="60E823BE"/>
    <w:rsid w:val="60EA448B"/>
    <w:rsid w:val="60F269A8"/>
    <w:rsid w:val="60F51A2D"/>
    <w:rsid w:val="610152C9"/>
    <w:rsid w:val="610174C0"/>
    <w:rsid w:val="610619ED"/>
    <w:rsid w:val="61077514"/>
    <w:rsid w:val="6109503A"/>
    <w:rsid w:val="610E0EDA"/>
    <w:rsid w:val="61106345"/>
    <w:rsid w:val="611479C1"/>
    <w:rsid w:val="611F2AAF"/>
    <w:rsid w:val="61204131"/>
    <w:rsid w:val="612C49BB"/>
    <w:rsid w:val="612D3A27"/>
    <w:rsid w:val="61347041"/>
    <w:rsid w:val="613D18F9"/>
    <w:rsid w:val="613F1D79"/>
    <w:rsid w:val="61447E20"/>
    <w:rsid w:val="614E5A16"/>
    <w:rsid w:val="61531E6F"/>
    <w:rsid w:val="616177E1"/>
    <w:rsid w:val="61671063"/>
    <w:rsid w:val="61683A75"/>
    <w:rsid w:val="6169352C"/>
    <w:rsid w:val="618446C0"/>
    <w:rsid w:val="618A26D4"/>
    <w:rsid w:val="618D5C6B"/>
    <w:rsid w:val="61923281"/>
    <w:rsid w:val="61947FC4"/>
    <w:rsid w:val="619F1229"/>
    <w:rsid w:val="61A47628"/>
    <w:rsid w:val="61AB7676"/>
    <w:rsid w:val="61BE6908"/>
    <w:rsid w:val="61C471B3"/>
    <w:rsid w:val="61C90FC5"/>
    <w:rsid w:val="61CC4438"/>
    <w:rsid w:val="61CC4D68"/>
    <w:rsid w:val="61D16895"/>
    <w:rsid w:val="61E215D8"/>
    <w:rsid w:val="61E365E9"/>
    <w:rsid w:val="61EB473F"/>
    <w:rsid w:val="61F07FA8"/>
    <w:rsid w:val="61F87A88"/>
    <w:rsid w:val="61F95DAE"/>
    <w:rsid w:val="620A7E80"/>
    <w:rsid w:val="62127513"/>
    <w:rsid w:val="62161589"/>
    <w:rsid w:val="62184E51"/>
    <w:rsid w:val="621B3775"/>
    <w:rsid w:val="621D1EC6"/>
    <w:rsid w:val="621E7BB7"/>
    <w:rsid w:val="62206ADF"/>
    <w:rsid w:val="62273481"/>
    <w:rsid w:val="622A5268"/>
    <w:rsid w:val="6231252E"/>
    <w:rsid w:val="6234461E"/>
    <w:rsid w:val="62364782"/>
    <w:rsid w:val="623936FD"/>
    <w:rsid w:val="623B56C7"/>
    <w:rsid w:val="623D1EEF"/>
    <w:rsid w:val="6244130C"/>
    <w:rsid w:val="62542E16"/>
    <w:rsid w:val="62544C5B"/>
    <w:rsid w:val="6256605D"/>
    <w:rsid w:val="625671AC"/>
    <w:rsid w:val="62600810"/>
    <w:rsid w:val="626A672E"/>
    <w:rsid w:val="6273620A"/>
    <w:rsid w:val="62775C3F"/>
    <w:rsid w:val="627D7A8D"/>
    <w:rsid w:val="628232F6"/>
    <w:rsid w:val="62883DA2"/>
    <w:rsid w:val="62970423"/>
    <w:rsid w:val="629840DA"/>
    <w:rsid w:val="629B43B7"/>
    <w:rsid w:val="62A43580"/>
    <w:rsid w:val="62B2725A"/>
    <w:rsid w:val="62B45479"/>
    <w:rsid w:val="62B611F1"/>
    <w:rsid w:val="62B8647A"/>
    <w:rsid w:val="62C17904"/>
    <w:rsid w:val="62C92CD3"/>
    <w:rsid w:val="62CB0FB1"/>
    <w:rsid w:val="62D05AA4"/>
    <w:rsid w:val="62D43425"/>
    <w:rsid w:val="62DE42A4"/>
    <w:rsid w:val="62E8291D"/>
    <w:rsid w:val="62E95063"/>
    <w:rsid w:val="62EE098B"/>
    <w:rsid w:val="62F01942"/>
    <w:rsid w:val="62FC6155"/>
    <w:rsid w:val="62FD0BCE"/>
    <w:rsid w:val="63027F93"/>
    <w:rsid w:val="63163E01"/>
    <w:rsid w:val="63172B71"/>
    <w:rsid w:val="63193421"/>
    <w:rsid w:val="632443AD"/>
    <w:rsid w:val="63246FF1"/>
    <w:rsid w:val="632A4B59"/>
    <w:rsid w:val="632A4FD2"/>
    <w:rsid w:val="63307788"/>
    <w:rsid w:val="63364F75"/>
    <w:rsid w:val="633833DE"/>
    <w:rsid w:val="633A772C"/>
    <w:rsid w:val="634A0B68"/>
    <w:rsid w:val="635109CE"/>
    <w:rsid w:val="63535B4C"/>
    <w:rsid w:val="63552207"/>
    <w:rsid w:val="63616FBA"/>
    <w:rsid w:val="63645178"/>
    <w:rsid w:val="6364795D"/>
    <w:rsid w:val="63660521"/>
    <w:rsid w:val="6368783A"/>
    <w:rsid w:val="636A2B67"/>
    <w:rsid w:val="636A7A5F"/>
    <w:rsid w:val="6374637C"/>
    <w:rsid w:val="63754C08"/>
    <w:rsid w:val="6376415E"/>
    <w:rsid w:val="637901B0"/>
    <w:rsid w:val="637B1AF3"/>
    <w:rsid w:val="63806A4E"/>
    <w:rsid w:val="63846BFA"/>
    <w:rsid w:val="63894210"/>
    <w:rsid w:val="638979F4"/>
    <w:rsid w:val="638F60D2"/>
    <w:rsid w:val="6394356A"/>
    <w:rsid w:val="63974B7F"/>
    <w:rsid w:val="63A1155A"/>
    <w:rsid w:val="63A53F1B"/>
    <w:rsid w:val="63A96660"/>
    <w:rsid w:val="63B82D47"/>
    <w:rsid w:val="63B868A3"/>
    <w:rsid w:val="63BE5965"/>
    <w:rsid w:val="63C61B2C"/>
    <w:rsid w:val="63C77468"/>
    <w:rsid w:val="63D40BE9"/>
    <w:rsid w:val="63DD630A"/>
    <w:rsid w:val="63E21557"/>
    <w:rsid w:val="63E37DC4"/>
    <w:rsid w:val="63E80F78"/>
    <w:rsid w:val="63FB204E"/>
    <w:rsid w:val="63FC3677"/>
    <w:rsid w:val="63FC70D8"/>
    <w:rsid w:val="6401649C"/>
    <w:rsid w:val="64032214"/>
    <w:rsid w:val="64080C40"/>
    <w:rsid w:val="6410048D"/>
    <w:rsid w:val="64102431"/>
    <w:rsid w:val="6412477B"/>
    <w:rsid w:val="6415318F"/>
    <w:rsid w:val="641876CD"/>
    <w:rsid w:val="641A52B9"/>
    <w:rsid w:val="641E704E"/>
    <w:rsid w:val="64211DCD"/>
    <w:rsid w:val="6424218B"/>
    <w:rsid w:val="642D4E5A"/>
    <w:rsid w:val="642D65CE"/>
    <w:rsid w:val="642F3009"/>
    <w:rsid w:val="64335879"/>
    <w:rsid w:val="64354398"/>
    <w:rsid w:val="643C74D4"/>
    <w:rsid w:val="644E430E"/>
    <w:rsid w:val="64605122"/>
    <w:rsid w:val="64721148"/>
    <w:rsid w:val="64727E18"/>
    <w:rsid w:val="647629E6"/>
    <w:rsid w:val="647D1D01"/>
    <w:rsid w:val="647D566C"/>
    <w:rsid w:val="64843853"/>
    <w:rsid w:val="64852C29"/>
    <w:rsid w:val="64874BF3"/>
    <w:rsid w:val="648956DD"/>
    <w:rsid w:val="648C220A"/>
    <w:rsid w:val="649613FE"/>
    <w:rsid w:val="64964E36"/>
    <w:rsid w:val="649D23F0"/>
    <w:rsid w:val="64A5243A"/>
    <w:rsid w:val="64A65A76"/>
    <w:rsid w:val="64AC5DA7"/>
    <w:rsid w:val="64B17EC2"/>
    <w:rsid w:val="64B81584"/>
    <w:rsid w:val="64BB664B"/>
    <w:rsid w:val="64BE613B"/>
    <w:rsid w:val="64D61D27"/>
    <w:rsid w:val="64D63485"/>
    <w:rsid w:val="64DE035C"/>
    <w:rsid w:val="64DF1289"/>
    <w:rsid w:val="64E60F83"/>
    <w:rsid w:val="64ED07CF"/>
    <w:rsid w:val="64ED7066"/>
    <w:rsid w:val="64F053F5"/>
    <w:rsid w:val="64F531DE"/>
    <w:rsid w:val="64FD4EB5"/>
    <w:rsid w:val="650049A6"/>
    <w:rsid w:val="65030C16"/>
    <w:rsid w:val="650742CD"/>
    <w:rsid w:val="650C602D"/>
    <w:rsid w:val="65207558"/>
    <w:rsid w:val="65240694"/>
    <w:rsid w:val="65270493"/>
    <w:rsid w:val="65324C98"/>
    <w:rsid w:val="65373578"/>
    <w:rsid w:val="653D3504"/>
    <w:rsid w:val="653F709E"/>
    <w:rsid w:val="653F727C"/>
    <w:rsid w:val="65402FF4"/>
    <w:rsid w:val="654666FA"/>
    <w:rsid w:val="65467B07"/>
    <w:rsid w:val="654A4A6C"/>
    <w:rsid w:val="654D5E27"/>
    <w:rsid w:val="654E5711"/>
    <w:rsid w:val="6556773D"/>
    <w:rsid w:val="65624D19"/>
    <w:rsid w:val="65677D8B"/>
    <w:rsid w:val="656C3144"/>
    <w:rsid w:val="6571650E"/>
    <w:rsid w:val="65782299"/>
    <w:rsid w:val="658013C0"/>
    <w:rsid w:val="6581331B"/>
    <w:rsid w:val="658817D1"/>
    <w:rsid w:val="658824B6"/>
    <w:rsid w:val="659269B3"/>
    <w:rsid w:val="65931376"/>
    <w:rsid w:val="659A0956"/>
    <w:rsid w:val="659E7B81"/>
    <w:rsid w:val="65AF557F"/>
    <w:rsid w:val="65B35574"/>
    <w:rsid w:val="65BD40B1"/>
    <w:rsid w:val="65BD4645"/>
    <w:rsid w:val="65C23A09"/>
    <w:rsid w:val="65C77271"/>
    <w:rsid w:val="65CF41E5"/>
    <w:rsid w:val="65DD2853"/>
    <w:rsid w:val="65E240AB"/>
    <w:rsid w:val="65E37D95"/>
    <w:rsid w:val="65E7602D"/>
    <w:rsid w:val="65EE0972"/>
    <w:rsid w:val="65EF754F"/>
    <w:rsid w:val="66010265"/>
    <w:rsid w:val="66053308"/>
    <w:rsid w:val="66081D64"/>
    <w:rsid w:val="660A3011"/>
    <w:rsid w:val="660D1128"/>
    <w:rsid w:val="660D4430"/>
    <w:rsid w:val="660D6F13"/>
    <w:rsid w:val="661324B7"/>
    <w:rsid w:val="661C1991"/>
    <w:rsid w:val="661C580F"/>
    <w:rsid w:val="661D6A6F"/>
    <w:rsid w:val="661E6EE8"/>
    <w:rsid w:val="6623094C"/>
    <w:rsid w:val="66293A88"/>
    <w:rsid w:val="663568D1"/>
    <w:rsid w:val="663743F7"/>
    <w:rsid w:val="663C5050"/>
    <w:rsid w:val="664A4CE2"/>
    <w:rsid w:val="664A70DD"/>
    <w:rsid w:val="66541BDE"/>
    <w:rsid w:val="665530AA"/>
    <w:rsid w:val="66632FD2"/>
    <w:rsid w:val="666618FD"/>
    <w:rsid w:val="666F7C42"/>
    <w:rsid w:val="667016B7"/>
    <w:rsid w:val="66723681"/>
    <w:rsid w:val="667431B0"/>
    <w:rsid w:val="667C62AE"/>
    <w:rsid w:val="66887B02"/>
    <w:rsid w:val="668C4743"/>
    <w:rsid w:val="668D60A8"/>
    <w:rsid w:val="66967370"/>
    <w:rsid w:val="66A0008A"/>
    <w:rsid w:val="66A650D9"/>
    <w:rsid w:val="66AD68DD"/>
    <w:rsid w:val="66B477F6"/>
    <w:rsid w:val="66BB1FCB"/>
    <w:rsid w:val="66D45A1D"/>
    <w:rsid w:val="66EA76BB"/>
    <w:rsid w:val="66F2580F"/>
    <w:rsid w:val="66F26570"/>
    <w:rsid w:val="66F93AEA"/>
    <w:rsid w:val="66FD31FC"/>
    <w:rsid w:val="6703577C"/>
    <w:rsid w:val="6709118F"/>
    <w:rsid w:val="67093C8D"/>
    <w:rsid w:val="671F124A"/>
    <w:rsid w:val="6724042C"/>
    <w:rsid w:val="67254250"/>
    <w:rsid w:val="672E0C51"/>
    <w:rsid w:val="672F072B"/>
    <w:rsid w:val="672F1B26"/>
    <w:rsid w:val="673E518F"/>
    <w:rsid w:val="67400E94"/>
    <w:rsid w:val="674548F2"/>
    <w:rsid w:val="67571837"/>
    <w:rsid w:val="6758125A"/>
    <w:rsid w:val="6759039D"/>
    <w:rsid w:val="67621B45"/>
    <w:rsid w:val="676859F7"/>
    <w:rsid w:val="676F196F"/>
    <w:rsid w:val="677A33C6"/>
    <w:rsid w:val="677E7650"/>
    <w:rsid w:val="678436AC"/>
    <w:rsid w:val="678951DC"/>
    <w:rsid w:val="679E0102"/>
    <w:rsid w:val="67A71109"/>
    <w:rsid w:val="67A97275"/>
    <w:rsid w:val="67B13D35"/>
    <w:rsid w:val="67B80CE0"/>
    <w:rsid w:val="67B95BF1"/>
    <w:rsid w:val="67BB0ADC"/>
    <w:rsid w:val="67BB12C1"/>
    <w:rsid w:val="67D53EC8"/>
    <w:rsid w:val="67DF5789"/>
    <w:rsid w:val="67F53711"/>
    <w:rsid w:val="67FB09A2"/>
    <w:rsid w:val="68024591"/>
    <w:rsid w:val="680B78E9"/>
    <w:rsid w:val="68192220"/>
    <w:rsid w:val="681B6549"/>
    <w:rsid w:val="681F6961"/>
    <w:rsid w:val="682278F5"/>
    <w:rsid w:val="682409AB"/>
    <w:rsid w:val="68336E40"/>
    <w:rsid w:val="68356C2D"/>
    <w:rsid w:val="68376930"/>
    <w:rsid w:val="68383EAC"/>
    <w:rsid w:val="683F7111"/>
    <w:rsid w:val="6844623C"/>
    <w:rsid w:val="684626D0"/>
    <w:rsid w:val="684706A4"/>
    <w:rsid w:val="68553A1F"/>
    <w:rsid w:val="685B5280"/>
    <w:rsid w:val="685C5E2A"/>
    <w:rsid w:val="685F1932"/>
    <w:rsid w:val="685F55DB"/>
    <w:rsid w:val="68610A2F"/>
    <w:rsid w:val="68670F40"/>
    <w:rsid w:val="687E7126"/>
    <w:rsid w:val="68805514"/>
    <w:rsid w:val="6882751E"/>
    <w:rsid w:val="688D02FE"/>
    <w:rsid w:val="689323ED"/>
    <w:rsid w:val="68955AB9"/>
    <w:rsid w:val="689A0C6D"/>
    <w:rsid w:val="689C2C37"/>
    <w:rsid w:val="689D2B6E"/>
    <w:rsid w:val="68A11FFC"/>
    <w:rsid w:val="68A4509D"/>
    <w:rsid w:val="68A5022C"/>
    <w:rsid w:val="68A65864"/>
    <w:rsid w:val="68A7670A"/>
    <w:rsid w:val="68AE1857"/>
    <w:rsid w:val="68B44B54"/>
    <w:rsid w:val="68B86C07"/>
    <w:rsid w:val="68BF5E34"/>
    <w:rsid w:val="68C41164"/>
    <w:rsid w:val="68CA6D7A"/>
    <w:rsid w:val="68CF403A"/>
    <w:rsid w:val="68D009A1"/>
    <w:rsid w:val="68D647FB"/>
    <w:rsid w:val="68D73C6F"/>
    <w:rsid w:val="68DB72BC"/>
    <w:rsid w:val="68E51EE8"/>
    <w:rsid w:val="68E95D03"/>
    <w:rsid w:val="68F707D4"/>
    <w:rsid w:val="68FB795E"/>
    <w:rsid w:val="68FC5A91"/>
    <w:rsid w:val="68FE2FAA"/>
    <w:rsid w:val="69074555"/>
    <w:rsid w:val="690B56C7"/>
    <w:rsid w:val="690E0230"/>
    <w:rsid w:val="690F4F74"/>
    <w:rsid w:val="69147B83"/>
    <w:rsid w:val="69164798"/>
    <w:rsid w:val="692539B3"/>
    <w:rsid w:val="69270753"/>
    <w:rsid w:val="692F585A"/>
    <w:rsid w:val="69316E2F"/>
    <w:rsid w:val="6932346D"/>
    <w:rsid w:val="693B0C20"/>
    <w:rsid w:val="693F6A4B"/>
    <w:rsid w:val="6944370E"/>
    <w:rsid w:val="69471F65"/>
    <w:rsid w:val="694E2071"/>
    <w:rsid w:val="695232F6"/>
    <w:rsid w:val="695312C2"/>
    <w:rsid w:val="6955518E"/>
    <w:rsid w:val="69556558"/>
    <w:rsid w:val="695928D6"/>
    <w:rsid w:val="695D5F23"/>
    <w:rsid w:val="696077C1"/>
    <w:rsid w:val="69667335"/>
    <w:rsid w:val="69725830"/>
    <w:rsid w:val="69766163"/>
    <w:rsid w:val="697A08FB"/>
    <w:rsid w:val="697A3B33"/>
    <w:rsid w:val="69820705"/>
    <w:rsid w:val="69825989"/>
    <w:rsid w:val="698A0CE2"/>
    <w:rsid w:val="69935DE8"/>
    <w:rsid w:val="699B7C24"/>
    <w:rsid w:val="69A83D0F"/>
    <w:rsid w:val="69BB533F"/>
    <w:rsid w:val="69C114D4"/>
    <w:rsid w:val="69C536CF"/>
    <w:rsid w:val="69C9180A"/>
    <w:rsid w:val="69CE6E20"/>
    <w:rsid w:val="69D0004C"/>
    <w:rsid w:val="69D106BF"/>
    <w:rsid w:val="69D1246D"/>
    <w:rsid w:val="69D174C4"/>
    <w:rsid w:val="69D41AC3"/>
    <w:rsid w:val="69D44760"/>
    <w:rsid w:val="69DD324F"/>
    <w:rsid w:val="69E97B3E"/>
    <w:rsid w:val="69EC6364"/>
    <w:rsid w:val="69ED6F02"/>
    <w:rsid w:val="69F77400"/>
    <w:rsid w:val="69FB6415"/>
    <w:rsid w:val="6A0445F0"/>
    <w:rsid w:val="6A086F97"/>
    <w:rsid w:val="6A1011E7"/>
    <w:rsid w:val="6A1521B5"/>
    <w:rsid w:val="6A18009C"/>
    <w:rsid w:val="6A187BFF"/>
    <w:rsid w:val="6A1A2066"/>
    <w:rsid w:val="6A1C750D"/>
    <w:rsid w:val="6A1F142A"/>
    <w:rsid w:val="6A255A44"/>
    <w:rsid w:val="6A2A6212"/>
    <w:rsid w:val="6A4C5F97"/>
    <w:rsid w:val="6A50275D"/>
    <w:rsid w:val="6A503CD9"/>
    <w:rsid w:val="6A505A87"/>
    <w:rsid w:val="6A520EC7"/>
    <w:rsid w:val="6A5725D2"/>
    <w:rsid w:val="6A5761E8"/>
    <w:rsid w:val="6A5D6C72"/>
    <w:rsid w:val="6A603BA4"/>
    <w:rsid w:val="6A612895"/>
    <w:rsid w:val="6A65020B"/>
    <w:rsid w:val="6A677D9E"/>
    <w:rsid w:val="6A687275"/>
    <w:rsid w:val="6A745C1A"/>
    <w:rsid w:val="6A806C6B"/>
    <w:rsid w:val="6A8251E6"/>
    <w:rsid w:val="6A843DC8"/>
    <w:rsid w:val="6A8A163D"/>
    <w:rsid w:val="6A9B0B5E"/>
    <w:rsid w:val="6A9D72C4"/>
    <w:rsid w:val="6AA3205B"/>
    <w:rsid w:val="6AA87EC6"/>
    <w:rsid w:val="6AAF6C52"/>
    <w:rsid w:val="6AB4559D"/>
    <w:rsid w:val="6AB6190B"/>
    <w:rsid w:val="6AB63138"/>
    <w:rsid w:val="6ACE4BFE"/>
    <w:rsid w:val="6ADA5BF5"/>
    <w:rsid w:val="6AE306AA"/>
    <w:rsid w:val="6AEA5EDC"/>
    <w:rsid w:val="6AF72A1D"/>
    <w:rsid w:val="6AF87E20"/>
    <w:rsid w:val="6AFF1336"/>
    <w:rsid w:val="6B001717"/>
    <w:rsid w:val="6B013226"/>
    <w:rsid w:val="6B0542A1"/>
    <w:rsid w:val="6B0558EB"/>
    <w:rsid w:val="6B117D40"/>
    <w:rsid w:val="6B1417AF"/>
    <w:rsid w:val="6B167EAA"/>
    <w:rsid w:val="6B186BFE"/>
    <w:rsid w:val="6B1A2FD3"/>
    <w:rsid w:val="6B203F66"/>
    <w:rsid w:val="6B2F7D93"/>
    <w:rsid w:val="6B307F96"/>
    <w:rsid w:val="6B322639"/>
    <w:rsid w:val="6B3453A9"/>
    <w:rsid w:val="6B39476E"/>
    <w:rsid w:val="6B394980"/>
    <w:rsid w:val="6B3B317A"/>
    <w:rsid w:val="6B3C7DBA"/>
    <w:rsid w:val="6B3E333B"/>
    <w:rsid w:val="6B4C44A1"/>
    <w:rsid w:val="6B576A72"/>
    <w:rsid w:val="6B58657E"/>
    <w:rsid w:val="6B5E2426"/>
    <w:rsid w:val="6B6A0DCB"/>
    <w:rsid w:val="6B6D5031"/>
    <w:rsid w:val="6B6F018F"/>
    <w:rsid w:val="6B6F1915"/>
    <w:rsid w:val="6B6F63E1"/>
    <w:rsid w:val="6B741C4A"/>
    <w:rsid w:val="6B7B6B34"/>
    <w:rsid w:val="6B822D69"/>
    <w:rsid w:val="6B826114"/>
    <w:rsid w:val="6B86130F"/>
    <w:rsid w:val="6B882963"/>
    <w:rsid w:val="6B8C2AEF"/>
    <w:rsid w:val="6B8F25DF"/>
    <w:rsid w:val="6B95409A"/>
    <w:rsid w:val="6B9912B9"/>
    <w:rsid w:val="6B9F6CC6"/>
    <w:rsid w:val="6BAE0CB8"/>
    <w:rsid w:val="6BB20217"/>
    <w:rsid w:val="6BB51FFF"/>
    <w:rsid w:val="6BBB1626"/>
    <w:rsid w:val="6BBB5183"/>
    <w:rsid w:val="6BBB56E1"/>
    <w:rsid w:val="6BC10118"/>
    <w:rsid w:val="6BC9680C"/>
    <w:rsid w:val="6BCB4BA0"/>
    <w:rsid w:val="6BCC464A"/>
    <w:rsid w:val="6BCE5086"/>
    <w:rsid w:val="6BD76475"/>
    <w:rsid w:val="6BD83F86"/>
    <w:rsid w:val="6BDB5825"/>
    <w:rsid w:val="6BDC0AE0"/>
    <w:rsid w:val="6BE0108D"/>
    <w:rsid w:val="6BE4292B"/>
    <w:rsid w:val="6BEA6EB0"/>
    <w:rsid w:val="6BEE73C9"/>
    <w:rsid w:val="6BEF02BA"/>
    <w:rsid w:val="6BEF6521"/>
    <w:rsid w:val="6BF1335D"/>
    <w:rsid w:val="6BF3745D"/>
    <w:rsid w:val="6BF60B14"/>
    <w:rsid w:val="6C007039"/>
    <w:rsid w:val="6C071D51"/>
    <w:rsid w:val="6C0A1FF2"/>
    <w:rsid w:val="6C0D35C1"/>
    <w:rsid w:val="6C0E65C5"/>
    <w:rsid w:val="6C0F54CE"/>
    <w:rsid w:val="6C112375"/>
    <w:rsid w:val="6C1238A1"/>
    <w:rsid w:val="6C1470B6"/>
    <w:rsid w:val="6C1F5711"/>
    <w:rsid w:val="6C257319"/>
    <w:rsid w:val="6C282D81"/>
    <w:rsid w:val="6C2D7A56"/>
    <w:rsid w:val="6C322AC5"/>
    <w:rsid w:val="6C324340"/>
    <w:rsid w:val="6C35284A"/>
    <w:rsid w:val="6C360151"/>
    <w:rsid w:val="6C3E1921"/>
    <w:rsid w:val="6C407FC9"/>
    <w:rsid w:val="6C465F5C"/>
    <w:rsid w:val="6C493DB2"/>
    <w:rsid w:val="6C4C04D0"/>
    <w:rsid w:val="6C4F6DD8"/>
    <w:rsid w:val="6C506213"/>
    <w:rsid w:val="6C5145C6"/>
    <w:rsid w:val="6C517B5F"/>
    <w:rsid w:val="6C57134F"/>
    <w:rsid w:val="6C636C38"/>
    <w:rsid w:val="6C6F0E84"/>
    <w:rsid w:val="6C7517D5"/>
    <w:rsid w:val="6C910B40"/>
    <w:rsid w:val="6C9205D9"/>
    <w:rsid w:val="6C963990"/>
    <w:rsid w:val="6C9A123C"/>
    <w:rsid w:val="6C9C57D4"/>
    <w:rsid w:val="6C9D4F9F"/>
    <w:rsid w:val="6C9E6F7E"/>
    <w:rsid w:val="6CA609E7"/>
    <w:rsid w:val="6CAC1780"/>
    <w:rsid w:val="6CB00A5F"/>
    <w:rsid w:val="6CB107A0"/>
    <w:rsid w:val="6CB43AA9"/>
    <w:rsid w:val="6CBD3409"/>
    <w:rsid w:val="6CC12C6C"/>
    <w:rsid w:val="6CC906B8"/>
    <w:rsid w:val="6CD13207"/>
    <w:rsid w:val="6CDE55CC"/>
    <w:rsid w:val="6CE16072"/>
    <w:rsid w:val="6CE72613"/>
    <w:rsid w:val="6CEC7E19"/>
    <w:rsid w:val="6CEE3336"/>
    <w:rsid w:val="6CF074DD"/>
    <w:rsid w:val="6CF224FC"/>
    <w:rsid w:val="6CFA59CE"/>
    <w:rsid w:val="6CFD705D"/>
    <w:rsid w:val="6D06658E"/>
    <w:rsid w:val="6D0E5786"/>
    <w:rsid w:val="6D126145"/>
    <w:rsid w:val="6D157908"/>
    <w:rsid w:val="6D157E96"/>
    <w:rsid w:val="6D1D6271"/>
    <w:rsid w:val="6D217025"/>
    <w:rsid w:val="6D222AAF"/>
    <w:rsid w:val="6D273696"/>
    <w:rsid w:val="6D307D8B"/>
    <w:rsid w:val="6D333A60"/>
    <w:rsid w:val="6D3636C2"/>
    <w:rsid w:val="6D370590"/>
    <w:rsid w:val="6D38300F"/>
    <w:rsid w:val="6D3C4FB1"/>
    <w:rsid w:val="6D3F3B91"/>
    <w:rsid w:val="6D413DAD"/>
    <w:rsid w:val="6D4141E6"/>
    <w:rsid w:val="6D417909"/>
    <w:rsid w:val="6D45389E"/>
    <w:rsid w:val="6D49103E"/>
    <w:rsid w:val="6D4D2752"/>
    <w:rsid w:val="6D4D4A1B"/>
    <w:rsid w:val="6D4E063C"/>
    <w:rsid w:val="6D4E2BDA"/>
    <w:rsid w:val="6D5004FB"/>
    <w:rsid w:val="6D521B8E"/>
    <w:rsid w:val="6D527D69"/>
    <w:rsid w:val="6D5A0226"/>
    <w:rsid w:val="6D634924"/>
    <w:rsid w:val="6D68133A"/>
    <w:rsid w:val="6D702159"/>
    <w:rsid w:val="6D716441"/>
    <w:rsid w:val="6D723F67"/>
    <w:rsid w:val="6D7B72BF"/>
    <w:rsid w:val="6D7E0B5E"/>
    <w:rsid w:val="6D7E3B1B"/>
    <w:rsid w:val="6D7F0909"/>
    <w:rsid w:val="6D886D07"/>
    <w:rsid w:val="6DA23B3D"/>
    <w:rsid w:val="6DA25F46"/>
    <w:rsid w:val="6DA94BFE"/>
    <w:rsid w:val="6DAD57A0"/>
    <w:rsid w:val="6DB1683D"/>
    <w:rsid w:val="6DB34098"/>
    <w:rsid w:val="6DB545B6"/>
    <w:rsid w:val="6DB85E1E"/>
    <w:rsid w:val="6DBB2AE7"/>
    <w:rsid w:val="6DC82851"/>
    <w:rsid w:val="6DC83351"/>
    <w:rsid w:val="6DD17512"/>
    <w:rsid w:val="6DE02FB4"/>
    <w:rsid w:val="6DE74955"/>
    <w:rsid w:val="6DEB57D9"/>
    <w:rsid w:val="6DF1132F"/>
    <w:rsid w:val="6DF27E1D"/>
    <w:rsid w:val="6E0E1B48"/>
    <w:rsid w:val="6E1119D2"/>
    <w:rsid w:val="6E2D7665"/>
    <w:rsid w:val="6E3D2992"/>
    <w:rsid w:val="6E492F1A"/>
    <w:rsid w:val="6E4D448A"/>
    <w:rsid w:val="6E4F63EF"/>
    <w:rsid w:val="6E514CED"/>
    <w:rsid w:val="6E540DCA"/>
    <w:rsid w:val="6E573777"/>
    <w:rsid w:val="6E585812"/>
    <w:rsid w:val="6E6A2AB5"/>
    <w:rsid w:val="6E70494A"/>
    <w:rsid w:val="6E716235"/>
    <w:rsid w:val="6E7A040C"/>
    <w:rsid w:val="6E7A6CD3"/>
    <w:rsid w:val="6E8166C0"/>
    <w:rsid w:val="6E82642B"/>
    <w:rsid w:val="6E833F15"/>
    <w:rsid w:val="6E8D188A"/>
    <w:rsid w:val="6E8E3BB4"/>
    <w:rsid w:val="6E910CC8"/>
    <w:rsid w:val="6E927C1A"/>
    <w:rsid w:val="6E97570D"/>
    <w:rsid w:val="6E9C74ED"/>
    <w:rsid w:val="6E9C7634"/>
    <w:rsid w:val="6EB052C5"/>
    <w:rsid w:val="6EB466F3"/>
    <w:rsid w:val="6EB563D5"/>
    <w:rsid w:val="6EC30F67"/>
    <w:rsid w:val="6ECD0B5E"/>
    <w:rsid w:val="6ED329D3"/>
    <w:rsid w:val="6ED751B3"/>
    <w:rsid w:val="6ED869E3"/>
    <w:rsid w:val="6ED92677"/>
    <w:rsid w:val="6EDB04AC"/>
    <w:rsid w:val="6EDD378E"/>
    <w:rsid w:val="6EDD3944"/>
    <w:rsid w:val="6EE079F1"/>
    <w:rsid w:val="6EE42C42"/>
    <w:rsid w:val="6EE86439"/>
    <w:rsid w:val="6EF1225A"/>
    <w:rsid w:val="6EF20DBC"/>
    <w:rsid w:val="6EF571BE"/>
    <w:rsid w:val="6F006561"/>
    <w:rsid w:val="6F0532E4"/>
    <w:rsid w:val="6F1352D6"/>
    <w:rsid w:val="6F141D7E"/>
    <w:rsid w:val="6F225983"/>
    <w:rsid w:val="6F307C36"/>
    <w:rsid w:val="6F327E52"/>
    <w:rsid w:val="6F3D7592"/>
    <w:rsid w:val="6F435BBB"/>
    <w:rsid w:val="6F4914FD"/>
    <w:rsid w:val="6F4972BF"/>
    <w:rsid w:val="6F514FCC"/>
    <w:rsid w:val="6F5558EE"/>
    <w:rsid w:val="6F5B208E"/>
    <w:rsid w:val="6F5C7D90"/>
    <w:rsid w:val="6F6057C3"/>
    <w:rsid w:val="6F667AFB"/>
    <w:rsid w:val="6F6B564D"/>
    <w:rsid w:val="6F6C3363"/>
    <w:rsid w:val="6F6C5CFD"/>
    <w:rsid w:val="6F7150D5"/>
    <w:rsid w:val="6F7B41BC"/>
    <w:rsid w:val="6F7C0B87"/>
    <w:rsid w:val="6F7E6E13"/>
    <w:rsid w:val="6F834209"/>
    <w:rsid w:val="6FA04AC2"/>
    <w:rsid w:val="6FA1403A"/>
    <w:rsid w:val="6FAB21CF"/>
    <w:rsid w:val="6FAE6244"/>
    <w:rsid w:val="6FB16FC8"/>
    <w:rsid w:val="6FB64529"/>
    <w:rsid w:val="6FBC0412"/>
    <w:rsid w:val="6FC1608F"/>
    <w:rsid w:val="6FCE1202"/>
    <w:rsid w:val="6FE27182"/>
    <w:rsid w:val="6FE83E76"/>
    <w:rsid w:val="6FF13869"/>
    <w:rsid w:val="6FF677BA"/>
    <w:rsid w:val="6FFC5590"/>
    <w:rsid w:val="700215D2"/>
    <w:rsid w:val="70040ABF"/>
    <w:rsid w:val="70076ED2"/>
    <w:rsid w:val="700840D2"/>
    <w:rsid w:val="7012558D"/>
    <w:rsid w:val="70132782"/>
    <w:rsid w:val="70172100"/>
    <w:rsid w:val="702218BB"/>
    <w:rsid w:val="70235E7F"/>
    <w:rsid w:val="70335C8A"/>
    <w:rsid w:val="703457D6"/>
    <w:rsid w:val="703E6382"/>
    <w:rsid w:val="704F058F"/>
    <w:rsid w:val="706107D8"/>
    <w:rsid w:val="706778C8"/>
    <w:rsid w:val="706D1DD0"/>
    <w:rsid w:val="70715059"/>
    <w:rsid w:val="70744DE6"/>
    <w:rsid w:val="7075449A"/>
    <w:rsid w:val="707551BD"/>
    <w:rsid w:val="70851233"/>
    <w:rsid w:val="70856B87"/>
    <w:rsid w:val="708A15C7"/>
    <w:rsid w:val="708C3591"/>
    <w:rsid w:val="70973BB0"/>
    <w:rsid w:val="709A3F00"/>
    <w:rsid w:val="709B04C9"/>
    <w:rsid w:val="70A053D6"/>
    <w:rsid w:val="70A26857"/>
    <w:rsid w:val="70AD3B52"/>
    <w:rsid w:val="70C1323B"/>
    <w:rsid w:val="70C508A5"/>
    <w:rsid w:val="70D527EE"/>
    <w:rsid w:val="70E14413"/>
    <w:rsid w:val="70E231B1"/>
    <w:rsid w:val="70E434A9"/>
    <w:rsid w:val="70EE5929"/>
    <w:rsid w:val="70F73101"/>
    <w:rsid w:val="70FA04FB"/>
    <w:rsid w:val="70FB7A87"/>
    <w:rsid w:val="71017ADB"/>
    <w:rsid w:val="71080E6A"/>
    <w:rsid w:val="710B095A"/>
    <w:rsid w:val="71102EC8"/>
    <w:rsid w:val="7110448C"/>
    <w:rsid w:val="71117E32"/>
    <w:rsid w:val="711771EB"/>
    <w:rsid w:val="711A6DEF"/>
    <w:rsid w:val="71223D12"/>
    <w:rsid w:val="71333A0D"/>
    <w:rsid w:val="71482841"/>
    <w:rsid w:val="714E0847"/>
    <w:rsid w:val="71526589"/>
    <w:rsid w:val="715B5300"/>
    <w:rsid w:val="715F1DC1"/>
    <w:rsid w:val="71614A1E"/>
    <w:rsid w:val="71653459"/>
    <w:rsid w:val="71696CF7"/>
    <w:rsid w:val="716B10C2"/>
    <w:rsid w:val="716D1F3D"/>
    <w:rsid w:val="7173166B"/>
    <w:rsid w:val="717A163C"/>
    <w:rsid w:val="71887CFB"/>
    <w:rsid w:val="71AC3EEB"/>
    <w:rsid w:val="71AE477E"/>
    <w:rsid w:val="71B72890"/>
    <w:rsid w:val="71BB3857"/>
    <w:rsid w:val="71C40DD1"/>
    <w:rsid w:val="71C43215"/>
    <w:rsid w:val="71C72AD3"/>
    <w:rsid w:val="71C76C2C"/>
    <w:rsid w:val="71D27F8A"/>
    <w:rsid w:val="71E85803"/>
    <w:rsid w:val="71EA178F"/>
    <w:rsid w:val="71EE2669"/>
    <w:rsid w:val="71FD03D0"/>
    <w:rsid w:val="71FE3E8A"/>
    <w:rsid w:val="71FF10BF"/>
    <w:rsid w:val="72010BF0"/>
    <w:rsid w:val="72052762"/>
    <w:rsid w:val="720535FB"/>
    <w:rsid w:val="72077373"/>
    <w:rsid w:val="72133F6A"/>
    <w:rsid w:val="72165809"/>
    <w:rsid w:val="721B6FB3"/>
    <w:rsid w:val="721E2CAC"/>
    <w:rsid w:val="72245D98"/>
    <w:rsid w:val="722A651C"/>
    <w:rsid w:val="722D1A66"/>
    <w:rsid w:val="722E0ABF"/>
    <w:rsid w:val="722E21BF"/>
    <w:rsid w:val="72394C9A"/>
    <w:rsid w:val="7244358C"/>
    <w:rsid w:val="724539F8"/>
    <w:rsid w:val="724563D0"/>
    <w:rsid w:val="724E4FA2"/>
    <w:rsid w:val="72553024"/>
    <w:rsid w:val="725C1AD9"/>
    <w:rsid w:val="726022F3"/>
    <w:rsid w:val="72606E27"/>
    <w:rsid w:val="727B51E2"/>
    <w:rsid w:val="727C1008"/>
    <w:rsid w:val="728C1627"/>
    <w:rsid w:val="72903D96"/>
    <w:rsid w:val="72943544"/>
    <w:rsid w:val="729606F7"/>
    <w:rsid w:val="729676C6"/>
    <w:rsid w:val="72A17B74"/>
    <w:rsid w:val="72A74A21"/>
    <w:rsid w:val="72A9042B"/>
    <w:rsid w:val="72AA245B"/>
    <w:rsid w:val="72AE660D"/>
    <w:rsid w:val="72BB633E"/>
    <w:rsid w:val="72BC6889"/>
    <w:rsid w:val="72BD130A"/>
    <w:rsid w:val="72C2061C"/>
    <w:rsid w:val="72CC5910"/>
    <w:rsid w:val="72CE7E91"/>
    <w:rsid w:val="72D336FA"/>
    <w:rsid w:val="72DD00D4"/>
    <w:rsid w:val="72DE5AE0"/>
    <w:rsid w:val="72DF3E4C"/>
    <w:rsid w:val="72E256EB"/>
    <w:rsid w:val="72E51130"/>
    <w:rsid w:val="72F01BB6"/>
    <w:rsid w:val="72F0270B"/>
    <w:rsid w:val="72FC67AC"/>
    <w:rsid w:val="72FE684A"/>
    <w:rsid w:val="7300444F"/>
    <w:rsid w:val="73007857"/>
    <w:rsid w:val="730332AC"/>
    <w:rsid w:val="73083626"/>
    <w:rsid w:val="73122968"/>
    <w:rsid w:val="731273FB"/>
    <w:rsid w:val="731A2E99"/>
    <w:rsid w:val="731E2BC7"/>
    <w:rsid w:val="731F5D5E"/>
    <w:rsid w:val="732301D3"/>
    <w:rsid w:val="732E1FAB"/>
    <w:rsid w:val="733260E7"/>
    <w:rsid w:val="733C5D19"/>
    <w:rsid w:val="73421C28"/>
    <w:rsid w:val="73481643"/>
    <w:rsid w:val="734E622F"/>
    <w:rsid w:val="73504D4A"/>
    <w:rsid w:val="735B7F50"/>
    <w:rsid w:val="73671E4B"/>
    <w:rsid w:val="73697BBA"/>
    <w:rsid w:val="736C1141"/>
    <w:rsid w:val="737A1DC7"/>
    <w:rsid w:val="737F2F3A"/>
    <w:rsid w:val="73814F04"/>
    <w:rsid w:val="738642C8"/>
    <w:rsid w:val="73887558"/>
    <w:rsid w:val="738A200A"/>
    <w:rsid w:val="739224B4"/>
    <w:rsid w:val="73995AD6"/>
    <w:rsid w:val="73995B1C"/>
    <w:rsid w:val="739E31BE"/>
    <w:rsid w:val="73A03963"/>
    <w:rsid w:val="73A25B6F"/>
    <w:rsid w:val="73AF3484"/>
    <w:rsid w:val="73AF381F"/>
    <w:rsid w:val="73B54BAD"/>
    <w:rsid w:val="73C51AD5"/>
    <w:rsid w:val="73CB68E0"/>
    <w:rsid w:val="73E3171A"/>
    <w:rsid w:val="73E536E4"/>
    <w:rsid w:val="73E7745D"/>
    <w:rsid w:val="73F72373"/>
    <w:rsid w:val="73FC27DC"/>
    <w:rsid w:val="73FE3824"/>
    <w:rsid w:val="74065FC7"/>
    <w:rsid w:val="740B04E1"/>
    <w:rsid w:val="74170205"/>
    <w:rsid w:val="741E793C"/>
    <w:rsid w:val="74235BAB"/>
    <w:rsid w:val="742A559B"/>
    <w:rsid w:val="742A7349"/>
    <w:rsid w:val="742C30C1"/>
    <w:rsid w:val="742E2236"/>
    <w:rsid w:val="74324450"/>
    <w:rsid w:val="74416C83"/>
    <w:rsid w:val="74454183"/>
    <w:rsid w:val="744C5512"/>
    <w:rsid w:val="745055FA"/>
    <w:rsid w:val="74554292"/>
    <w:rsid w:val="745E3944"/>
    <w:rsid w:val="746540B3"/>
    <w:rsid w:val="747B2C40"/>
    <w:rsid w:val="747B5DF7"/>
    <w:rsid w:val="747D56CB"/>
    <w:rsid w:val="74805FBF"/>
    <w:rsid w:val="74867B16"/>
    <w:rsid w:val="748E0DF7"/>
    <w:rsid w:val="74911176"/>
    <w:rsid w:val="74927FBB"/>
    <w:rsid w:val="749649DF"/>
    <w:rsid w:val="749F4F2C"/>
    <w:rsid w:val="749F5E73"/>
    <w:rsid w:val="74A00DF0"/>
    <w:rsid w:val="74A15C0F"/>
    <w:rsid w:val="74A641F7"/>
    <w:rsid w:val="74A91178"/>
    <w:rsid w:val="74B763B5"/>
    <w:rsid w:val="74C55848"/>
    <w:rsid w:val="74C760DE"/>
    <w:rsid w:val="74C81185"/>
    <w:rsid w:val="74CA77F0"/>
    <w:rsid w:val="74CB0B2C"/>
    <w:rsid w:val="74D16DE5"/>
    <w:rsid w:val="74D252CE"/>
    <w:rsid w:val="74D54F3C"/>
    <w:rsid w:val="74D77CB0"/>
    <w:rsid w:val="74DB208E"/>
    <w:rsid w:val="74F11BE7"/>
    <w:rsid w:val="74F27CD5"/>
    <w:rsid w:val="751074BD"/>
    <w:rsid w:val="75175B20"/>
    <w:rsid w:val="751853F4"/>
    <w:rsid w:val="751F2C26"/>
    <w:rsid w:val="752D5343"/>
    <w:rsid w:val="75383CE8"/>
    <w:rsid w:val="75384FC9"/>
    <w:rsid w:val="753B6681"/>
    <w:rsid w:val="75443899"/>
    <w:rsid w:val="7546039A"/>
    <w:rsid w:val="75461F61"/>
    <w:rsid w:val="75524501"/>
    <w:rsid w:val="75524DAA"/>
    <w:rsid w:val="75591E64"/>
    <w:rsid w:val="755D54FC"/>
    <w:rsid w:val="7564635F"/>
    <w:rsid w:val="756E14B8"/>
    <w:rsid w:val="756F76A4"/>
    <w:rsid w:val="757A7E5C"/>
    <w:rsid w:val="75867BAE"/>
    <w:rsid w:val="758776B5"/>
    <w:rsid w:val="7588651A"/>
    <w:rsid w:val="75963879"/>
    <w:rsid w:val="75A117D7"/>
    <w:rsid w:val="75A30D9D"/>
    <w:rsid w:val="75A31161"/>
    <w:rsid w:val="75B21944"/>
    <w:rsid w:val="75BC2F83"/>
    <w:rsid w:val="75BC37EB"/>
    <w:rsid w:val="75D22D78"/>
    <w:rsid w:val="75DF4CBA"/>
    <w:rsid w:val="75E31EA6"/>
    <w:rsid w:val="75E355F0"/>
    <w:rsid w:val="75E63073"/>
    <w:rsid w:val="75EE3ABE"/>
    <w:rsid w:val="75F40E88"/>
    <w:rsid w:val="75FB4227"/>
    <w:rsid w:val="76004806"/>
    <w:rsid w:val="76010B29"/>
    <w:rsid w:val="76045978"/>
    <w:rsid w:val="760977E5"/>
    <w:rsid w:val="76153859"/>
    <w:rsid w:val="761B33ED"/>
    <w:rsid w:val="761F63FC"/>
    <w:rsid w:val="7624421D"/>
    <w:rsid w:val="762E7113"/>
    <w:rsid w:val="763149BF"/>
    <w:rsid w:val="7635099D"/>
    <w:rsid w:val="763C5112"/>
    <w:rsid w:val="7641097A"/>
    <w:rsid w:val="764364A0"/>
    <w:rsid w:val="764F3646"/>
    <w:rsid w:val="76515061"/>
    <w:rsid w:val="76552057"/>
    <w:rsid w:val="765D3A06"/>
    <w:rsid w:val="765E152C"/>
    <w:rsid w:val="76625468"/>
    <w:rsid w:val="76634D94"/>
    <w:rsid w:val="766F5BC9"/>
    <w:rsid w:val="76736064"/>
    <w:rsid w:val="76780CF3"/>
    <w:rsid w:val="76852F5D"/>
    <w:rsid w:val="76937428"/>
    <w:rsid w:val="769D3E02"/>
    <w:rsid w:val="76A50F09"/>
    <w:rsid w:val="76A876CE"/>
    <w:rsid w:val="76BA3D3B"/>
    <w:rsid w:val="76C97E91"/>
    <w:rsid w:val="76D4359C"/>
    <w:rsid w:val="76D970E9"/>
    <w:rsid w:val="76E41A31"/>
    <w:rsid w:val="76EA2DC0"/>
    <w:rsid w:val="76EE28B0"/>
    <w:rsid w:val="76F0071D"/>
    <w:rsid w:val="76FB6D7B"/>
    <w:rsid w:val="77016E56"/>
    <w:rsid w:val="7702204F"/>
    <w:rsid w:val="77040325"/>
    <w:rsid w:val="77073B2E"/>
    <w:rsid w:val="77185B7F"/>
    <w:rsid w:val="7722752E"/>
    <w:rsid w:val="772525B6"/>
    <w:rsid w:val="77265C6D"/>
    <w:rsid w:val="773A3D47"/>
    <w:rsid w:val="773C186D"/>
    <w:rsid w:val="773F4EBA"/>
    <w:rsid w:val="77495D38"/>
    <w:rsid w:val="774B2F17"/>
    <w:rsid w:val="774E77F3"/>
    <w:rsid w:val="774F2823"/>
    <w:rsid w:val="7750669F"/>
    <w:rsid w:val="77521889"/>
    <w:rsid w:val="77531F17"/>
    <w:rsid w:val="77532D0D"/>
    <w:rsid w:val="7758127B"/>
    <w:rsid w:val="775D17E4"/>
    <w:rsid w:val="77645211"/>
    <w:rsid w:val="776A1CF5"/>
    <w:rsid w:val="77712A9A"/>
    <w:rsid w:val="77762421"/>
    <w:rsid w:val="777A5F85"/>
    <w:rsid w:val="777A780A"/>
    <w:rsid w:val="77810D16"/>
    <w:rsid w:val="778F34A0"/>
    <w:rsid w:val="778F5123"/>
    <w:rsid w:val="77965C1C"/>
    <w:rsid w:val="77985FE5"/>
    <w:rsid w:val="77A25449"/>
    <w:rsid w:val="77A41D5C"/>
    <w:rsid w:val="77A47413"/>
    <w:rsid w:val="77A60210"/>
    <w:rsid w:val="77B56B1F"/>
    <w:rsid w:val="77C10C4B"/>
    <w:rsid w:val="77C27EEE"/>
    <w:rsid w:val="77C655DB"/>
    <w:rsid w:val="77C90C27"/>
    <w:rsid w:val="77CF26E1"/>
    <w:rsid w:val="77CF6EEA"/>
    <w:rsid w:val="77D07627"/>
    <w:rsid w:val="77DF4340"/>
    <w:rsid w:val="77E43F27"/>
    <w:rsid w:val="77EB7836"/>
    <w:rsid w:val="77F0120B"/>
    <w:rsid w:val="77F35CA4"/>
    <w:rsid w:val="77F55179"/>
    <w:rsid w:val="77F9775E"/>
    <w:rsid w:val="77FA4E2B"/>
    <w:rsid w:val="77FF2ECC"/>
    <w:rsid w:val="77FF4BD7"/>
    <w:rsid w:val="78014865"/>
    <w:rsid w:val="78054C5C"/>
    <w:rsid w:val="780C4ADC"/>
    <w:rsid w:val="780F09F4"/>
    <w:rsid w:val="781D0E53"/>
    <w:rsid w:val="781D1044"/>
    <w:rsid w:val="78283BA0"/>
    <w:rsid w:val="78286882"/>
    <w:rsid w:val="78286EDF"/>
    <w:rsid w:val="782D565A"/>
    <w:rsid w:val="782E7244"/>
    <w:rsid w:val="78367B38"/>
    <w:rsid w:val="783A53EF"/>
    <w:rsid w:val="78493E35"/>
    <w:rsid w:val="78497A78"/>
    <w:rsid w:val="784A042E"/>
    <w:rsid w:val="7859660F"/>
    <w:rsid w:val="785B0DAF"/>
    <w:rsid w:val="786325FF"/>
    <w:rsid w:val="786B4624"/>
    <w:rsid w:val="786B5991"/>
    <w:rsid w:val="7876187A"/>
    <w:rsid w:val="787768D5"/>
    <w:rsid w:val="787A277F"/>
    <w:rsid w:val="788F1E71"/>
    <w:rsid w:val="789E3E62"/>
    <w:rsid w:val="78A51694"/>
    <w:rsid w:val="78A90480"/>
    <w:rsid w:val="78AB25C0"/>
    <w:rsid w:val="78B13B95"/>
    <w:rsid w:val="78C06036"/>
    <w:rsid w:val="78C23FF4"/>
    <w:rsid w:val="78CA10FB"/>
    <w:rsid w:val="78CA2EA9"/>
    <w:rsid w:val="78CC09CF"/>
    <w:rsid w:val="78D35C78"/>
    <w:rsid w:val="78D4187A"/>
    <w:rsid w:val="78D855C6"/>
    <w:rsid w:val="78DA241B"/>
    <w:rsid w:val="78DA3FCE"/>
    <w:rsid w:val="78F87506"/>
    <w:rsid w:val="78F87696"/>
    <w:rsid w:val="78FA19E0"/>
    <w:rsid w:val="78FB4B43"/>
    <w:rsid w:val="78FB5758"/>
    <w:rsid w:val="78FE17D0"/>
    <w:rsid w:val="79015A00"/>
    <w:rsid w:val="79032833"/>
    <w:rsid w:val="79056F51"/>
    <w:rsid w:val="79067832"/>
    <w:rsid w:val="79116924"/>
    <w:rsid w:val="79144124"/>
    <w:rsid w:val="791D0BD1"/>
    <w:rsid w:val="79255702"/>
    <w:rsid w:val="792C3B64"/>
    <w:rsid w:val="792C463D"/>
    <w:rsid w:val="792C79D6"/>
    <w:rsid w:val="792F2DF1"/>
    <w:rsid w:val="7935065A"/>
    <w:rsid w:val="79351AAF"/>
    <w:rsid w:val="79362803"/>
    <w:rsid w:val="79413A08"/>
    <w:rsid w:val="79487868"/>
    <w:rsid w:val="79507FD7"/>
    <w:rsid w:val="79517126"/>
    <w:rsid w:val="795F1843"/>
    <w:rsid w:val="79711576"/>
    <w:rsid w:val="7975017B"/>
    <w:rsid w:val="79751067"/>
    <w:rsid w:val="797624D6"/>
    <w:rsid w:val="798219D5"/>
    <w:rsid w:val="79823942"/>
    <w:rsid w:val="7988304A"/>
    <w:rsid w:val="798C72CA"/>
    <w:rsid w:val="79935991"/>
    <w:rsid w:val="79996D24"/>
    <w:rsid w:val="799E5C16"/>
    <w:rsid w:val="799F4335"/>
    <w:rsid w:val="79A57E49"/>
    <w:rsid w:val="79A74F98"/>
    <w:rsid w:val="79B40A9C"/>
    <w:rsid w:val="79BA2A8E"/>
    <w:rsid w:val="79BF22E2"/>
    <w:rsid w:val="79C0084C"/>
    <w:rsid w:val="79C142AC"/>
    <w:rsid w:val="79CB512B"/>
    <w:rsid w:val="79D02741"/>
    <w:rsid w:val="79E343AB"/>
    <w:rsid w:val="79EB1329"/>
    <w:rsid w:val="79ED1A1C"/>
    <w:rsid w:val="79FC3536"/>
    <w:rsid w:val="7A190085"/>
    <w:rsid w:val="7A196240"/>
    <w:rsid w:val="7A1B5A7C"/>
    <w:rsid w:val="7A2C18D6"/>
    <w:rsid w:val="7A2F56B9"/>
    <w:rsid w:val="7A3139EA"/>
    <w:rsid w:val="7A364017"/>
    <w:rsid w:val="7A3727C0"/>
    <w:rsid w:val="7A395363"/>
    <w:rsid w:val="7A396538"/>
    <w:rsid w:val="7A454111"/>
    <w:rsid w:val="7A48529B"/>
    <w:rsid w:val="7A513882"/>
    <w:rsid w:val="7A5872B1"/>
    <w:rsid w:val="7A5B0157"/>
    <w:rsid w:val="7A613399"/>
    <w:rsid w:val="7A620295"/>
    <w:rsid w:val="7A637111"/>
    <w:rsid w:val="7A64716D"/>
    <w:rsid w:val="7A680BCB"/>
    <w:rsid w:val="7A717AEC"/>
    <w:rsid w:val="7A757CC4"/>
    <w:rsid w:val="7A77434B"/>
    <w:rsid w:val="7A7C6425"/>
    <w:rsid w:val="7A7E219D"/>
    <w:rsid w:val="7A8105C9"/>
    <w:rsid w:val="7A8265E1"/>
    <w:rsid w:val="7A8C48BA"/>
    <w:rsid w:val="7A910122"/>
    <w:rsid w:val="7A91579B"/>
    <w:rsid w:val="7A9262E3"/>
    <w:rsid w:val="7A995FC6"/>
    <w:rsid w:val="7AA8721A"/>
    <w:rsid w:val="7AAA22AC"/>
    <w:rsid w:val="7AAD7B9C"/>
    <w:rsid w:val="7ABA6239"/>
    <w:rsid w:val="7ABB6F4D"/>
    <w:rsid w:val="7AC14FCE"/>
    <w:rsid w:val="7AC322A6"/>
    <w:rsid w:val="7AC712B3"/>
    <w:rsid w:val="7AC8166A"/>
    <w:rsid w:val="7AD20BFD"/>
    <w:rsid w:val="7AD77086"/>
    <w:rsid w:val="7AD868F2"/>
    <w:rsid w:val="7ADA270E"/>
    <w:rsid w:val="7ADC6EC3"/>
    <w:rsid w:val="7AE213CC"/>
    <w:rsid w:val="7AE5221C"/>
    <w:rsid w:val="7AE77D42"/>
    <w:rsid w:val="7AFD1360"/>
    <w:rsid w:val="7B02692A"/>
    <w:rsid w:val="7B04059A"/>
    <w:rsid w:val="7B132478"/>
    <w:rsid w:val="7B161F7A"/>
    <w:rsid w:val="7B1B3E90"/>
    <w:rsid w:val="7B1E128A"/>
    <w:rsid w:val="7B2965AD"/>
    <w:rsid w:val="7B2A5E81"/>
    <w:rsid w:val="7B2A7187"/>
    <w:rsid w:val="7B2A7C2F"/>
    <w:rsid w:val="7B2B6CA8"/>
    <w:rsid w:val="7B2D2CAF"/>
    <w:rsid w:val="7B32064E"/>
    <w:rsid w:val="7B334D35"/>
    <w:rsid w:val="7B354F51"/>
    <w:rsid w:val="7B39786C"/>
    <w:rsid w:val="7B3B0BBD"/>
    <w:rsid w:val="7B3E7771"/>
    <w:rsid w:val="7B42141C"/>
    <w:rsid w:val="7B42766E"/>
    <w:rsid w:val="7B4A02D1"/>
    <w:rsid w:val="7B4B6523"/>
    <w:rsid w:val="7B4C22BA"/>
    <w:rsid w:val="7B5F1FCE"/>
    <w:rsid w:val="7B686D42"/>
    <w:rsid w:val="7B6F737E"/>
    <w:rsid w:val="7B7D2454"/>
    <w:rsid w:val="7B841746"/>
    <w:rsid w:val="7B8437E3"/>
    <w:rsid w:val="7B884D41"/>
    <w:rsid w:val="7B893A60"/>
    <w:rsid w:val="7B896C84"/>
    <w:rsid w:val="7B8E6410"/>
    <w:rsid w:val="7B8F2802"/>
    <w:rsid w:val="7B95779E"/>
    <w:rsid w:val="7B98728E"/>
    <w:rsid w:val="7B993C05"/>
    <w:rsid w:val="7BA352BF"/>
    <w:rsid w:val="7BA86190"/>
    <w:rsid w:val="7BA876DB"/>
    <w:rsid w:val="7BB010E4"/>
    <w:rsid w:val="7BB10350"/>
    <w:rsid w:val="7BB57E40"/>
    <w:rsid w:val="7BBC1C9A"/>
    <w:rsid w:val="7BC71762"/>
    <w:rsid w:val="7BC84FC0"/>
    <w:rsid w:val="7BC95036"/>
    <w:rsid w:val="7BCB1412"/>
    <w:rsid w:val="7BD03390"/>
    <w:rsid w:val="7BD52729"/>
    <w:rsid w:val="7BD55DED"/>
    <w:rsid w:val="7BF02C26"/>
    <w:rsid w:val="7BF40DDF"/>
    <w:rsid w:val="7BFC5A6F"/>
    <w:rsid w:val="7C01581E"/>
    <w:rsid w:val="7C062421"/>
    <w:rsid w:val="7C0914B5"/>
    <w:rsid w:val="7C093CE8"/>
    <w:rsid w:val="7C232FFC"/>
    <w:rsid w:val="7C2409BA"/>
    <w:rsid w:val="7C244DCF"/>
    <w:rsid w:val="7C381F2C"/>
    <w:rsid w:val="7C3E568B"/>
    <w:rsid w:val="7C3F7587"/>
    <w:rsid w:val="7C4977CD"/>
    <w:rsid w:val="7C4F2043"/>
    <w:rsid w:val="7C4F3DF1"/>
    <w:rsid w:val="7C51473F"/>
    <w:rsid w:val="7C54371D"/>
    <w:rsid w:val="7C5A4ECB"/>
    <w:rsid w:val="7C5C4C3D"/>
    <w:rsid w:val="7C61648E"/>
    <w:rsid w:val="7C62359C"/>
    <w:rsid w:val="7C6C5AC7"/>
    <w:rsid w:val="7C75184C"/>
    <w:rsid w:val="7C755BBF"/>
    <w:rsid w:val="7C8F3422"/>
    <w:rsid w:val="7C953F72"/>
    <w:rsid w:val="7C970122"/>
    <w:rsid w:val="7C99506C"/>
    <w:rsid w:val="7CB24C0D"/>
    <w:rsid w:val="7CB346A6"/>
    <w:rsid w:val="7CB73744"/>
    <w:rsid w:val="7CB83E2E"/>
    <w:rsid w:val="7CBE3E44"/>
    <w:rsid w:val="7CC320E9"/>
    <w:rsid w:val="7CC4363C"/>
    <w:rsid w:val="7CC6544B"/>
    <w:rsid w:val="7CC7607D"/>
    <w:rsid w:val="7CC77E2B"/>
    <w:rsid w:val="7CD51E1C"/>
    <w:rsid w:val="7CD56F06"/>
    <w:rsid w:val="7CF01DD4"/>
    <w:rsid w:val="7CF33CCA"/>
    <w:rsid w:val="7CF36E72"/>
    <w:rsid w:val="7CF46746"/>
    <w:rsid w:val="7CF60710"/>
    <w:rsid w:val="7CF76237"/>
    <w:rsid w:val="7D0050EB"/>
    <w:rsid w:val="7D005ED3"/>
    <w:rsid w:val="7D0239FF"/>
    <w:rsid w:val="7D034BDB"/>
    <w:rsid w:val="7D0A6909"/>
    <w:rsid w:val="7D0A6F2F"/>
    <w:rsid w:val="7D0A7D18"/>
    <w:rsid w:val="7D0B0AC6"/>
    <w:rsid w:val="7D0D7808"/>
    <w:rsid w:val="7D157FA5"/>
    <w:rsid w:val="7D1B3B82"/>
    <w:rsid w:val="7D212F5E"/>
    <w:rsid w:val="7D29400A"/>
    <w:rsid w:val="7D2F6525"/>
    <w:rsid w:val="7D366D5F"/>
    <w:rsid w:val="7D3E113C"/>
    <w:rsid w:val="7D4C0330"/>
    <w:rsid w:val="7D4D13AA"/>
    <w:rsid w:val="7D4F1BCF"/>
    <w:rsid w:val="7D52346D"/>
    <w:rsid w:val="7D5A0548"/>
    <w:rsid w:val="7D5A0D32"/>
    <w:rsid w:val="7D5E40CD"/>
    <w:rsid w:val="7D5F4B9A"/>
    <w:rsid w:val="7D6D40D4"/>
    <w:rsid w:val="7D77727C"/>
    <w:rsid w:val="7D814CF3"/>
    <w:rsid w:val="7D8315A3"/>
    <w:rsid w:val="7D880BD0"/>
    <w:rsid w:val="7D8A4F6A"/>
    <w:rsid w:val="7D8B2A78"/>
    <w:rsid w:val="7D9B3066"/>
    <w:rsid w:val="7DB444AF"/>
    <w:rsid w:val="7DB54E81"/>
    <w:rsid w:val="7DB56E69"/>
    <w:rsid w:val="7DB833E5"/>
    <w:rsid w:val="7DBB59D2"/>
    <w:rsid w:val="7DC078B9"/>
    <w:rsid w:val="7DC749CC"/>
    <w:rsid w:val="7DCD56F2"/>
    <w:rsid w:val="7DCF602C"/>
    <w:rsid w:val="7DD13B72"/>
    <w:rsid w:val="7DD54574"/>
    <w:rsid w:val="7DD6409E"/>
    <w:rsid w:val="7DD849A2"/>
    <w:rsid w:val="7DE22A43"/>
    <w:rsid w:val="7DF32EA2"/>
    <w:rsid w:val="7DF84014"/>
    <w:rsid w:val="7DFD0C30"/>
    <w:rsid w:val="7DFE3170"/>
    <w:rsid w:val="7E075D2D"/>
    <w:rsid w:val="7E1626EC"/>
    <w:rsid w:val="7E17093E"/>
    <w:rsid w:val="7E1846B6"/>
    <w:rsid w:val="7E1C5F55"/>
    <w:rsid w:val="7E244EC9"/>
    <w:rsid w:val="7E33504C"/>
    <w:rsid w:val="7E5020A2"/>
    <w:rsid w:val="7E573431"/>
    <w:rsid w:val="7E576F8D"/>
    <w:rsid w:val="7E5A082B"/>
    <w:rsid w:val="7E6057DE"/>
    <w:rsid w:val="7E6911E4"/>
    <w:rsid w:val="7E7365EF"/>
    <w:rsid w:val="7E7B4E9C"/>
    <w:rsid w:val="7E857747"/>
    <w:rsid w:val="7E865AC4"/>
    <w:rsid w:val="7E875AC1"/>
    <w:rsid w:val="7E9D090F"/>
    <w:rsid w:val="7EA146AC"/>
    <w:rsid w:val="7EA83C8C"/>
    <w:rsid w:val="7EAA1F3B"/>
    <w:rsid w:val="7EAD12A3"/>
    <w:rsid w:val="7EAF1A57"/>
    <w:rsid w:val="7EB12B15"/>
    <w:rsid w:val="7EB13D9D"/>
    <w:rsid w:val="7EB20103"/>
    <w:rsid w:val="7EB42631"/>
    <w:rsid w:val="7EC91B47"/>
    <w:rsid w:val="7ECF1EDC"/>
    <w:rsid w:val="7ED229A0"/>
    <w:rsid w:val="7ED67C0F"/>
    <w:rsid w:val="7EDA019C"/>
    <w:rsid w:val="7EDA196C"/>
    <w:rsid w:val="7EDD3A4A"/>
    <w:rsid w:val="7EEA6053"/>
    <w:rsid w:val="7EEB3B79"/>
    <w:rsid w:val="7EFA0A27"/>
    <w:rsid w:val="7EFC7B34"/>
    <w:rsid w:val="7EFD4715"/>
    <w:rsid w:val="7F001CE7"/>
    <w:rsid w:val="7F0A33AF"/>
    <w:rsid w:val="7F0C195D"/>
    <w:rsid w:val="7F182C58"/>
    <w:rsid w:val="7F1C3D32"/>
    <w:rsid w:val="7F1D2DA8"/>
    <w:rsid w:val="7F202690"/>
    <w:rsid w:val="7F2257ED"/>
    <w:rsid w:val="7F227A29"/>
    <w:rsid w:val="7F2F3A66"/>
    <w:rsid w:val="7F351864"/>
    <w:rsid w:val="7F4734A5"/>
    <w:rsid w:val="7F547970"/>
    <w:rsid w:val="7F5636E8"/>
    <w:rsid w:val="7F595911"/>
    <w:rsid w:val="7F5B06A4"/>
    <w:rsid w:val="7F6273CC"/>
    <w:rsid w:val="7F6B5934"/>
    <w:rsid w:val="7F6C2F0C"/>
    <w:rsid w:val="7F7B6CAB"/>
    <w:rsid w:val="7F7F2C3F"/>
    <w:rsid w:val="7F963AE5"/>
    <w:rsid w:val="7FA84320"/>
    <w:rsid w:val="7FB13B6F"/>
    <w:rsid w:val="7FB9083E"/>
    <w:rsid w:val="7FBA5A25"/>
    <w:rsid w:val="7FBC3CC0"/>
    <w:rsid w:val="7FBF7325"/>
    <w:rsid w:val="7FC05006"/>
    <w:rsid w:val="7FC06DB4"/>
    <w:rsid w:val="7FC916DD"/>
    <w:rsid w:val="7FCB69C3"/>
    <w:rsid w:val="7FDD0EE5"/>
    <w:rsid w:val="7FE231CE"/>
    <w:rsid w:val="7FE47E50"/>
    <w:rsid w:val="7FE64A6C"/>
    <w:rsid w:val="7FF17CFA"/>
    <w:rsid w:val="B6DBC435"/>
    <w:rsid w:val="BFEB78CB"/>
    <w:rsid w:val="F3FFF372"/>
    <w:rsid w:val="FC6A19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sdException w:unhideWhenUsed="0" w:uiPriority="0" w:semiHidden="0" w:name="toc 3" w:locked="1"/>
    <w:lsdException w:unhideWhenUsed="0" w:uiPriority="0" w:semiHidden="0" w:name="toc 4" w:locked="1"/>
    <w:lsdException w:unhideWhenUsed="0" w:uiPriority="0" w:semiHidden="0" w:name="toc 5"/>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sdException w:qFormat="1" w:unhideWhenUsed="0" w:uiPriority="99" w:semiHidden="0" w:name="Body Text First Indent" w:locked="1"/>
    <w:lsdException w:unhideWhenUsed="0" w:uiPriority="0" w:semiHidden="0" w:name="Body Text First Indent 2"/>
    <w:lsdException w:unhideWhenUsed="0" w:uiPriority="0" w:semiHidden="0" w:name="Note Heading" w:locked="1"/>
    <w:lsdException w:unhideWhenUsed="0" w:uiPriority="0" w:semiHidden="0" w:name="Body Text 2"/>
    <w:lsdException w:unhideWhenUsed="0" w:uiPriority="0" w:semiHidden="0" w:name="Body Text 3"/>
    <w:lsdException w:qFormat="1" w:uiPriority="0" w:semiHidden="0" w:name="Body Text Indent 2" w:locked="1"/>
    <w:lsdException w:unhideWhenUsed="0" w:uiPriority="0" w:semiHidden="0" w:name="Body Text Indent 3"/>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99" w:semiHidden="0" w:name="Strong" w:locked="1"/>
    <w:lsdException w:qFormat="1" w:unhideWhenUsed="0" w:uiPriority="0" w:semiHidden="0" w:name="Emphasis"/>
    <w:lsdException w:unhideWhenUsed="0" w:uiPriority="0" w:semiHidden="0" w:name="Document Map"/>
    <w:lsdException w:qFormat="1" w:uiPriority="0" w:semiHidden="0" w:name="Plain Text" w:locked="1"/>
    <w:lsdException w:unhideWhenUsed="0" w:uiPriority="0" w:semiHidden="0" w:name="E-mail Signature"/>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9"/>
    <w:qFormat/>
    <w:locked/>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qFormat/>
    <w:locked/>
    <w:uiPriority w:val="9"/>
    <w:pPr>
      <w:numPr>
        <w:ilvl w:val="2"/>
        <w:numId w:val="1"/>
      </w:numPr>
      <w:adjustRightInd w:val="0"/>
      <w:snapToGrid w:val="0"/>
      <w:spacing w:before="120" w:beforeLines="50"/>
      <w:ind w:firstLine="0"/>
      <w:jc w:val="left"/>
      <w:textAlignment w:val="baseline"/>
      <w:outlineLvl w:val="2"/>
    </w:pPr>
    <w:rPr>
      <w:rFonts w:eastAsia="仿宋"/>
      <w:b/>
      <w:bCs/>
      <w:color w:val="000000"/>
      <w:sz w:val="28"/>
      <w:szCs w:val="32"/>
    </w:rPr>
  </w:style>
  <w:style w:type="paragraph" w:styleId="5">
    <w:name w:val="heading 4"/>
    <w:basedOn w:val="1"/>
    <w:next w:val="1"/>
    <w:qFormat/>
    <w:locked/>
    <w:uiPriority w:val="0"/>
    <w:pPr>
      <w:spacing w:before="100" w:beforeAutospacing="1" w:after="100" w:afterAutospacing="1"/>
      <w:jc w:val="left"/>
      <w:outlineLvl w:val="3"/>
    </w:pPr>
    <w:rPr>
      <w:rFonts w:hint="eastAsia" w:ascii="宋体" w:hAnsi="宋体"/>
      <w:b/>
      <w:bCs/>
      <w:kern w:val="0"/>
      <w:sz w:val="24"/>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Normal Indent"/>
    <w:basedOn w:val="1"/>
    <w:unhideWhenUsed/>
    <w:qFormat/>
    <w:locked/>
    <w:uiPriority w:val="0"/>
    <w:pPr>
      <w:adjustRightInd w:val="0"/>
      <w:spacing w:line="312" w:lineRule="atLeast"/>
      <w:ind w:firstLine="420"/>
    </w:pPr>
    <w:rPr>
      <w:kern w:val="0"/>
      <w:sz w:val="20"/>
      <w:szCs w:val="20"/>
    </w:rPr>
  </w:style>
  <w:style w:type="paragraph" w:styleId="7">
    <w:name w:val="caption"/>
    <w:basedOn w:val="1"/>
    <w:next w:val="1"/>
    <w:qFormat/>
    <w:locked/>
    <w:uiPriority w:val="35"/>
    <w:rPr>
      <w:rFonts w:ascii="Arial" w:hAnsi="Arial" w:eastAsia="黑体" w:cs="Arial"/>
      <w:sz w:val="20"/>
      <w:szCs w:val="20"/>
    </w:rPr>
  </w:style>
  <w:style w:type="paragraph" w:styleId="8">
    <w:name w:val="annotation text"/>
    <w:basedOn w:val="1"/>
    <w:link w:val="30"/>
    <w:semiHidden/>
    <w:qFormat/>
    <w:uiPriority w:val="0"/>
    <w:pPr>
      <w:jc w:val="left"/>
    </w:pPr>
    <w:rPr>
      <w:kern w:val="0"/>
      <w:sz w:val="24"/>
      <w:szCs w:val="20"/>
    </w:rPr>
  </w:style>
  <w:style w:type="paragraph" w:styleId="9">
    <w:name w:val="Body Text"/>
    <w:basedOn w:val="1"/>
    <w:link w:val="31"/>
    <w:qFormat/>
    <w:uiPriority w:val="0"/>
    <w:pPr>
      <w:widowControl/>
      <w:snapToGrid w:val="0"/>
      <w:spacing w:before="60" w:after="160" w:line="259" w:lineRule="auto"/>
      <w:ind w:right="113"/>
    </w:pPr>
    <w:rPr>
      <w:kern w:val="0"/>
      <w:sz w:val="18"/>
      <w:szCs w:val="20"/>
    </w:rPr>
  </w:style>
  <w:style w:type="paragraph" w:styleId="10">
    <w:name w:val="List Bullet 2"/>
    <w:basedOn w:val="1"/>
    <w:qFormat/>
    <w:locked/>
    <w:uiPriority w:val="0"/>
    <w:pPr>
      <w:numPr>
        <w:ilvl w:val="0"/>
        <w:numId w:val="2"/>
      </w:numPr>
      <w:tabs>
        <w:tab w:val="left" w:pos="780"/>
      </w:tabs>
    </w:pPr>
  </w:style>
  <w:style w:type="paragraph" w:styleId="11">
    <w:name w:val="Plain Text"/>
    <w:basedOn w:val="1"/>
    <w:next w:val="12"/>
    <w:unhideWhenUsed/>
    <w:qFormat/>
    <w:locked/>
    <w:uiPriority w:val="0"/>
    <w:rPr>
      <w:rFonts w:ascii="宋体" w:hAnsi="Courier New"/>
      <w:kern w:val="0"/>
      <w:sz w:val="20"/>
      <w:szCs w:val="21"/>
    </w:rPr>
  </w:style>
  <w:style w:type="paragraph" w:styleId="12">
    <w:name w:val="toc 1"/>
    <w:basedOn w:val="1"/>
    <w:next w:val="1"/>
    <w:qFormat/>
    <w:locked/>
    <w:uiPriority w:val="39"/>
    <w:pPr>
      <w:spacing w:before="120" w:after="120"/>
      <w:jc w:val="left"/>
    </w:pPr>
    <w:rPr>
      <w:b/>
      <w:bCs/>
      <w:caps/>
      <w:sz w:val="20"/>
    </w:rPr>
  </w:style>
  <w:style w:type="paragraph" w:styleId="13">
    <w:name w:val="Body Text Indent 2"/>
    <w:basedOn w:val="1"/>
    <w:next w:val="14"/>
    <w:unhideWhenUsed/>
    <w:qFormat/>
    <w:locked/>
    <w:uiPriority w:val="0"/>
    <w:pPr>
      <w:spacing w:after="120" w:line="480" w:lineRule="auto"/>
      <w:ind w:left="420" w:leftChars="200"/>
    </w:pPr>
    <w:rPr>
      <w:kern w:val="0"/>
      <w:sz w:val="20"/>
      <w:szCs w:val="20"/>
    </w:rPr>
  </w:style>
  <w:style w:type="paragraph" w:styleId="14">
    <w:name w:val="Body Text First Indent"/>
    <w:basedOn w:val="9"/>
    <w:next w:val="1"/>
    <w:link w:val="32"/>
    <w:qFormat/>
    <w:locked/>
    <w:uiPriority w:val="99"/>
    <w:pPr>
      <w:spacing w:after="120" w:line="240" w:lineRule="auto"/>
      <w:ind w:firstLine="420" w:firstLineChars="100"/>
    </w:pPr>
    <w:rPr>
      <w:sz w:val="21"/>
    </w:rPr>
  </w:style>
  <w:style w:type="paragraph" w:styleId="15">
    <w:name w:val="Balloon Text"/>
    <w:basedOn w:val="1"/>
    <w:link w:val="33"/>
    <w:semiHidden/>
    <w:qFormat/>
    <w:uiPriority w:val="0"/>
    <w:rPr>
      <w:kern w:val="0"/>
      <w:sz w:val="18"/>
      <w:szCs w:val="20"/>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35"/>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8"/>
    <w:next w:val="8"/>
    <w:link w:val="54"/>
    <w:qFormat/>
    <w:uiPriority w:val="0"/>
    <w:rPr>
      <w:b/>
      <w:bCs/>
      <w:kern w:val="2"/>
      <w:sz w:val="21"/>
      <w:szCs w:val="24"/>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locked/>
    <w:uiPriority w:val="99"/>
    <w:rPr>
      <w:b/>
      <w:bCs/>
    </w:rPr>
  </w:style>
  <w:style w:type="character" w:styleId="24">
    <w:name w:val="page number"/>
    <w:qFormat/>
    <w:locked/>
    <w:uiPriority w:val="0"/>
  </w:style>
  <w:style w:type="character" w:styleId="25">
    <w:name w:val="Emphasis"/>
    <w:basedOn w:val="22"/>
    <w:qFormat/>
    <w:uiPriority w:val="0"/>
    <w:rPr>
      <w:i/>
    </w:rPr>
  </w:style>
  <w:style w:type="character" w:styleId="26">
    <w:name w:val="Hyperlink"/>
    <w:qFormat/>
    <w:locked/>
    <w:uiPriority w:val="0"/>
    <w:rPr>
      <w:color w:val="0563C1"/>
      <w:u w:val="single"/>
    </w:rPr>
  </w:style>
  <w:style w:type="character" w:styleId="27">
    <w:name w:val="annotation reference"/>
    <w:basedOn w:val="22"/>
    <w:qFormat/>
    <w:uiPriority w:val="0"/>
    <w:rPr>
      <w:sz w:val="21"/>
      <w:szCs w:val="21"/>
    </w:rPr>
  </w:style>
  <w:style w:type="paragraph" w:customStyle="1" w:styleId="28">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character" w:customStyle="1" w:styleId="29">
    <w:name w:val="标题 2 字符"/>
    <w:link w:val="3"/>
    <w:semiHidden/>
    <w:qFormat/>
    <w:uiPriority w:val="0"/>
    <w:rPr>
      <w:rFonts w:ascii="Calibri Light" w:hAnsi="Calibri Light" w:eastAsia="宋体" w:cs="Times New Roman"/>
      <w:b/>
      <w:bCs/>
      <w:kern w:val="2"/>
      <w:sz w:val="32"/>
      <w:szCs w:val="32"/>
    </w:rPr>
  </w:style>
  <w:style w:type="character" w:customStyle="1" w:styleId="30">
    <w:name w:val="批注文字 字符"/>
    <w:link w:val="8"/>
    <w:qFormat/>
    <w:locked/>
    <w:uiPriority w:val="0"/>
    <w:rPr>
      <w:rFonts w:ascii="Times New Roman" w:hAnsi="Times New Roman" w:eastAsia="宋体"/>
      <w:sz w:val="24"/>
    </w:rPr>
  </w:style>
  <w:style w:type="character" w:customStyle="1" w:styleId="31">
    <w:name w:val="正文文本 字符"/>
    <w:link w:val="9"/>
    <w:qFormat/>
    <w:locked/>
    <w:uiPriority w:val="0"/>
    <w:rPr>
      <w:sz w:val="18"/>
    </w:rPr>
  </w:style>
  <w:style w:type="character" w:customStyle="1" w:styleId="32">
    <w:name w:val="正文首行缩进 字符"/>
    <w:link w:val="14"/>
    <w:qFormat/>
    <w:uiPriority w:val="99"/>
    <w:rPr>
      <w:sz w:val="21"/>
    </w:rPr>
  </w:style>
  <w:style w:type="character" w:customStyle="1" w:styleId="33">
    <w:name w:val="批注框文本 字符"/>
    <w:link w:val="15"/>
    <w:semiHidden/>
    <w:qFormat/>
    <w:locked/>
    <w:uiPriority w:val="0"/>
    <w:rPr>
      <w:rFonts w:ascii="Times New Roman" w:hAnsi="Times New Roman" w:eastAsia="宋体"/>
      <w:sz w:val="18"/>
    </w:rPr>
  </w:style>
  <w:style w:type="character" w:customStyle="1" w:styleId="34">
    <w:name w:val="页眉 字符"/>
    <w:link w:val="17"/>
    <w:qFormat/>
    <w:locked/>
    <w:uiPriority w:val="0"/>
    <w:rPr>
      <w:sz w:val="18"/>
    </w:rPr>
  </w:style>
  <w:style w:type="character" w:customStyle="1" w:styleId="35">
    <w:name w:val="普通(网站) 字符"/>
    <w:link w:val="18"/>
    <w:qFormat/>
    <w:locked/>
    <w:uiPriority w:val="0"/>
    <w:rPr>
      <w:rFonts w:ascii="宋体" w:hAnsi="宋体" w:eastAsia="宋体"/>
      <w:sz w:val="24"/>
    </w:rPr>
  </w:style>
  <w:style w:type="paragraph" w:customStyle="1" w:styleId="36">
    <w:name w:val="Default"/>
    <w:next w:val="37"/>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paragraph" w:customStyle="1" w:styleId="37">
    <w:name w:val="样式35"/>
    <w:qFormat/>
    <w:uiPriority w:val="0"/>
    <w:pPr>
      <w:tabs>
        <w:tab w:val="left" w:pos="0"/>
        <w:tab w:val="left" w:pos="360"/>
        <w:tab w:val="left" w:pos="540"/>
        <w:tab w:val="left" w:pos="567"/>
      </w:tabs>
      <w:spacing w:line="312" w:lineRule="auto"/>
      <w:ind w:firstLine="567"/>
    </w:pPr>
    <w:rPr>
      <w:rFonts w:ascii="宋体" w:hAnsi="Times New Roman" w:eastAsia="宋体" w:cs="Times New Roman"/>
      <w:sz w:val="28"/>
      <w:lang w:val="en-US" w:eastAsia="zh-CN" w:bidi="ar-SA"/>
    </w:rPr>
  </w:style>
  <w:style w:type="character" w:customStyle="1" w:styleId="38">
    <w:name w:val="表格 Char"/>
    <w:link w:val="39"/>
    <w:qFormat/>
    <w:locked/>
    <w:uiPriority w:val="0"/>
    <w:rPr>
      <w:rFonts w:ascii="宋体"/>
      <w:sz w:val="21"/>
    </w:rPr>
  </w:style>
  <w:style w:type="paragraph" w:customStyle="1" w:styleId="39">
    <w:name w:val="表格"/>
    <w:basedOn w:val="6"/>
    <w:next w:val="1"/>
    <w:link w:val="38"/>
    <w:qFormat/>
    <w:uiPriority w:val="0"/>
    <w:pPr>
      <w:snapToGrid w:val="0"/>
      <w:spacing w:beforeLines="10" w:afterLines="10" w:line="259" w:lineRule="auto"/>
      <w:jc w:val="center"/>
    </w:pPr>
    <w:rPr>
      <w:rFonts w:ascii="宋体"/>
    </w:rPr>
  </w:style>
  <w:style w:type="paragraph" w:customStyle="1" w:styleId="40">
    <w:name w:val="Table Paragraph"/>
    <w:basedOn w:val="1"/>
    <w:qFormat/>
    <w:uiPriority w:val="1"/>
    <w:pPr>
      <w:autoSpaceDE w:val="0"/>
      <w:autoSpaceDN w:val="0"/>
      <w:jc w:val="left"/>
    </w:pPr>
    <w:rPr>
      <w:rFonts w:ascii="宋体" w:hAnsi="宋体" w:cs="宋体"/>
      <w:kern w:val="0"/>
      <w:sz w:val="22"/>
      <w:szCs w:val="22"/>
      <w:lang w:val="zh-CN" w:bidi="zh-CN"/>
    </w:rPr>
  </w:style>
  <w:style w:type="table" w:customStyle="1" w:styleId="41">
    <w:name w:val="Table Normal"/>
    <w:unhideWhenUsed/>
    <w:qFormat/>
    <w:uiPriority w:val="0"/>
    <w:tblPr>
      <w:tblCellMar>
        <w:top w:w="0" w:type="dxa"/>
        <w:left w:w="0" w:type="dxa"/>
        <w:bottom w:w="0" w:type="dxa"/>
        <w:right w:w="0" w:type="dxa"/>
      </w:tblCellMar>
    </w:tblPr>
  </w:style>
  <w:style w:type="paragraph" w:customStyle="1" w:styleId="42">
    <w:name w:val="正文2"/>
    <w:basedOn w:val="1"/>
    <w:link w:val="43"/>
    <w:qFormat/>
    <w:uiPriority w:val="0"/>
    <w:pPr>
      <w:autoSpaceDE w:val="0"/>
      <w:autoSpaceDN w:val="0"/>
      <w:adjustRightInd w:val="0"/>
      <w:snapToGrid w:val="0"/>
      <w:spacing w:line="360" w:lineRule="auto"/>
      <w:ind w:firstLine="480" w:firstLineChars="200"/>
    </w:pPr>
    <w:rPr>
      <w:kern w:val="0"/>
      <w:szCs w:val="21"/>
    </w:rPr>
  </w:style>
  <w:style w:type="character" w:customStyle="1" w:styleId="43">
    <w:name w:val="正文2 Char"/>
    <w:link w:val="42"/>
    <w:qFormat/>
    <w:uiPriority w:val="0"/>
    <w:rPr>
      <w:rFonts w:ascii="Times New Roman" w:hAnsi="Times New Roman"/>
      <w:kern w:val="0"/>
      <w:szCs w:val="21"/>
    </w:rPr>
  </w:style>
  <w:style w:type="paragraph" w:customStyle="1" w:styleId="44">
    <w:name w:val="表格内表格内容"/>
    <w:basedOn w:val="1"/>
    <w:link w:val="48"/>
    <w:qFormat/>
    <w:uiPriority w:val="0"/>
    <w:pPr>
      <w:jc w:val="center"/>
    </w:pPr>
    <w:rPr>
      <w:rFonts w:hint="eastAsia"/>
      <w:color w:val="000000"/>
      <w:kern w:val="0"/>
      <w:sz w:val="18"/>
      <w:szCs w:val="21"/>
    </w:rPr>
  </w:style>
  <w:style w:type="paragraph" w:customStyle="1" w:styleId="45">
    <w:name w:val="表格名称"/>
    <w:basedOn w:val="1"/>
    <w:link w:val="49"/>
    <w:qFormat/>
    <w:uiPriority w:val="0"/>
    <w:pPr>
      <w:keepNext w:val="0"/>
      <w:spacing w:line="360" w:lineRule="auto"/>
      <w:jc w:val="center"/>
    </w:pPr>
    <w:rPr>
      <w:b/>
      <w:sz w:val="18"/>
      <w:szCs w:val="21"/>
    </w:rPr>
  </w:style>
  <w:style w:type="paragraph" w:customStyle="1" w:styleId="46">
    <w:name w:val="表格内容1"/>
    <w:basedOn w:val="1"/>
    <w:link w:val="47"/>
    <w:qFormat/>
    <w:uiPriority w:val="0"/>
    <w:pPr>
      <w:adjustRightInd w:val="0"/>
      <w:snapToGrid w:val="0"/>
      <w:jc w:val="center"/>
    </w:pPr>
    <w:rPr>
      <w:sz w:val="18"/>
    </w:rPr>
  </w:style>
  <w:style w:type="character" w:customStyle="1" w:styleId="47">
    <w:name w:val="表格内容1 Char"/>
    <w:link w:val="46"/>
    <w:qFormat/>
    <w:uiPriority w:val="0"/>
    <w:rPr>
      <w:rFonts w:ascii="Times New Roman" w:hAnsi="Times New Roman" w:eastAsia="宋体"/>
      <w:color w:val="auto"/>
      <w:sz w:val="18"/>
    </w:rPr>
  </w:style>
  <w:style w:type="character" w:customStyle="1" w:styleId="48">
    <w:name w:val="表格内表格内容 Char"/>
    <w:link w:val="44"/>
    <w:qFormat/>
    <w:uiPriority w:val="0"/>
    <w:rPr>
      <w:rFonts w:hint="eastAsia" w:ascii="Times New Roman" w:hAnsi="Times New Roman" w:eastAsia="宋体" w:cs="Times New Roman"/>
      <w:color w:val="000000"/>
      <w:kern w:val="0"/>
      <w:sz w:val="18"/>
      <w:szCs w:val="21"/>
      <w:lang w:bidi="ar"/>
    </w:rPr>
  </w:style>
  <w:style w:type="character" w:customStyle="1" w:styleId="49">
    <w:name w:val="表格名称 Char"/>
    <w:link w:val="45"/>
    <w:qFormat/>
    <w:uiPriority w:val="0"/>
    <w:rPr>
      <w:rFonts w:ascii="Times New Roman" w:hAnsi="Times New Roman" w:eastAsia="宋体"/>
      <w:b/>
      <w:sz w:val="18"/>
      <w:szCs w:val="21"/>
    </w:rPr>
  </w:style>
  <w:style w:type="paragraph" w:customStyle="1" w:styleId="50">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51">
    <w:name w:val="附图标题"/>
    <w:basedOn w:val="1"/>
    <w:qFormat/>
    <w:uiPriority w:val="0"/>
    <w:pPr>
      <w:widowControl/>
      <w:adjustRightInd w:val="0"/>
      <w:snapToGrid w:val="0"/>
      <w:jc w:val="center"/>
      <w:outlineLvl w:val="0"/>
    </w:pPr>
    <w:rPr>
      <w:b/>
      <w:bCs/>
      <w:kern w:val="0"/>
      <w:szCs w:val="21"/>
    </w:rPr>
  </w:style>
  <w:style w:type="paragraph" w:customStyle="1" w:styleId="52">
    <w:name w:val="正文1"/>
    <w:basedOn w:val="1"/>
    <w:qFormat/>
    <w:uiPriority w:val="0"/>
    <w:pPr>
      <w:adjustRightInd w:val="0"/>
      <w:snapToGrid w:val="0"/>
      <w:spacing w:line="360" w:lineRule="auto"/>
      <w:ind w:firstLine="420" w:firstLineChars="200"/>
    </w:pPr>
    <w:rPr>
      <w:rFonts w:hint="eastAsia"/>
    </w:rPr>
  </w:style>
  <w:style w:type="paragraph" w:customStyle="1" w:styleId="53">
    <w:name w:val="Table Text"/>
    <w:basedOn w:val="1"/>
    <w:semiHidden/>
    <w:qFormat/>
    <w:uiPriority w:val="0"/>
    <w:rPr>
      <w:rFonts w:ascii="宋体" w:hAnsi="宋体" w:cs="宋体"/>
      <w:sz w:val="23"/>
      <w:szCs w:val="23"/>
      <w:lang w:eastAsia="en-US"/>
    </w:rPr>
  </w:style>
  <w:style w:type="character" w:customStyle="1" w:styleId="54">
    <w:name w:val="批注主题 字符"/>
    <w:basedOn w:val="30"/>
    <w:link w:val="19"/>
    <w:qFormat/>
    <w:uiPriority w:val="0"/>
    <w:rPr>
      <w:rFonts w:ascii="Times New Roman" w:hAnsi="Times New Roman" w:eastAsia="宋体"/>
      <w:b/>
      <w:bCs/>
      <w:kern w:val="2"/>
      <w:sz w:val="21"/>
      <w:szCs w:val="24"/>
    </w:rPr>
  </w:style>
  <w:style w:type="paragraph" w:customStyle="1" w:styleId="55">
    <w:name w:val="表格内容"/>
    <w:basedOn w:val="1"/>
    <w:qFormat/>
    <w:uiPriority w:val="0"/>
    <w:pPr>
      <w:widowControl/>
      <w:jc w:val="center"/>
    </w:pPr>
    <w:rPr>
      <w:kern w:val="0"/>
      <w:lang w:val="zh-CN"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footer" Target="footer1.xml"/><Relationship Id="rId39" Type="http://schemas.openxmlformats.org/officeDocument/2006/relationships/image" Target="media/image26.jpe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wmf"/><Relationship Id="rId33" Type="http://schemas.openxmlformats.org/officeDocument/2006/relationships/oleObject" Target="embeddings/oleObject5.bin"/><Relationship Id="rId32" Type="http://schemas.openxmlformats.org/officeDocument/2006/relationships/image" Target="media/image20.wmf"/><Relationship Id="rId31" Type="http://schemas.openxmlformats.org/officeDocument/2006/relationships/oleObject" Target="embeddings/oleObject4.bin"/><Relationship Id="rId30" Type="http://schemas.openxmlformats.org/officeDocument/2006/relationships/image" Target="media/image19.wmf"/><Relationship Id="rId3" Type="http://schemas.openxmlformats.org/officeDocument/2006/relationships/header" Target="header1.xml"/><Relationship Id="rId29" Type="http://schemas.openxmlformats.org/officeDocument/2006/relationships/oleObject" Target="embeddings/oleObject3.bin"/><Relationship Id="rId28" Type="http://schemas.openxmlformats.org/officeDocument/2006/relationships/image" Target="media/image18.wmf"/><Relationship Id="rId27" Type="http://schemas.openxmlformats.org/officeDocument/2006/relationships/oleObject" Target="embeddings/oleObject2.bin"/><Relationship Id="rId26" Type="http://schemas.openxmlformats.org/officeDocument/2006/relationships/image" Target="media/image17.wmf"/><Relationship Id="rId25" Type="http://schemas.openxmlformats.org/officeDocument/2006/relationships/oleObject" Target="embeddings/oleObject1.bin"/><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9"/>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76</Pages>
  <Words>625</Words>
  <Characters>717</Characters>
  <Lines>383</Lines>
  <Paragraphs>107</Paragraphs>
  <TotalTime>2</TotalTime>
  <ScaleCrop>false</ScaleCrop>
  <LinksUpToDate>false</LinksUpToDate>
  <CharactersWithSpaces>873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2026-01-19T16:25:00Z</dcterms:created>
  <dc:creator>lhj</dc:creator>
  <cp:lastModifiedBy>空白</cp:lastModifiedBy>
  <cp:lastPrinted>2025-10-21T14:13:00Z</cp:lastPrinted>
  <dcterms:modified xsi:type="dcterms:W3CDTF">2026-02-24T03:52:34Z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F06FD473950F4EA6990953C336B30F09_13</vt:lpwstr>
  </property>
  <property fmtid="{D5CDD505-2E9C-101B-9397-08002B2CF9AE}" pid="4" name="KSOTemplateDocerSaveRecord">
    <vt:lpwstr>eyJoZGlkIjoiMGM2NDQ3ZjMyM2FiN2Q0YzI1OTY2YjU0MWQwODRjMmYiLCJ1c2VySWQiOiI5Mjk0NzIwMjEifQ==</vt:lpwstr>
  </property>
</Properties>
</file>