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FangSong_GB2312"/>
          <w:sz w:val="32"/>
          <w:szCs w:val="32"/>
        </w:rPr>
      </w:pPr>
    </w:p>
    <w:p>
      <w:pPr>
        <w:spacing w:line="600" w:lineRule="exact"/>
        <w:jc w:val="left"/>
        <w:rPr>
          <w:rFonts w:eastAsia="黑体"/>
          <w:sz w:val="28"/>
          <w:szCs w:val="28"/>
        </w:rPr>
      </w:pPr>
      <w:r>
        <w:rPr>
          <w:rFonts w:eastAsia="黑体"/>
          <w:sz w:val="28"/>
          <w:szCs w:val="28"/>
        </w:rPr>
        <w:t xml:space="preserve">                                                                             </w:t>
      </w:r>
    </w:p>
    <w:p>
      <w:pPr>
        <w:adjustRightInd w:val="0"/>
        <w:snapToGrid w:val="0"/>
        <w:spacing w:line="600" w:lineRule="exact"/>
        <w:jc w:val="center"/>
        <w:rPr>
          <w:rFonts w:eastAsia="华文中宋"/>
          <w:b/>
          <w:sz w:val="44"/>
          <w:szCs w:val="44"/>
        </w:rPr>
      </w:pPr>
    </w:p>
    <w:p>
      <w:pPr>
        <w:adjustRightInd w:val="0"/>
        <w:snapToGrid w:val="0"/>
        <w:spacing w:line="600" w:lineRule="exact"/>
        <w:jc w:val="center"/>
        <w:rPr>
          <w:rFonts w:eastAsia="华文中宋"/>
          <w:b/>
          <w:sz w:val="44"/>
          <w:szCs w:val="44"/>
        </w:rPr>
      </w:pPr>
    </w:p>
    <w:p>
      <w:pPr>
        <w:adjustRightInd w:val="0"/>
        <w:snapToGrid w:val="0"/>
        <w:spacing w:line="600" w:lineRule="exact"/>
        <w:jc w:val="center"/>
        <w:rPr>
          <w:rFonts w:eastAsia="华文中宋"/>
          <w:b/>
          <w:sz w:val="44"/>
          <w:szCs w:val="44"/>
        </w:rPr>
      </w:pPr>
    </w:p>
    <w:p>
      <w:pPr>
        <w:adjustRightInd w:val="0"/>
        <w:snapToGrid w:val="0"/>
        <w:spacing w:line="600" w:lineRule="exact"/>
        <w:jc w:val="center"/>
        <w:rPr>
          <w:rFonts w:eastAsia="华文中宋"/>
          <w:b/>
          <w:sz w:val="44"/>
          <w:szCs w:val="44"/>
        </w:rPr>
      </w:pPr>
    </w:p>
    <w:p>
      <w:pPr>
        <w:adjustRightInd w:val="0"/>
        <w:snapToGrid w:val="0"/>
        <w:spacing w:line="600" w:lineRule="exact"/>
        <w:jc w:val="center"/>
        <w:rPr>
          <w:rFonts w:ascii="方正粗宋简体" w:eastAsia="方正粗宋简体"/>
          <w:b/>
          <w:sz w:val="52"/>
          <w:szCs w:val="52"/>
        </w:rPr>
      </w:pPr>
      <w:bookmarkStart w:id="0" w:name="_Hlk67559840"/>
      <w:r>
        <w:rPr>
          <w:rFonts w:hint="eastAsia" w:ascii="方正粗宋简体" w:eastAsia="方正粗宋简体"/>
          <w:b/>
          <w:sz w:val="52"/>
          <w:szCs w:val="52"/>
        </w:rPr>
        <w:t>湛江市商务发展“十四五”规划</w:t>
      </w:r>
    </w:p>
    <w:bookmarkEnd w:id="0"/>
    <w:p>
      <w:pPr>
        <w:adjustRightInd w:val="0"/>
        <w:snapToGrid w:val="0"/>
        <w:spacing w:line="600" w:lineRule="exact"/>
        <w:jc w:val="center"/>
        <w:rPr>
          <w:rFonts w:ascii="楷体" w:hAnsi="楷体" w:eastAsia="楷体"/>
          <w:b/>
          <w:sz w:val="44"/>
          <w:szCs w:val="44"/>
        </w:rPr>
      </w:pPr>
    </w:p>
    <w:p>
      <w:pPr>
        <w:adjustRightInd w:val="0"/>
        <w:snapToGrid w:val="0"/>
        <w:spacing w:line="600" w:lineRule="exact"/>
        <w:jc w:val="center"/>
        <w:rPr>
          <w:rFonts w:eastAsia="华文中宋"/>
          <w:b/>
          <w:sz w:val="48"/>
          <w:szCs w:val="48"/>
        </w:rPr>
      </w:pPr>
    </w:p>
    <w:p>
      <w:pPr>
        <w:adjustRightInd w:val="0"/>
        <w:snapToGrid w:val="0"/>
        <w:spacing w:line="600" w:lineRule="exact"/>
        <w:jc w:val="center"/>
        <w:rPr>
          <w:rFonts w:eastAsia="华文中宋"/>
          <w:b/>
          <w:sz w:val="48"/>
          <w:szCs w:val="48"/>
        </w:rPr>
      </w:pPr>
    </w:p>
    <w:p>
      <w:pPr>
        <w:tabs>
          <w:tab w:val="left" w:pos="6300"/>
        </w:tabs>
        <w:adjustRightInd w:val="0"/>
        <w:snapToGrid w:val="0"/>
        <w:spacing w:line="600" w:lineRule="exact"/>
        <w:jc w:val="left"/>
        <w:rPr>
          <w:rFonts w:eastAsia="华文中宋"/>
          <w:b/>
          <w:sz w:val="48"/>
          <w:szCs w:val="48"/>
        </w:rPr>
      </w:pPr>
      <w:r>
        <w:rPr>
          <w:rFonts w:eastAsia="华文中宋"/>
          <w:b/>
          <w:sz w:val="48"/>
          <w:szCs w:val="48"/>
        </w:rPr>
        <w:tab/>
      </w:r>
    </w:p>
    <w:p>
      <w:pPr>
        <w:adjustRightInd w:val="0"/>
        <w:snapToGrid w:val="0"/>
        <w:spacing w:line="600" w:lineRule="exact"/>
        <w:jc w:val="center"/>
        <w:rPr>
          <w:rFonts w:eastAsia="华文中宋"/>
          <w:b/>
          <w:sz w:val="48"/>
          <w:szCs w:val="48"/>
        </w:rPr>
      </w:pPr>
    </w:p>
    <w:p>
      <w:pPr>
        <w:adjustRightInd w:val="0"/>
        <w:snapToGrid w:val="0"/>
        <w:spacing w:line="600" w:lineRule="exact"/>
        <w:jc w:val="center"/>
        <w:rPr>
          <w:rFonts w:eastAsia="华文中宋"/>
          <w:b/>
          <w:sz w:val="48"/>
          <w:szCs w:val="48"/>
        </w:rPr>
      </w:pPr>
    </w:p>
    <w:p>
      <w:pPr>
        <w:adjustRightInd w:val="0"/>
        <w:snapToGrid w:val="0"/>
        <w:spacing w:line="600" w:lineRule="exact"/>
        <w:jc w:val="center"/>
        <w:rPr>
          <w:rFonts w:eastAsia="华文中宋"/>
          <w:b/>
          <w:sz w:val="48"/>
          <w:szCs w:val="48"/>
        </w:rPr>
      </w:pPr>
    </w:p>
    <w:p>
      <w:pPr>
        <w:adjustRightInd w:val="0"/>
        <w:snapToGrid w:val="0"/>
        <w:spacing w:line="600" w:lineRule="exact"/>
        <w:jc w:val="center"/>
        <w:rPr>
          <w:rFonts w:eastAsia="华文中宋"/>
          <w:b/>
          <w:sz w:val="48"/>
          <w:szCs w:val="48"/>
        </w:rPr>
      </w:pPr>
    </w:p>
    <w:p>
      <w:pPr>
        <w:adjustRightInd w:val="0"/>
        <w:snapToGrid w:val="0"/>
        <w:spacing w:line="600" w:lineRule="exact"/>
        <w:jc w:val="center"/>
        <w:rPr>
          <w:rFonts w:eastAsia="华文中宋"/>
          <w:b/>
          <w:sz w:val="48"/>
          <w:szCs w:val="48"/>
        </w:rPr>
      </w:pPr>
    </w:p>
    <w:p>
      <w:pPr>
        <w:adjustRightInd w:val="0"/>
        <w:snapToGrid w:val="0"/>
        <w:spacing w:line="600" w:lineRule="exact"/>
        <w:jc w:val="center"/>
        <w:rPr>
          <w:rFonts w:eastAsia="华文中宋"/>
          <w:b/>
          <w:sz w:val="32"/>
          <w:szCs w:val="32"/>
        </w:rPr>
      </w:pPr>
    </w:p>
    <w:p>
      <w:pPr>
        <w:adjustRightInd w:val="0"/>
        <w:snapToGrid w:val="0"/>
        <w:spacing w:line="600" w:lineRule="exact"/>
        <w:jc w:val="center"/>
        <w:rPr>
          <w:rFonts w:eastAsia="华文中宋"/>
          <w:b/>
          <w:sz w:val="32"/>
          <w:szCs w:val="32"/>
        </w:rPr>
      </w:pPr>
    </w:p>
    <w:p>
      <w:pPr>
        <w:adjustRightInd w:val="0"/>
        <w:snapToGrid w:val="0"/>
        <w:spacing w:line="600" w:lineRule="exact"/>
        <w:jc w:val="center"/>
        <w:rPr>
          <w:rFonts w:ascii="楷体_GB2312" w:eastAsia="楷体_GB2312"/>
          <w:sz w:val="32"/>
          <w:szCs w:val="32"/>
        </w:rPr>
      </w:pPr>
      <w:r>
        <w:rPr>
          <w:rFonts w:hint="eastAsia" w:ascii="楷体_GB2312" w:eastAsia="楷体_GB2312"/>
          <w:sz w:val="32"/>
          <w:szCs w:val="32"/>
        </w:rPr>
        <w:t>湛江市商务局</w:t>
      </w:r>
    </w:p>
    <w:p>
      <w:pPr>
        <w:adjustRightInd w:val="0"/>
        <w:snapToGrid w:val="0"/>
        <w:spacing w:line="600" w:lineRule="exact"/>
        <w:jc w:val="center"/>
        <w:rPr>
          <w:rFonts w:ascii="楷体_GB2312" w:eastAsia="楷体_GB2312"/>
          <w:sz w:val="32"/>
          <w:szCs w:val="32"/>
        </w:rPr>
        <w:sectPr>
          <w:footerReference r:id="rId3" w:type="default"/>
          <w:pgSz w:w="11906" w:h="16838"/>
          <w:pgMar w:top="1440" w:right="1800" w:bottom="1440" w:left="1800" w:header="851" w:footer="992" w:gutter="0"/>
          <w:pgNumType w:start="0"/>
          <w:cols w:space="425" w:num="1"/>
          <w:docGrid w:type="lines" w:linePitch="312" w:charSpace="0"/>
        </w:sectPr>
      </w:pPr>
      <w:r>
        <w:rPr>
          <w:rFonts w:hint="eastAsia" w:ascii="楷体_GB2312" w:eastAsia="楷体_GB2312"/>
          <w:sz w:val="32"/>
          <w:szCs w:val="32"/>
        </w:rPr>
        <w:t>202</w:t>
      </w:r>
      <w:r>
        <w:rPr>
          <w:rFonts w:ascii="楷体_GB2312" w:eastAsia="楷体_GB2312"/>
          <w:sz w:val="32"/>
          <w:szCs w:val="32"/>
        </w:rPr>
        <w:t>1</w:t>
      </w:r>
      <w:r>
        <w:rPr>
          <w:rFonts w:hint="eastAsia" w:ascii="楷体_GB2312" w:eastAsia="楷体_GB2312"/>
          <w:sz w:val="32"/>
          <w:szCs w:val="32"/>
        </w:rPr>
        <w:t>年</w:t>
      </w:r>
      <w:r>
        <w:rPr>
          <w:rFonts w:ascii="楷体_GB2312" w:eastAsia="楷体_GB2312"/>
          <w:sz w:val="32"/>
          <w:szCs w:val="32"/>
        </w:rPr>
        <w:t>6</w:t>
      </w:r>
      <w:r>
        <w:rPr>
          <w:rFonts w:hint="eastAsia" w:ascii="楷体_GB2312" w:eastAsia="楷体_GB2312"/>
          <w:sz w:val="32"/>
          <w:szCs w:val="32"/>
        </w:rPr>
        <w:t>月</w:t>
      </w:r>
    </w:p>
    <w:sdt>
      <w:sdtPr>
        <w:rPr>
          <w:rFonts w:hint="eastAsia" w:ascii="方正大标宋_GBK" w:hAnsi="Times New Roman" w:eastAsia="方正大标宋_GBK" w:cs="Times New Roman"/>
          <w:color w:val="auto"/>
          <w:kern w:val="2"/>
          <w:sz w:val="44"/>
          <w:szCs w:val="44"/>
          <w:lang w:val="zh-CN"/>
        </w:rPr>
        <w:id w:val="741603185"/>
        <w:docPartObj>
          <w:docPartGallery w:val="Table of Contents"/>
          <w:docPartUnique/>
        </w:docPartObj>
      </w:sdtPr>
      <w:sdtEndPr>
        <w:rPr>
          <w:rFonts w:hint="default" w:ascii="Times New Roman" w:hAnsi="Times New Roman" w:eastAsia="宋体" w:cs="Times New Roman"/>
          <w:b/>
          <w:bCs/>
          <w:color w:val="auto"/>
          <w:kern w:val="2"/>
          <w:sz w:val="32"/>
          <w:szCs w:val="32"/>
          <w:lang w:val="zh-CN"/>
        </w:rPr>
      </w:sdtEndPr>
      <w:sdtContent>
        <w:p>
          <w:pPr>
            <w:pStyle w:val="30"/>
            <w:jc w:val="center"/>
            <w:rPr>
              <w:rFonts w:ascii="方正大标宋_GBK" w:eastAsia="方正大标宋_GBK"/>
              <w:color w:val="auto"/>
              <w:sz w:val="44"/>
              <w:szCs w:val="44"/>
            </w:rPr>
          </w:pPr>
          <w:bookmarkStart w:id="1" w:name="_Hlk67559801"/>
          <w:r>
            <w:rPr>
              <w:rFonts w:hint="eastAsia" w:ascii="方正大标宋_GBK" w:eastAsia="方正大标宋_GBK"/>
              <w:color w:val="auto"/>
              <w:sz w:val="44"/>
              <w:szCs w:val="44"/>
              <w:lang w:val="zh-CN"/>
            </w:rPr>
            <w:t>目录</w:t>
          </w:r>
        </w:p>
        <w:p>
          <w:pPr>
            <w:pStyle w:val="10"/>
            <w:tabs>
              <w:tab w:val="right" w:leader="dot" w:pos="8296"/>
            </w:tabs>
            <w:rPr>
              <w:rFonts w:cstheme="minorBidi"/>
              <w:kern w:val="2"/>
              <w:sz w:val="21"/>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"_Toc75776133" </w:instrText>
          </w:r>
          <w:r>
            <w:fldChar w:fldCharType="separate"/>
          </w:r>
          <w:r>
            <w:rPr>
              <w:rStyle w:val="19"/>
            </w:rPr>
            <w:t>第一章 商务发展基础和环境</w:t>
          </w:r>
          <w:r>
            <w:tab/>
          </w:r>
          <w:r>
            <w:fldChar w:fldCharType="begin"/>
          </w:r>
          <w:r>
            <w:instrText xml:space="preserve"> PAGEREF _Toc75776133 \h </w:instrText>
          </w:r>
          <w:r>
            <w:fldChar w:fldCharType="separate"/>
          </w:r>
          <w:r>
            <w:t>1</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"_Toc75776134" </w:instrText>
          </w:r>
          <w:r>
            <w:fldChar w:fldCharType="separate"/>
          </w:r>
          <w:r>
            <w:rPr>
              <w:rStyle w:val="19"/>
            </w:rPr>
            <w:t>第一节  “十三五”时期商务发展成效</w:t>
          </w:r>
          <w:r>
            <w:tab/>
          </w:r>
          <w:r>
            <w:fldChar w:fldCharType="begin"/>
          </w:r>
          <w:r>
            <w:instrText xml:space="preserve"> PAGEREF _Toc75776134 \h </w:instrText>
          </w:r>
          <w:r>
            <w:fldChar w:fldCharType="separate"/>
          </w:r>
          <w:r>
            <w:t>2</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"_Toc75776135" </w:instrText>
          </w:r>
          <w:r>
            <w:fldChar w:fldCharType="separate"/>
          </w:r>
          <w:r>
            <w:rPr>
              <w:rStyle w:val="19"/>
            </w:rPr>
            <w:t>内贸流通创新发展，消费潜力进一步释放</w:t>
          </w:r>
          <w:r>
            <w:tab/>
          </w:r>
          <w:r>
            <w:fldChar w:fldCharType="begin"/>
          </w:r>
          <w:r>
            <w:instrText xml:space="preserve"> PAGEREF _Toc75776135 \h </w:instrText>
          </w:r>
          <w:r>
            <w:fldChar w:fldCharType="separate"/>
          </w:r>
          <w:r>
            <w:t>2</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"_Toc75776136" </w:instrText>
          </w:r>
          <w:r>
            <w:fldChar w:fldCharType="separate"/>
          </w:r>
          <w:r>
            <w:rPr>
              <w:rStyle w:val="19"/>
            </w:rPr>
            <w:t>对外贸易提速发展，外向型经济逐步上规模</w:t>
          </w:r>
          <w:r>
            <w:tab/>
          </w:r>
          <w:r>
            <w:fldChar w:fldCharType="begin"/>
          </w:r>
          <w:r>
            <w:instrText xml:space="preserve"> PAGEREF _Toc75776136 \h </w:instrText>
          </w:r>
          <w:r>
            <w:fldChar w:fldCharType="separate"/>
          </w:r>
          <w:r>
            <w:t>3</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"_Toc75776137" </w:instrText>
          </w:r>
          <w:r>
            <w:fldChar w:fldCharType="separate"/>
          </w:r>
          <w:r>
            <w:rPr>
              <w:rStyle w:val="19"/>
            </w:rPr>
            <w:t>利用外资跨越发展，外向发展引擎作用增强</w:t>
          </w:r>
          <w:r>
            <w:tab/>
          </w:r>
          <w:r>
            <w:fldChar w:fldCharType="begin"/>
          </w:r>
          <w:r>
            <w:instrText xml:space="preserve"> PAGEREF _Toc75776137 \h </w:instrText>
          </w:r>
          <w:r>
            <w:fldChar w:fldCharType="separate"/>
          </w:r>
          <w:r>
            <w:t>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"_Toc75776138" </w:instrText>
          </w:r>
          <w:r>
            <w:fldChar w:fldCharType="separate"/>
          </w:r>
          <w:r>
            <w:rPr>
              <w:rStyle w:val="19"/>
            </w:rPr>
            <w:t>对外投资有序发展，优势产业全球布局优化</w:t>
          </w:r>
          <w:r>
            <w:tab/>
          </w:r>
          <w:r>
            <w:fldChar w:fldCharType="begin"/>
          </w:r>
          <w:r>
            <w:instrText xml:space="preserve"> PAGEREF _Toc75776138 \h </w:instrText>
          </w:r>
          <w:r>
            <w:fldChar w:fldCharType="separate"/>
          </w:r>
          <w:r>
            <w:t>5</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"_Toc75776139" </w:instrText>
          </w:r>
          <w:r>
            <w:fldChar w:fldCharType="separate"/>
          </w:r>
          <w:r>
            <w:rPr>
              <w:rStyle w:val="19"/>
            </w:rPr>
            <w:t>口岸建设稳步发展，跨境贸易便利化水平提高</w:t>
          </w:r>
          <w:r>
            <w:tab/>
          </w:r>
          <w:r>
            <w:fldChar w:fldCharType="begin"/>
          </w:r>
          <w:r>
            <w:instrText xml:space="preserve"> PAGEREF _Toc75776139 \h </w:instrText>
          </w:r>
          <w:r>
            <w:fldChar w:fldCharType="separate"/>
          </w:r>
          <w:r>
            <w:t>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"_Toc75776140" </w:instrText>
          </w:r>
          <w:r>
            <w:fldChar w:fldCharType="separate"/>
          </w:r>
          <w:r>
            <w:rPr>
              <w:rStyle w:val="19"/>
            </w:rPr>
            <w:t>开放平台突破发展，增添开放体制机制新优势</w:t>
          </w:r>
          <w:r>
            <w:tab/>
          </w:r>
          <w:r>
            <w:fldChar w:fldCharType="begin"/>
          </w:r>
          <w:r>
            <w:instrText xml:space="preserve"> PAGEREF _Toc75776140 \h </w:instrText>
          </w:r>
          <w:r>
            <w:fldChar w:fldCharType="separate"/>
          </w:r>
          <w:r>
            <w:t>6</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"_Toc75776141" </w:instrText>
          </w:r>
          <w:r>
            <w:fldChar w:fldCharType="separate"/>
          </w:r>
          <w:r>
            <w:rPr>
              <w:rStyle w:val="19"/>
            </w:rPr>
            <w:t>第二节 “十四五”时期商务发展形势</w:t>
          </w:r>
          <w:r>
            <w:tab/>
          </w:r>
          <w:r>
            <w:fldChar w:fldCharType="begin"/>
          </w:r>
          <w:r>
            <w:instrText xml:space="preserve"> PAGEREF _Toc75776141 \h </w:instrText>
          </w:r>
          <w:r>
            <w:fldChar w:fldCharType="separate"/>
          </w:r>
          <w:r>
            <w:t>7</w:t>
          </w:r>
          <w:r>
            <w:fldChar w:fldCharType="end"/>
          </w:r>
          <w:r>
            <w:fldChar w:fldCharType="end"/>
          </w:r>
        </w:p>
        <w:p>
          <w:pPr>
            <w:pStyle w:val="10"/>
            <w:tabs>
              <w:tab w:val="right" w:leader="dot" w:pos="8296"/>
            </w:tabs>
            <w:rPr>
              <w:rFonts w:cstheme="minorBidi"/>
              <w:kern w:val="2"/>
              <w:sz w:val="21"/>
            </w:rPr>
          </w:pPr>
          <w:r>
            <w:fldChar w:fldCharType="begin"/>
          </w:r>
          <w:r>
            <w:instrText xml:space="preserve"> HYPERLINK \l "_Toc75776142" </w:instrText>
          </w:r>
          <w:r>
            <w:fldChar w:fldCharType="separate"/>
          </w:r>
          <w:r>
            <w:rPr>
              <w:rStyle w:val="19"/>
            </w:rPr>
            <w:t>第二章 指导思想和主要目标</w:t>
          </w:r>
          <w:r>
            <w:tab/>
          </w:r>
          <w:r>
            <w:fldChar w:fldCharType="begin"/>
          </w:r>
          <w:r>
            <w:instrText xml:space="preserve"> PAGEREF _Toc75776142 \h </w:instrText>
          </w:r>
          <w:r>
            <w:fldChar w:fldCharType="separate"/>
          </w:r>
          <w:r>
            <w:t>10</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"_Toc75776143" </w:instrText>
          </w:r>
          <w:r>
            <w:fldChar w:fldCharType="separate"/>
          </w:r>
          <w:r>
            <w:rPr>
              <w:rStyle w:val="19"/>
            </w:rPr>
            <w:t>第一节 指导思想</w:t>
          </w:r>
          <w:r>
            <w:tab/>
          </w:r>
          <w:r>
            <w:fldChar w:fldCharType="begin"/>
          </w:r>
          <w:r>
            <w:instrText xml:space="preserve"> PAGEREF _Toc75776143 \h </w:instrText>
          </w:r>
          <w:r>
            <w:fldChar w:fldCharType="separate"/>
          </w:r>
          <w:r>
            <w:t>11</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"_Toc75776144" </w:instrText>
          </w:r>
          <w:r>
            <w:fldChar w:fldCharType="separate"/>
          </w:r>
          <w:r>
            <w:rPr>
              <w:rStyle w:val="19"/>
            </w:rPr>
            <w:t>第二节 发展原则</w:t>
          </w:r>
          <w:r>
            <w:tab/>
          </w:r>
          <w:r>
            <w:fldChar w:fldCharType="begin"/>
          </w:r>
          <w:r>
            <w:instrText xml:space="preserve"> PAGEREF _Toc75776144 \h </w:instrText>
          </w:r>
          <w:r>
            <w:fldChar w:fldCharType="separate"/>
          </w:r>
          <w:r>
            <w:t>12</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"_Toc75776145" </w:instrText>
          </w:r>
          <w:r>
            <w:fldChar w:fldCharType="separate"/>
          </w:r>
          <w:r>
            <w:rPr>
              <w:rStyle w:val="19"/>
            </w:rPr>
            <w:t>第三节 发展目标</w:t>
          </w:r>
          <w:r>
            <w:tab/>
          </w:r>
          <w:r>
            <w:fldChar w:fldCharType="begin"/>
          </w:r>
          <w:r>
            <w:instrText xml:space="preserve"> PAGEREF _Toc75776145 \h </w:instrText>
          </w:r>
          <w:r>
            <w:fldChar w:fldCharType="separate"/>
          </w:r>
          <w:r>
            <w:t>14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"_Toc75776146" </w:instrText>
          </w:r>
          <w:r>
            <w:fldChar w:fldCharType="separate"/>
          </w:r>
          <w:r>
            <w:rPr>
              <w:rStyle w:val="19"/>
            </w:rPr>
            <w:t>一、内贸流通体制机制不断健全，消费扩容提质进一步凸显</w:t>
          </w:r>
          <w:r>
            <w:tab/>
          </w:r>
          <w:r>
            <w:fldChar w:fldCharType="begin"/>
          </w:r>
          <w:r>
            <w:instrText xml:space="preserve"> PAGEREF _Toc75776146 \h </w:instrText>
          </w:r>
          <w:r>
            <w:fldChar w:fldCharType="separate"/>
          </w:r>
          <w:r>
            <w:t>14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"_Toc75776147" </w:instrText>
          </w:r>
          <w:r>
            <w:fldChar w:fldCharType="separate"/>
          </w:r>
          <w:r>
            <w:rPr>
              <w:rStyle w:val="19"/>
            </w:rPr>
            <w:t>二、对外开放步伐不断加快，外向型经济发展水平进一步提升</w:t>
          </w:r>
          <w:r>
            <w:tab/>
          </w:r>
          <w:r>
            <w:fldChar w:fldCharType="begin"/>
          </w:r>
          <w:r>
            <w:instrText xml:space="preserve"> PAGEREF _Toc75776147 \h </w:instrText>
          </w:r>
          <w:r>
            <w:fldChar w:fldCharType="separate"/>
          </w:r>
          <w:r>
            <w:t>14</w:t>
          </w:r>
          <w:r>
            <w:fldChar w:fldCharType="end"/>
          </w:r>
          <w:r>
            <w:fldChar w:fldCharType="end"/>
          </w:r>
        </w:p>
        <w:p>
          <w:pPr>
            <w:pStyle w:val="10"/>
            <w:tabs>
              <w:tab w:val="right" w:leader="dot" w:pos="8296"/>
            </w:tabs>
            <w:rPr>
              <w:rFonts w:cstheme="minorBidi"/>
              <w:kern w:val="2"/>
              <w:sz w:val="21"/>
            </w:rPr>
          </w:pPr>
          <w:r>
            <w:fldChar w:fldCharType="begin"/>
          </w:r>
          <w:r>
            <w:instrText xml:space="preserve"> HYPERLINK \l "_Toc75776148" </w:instrText>
          </w:r>
          <w:r>
            <w:fldChar w:fldCharType="separate"/>
          </w:r>
          <w:r>
            <w:rPr>
              <w:rStyle w:val="19"/>
            </w:rPr>
            <w:t>第三章 完善促进消费体制机制</w:t>
          </w:r>
          <w:r>
            <w:tab/>
          </w:r>
          <w:r>
            <w:fldChar w:fldCharType="begin"/>
          </w:r>
          <w:r>
            <w:instrText xml:space="preserve"> PAGEREF _Toc75776148 \h </w:instrText>
          </w:r>
          <w:r>
            <w:fldChar w:fldCharType="separate"/>
          </w:r>
          <w:r>
            <w:t>15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"_Toc75776149" </w:instrText>
          </w:r>
          <w:r>
            <w:fldChar w:fldCharType="separate"/>
          </w:r>
          <w:r>
            <w:rPr>
              <w:rStyle w:val="19"/>
            </w:rPr>
            <w:t>第一节 提升城市商业能级</w:t>
          </w:r>
          <w:r>
            <w:tab/>
          </w:r>
          <w:r>
            <w:fldChar w:fldCharType="begin"/>
          </w:r>
          <w:r>
            <w:instrText xml:space="preserve"> PAGEREF _Toc75776149 \h </w:instrText>
          </w:r>
          <w:r>
            <w:fldChar w:fldCharType="separate"/>
          </w:r>
          <w:r>
            <w:t>16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"_Toc75776150" </w:instrText>
          </w:r>
          <w:r>
            <w:fldChar w:fldCharType="separate"/>
          </w:r>
          <w:r>
            <w:rPr>
              <w:rStyle w:val="19"/>
            </w:rPr>
            <w:t>打造区域消费中心</w:t>
          </w:r>
          <w:r>
            <w:tab/>
          </w:r>
          <w:r>
            <w:fldChar w:fldCharType="begin"/>
          </w:r>
          <w:r>
            <w:instrText xml:space="preserve"> PAGEREF _Toc75776150 \h </w:instrText>
          </w:r>
          <w:r>
            <w:fldChar w:fldCharType="separate"/>
          </w:r>
          <w:r>
            <w:t>16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"_Toc75776151" </w:instrText>
          </w:r>
          <w:r>
            <w:fldChar w:fldCharType="separate"/>
          </w:r>
          <w:r>
            <w:rPr>
              <w:rStyle w:val="19"/>
            </w:rPr>
            <w:t>引导商业升级发展</w:t>
          </w:r>
          <w:r>
            <w:tab/>
          </w:r>
          <w:r>
            <w:fldChar w:fldCharType="begin"/>
          </w:r>
          <w:r>
            <w:instrText xml:space="preserve"> PAGEREF _Toc75776151 \h </w:instrText>
          </w:r>
          <w:r>
            <w:fldChar w:fldCharType="separate"/>
          </w:r>
          <w:r>
            <w:t>17</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"_Toc75776152" </w:instrText>
          </w:r>
          <w:r>
            <w:fldChar w:fldCharType="separate"/>
          </w:r>
          <w:r>
            <w:rPr>
              <w:rStyle w:val="19"/>
            </w:rPr>
            <w:t>培育发展商贸新业态</w:t>
          </w:r>
          <w:r>
            <w:tab/>
          </w:r>
          <w:r>
            <w:fldChar w:fldCharType="begin"/>
          </w:r>
          <w:r>
            <w:instrText xml:space="preserve"> PAGEREF _Toc75776152 \h </w:instrText>
          </w:r>
          <w:r>
            <w:fldChar w:fldCharType="separate"/>
          </w:r>
          <w:r>
            <w:t>17</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"_Toc75776153" </w:instrText>
          </w:r>
          <w:r>
            <w:fldChar w:fldCharType="separate"/>
          </w:r>
          <w:r>
            <w:rPr>
              <w:rStyle w:val="19"/>
            </w:rPr>
            <w:t>打造特色商业街区</w:t>
          </w:r>
          <w:r>
            <w:tab/>
          </w:r>
          <w:r>
            <w:fldChar w:fldCharType="begin"/>
          </w:r>
          <w:r>
            <w:instrText xml:space="preserve"> PAGEREF _Toc75776153 \h </w:instrText>
          </w:r>
          <w:r>
            <w:fldChar w:fldCharType="separate"/>
          </w:r>
          <w:r>
            <w:t>18</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"_Toc75776154" </w:instrText>
          </w:r>
          <w:r>
            <w:fldChar w:fldCharType="separate"/>
          </w:r>
          <w:r>
            <w:rPr>
              <w:rStyle w:val="19"/>
            </w:rPr>
            <w:t>拓展夜间商业和节假日消费</w:t>
          </w:r>
          <w:r>
            <w:tab/>
          </w:r>
          <w:r>
            <w:fldChar w:fldCharType="begin"/>
          </w:r>
          <w:r>
            <w:instrText xml:space="preserve"> PAGEREF _Toc75776154 \h </w:instrText>
          </w:r>
          <w:r>
            <w:fldChar w:fldCharType="separate"/>
          </w:r>
          <w:r>
            <w:t>18</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"_Toc75776155" </w:instrText>
          </w:r>
          <w:r>
            <w:fldChar w:fldCharType="separate"/>
          </w:r>
          <w:r>
            <w:rPr>
              <w:rStyle w:val="19"/>
            </w:rPr>
            <w:t>第二节 优化乡村商业体系建设</w:t>
          </w:r>
          <w:r>
            <w:tab/>
          </w:r>
          <w:r>
            <w:fldChar w:fldCharType="begin"/>
          </w:r>
          <w:r>
            <w:instrText xml:space="preserve"> PAGEREF _Toc75776155 \h </w:instrText>
          </w:r>
          <w:r>
            <w:fldChar w:fldCharType="separate"/>
          </w:r>
          <w:r>
            <w:t>18</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"_Toc75776156" </w:instrText>
          </w:r>
          <w:r>
            <w:fldChar w:fldCharType="separate"/>
          </w:r>
          <w:r>
            <w:rPr>
              <w:rStyle w:val="19"/>
            </w:rPr>
            <w:t>完善农村商业设施</w:t>
          </w:r>
          <w:r>
            <w:tab/>
          </w:r>
          <w:r>
            <w:fldChar w:fldCharType="begin"/>
          </w:r>
          <w:r>
            <w:instrText xml:space="preserve"> PAGEREF _Toc75776156 \h </w:instrText>
          </w:r>
          <w:r>
            <w:fldChar w:fldCharType="separate"/>
          </w:r>
          <w:r>
            <w:t>18</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"_Toc75776157" </w:instrText>
          </w:r>
          <w:r>
            <w:fldChar w:fldCharType="separate"/>
          </w:r>
          <w:r>
            <w:rPr>
              <w:rStyle w:val="19"/>
            </w:rPr>
            <w:t>推进电子商务进农村</w:t>
          </w:r>
          <w:r>
            <w:tab/>
          </w:r>
          <w:r>
            <w:fldChar w:fldCharType="begin"/>
          </w:r>
          <w:r>
            <w:instrText xml:space="preserve"> PAGEREF _Toc75776157 \h </w:instrText>
          </w:r>
          <w:r>
            <w:fldChar w:fldCharType="separate"/>
          </w:r>
          <w:r>
            <w:t>19</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"_Toc75776158" </w:instrText>
          </w:r>
          <w:r>
            <w:fldChar w:fldCharType="separate"/>
          </w:r>
          <w:r>
            <w:rPr>
              <w:rStyle w:val="19"/>
            </w:rPr>
            <w:t>推进特色商贸小镇建设</w:t>
          </w:r>
          <w:r>
            <w:tab/>
          </w:r>
          <w:r>
            <w:fldChar w:fldCharType="begin"/>
          </w:r>
          <w:r>
            <w:instrText xml:space="preserve"> PAGEREF _Toc75776158 \h </w:instrText>
          </w:r>
          <w:r>
            <w:fldChar w:fldCharType="separate"/>
          </w:r>
          <w:r>
            <w:t>19</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"_Toc75776159" </w:instrText>
          </w:r>
          <w:r>
            <w:fldChar w:fldCharType="separate"/>
          </w:r>
          <w:r>
            <w:rPr>
              <w:rStyle w:val="19"/>
            </w:rPr>
            <w:t>第三节 畅通商贸流通</w:t>
          </w:r>
          <w:r>
            <w:tab/>
          </w:r>
          <w:r>
            <w:fldChar w:fldCharType="begin"/>
          </w:r>
          <w:r>
            <w:instrText xml:space="preserve"> PAGEREF _Toc75776159 \h </w:instrText>
          </w:r>
          <w:r>
            <w:fldChar w:fldCharType="separate"/>
          </w:r>
          <w:r>
            <w:t>19</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"_Toc75776160" </w:instrText>
          </w:r>
          <w:r>
            <w:fldChar w:fldCharType="separate"/>
          </w:r>
          <w:r>
            <w:rPr>
              <w:rStyle w:val="19"/>
            </w:rPr>
            <w:t>培育发展商贸流通主体</w:t>
          </w:r>
          <w:r>
            <w:tab/>
          </w:r>
          <w:r>
            <w:fldChar w:fldCharType="begin"/>
          </w:r>
          <w:r>
            <w:instrText xml:space="preserve"> PAGEREF _Toc75776160 \h </w:instrText>
          </w:r>
          <w:r>
            <w:fldChar w:fldCharType="separate"/>
          </w:r>
          <w:r>
            <w:t>19</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"_Toc75776161" </w:instrText>
          </w:r>
          <w:r>
            <w:fldChar w:fldCharType="separate"/>
          </w:r>
          <w:r>
            <w:rPr>
              <w:rStyle w:val="19"/>
            </w:rPr>
            <w:t>打造专业市场集群</w:t>
          </w:r>
          <w:r>
            <w:tab/>
          </w:r>
          <w:r>
            <w:fldChar w:fldCharType="begin"/>
          </w:r>
          <w:r>
            <w:instrText xml:space="preserve"> PAGEREF _Toc75776161 \h </w:instrText>
          </w:r>
          <w:r>
            <w:fldChar w:fldCharType="separate"/>
          </w:r>
          <w:r>
            <w:t>20</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"_Toc75776162" </w:instrText>
          </w:r>
          <w:r>
            <w:fldChar w:fldCharType="separate"/>
          </w:r>
          <w:r>
            <w:rPr>
              <w:rStyle w:val="19"/>
            </w:rPr>
            <w:t>推进商品市场平台化发展</w:t>
          </w:r>
          <w:r>
            <w:tab/>
          </w:r>
          <w:r>
            <w:fldChar w:fldCharType="begin"/>
          </w:r>
          <w:r>
            <w:instrText xml:space="preserve"> PAGEREF _Toc75776162 \h </w:instrText>
          </w:r>
          <w:r>
            <w:fldChar w:fldCharType="separate"/>
          </w:r>
          <w:r>
            <w:t>20</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"_Toc75776163" </w:instrText>
          </w:r>
          <w:r>
            <w:fldChar w:fldCharType="separate"/>
          </w:r>
          <w:r>
            <w:rPr>
              <w:rStyle w:val="19"/>
            </w:rPr>
            <w:t>畅通商品内外双向流通</w:t>
          </w:r>
          <w:r>
            <w:tab/>
          </w:r>
          <w:r>
            <w:fldChar w:fldCharType="begin"/>
          </w:r>
          <w:r>
            <w:instrText xml:space="preserve"> PAGEREF _Toc75776163 \h </w:instrText>
          </w:r>
          <w:r>
            <w:fldChar w:fldCharType="separate"/>
          </w:r>
          <w:r>
            <w:t>21</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"_Toc75776164" </w:instrText>
          </w:r>
          <w:r>
            <w:fldChar w:fldCharType="separate"/>
          </w:r>
          <w:r>
            <w:rPr>
              <w:rStyle w:val="19"/>
            </w:rPr>
            <w:t>健全农产品流通网络</w:t>
          </w:r>
          <w:r>
            <w:tab/>
          </w:r>
          <w:r>
            <w:fldChar w:fldCharType="begin"/>
          </w:r>
          <w:r>
            <w:instrText xml:space="preserve"> PAGEREF _Toc75776164 \h </w:instrText>
          </w:r>
          <w:r>
            <w:fldChar w:fldCharType="separate"/>
          </w:r>
          <w:r>
            <w:t>21</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"_Toc75776165" </w:instrText>
          </w:r>
          <w:r>
            <w:fldChar w:fldCharType="separate"/>
          </w:r>
          <w:r>
            <w:rPr>
              <w:rStyle w:val="19"/>
            </w:rPr>
            <w:t>发展农产品冷链物流</w:t>
          </w:r>
          <w:r>
            <w:tab/>
          </w:r>
          <w:r>
            <w:fldChar w:fldCharType="begin"/>
          </w:r>
          <w:r>
            <w:instrText xml:space="preserve"> PAGEREF _Toc75776165 \h </w:instrText>
          </w:r>
          <w:r>
            <w:fldChar w:fldCharType="separate"/>
          </w:r>
          <w:r>
            <w:t>22</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"_Toc75776166" </w:instrText>
          </w:r>
          <w:r>
            <w:fldChar w:fldCharType="separate"/>
          </w:r>
          <w:r>
            <w:rPr>
              <w:rStyle w:val="19"/>
            </w:rPr>
            <w:t>推进电子商务与快递物流协同发展</w:t>
          </w:r>
          <w:r>
            <w:tab/>
          </w:r>
          <w:r>
            <w:fldChar w:fldCharType="begin"/>
          </w:r>
          <w:r>
            <w:instrText xml:space="preserve"> PAGEREF _Toc75776166 \h </w:instrText>
          </w:r>
          <w:r>
            <w:fldChar w:fldCharType="separate"/>
          </w:r>
          <w:r>
            <w:t>22</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"_Toc75776167" </w:instrText>
          </w:r>
          <w:r>
            <w:fldChar w:fldCharType="separate"/>
          </w:r>
          <w:r>
            <w:rPr>
              <w:rStyle w:val="19"/>
            </w:rPr>
            <w:t>第四节 优化消费服务供给</w:t>
          </w:r>
          <w:r>
            <w:tab/>
          </w:r>
          <w:r>
            <w:fldChar w:fldCharType="begin"/>
          </w:r>
          <w:r>
            <w:instrText xml:space="preserve"> PAGEREF _Toc75776167 \h </w:instrText>
          </w:r>
          <w:r>
            <w:fldChar w:fldCharType="separate"/>
          </w:r>
          <w:r>
            <w:t>23</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"_Toc75776168" </w:instrText>
          </w:r>
          <w:r>
            <w:fldChar w:fldCharType="separate"/>
          </w:r>
          <w:r>
            <w:rPr>
              <w:rStyle w:val="19"/>
            </w:rPr>
            <w:t>促进大宗消费提档升级</w:t>
          </w:r>
          <w:r>
            <w:tab/>
          </w:r>
          <w:r>
            <w:fldChar w:fldCharType="begin"/>
          </w:r>
          <w:r>
            <w:instrText xml:space="preserve"> PAGEREF _Toc75776168 \h </w:instrText>
          </w:r>
          <w:r>
            <w:fldChar w:fldCharType="separate"/>
          </w:r>
          <w:r>
            <w:t>23</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"_Toc75776169" </w:instrText>
          </w:r>
          <w:r>
            <w:fldChar w:fldCharType="separate"/>
          </w:r>
          <w:r>
            <w:rPr>
              <w:rStyle w:val="19"/>
            </w:rPr>
            <w:t>推进服务消费扩容提质</w:t>
          </w:r>
          <w:r>
            <w:tab/>
          </w:r>
          <w:r>
            <w:fldChar w:fldCharType="begin"/>
          </w:r>
          <w:r>
            <w:instrText xml:space="preserve"> PAGEREF _Toc75776169 \h </w:instrText>
          </w:r>
          <w:r>
            <w:fldChar w:fldCharType="separate"/>
          </w:r>
          <w:r>
            <w:t>23</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"_Toc75776170" </w:instrText>
          </w:r>
          <w:r>
            <w:fldChar w:fldCharType="separate"/>
          </w:r>
          <w:r>
            <w:rPr>
              <w:rStyle w:val="19"/>
            </w:rPr>
            <w:t>推动特色餐饮消费规范发展</w:t>
          </w:r>
          <w:r>
            <w:tab/>
          </w:r>
          <w:r>
            <w:fldChar w:fldCharType="begin"/>
          </w:r>
          <w:r>
            <w:instrText xml:space="preserve"> PAGEREF _Toc75776170 \h </w:instrText>
          </w:r>
          <w:r>
            <w:fldChar w:fldCharType="separate"/>
          </w:r>
          <w:r>
            <w:t>24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"_Toc75776171" </w:instrText>
          </w:r>
          <w:r>
            <w:fldChar w:fldCharType="separate"/>
          </w:r>
          <w:r>
            <w:rPr>
              <w:rStyle w:val="19"/>
            </w:rPr>
            <w:t>有序推进绿色消费</w:t>
          </w:r>
          <w:r>
            <w:tab/>
          </w:r>
          <w:r>
            <w:fldChar w:fldCharType="begin"/>
          </w:r>
          <w:r>
            <w:instrText xml:space="preserve"> PAGEREF _Toc75776171 \h </w:instrText>
          </w:r>
          <w:r>
            <w:fldChar w:fldCharType="separate"/>
          </w:r>
          <w:r>
            <w:t>24</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"_Toc75776172" </w:instrText>
          </w:r>
          <w:r>
            <w:fldChar w:fldCharType="separate"/>
          </w:r>
          <w:r>
            <w:rPr>
              <w:rStyle w:val="19"/>
            </w:rPr>
            <w:t>第五节 联动区域市场消费</w:t>
          </w:r>
          <w:r>
            <w:tab/>
          </w:r>
          <w:r>
            <w:fldChar w:fldCharType="begin"/>
          </w:r>
          <w:r>
            <w:instrText xml:space="preserve"> PAGEREF _Toc75776172 \h </w:instrText>
          </w:r>
          <w:r>
            <w:fldChar w:fldCharType="separate"/>
          </w:r>
          <w:r>
            <w:t>24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"_Toc75776173" </w:instrText>
          </w:r>
          <w:r>
            <w:fldChar w:fldCharType="separate"/>
          </w:r>
          <w:r>
            <w:rPr>
              <w:rStyle w:val="19"/>
            </w:rPr>
            <w:t>对接海南自贸港联动消费</w:t>
          </w:r>
          <w:r>
            <w:tab/>
          </w:r>
          <w:r>
            <w:fldChar w:fldCharType="begin"/>
          </w:r>
          <w:r>
            <w:instrText xml:space="preserve"> PAGEREF _Toc75776173 \h </w:instrText>
          </w:r>
          <w:r>
            <w:fldChar w:fldCharType="separate"/>
          </w:r>
          <w:r>
            <w:t>24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"_Toc75776174" </w:instrText>
          </w:r>
          <w:r>
            <w:fldChar w:fldCharType="separate"/>
          </w:r>
          <w:r>
            <w:rPr>
              <w:rStyle w:val="19"/>
            </w:rPr>
            <w:t>拓展北部湾旅游消费</w:t>
          </w:r>
          <w:r>
            <w:tab/>
          </w:r>
          <w:r>
            <w:fldChar w:fldCharType="begin"/>
          </w:r>
          <w:r>
            <w:instrText xml:space="preserve"> PAGEREF _Toc75776174 \h </w:instrText>
          </w:r>
          <w:r>
            <w:fldChar w:fldCharType="separate"/>
          </w:r>
          <w:r>
            <w:t>25</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"_Toc75776175" </w:instrText>
          </w:r>
          <w:r>
            <w:fldChar w:fldCharType="separate"/>
          </w:r>
          <w:r>
            <w:rPr>
              <w:rStyle w:val="19"/>
            </w:rPr>
            <w:t>保障“双区”资源需求</w:t>
          </w:r>
          <w:r>
            <w:tab/>
          </w:r>
          <w:r>
            <w:fldChar w:fldCharType="begin"/>
          </w:r>
          <w:r>
            <w:instrText xml:space="preserve"> PAGEREF _Toc75776175 \h </w:instrText>
          </w:r>
          <w:r>
            <w:fldChar w:fldCharType="separate"/>
          </w:r>
          <w:r>
            <w:t>25</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"_Toc75776176" </w:instrText>
          </w:r>
          <w:r>
            <w:fldChar w:fldCharType="separate"/>
          </w:r>
          <w:r>
            <w:rPr>
              <w:rStyle w:val="19"/>
            </w:rPr>
            <w:t>带动湛茂都市圈消费</w:t>
          </w:r>
          <w:r>
            <w:tab/>
          </w:r>
          <w:r>
            <w:fldChar w:fldCharType="begin"/>
          </w:r>
          <w:r>
            <w:instrText xml:space="preserve"> PAGEREF _Toc75776176 \h </w:instrText>
          </w:r>
          <w:r>
            <w:fldChar w:fldCharType="separate"/>
          </w:r>
          <w:r>
            <w:t>25</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"_Toc75776177" </w:instrText>
          </w:r>
          <w:r>
            <w:fldChar w:fldCharType="separate"/>
          </w:r>
          <w:r>
            <w:rPr>
              <w:rStyle w:val="19"/>
            </w:rPr>
            <w:t>衔接区域对口经贸协作</w:t>
          </w:r>
          <w:r>
            <w:tab/>
          </w:r>
          <w:r>
            <w:fldChar w:fldCharType="begin"/>
          </w:r>
          <w:r>
            <w:instrText xml:space="preserve"> PAGEREF _Toc75776177 \h </w:instrText>
          </w:r>
          <w:r>
            <w:fldChar w:fldCharType="separate"/>
          </w:r>
          <w:r>
            <w:t>25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"_Toc75776178" </w:instrText>
          </w:r>
          <w:r>
            <w:fldChar w:fldCharType="separate"/>
          </w:r>
          <w:r>
            <w:rPr>
              <w:rStyle w:val="19"/>
            </w:rPr>
            <w:t>第六节 优化消费环境</w:t>
          </w:r>
          <w:r>
            <w:tab/>
          </w:r>
          <w:r>
            <w:fldChar w:fldCharType="begin"/>
          </w:r>
          <w:r>
            <w:instrText xml:space="preserve"> PAGEREF _Toc75776178 \h </w:instrText>
          </w:r>
          <w:r>
            <w:fldChar w:fldCharType="separate"/>
          </w:r>
          <w:r>
            <w:t>26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"_Toc75776179" </w:instrText>
          </w:r>
          <w:r>
            <w:fldChar w:fldCharType="separate"/>
          </w:r>
          <w:r>
            <w:rPr>
              <w:rStyle w:val="19"/>
            </w:rPr>
            <w:t>加强消费市场信用体系建设</w:t>
          </w:r>
          <w:r>
            <w:tab/>
          </w:r>
          <w:r>
            <w:fldChar w:fldCharType="begin"/>
          </w:r>
          <w:r>
            <w:instrText xml:space="preserve"> PAGEREF _Toc75776179 \h </w:instrText>
          </w:r>
          <w:r>
            <w:fldChar w:fldCharType="separate"/>
          </w:r>
          <w:r>
            <w:t>26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"_Toc75776180" </w:instrText>
          </w:r>
          <w:r>
            <w:fldChar w:fldCharType="separate"/>
          </w:r>
          <w:r>
            <w:rPr>
              <w:rStyle w:val="19"/>
            </w:rPr>
            <w:t>有序推进肉菜追溯体系建设</w:t>
          </w:r>
          <w:r>
            <w:tab/>
          </w:r>
          <w:r>
            <w:fldChar w:fldCharType="begin"/>
          </w:r>
          <w:r>
            <w:instrText xml:space="preserve"> PAGEREF _Toc75776180 \h </w:instrText>
          </w:r>
          <w:r>
            <w:fldChar w:fldCharType="separate"/>
          </w:r>
          <w:r>
            <w:t>26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"_Toc75776181" </w:instrText>
          </w:r>
          <w:r>
            <w:fldChar w:fldCharType="separate"/>
          </w:r>
          <w:r>
            <w:rPr>
              <w:rStyle w:val="19"/>
            </w:rPr>
            <w:t>创新市场应急调控机制</w:t>
          </w:r>
          <w:r>
            <w:tab/>
          </w:r>
          <w:r>
            <w:fldChar w:fldCharType="begin"/>
          </w:r>
          <w:r>
            <w:instrText xml:space="preserve"> PAGEREF _Toc75776181 \h </w:instrText>
          </w:r>
          <w:r>
            <w:fldChar w:fldCharType="separate"/>
          </w:r>
          <w:r>
            <w:t>27</w:t>
          </w:r>
          <w:r>
            <w:fldChar w:fldCharType="end"/>
          </w:r>
          <w:r>
            <w:fldChar w:fldCharType="end"/>
          </w:r>
        </w:p>
        <w:p>
          <w:pPr>
            <w:pStyle w:val="10"/>
            <w:tabs>
              <w:tab w:val="right" w:leader="dot" w:pos="8296"/>
            </w:tabs>
            <w:rPr>
              <w:rFonts w:cstheme="minorBidi"/>
              <w:kern w:val="2"/>
              <w:sz w:val="21"/>
            </w:rPr>
          </w:pPr>
          <w:r>
            <w:fldChar w:fldCharType="begin"/>
          </w:r>
          <w:r>
            <w:instrText xml:space="preserve"> HYPERLINK \l "_Toc75776182" </w:instrText>
          </w:r>
          <w:r>
            <w:fldChar w:fldCharType="separate"/>
          </w:r>
          <w:r>
            <w:rPr>
              <w:rStyle w:val="19"/>
            </w:rPr>
            <w:t>第四章 构建更高水平开放型经济新体制</w:t>
          </w:r>
          <w:r>
            <w:tab/>
          </w:r>
          <w:r>
            <w:fldChar w:fldCharType="begin"/>
          </w:r>
          <w:r>
            <w:instrText xml:space="preserve"> PAGEREF _Toc75776182 \h </w:instrText>
          </w:r>
          <w:r>
            <w:fldChar w:fldCharType="separate"/>
          </w:r>
          <w:r>
            <w:t>27</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"_Toc75776183" </w:instrText>
          </w:r>
          <w:r>
            <w:fldChar w:fldCharType="separate"/>
          </w:r>
          <w:r>
            <w:rPr>
              <w:rStyle w:val="19"/>
            </w:rPr>
            <w:t>第一节 推进对外贸易高质量发展</w:t>
          </w:r>
          <w:r>
            <w:tab/>
          </w:r>
          <w:r>
            <w:fldChar w:fldCharType="begin"/>
          </w:r>
          <w:r>
            <w:instrText xml:space="preserve"> PAGEREF _Toc75776183 \h </w:instrText>
          </w:r>
          <w:r>
            <w:fldChar w:fldCharType="separate"/>
          </w:r>
          <w:r>
            <w:t>28</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"_Toc75776184" </w:instrText>
          </w:r>
          <w:r>
            <w:fldChar w:fldCharType="separate"/>
          </w:r>
          <w:r>
            <w:rPr>
              <w:rStyle w:val="19"/>
            </w:rPr>
            <w:t>壮大外贸主导产业</w:t>
          </w:r>
          <w:r>
            <w:tab/>
          </w:r>
          <w:r>
            <w:fldChar w:fldCharType="begin"/>
          </w:r>
          <w:r>
            <w:instrText xml:space="preserve"> PAGEREF _Toc75776184 \h </w:instrText>
          </w:r>
          <w:r>
            <w:fldChar w:fldCharType="separate"/>
          </w:r>
          <w:r>
            <w:t>28</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"_Toc75776185" </w:instrText>
          </w:r>
          <w:r>
            <w:fldChar w:fldCharType="separate"/>
          </w:r>
          <w:r>
            <w:rPr>
              <w:rStyle w:val="19"/>
            </w:rPr>
            <w:t>推动传统出口产业转型升级</w:t>
          </w:r>
          <w:r>
            <w:tab/>
          </w:r>
          <w:r>
            <w:fldChar w:fldCharType="begin"/>
          </w:r>
          <w:r>
            <w:instrText xml:space="preserve"> PAGEREF _Toc75776185 \h </w:instrText>
          </w:r>
          <w:r>
            <w:fldChar w:fldCharType="separate"/>
          </w:r>
          <w:r>
            <w:t>28</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"_Toc75776186" </w:instrText>
          </w:r>
          <w:r>
            <w:fldChar w:fldCharType="separate"/>
          </w:r>
          <w:r>
            <w:rPr>
              <w:rStyle w:val="19"/>
            </w:rPr>
            <w:t>培育特色外向型产业集群</w:t>
          </w:r>
          <w:r>
            <w:tab/>
          </w:r>
          <w:r>
            <w:fldChar w:fldCharType="begin"/>
          </w:r>
          <w:r>
            <w:instrText xml:space="preserve"> PAGEREF _Toc75776186 \h </w:instrText>
          </w:r>
          <w:r>
            <w:fldChar w:fldCharType="separate"/>
          </w:r>
          <w:r>
            <w:t>29</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"_Toc75776187" </w:instrText>
          </w:r>
          <w:r>
            <w:fldChar w:fldCharType="separate"/>
          </w:r>
          <w:r>
            <w:rPr>
              <w:rStyle w:val="19"/>
            </w:rPr>
            <w:t>促进贸易均衡协调发展</w:t>
          </w:r>
          <w:r>
            <w:tab/>
          </w:r>
          <w:r>
            <w:fldChar w:fldCharType="begin"/>
          </w:r>
          <w:r>
            <w:instrText xml:space="preserve"> PAGEREF _Toc75776187 \h </w:instrText>
          </w:r>
          <w:r>
            <w:fldChar w:fldCharType="separate"/>
          </w:r>
          <w:r>
            <w:t>29</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"_Toc75776188" </w:instrText>
          </w:r>
          <w:r>
            <w:fldChar w:fldCharType="separate"/>
          </w:r>
          <w:r>
            <w:rPr>
              <w:rStyle w:val="19"/>
            </w:rPr>
            <w:t>培育发展贸易新业态新模式</w:t>
          </w:r>
          <w:r>
            <w:tab/>
          </w:r>
          <w:r>
            <w:fldChar w:fldCharType="begin"/>
          </w:r>
          <w:r>
            <w:instrText xml:space="preserve"> PAGEREF _Toc75776188 \h </w:instrText>
          </w:r>
          <w:r>
            <w:fldChar w:fldCharType="separate"/>
          </w:r>
          <w:r>
            <w:t>30</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"_Toc75776189" </w:instrText>
          </w:r>
          <w:r>
            <w:fldChar w:fldCharType="separate"/>
          </w:r>
          <w:r>
            <w:rPr>
              <w:rStyle w:val="19"/>
            </w:rPr>
            <w:t>大力发展服务贸易</w:t>
          </w:r>
          <w:r>
            <w:tab/>
          </w:r>
          <w:r>
            <w:fldChar w:fldCharType="begin"/>
          </w:r>
          <w:r>
            <w:instrText xml:space="preserve"> PAGEREF _Toc75776189 \h </w:instrText>
          </w:r>
          <w:r>
            <w:fldChar w:fldCharType="separate"/>
          </w:r>
          <w:r>
            <w:t>30</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"_Toc75776190" </w:instrText>
          </w:r>
          <w:r>
            <w:fldChar w:fldCharType="separate"/>
          </w:r>
          <w:r>
            <w:rPr>
              <w:rStyle w:val="19"/>
            </w:rPr>
            <w:t>搭建内外贸对接平台</w:t>
          </w:r>
          <w:r>
            <w:tab/>
          </w:r>
          <w:r>
            <w:fldChar w:fldCharType="begin"/>
          </w:r>
          <w:r>
            <w:instrText xml:space="preserve"> PAGEREF _Toc75776190 \h </w:instrText>
          </w:r>
          <w:r>
            <w:fldChar w:fldCharType="separate"/>
          </w:r>
          <w:r>
            <w:t>31</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"_Toc75776191" </w:instrText>
          </w:r>
          <w:r>
            <w:fldChar w:fldCharType="separate"/>
          </w:r>
          <w:r>
            <w:rPr>
              <w:rStyle w:val="19"/>
            </w:rPr>
            <w:t>加强贸易风险应对和防范</w:t>
          </w:r>
          <w:r>
            <w:tab/>
          </w:r>
          <w:r>
            <w:fldChar w:fldCharType="begin"/>
          </w:r>
          <w:r>
            <w:instrText xml:space="preserve"> PAGEREF _Toc75776191 \h </w:instrText>
          </w:r>
          <w:r>
            <w:fldChar w:fldCharType="separate"/>
          </w:r>
          <w:r>
            <w:t>31</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"_Toc75776192" </w:instrText>
          </w:r>
          <w:r>
            <w:fldChar w:fldCharType="separate"/>
          </w:r>
          <w:r>
            <w:rPr>
              <w:rStyle w:val="19"/>
            </w:rPr>
            <w:t>促进外贸统计数据回归</w:t>
          </w:r>
          <w:r>
            <w:tab/>
          </w:r>
          <w:r>
            <w:fldChar w:fldCharType="begin"/>
          </w:r>
          <w:r>
            <w:instrText xml:space="preserve"> PAGEREF _Toc75776192 \h </w:instrText>
          </w:r>
          <w:r>
            <w:fldChar w:fldCharType="separate"/>
          </w:r>
          <w:r>
            <w:t>32</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"_Toc75776193" </w:instrText>
          </w:r>
          <w:r>
            <w:fldChar w:fldCharType="separate"/>
          </w:r>
          <w:r>
            <w:rPr>
              <w:rStyle w:val="19"/>
            </w:rPr>
            <w:t>第二节 提升利用外资质量和效益</w:t>
          </w:r>
          <w:r>
            <w:tab/>
          </w:r>
          <w:r>
            <w:fldChar w:fldCharType="begin"/>
          </w:r>
          <w:r>
            <w:instrText xml:space="preserve"> PAGEREF _Toc75776193 \h </w:instrText>
          </w:r>
          <w:r>
            <w:fldChar w:fldCharType="separate"/>
          </w:r>
          <w:r>
            <w:t>32</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"_Toc75776194" </w:instrText>
          </w:r>
          <w:r>
            <w:fldChar w:fldCharType="separate"/>
          </w:r>
          <w:r>
            <w:rPr>
              <w:rStyle w:val="19"/>
            </w:rPr>
            <w:t>进一步拓宽对外开放领域</w:t>
          </w:r>
          <w:r>
            <w:tab/>
          </w:r>
          <w:r>
            <w:fldChar w:fldCharType="begin"/>
          </w:r>
          <w:r>
            <w:instrText xml:space="preserve"> PAGEREF _Toc75776194 \h </w:instrText>
          </w:r>
          <w:r>
            <w:fldChar w:fldCharType="separate"/>
          </w:r>
          <w:r>
            <w:t>32</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"_Toc75776195" </w:instrText>
          </w:r>
          <w:r>
            <w:fldChar w:fldCharType="separate"/>
          </w:r>
          <w:r>
            <w:rPr>
              <w:rStyle w:val="19"/>
            </w:rPr>
            <w:t>推进经济功能区创新发展</w:t>
          </w:r>
          <w:r>
            <w:tab/>
          </w:r>
          <w:r>
            <w:fldChar w:fldCharType="begin"/>
          </w:r>
          <w:r>
            <w:instrText xml:space="preserve"> PAGEREF _Toc75776195 \h </w:instrText>
          </w:r>
          <w:r>
            <w:fldChar w:fldCharType="separate"/>
          </w:r>
          <w:r>
            <w:t>32</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"_Toc75776196" </w:instrText>
          </w:r>
          <w:r>
            <w:fldChar w:fldCharType="separate"/>
          </w:r>
          <w:r>
            <w:rPr>
              <w:rStyle w:val="19"/>
            </w:rPr>
            <w:t>促进投资与产业有效互动</w:t>
          </w:r>
          <w:r>
            <w:tab/>
          </w:r>
          <w:r>
            <w:fldChar w:fldCharType="begin"/>
          </w:r>
          <w:r>
            <w:instrText xml:space="preserve"> PAGEREF _Toc75776196 \h </w:instrText>
          </w:r>
          <w:r>
            <w:fldChar w:fldCharType="separate"/>
          </w:r>
          <w:r>
            <w:t>33</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"_Toc75776197" </w:instrText>
          </w:r>
          <w:r>
            <w:fldChar w:fldCharType="separate"/>
          </w:r>
          <w:r>
            <w:rPr>
              <w:rStyle w:val="19"/>
            </w:rPr>
            <w:t>创新投资促进机制</w:t>
          </w:r>
          <w:r>
            <w:tab/>
          </w:r>
          <w:r>
            <w:fldChar w:fldCharType="begin"/>
          </w:r>
          <w:r>
            <w:instrText xml:space="preserve"> PAGEREF _Toc75776197 \h </w:instrText>
          </w:r>
          <w:r>
            <w:fldChar w:fldCharType="separate"/>
          </w:r>
          <w:r>
            <w:t>33</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"_Toc75776198" </w:instrText>
          </w:r>
          <w:r>
            <w:fldChar w:fldCharType="separate"/>
          </w:r>
          <w:r>
            <w:rPr>
              <w:rStyle w:val="19"/>
            </w:rPr>
            <w:t>提高外资项目服务水平</w:t>
          </w:r>
          <w:r>
            <w:tab/>
          </w:r>
          <w:r>
            <w:fldChar w:fldCharType="begin"/>
          </w:r>
          <w:r>
            <w:instrText xml:space="preserve"> PAGEREF _Toc75776198 \h </w:instrText>
          </w:r>
          <w:r>
            <w:fldChar w:fldCharType="separate"/>
          </w:r>
          <w:r>
            <w:t>34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"_Toc75776199" </w:instrText>
          </w:r>
          <w:r>
            <w:fldChar w:fldCharType="separate"/>
          </w:r>
          <w:r>
            <w:rPr>
              <w:rStyle w:val="19"/>
            </w:rPr>
            <w:t>保障外商投资合法权益</w:t>
          </w:r>
          <w:r>
            <w:tab/>
          </w:r>
          <w:r>
            <w:fldChar w:fldCharType="begin"/>
          </w:r>
          <w:r>
            <w:instrText xml:space="preserve"> PAGEREF _Toc75776199 \h </w:instrText>
          </w:r>
          <w:r>
            <w:fldChar w:fldCharType="separate"/>
          </w:r>
          <w:r>
            <w:t>34</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"_Toc75776200" </w:instrText>
          </w:r>
          <w:r>
            <w:fldChar w:fldCharType="separate"/>
          </w:r>
          <w:r>
            <w:rPr>
              <w:rStyle w:val="19"/>
              <w:rFonts w:hAnsi="楷体"/>
            </w:rPr>
            <w:t xml:space="preserve">第三节 </w:t>
          </w:r>
          <w:r>
            <w:rPr>
              <w:rStyle w:val="19"/>
            </w:rPr>
            <w:t>有序推进对外投资</w:t>
          </w:r>
          <w:r>
            <w:tab/>
          </w:r>
          <w:r>
            <w:fldChar w:fldCharType="begin"/>
          </w:r>
          <w:r>
            <w:instrText xml:space="preserve"> PAGEREF _Toc75776200 \h </w:instrText>
          </w:r>
          <w:r>
            <w:fldChar w:fldCharType="separate"/>
          </w:r>
          <w:r>
            <w:t>34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"_Toc75776201" </w:instrText>
          </w:r>
          <w:r>
            <w:fldChar w:fldCharType="separate"/>
          </w:r>
          <w:r>
            <w:rPr>
              <w:rStyle w:val="19"/>
            </w:rPr>
            <w:t>推动对外投资创新发展</w:t>
          </w:r>
          <w:r>
            <w:tab/>
          </w:r>
          <w:r>
            <w:fldChar w:fldCharType="begin"/>
          </w:r>
          <w:r>
            <w:instrText xml:space="preserve"> PAGEREF _Toc75776201 \h </w:instrText>
          </w:r>
          <w:r>
            <w:fldChar w:fldCharType="separate"/>
          </w:r>
          <w:r>
            <w:t>34</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"_Toc75776202" </w:instrText>
          </w:r>
          <w:r>
            <w:fldChar w:fldCharType="separate"/>
          </w:r>
          <w:r>
            <w:rPr>
              <w:rStyle w:val="19"/>
            </w:rPr>
            <w:t>健全走出去服务和安全保障体系</w:t>
          </w:r>
          <w:r>
            <w:tab/>
          </w:r>
          <w:r>
            <w:fldChar w:fldCharType="begin"/>
          </w:r>
          <w:r>
            <w:instrText xml:space="preserve"> PAGEREF _Toc75776202 \h </w:instrText>
          </w:r>
          <w:r>
            <w:fldChar w:fldCharType="separate"/>
          </w:r>
          <w:r>
            <w:t>35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"_Toc75776203" </w:instrText>
          </w:r>
          <w:r>
            <w:fldChar w:fldCharType="separate"/>
          </w:r>
          <w:r>
            <w:rPr>
              <w:rStyle w:val="19"/>
            </w:rPr>
            <w:t>第四节 提高通关便利化水平</w:t>
          </w:r>
          <w:r>
            <w:tab/>
          </w:r>
          <w:r>
            <w:fldChar w:fldCharType="begin"/>
          </w:r>
          <w:r>
            <w:instrText xml:space="preserve"> PAGEREF _Toc75776203 \h </w:instrText>
          </w:r>
          <w:r>
            <w:fldChar w:fldCharType="separate"/>
          </w:r>
          <w:r>
            <w:t>35</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"_Toc75776204" </w:instrText>
          </w:r>
          <w:r>
            <w:fldChar w:fldCharType="separate"/>
          </w:r>
          <w:r>
            <w:rPr>
              <w:rStyle w:val="19"/>
            </w:rPr>
            <w:t>推进口岸对外开放建设</w:t>
          </w:r>
          <w:r>
            <w:tab/>
          </w:r>
          <w:r>
            <w:fldChar w:fldCharType="begin"/>
          </w:r>
          <w:r>
            <w:instrText xml:space="preserve"> PAGEREF _Toc75776204 \h </w:instrText>
          </w:r>
          <w:r>
            <w:fldChar w:fldCharType="separate"/>
          </w:r>
          <w:r>
            <w:t>35</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"_Toc75776205" </w:instrText>
          </w:r>
          <w:r>
            <w:fldChar w:fldCharType="separate"/>
          </w:r>
          <w:r>
            <w:rPr>
              <w:rStyle w:val="19"/>
            </w:rPr>
            <w:t>持续促进口岸提效降费</w:t>
          </w:r>
          <w:r>
            <w:tab/>
          </w:r>
          <w:r>
            <w:fldChar w:fldCharType="begin"/>
          </w:r>
          <w:r>
            <w:instrText xml:space="preserve"> PAGEREF _Toc75776205 \h </w:instrText>
          </w:r>
          <w:r>
            <w:fldChar w:fldCharType="separate"/>
          </w:r>
          <w:r>
            <w:t>36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"_Toc75776206" </w:instrText>
          </w:r>
          <w:r>
            <w:fldChar w:fldCharType="separate"/>
          </w:r>
          <w:r>
            <w:rPr>
              <w:rStyle w:val="19"/>
            </w:rPr>
            <w:t>深入建设国际贸易“单一窗口”</w:t>
          </w:r>
          <w:r>
            <w:tab/>
          </w:r>
          <w:r>
            <w:fldChar w:fldCharType="begin"/>
          </w:r>
          <w:r>
            <w:instrText xml:space="preserve"> PAGEREF _Toc75776206 \h </w:instrText>
          </w:r>
          <w:r>
            <w:fldChar w:fldCharType="separate"/>
          </w:r>
          <w:r>
            <w:t>36</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"_Toc75776207" </w:instrText>
          </w:r>
          <w:r>
            <w:fldChar w:fldCharType="separate"/>
          </w:r>
          <w:r>
            <w:rPr>
              <w:rStyle w:val="19"/>
            </w:rPr>
            <w:t>进一步完善口岸通关数据库建设</w:t>
          </w:r>
          <w:r>
            <w:tab/>
          </w:r>
          <w:r>
            <w:fldChar w:fldCharType="begin"/>
          </w:r>
          <w:r>
            <w:instrText xml:space="preserve"> PAGEREF _Toc75776207 \h </w:instrText>
          </w:r>
          <w:r>
            <w:fldChar w:fldCharType="separate"/>
          </w:r>
          <w:r>
            <w:t>36</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"_Toc75776208" </w:instrText>
          </w:r>
          <w:r>
            <w:fldChar w:fldCharType="separate"/>
          </w:r>
          <w:r>
            <w:rPr>
              <w:rStyle w:val="19"/>
            </w:rPr>
            <w:t>第五节 构建高水平开放平台</w:t>
          </w:r>
          <w:r>
            <w:tab/>
          </w:r>
          <w:r>
            <w:fldChar w:fldCharType="begin"/>
          </w:r>
          <w:r>
            <w:instrText xml:space="preserve"> PAGEREF _Toc75776208 \h </w:instrText>
          </w:r>
          <w:r>
            <w:fldChar w:fldCharType="separate"/>
          </w:r>
          <w:r>
            <w:t>37</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"_Toc75776209" </w:instrText>
          </w:r>
          <w:r>
            <w:fldChar w:fldCharType="separate"/>
          </w:r>
          <w:r>
            <w:rPr>
              <w:rStyle w:val="19"/>
            </w:rPr>
            <w:t>拓展湛江保税物流中心（B型）发展空间</w:t>
          </w:r>
          <w:r>
            <w:tab/>
          </w:r>
          <w:r>
            <w:fldChar w:fldCharType="begin"/>
          </w:r>
          <w:r>
            <w:instrText xml:space="preserve"> PAGEREF _Toc75776209 \h </w:instrText>
          </w:r>
          <w:r>
            <w:fldChar w:fldCharType="separate"/>
          </w:r>
          <w:r>
            <w:t>37</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"_Toc75776210" </w:instrText>
          </w:r>
          <w:r>
            <w:fldChar w:fldCharType="separate"/>
          </w:r>
          <w:r>
            <w:rPr>
              <w:rStyle w:val="19"/>
            </w:rPr>
            <w:t>高水平建设综合保税区</w:t>
          </w:r>
          <w:r>
            <w:tab/>
          </w:r>
          <w:r>
            <w:fldChar w:fldCharType="begin"/>
          </w:r>
          <w:r>
            <w:instrText xml:space="preserve"> PAGEREF _Toc75776210 \h </w:instrText>
          </w:r>
          <w:r>
            <w:fldChar w:fldCharType="separate"/>
          </w:r>
          <w:r>
            <w:t>37</w:t>
          </w:r>
          <w:r>
            <w:fldChar w:fldCharType="end"/>
          </w:r>
          <w:r>
            <w:fldChar w:fldCharType="end"/>
          </w:r>
        </w:p>
        <w:p>
          <w:pPr>
            <w:pStyle w:val="6"/>
            <w:tabs>
              <w:tab w:val="right" w:leader="dot" w:pos="8296"/>
            </w:tabs>
            <w:rPr>
              <w:rFonts w:cstheme="minorBidi"/>
              <w:kern w:val="2"/>
              <w:sz w:val="21"/>
            </w:rPr>
          </w:pPr>
          <w:r>
            <w:fldChar w:fldCharType="begin"/>
          </w:r>
          <w:r>
            <w:instrText xml:space="preserve"> HYPERLINK \l "_Toc75776211" </w:instrText>
          </w:r>
          <w:r>
            <w:fldChar w:fldCharType="separate"/>
          </w:r>
          <w:r>
            <w:rPr>
              <w:rStyle w:val="19"/>
            </w:rPr>
            <w:t>争取纳入广东自贸区扩区的片区</w:t>
          </w:r>
          <w:r>
            <w:tab/>
          </w:r>
          <w:r>
            <w:fldChar w:fldCharType="begin"/>
          </w:r>
          <w:r>
            <w:instrText xml:space="preserve"> PAGEREF _Toc75776211 \h </w:instrText>
          </w:r>
          <w:r>
            <w:fldChar w:fldCharType="separate"/>
          </w:r>
          <w:r>
            <w:t>37</w:t>
          </w:r>
          <w:r>
            <w:fldChar w:fldCharType="end"/>
          </w:r>
          <w:r>
            <w:fldChar w:fldCharType="end"/>
          </w:r>
        </w:p>
        <w:p>
          <w:pPr>
            <w:pStyle w:val="10"/>
            <w:tabs>
              <w:tab w:val="right" w:leader="dot" w:pos="8296"/>
            </w:tabs>
            <w:rPr>
              <w:rFonts w:cstheme="minorBidi"/>
              <w:kern w:val="2"/>
              <w:sz w:val="21"/>
            </w:rPr>
          </w:pPr>
          <w:r>
            <w:fldChar w:fldCharType="begin"/>
          </w:r>
          <w:r>
            <w:instrText xml:space="preserve"> HYPERLINK \l "_Toc75776212" </w:instrText>
          </w:r>
          <w:r>
            <w:fldChar w:fldCharType="separate"/>
          </w:r>
          <w:r>
            <w:rPr>
              <w:rStyle w:val="19"/>
            </w:rPr>
            <w:t>第五章 保障措施</w:t>
          </w:r>
          <w:r>
            <w:tab/>
          </w:r>
          <w:r>
            <w:fldChar w:fldCharType="begin"/>
          </w:r>
          <w:r>
            <w:instrText xml:space="preserve"> PAGEREF _Toc75776212 \h </w:instrText>
          </w:r>
          <w:r>
            <w:fldChar w:fldCharType="separate"/>
          </w:r>
          <w:r>
            <w:t>38</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"_Toc75776213" </w:instrText>
          </w:r>
          <w:r>
            <w:fldChar w:fldCharType="separate"/>
          </w:r>
          <w:r>
            <w:rPr>
              <w:rStyle w:val="19"/>
            </w:rPr>
            <w:t>第一节 加强党对商务工作的领导</w:t>
          </w:r>
          <w:r>
            <w:tab/>
          </w:r>
          <w:r>
            <w:fldChar w:fldCharType="begin"/>
          </w:r>
          <w:r>
            <w:instrText xml:space="preserve"> PAGEREF _Toc75776213 \h </w:instrText>
          </w:r>
          <w:r>
            <w:fldChar w:fldCharType="separate"/>
          </w:r>
          <w:r>
            <w:t>38</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"_Toc75776214" </w:instrText>
          </w:r>
          <w:r>
            <w:fldChar w:fldCharType="separate"/>
          </w:r>
          <w:r>
            <w:rPr>
              <w:rStyle w:val="19"/>
              <w:rFonts w:hAnsi="Times New Roman"/>
            </w:rPr>
            <w:t xml:space="preserve">第二节 </w:t>
          </w:r>
          <w:r>
            <w:rPr>
              <w:rStyle w:val="19"/>
            </w:rPr>
            <w:t>加强行业组织自律</w:t>
          </w:r>
          <w:r>
            <w:tab/>
          </w:r>
          <w:r>
            <w:fldChar w:fldCharType="begin"/>
          </w:r>
          <w:r>
            <w:instrText xml:space="preserve"> PAGEREF _Toc75776214 \h </w:instrText>
          </w:r>
          <w:r>
            <w:fldChar w:fldCharType="separate"/>
          </w:r>
          <w:r>
            <w:t>39</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"_Toc75776215" </w:instrText>
          </w:r>
          <w:r>
            <w:fldChar w:fldCharType="separate"/>
          </w:r>
          <w:r>
            <w:rPr>
              <w:rStyle w:val="19"/>
            </w:rPr>
            <w:t>第三节 加强商务宣传联动</w:t>
          </w:r>
          <w:r>
            <w:tab/>
          </w:r>
          <w:r>
            <w:fldChar w:fldCharType="begin"/>
          </w:r>
          <w:r>
            <w:instrText xml:space="preserve"> PAGEREF _Toc75776215 \h </w:instrText>
          </w:r>
          <w:r>
            <w:fldChar w:fldCharType="separate"/>
          </w:r>
          <w:r>
            <w:t>39</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"_Toc75776216" </w:instrText>
          </w:r>
          <w:r>
            <w:fldChar w:fldCharType="separate"/>
          </w:r>
          <w:r>
            <w:rPr>
              <w:rStyle w:val="19"/>
            </w:rPr>
            <w:t>第四节 加强规划实施和督导</w:t>
          </w:r>
          <w:r>
            <w:tab/>
          </w:r>
          <w:r>
            <w:fldChar w:fldCharType="begin"/>
          </w:r>
          <w:r>
            <w:instrText xml:space="preserve"> PAGEREF _Toc75776216 \h </w:instrText>
          </w:r>
          <w:r>
            <w:fldChar w:fldCharType="separate"/>
          </w:r>
          <w:r>
            <w:t>39</w:t>
          </w:r>
          <w:r>
            <w:fldChar w:fldCharType="end"/>
          </w:r>
          <w:r>
            <w:fldChar w:fldCharType="end"/>
          </w:r>
        </w:p>
        <w:p>
          <w:pPr>
            <w:rPr>
              <w:sz w:val="32"/>
              <w:szCs w:val="32"/>
            </w:rPr>
          </w:pPr>
          <w:r>
            <w:rPr>
              <w:b/>
              <w:bCs/>
              <w:sz w:val="32"/>
              <w:szCs w:val="32"/>
              <w:lang w:val="zh-CN"/>
            </w:rPr>
            <w:fldChar w:fldCharType="end"/>
          </w:r>
        </w:p>
      </w:sdtContent>
    </w:sdt>
    <w:bookmarkEnd w:id="1"/>
    <w:p>
      <w:pPr>
        <w:pStyle w:val="2"/>
        <w:rPr>
          <w:sz w:val="32"/>
          <w:szCs w:val="32"/>
        </w:rPr>
        <w:sectPr>
          <w:pgSz w:w="11906" w:h="16838"/>
          <w:pgMar w:top="1440" w:right="1800" w:bottom="1440" w:left="1800" w:header="851" w:footer="992" w:gutter="0"/>
          <w:pgNumType w:start="0"/>
          <w:cols w:space="425" w:num="1"/>
          <w:docGrid w:type="lines" w:linePitch="312" w:charSpace="0"/>
        </w:sectPr>
      </w:pPr>
    </w:p>
    <w:p>
      <w:pPr>
        <w:spacing w:line="600" w:lineRule="exact"/>
        <w:ind w:firstLine="640" w:firstLineChars="200"/>
        <w:rPr>
          <w:rFonts w:eastAsia="FangSong_GB2312"/>
          <w:sz w:val="32"/>
          <w:szCs w:val="21"/>
        </w:rPr>
      </w:pPr>
      <w:r>
        <w:rPr>
          <w:rFonts w:hint="eastAsia" w:eastAsia="FangSong_GB2312"/>
          <w:sz w:val="32"/>
          <w:szCs w:val="21"/>
        </w:rPr>
        <w:t>湛江市</w:t>
      </w:r>
      <w:r>
        <w:rPr>
          <w:rFonts w:eastAsia="FangSong_GB2312"/>
          <w:sz w:val="32"/>
          <w:szCs w:val="21"/>
        </w:rPr>
        <w:t>商务发展第十</w:t>
      </w:r>
      <w:r>
        <w:rPr>
          <w:rFonts w:hint="eastAsia" w:eastAsia="FangSong_GB2312"/>
          <w:sz w:val="32"/>
          <w:szCs w:val="21"/>
        </w:rPr>
        <w:t>四</w:t>
      </w:r>
      <w:r>
        <w:rPr>
          <w:rFonts w:eastAsia="FangSong_GB2312"/>
          <w:sz w:val="32"/>
          <w:szCs w:val="21"/>
        </w:rPr>
        <w:t>个五年（</w:t>
      </w:r>
      <w:r>
        <w:rPr>
          <w:rFonts w:hint="eastAsia" w:eastAsia="FangSong_GB2312"/>
          <w:sz w:val="32"/>
          <w:szCs w:val="21"/>
        </w:rPr>
        <w:t>2</w:t>
      </w:r>
      <w:r>
        <w:rPr>
          <w:rFonts w:eastAsia="FangSong_GB2312"/>
          <w:sz w:val="32"/>
          <w:szCs w:val="21"/>
        </w:rPr>
        <w:t>021-2025年）规划</w:t>
      </w:r>
      <w:r>
        <w:rPr>
          <w:rFonts w:hint="eastAsia" w:eastAsia="FangSong_GB2312"/>
          <w:sz w:val="32"/>
          <w:szCs w:val="21"/>
        </w:rPr>
        <w:t>是</w:t>
      </w:r>
      <w:r>
        <w:rPr>
          <w:rFonts w:eastAsia="FangSong_GB2312"/>
          <w:sz w:val="32"/>
          <w:szCs w:val="21"/>
        </w:rPr>
        <w:t>根据《</w:t>
      </w:r>
      <w:r>
        <w:rPr>
          <w:rFonts w:hint="eastAsia" w:eastAsia="FangSong_GB2312"/>
          <w:sz w:val="32"/>
          <w:szCs w:val="21"/>
        </w:rPr>
        <w:t>湛江市国民经济和社会发展第十四个五年规则纲要》、《广东省商务发展</w:t>
      </w:r>
      <w:r>
        <w:rPr>
          <w:rFonts w:eastAsia="FangSong_GB2312"/>
          <w:sz w:val="32"/>
          <w:szCs w:val="21"/>
        </w:rPr>
        <w:t>第十</w:t>
      </w:r>
      <w:r>
        <w:rPr>
          <w:rFonts w:hint="eastAsia" w:eastAsia="FangSong_GB2312"/>
          <w:sz w:val="32"/>
          <w:szCs w:val="21"/>
        </w:rPr>
        <w:t>四</w:t>
      </w:r>
      <w:r>
        <w:rPr>
          <w:rFonts w:eastAsia="FangSong_GB2312"/>
          <w:sz w:val="32"/>
          <w:szCs w:val="21"/>
        </w:rPr>
        <w:t>个五年规划》编制，主要</w:t>
      </w:r>
      <w:r>
        <w:rPr>
          <w:rFonts w:hint="eastAsia" w:eastAsia="FangSong_GB2312"/>
          <w:sz w:val="32"/>
          <w:szCs w:val="21"/>
        </w:rPr>
        <w:t>明确“十四五”</w:t>
      </w:r>
      <w:r>
        <w:rPr>
          <w:rFonts w:eastAsia="FangSong_GB2312"/>
          <w:sz w:val="32"/>
          <w:szCs w:val="21"/>
        </w:rPr>
        <w:t>时期</w:t>
      </w:r>
      <w:r>
        <w:rPr>
          <w:rFonts w:hint="eastAsia" w:eastAsia="FangSong_GB2312"/>
          <w:sz w:val="32"/>
          <w:szCs w:val="21"/>
        </w:rPr>
        <w:t>湛江</w:t>
      </w:r>
      <w:r>
        <w:rPr>
          <w:rFonts w:eastAsia="FangSong_GB2312"/>
          <w:sz w:val="32"/>
          <w:szCs w:val="21"/>
        </w:rPr>
        <w:t>商务发展的</w:t>
      </w:r>
      <w:r>
        <w:rPr>
          <w:rFonts w:hint="eastAsia" w:eastAsia="FangSong_GB2312"/>
          <w:sz w:val="32"/>
          <w:szCs w:val="21"/>
        </w:rPr>
        <w:t>指导思想、主要目标、重点工作任务及相关保障措施。</w:t>
      </w:r>
      <w:r>
        <w:rPr>
          <w:rFonts w:eastAsia="FangSong_GB2312"/>
          <w:sz w:val="32"/>
          <w:szCs w:val="21"/>
        </w:rPr>
        <w:t>该规划是市场主体的行为导向，是</w:t>
      </w:r>
      <w:r>
        <w:rPr>
          <w:rFonts w:hint="eastAsia" w:eastAsia="FangSong_GB2312"/>
          <w:sz w:val="32"/>
          <w:szCs w:val="21"/>
        </w:rPr>
        <w:t>我市商务工作的行动指南，是</w:t>
      </w:r>
      <w:r>
        <w:rPr>
          <w:rFonts w:eastAsia="FangSong_GB2312"/>
          <w:sz w:val="32"/>
          <w:szCs w:val="21"/>
        </w:rPr>
        <w:t>各</w:t>
      </w:r>
      <w:r>
        <w:rPr>
          <w:rFonts w:hint="eastAsia" w:eastAsia="FangSong_GB2312"/>
          <w:sz w:val="32"/>
          <w:szCs w:val="21"/>
        </w:rPr>
        <w:t>县（市、区）</w:t>
      </w:r>
      <w:r>
        <w:rPr>
          <w:rFonts w:eastAsia="FangSong_GB2312"/>
          <w:sz w:val="32"/>
          <w:szCs w:val="21"/>
        </w:rPr>
        <w:t>商务主管部门履行职责的重要依据。</w:t>
      </w:r>
    </w:p>
    <w:p>
      <w:pPr>
        <w:pStyle w:val="22"/>
        <w:spacing w:line="600" w:lineRule="exact"/>
        <w:ind w:firstLine="0" w:firstLineChars="0"/>
        <w:rPr>
          <w:rFonts w:ascii="方正粗宋简体" w:hAnsi="华文中宋" w:eastAsia="方正粗宋简体"/>
          <w:sz w:val="36"/>
          <w:szCs w:val="36"/>
        </w:rPr>
      </w:pPr>
    </w:p>
    <w:p>
      <w:pPr>
        <w:pStyle w:val="2"/>
        <w:jc w:val="center"/>
      </w:pPr>
      <w:bookmarkStart w:id="2" w:name="_Toc75776133"/>
      <w:r>
        <w:rPr>
          <w:rFonts w:hint="eastAsia"/>
        </w:rPr>
        <w:t>第一章 商务发展基础和环境</w:t>
      </w:r>
      <w:bookmarkEnd w:id="2"/>
    </w:p>
    <w:p>
      <w:pPr>
        <w:spacing w:line="600" w:lineRule="exact"/>
        <w:ind w:firstLine="627" w:firstLineChars="196"/>
        <w:rPr>
          <w:rFonts w:eastAsia="FangSong_GB2312"/>
          <w:sz w:val="32"/>
          <w:szCs w:val="32"/>
        </w:rPr>
      </w:pPr>
      <w:r>
        <w:rPr>
          <w:rFonts w:hint="eastAsia" w:eastAsia="FangSong_GB2312"/>
          <w:sz w:val="32"/>
          <w:szCs w:val="32"/>
        </w:rPr>
        <w:t>“十三五”时期是全面建成小康社会决胜阶段。面对世界经济下行压力加剧、中美经贸摩擦、新冠肺炎疫情全球蔓延等复杂严峻的外部环境，全市商务系统在市委、市政府的坚强领导下，以习近平新时代中国特色社会主义思想为指导，深入落实党中央、国务院和省委、省政府决策部署，积极应对一系列重大风险挑战，大力推进商务领域全面深化改革，全力稳外贸稳外资促消费，加强对外投资合作，为“十四五”时期商务高质量发展打下扎实基础。</w:t>
      </w:r>
      <w:r>
        <w:rPr>
          <w:rFonts w:hint="eastAsia" w:eastAsia="FangSong_GB2312"/>
          <w:sz w:val="32"/>
          <w:szCs w:val="32"/>
          <w:lang w:eastAsia="zh-CN"/>
        </w:rPr>
        <w:t>“</w:t>
      </w:r>
      <w:r>
        <w:rPr>
          <w:rFonts w:eastAsia="FangSong_GB2312"/>
          <w:sz w:val="32"/>
          <w:szCs w:val="32"/>
        </w:rPr>
        <w:t>十</w:t>
      </w:r>
      <w:r>
        <w:rPr>
          <w:rFonts w:hint="eastAsia" w:eastAsia="FangSong_GB2312"/>
          <w:sz w:val="32"/>
          <w:szCs w:val="32"/>
        </w:rPr>
        <w:t>四</w:t>
      </w:r>
      <w:r>
        <w:rPr>
          <w:rFonts w:eastAsia="FangSong_GB2312"/>
          <w:sz w:val="32"/>
          <w:szCs w:val="32"/>
        </w:rPr>
        <w:t>五</w:t>
      </w:r>
      <w:r>
        <w:rPr>
          <w:rFonts w:hint="eastAsia" w:eastAsia="FangSong_GB2312"/>
          <w:sz w:val="32"/>
          <w:szCs w:val="32"/>
          <w:lang w:eastAsia="zh-CN"/>
        </w:rPr>
        <w:t>”</w:t>
      </w:r>
      <w:r>
        <w:rPr>
          <w:rFonts w:eastAsia="FangSong_GB2312"/>
          <w:sz w:val="32"/>
          <w:szCs w:val="32"/>
        </w:rPr>
        <w:t>时期</w:t>
      </w:r>
      <w:r>
        <w:rPr>
          <w:rFonts w:hint="eastAsia" w:eastAsia="FangSong_GB2312"/>
          <w:sz w:val="32"/>
          <w:szCs w:val="21"/>
        </w:rPr>
        <w:t>是我国在全面建成小康社会基础上全面建设社会主义现代化新征程的关键时期，面对复杂的国际国内形势，以习近平同志为核心的党中央提出要加快推动以国内大循环为主体、国际国内双循环相互促进的新发展格局，这为“十四五”时期商务发展指明了方向、提供了行动指南，也为我市商务发展带来</w:t>
      </w:r>
      <w:r>
        <w:rPr>
          <w:rFonts w:eastAsia="FangSong_GB2312"/>
          <w:sz w:val="32"/>
          <w:szCs w:val="21"/>
        </w:rPr>
        <w:t>重要战略</w:t>
      </w:r>
      <w:r>
        <w:rPr>
          <w:rFonts w:hint="eastAsia" w:eastAsia="FangSong_GB2312"/>
          <w:sz w:val="32"/>
          <w:szCs w:val="21"/>
        </w:rPr>
        <w:t>机遇</w:t>
      </w:r>
      <w:r>
        <w:rPr>
          <w:rFonts w:eastAsia="FangSong_GB2312"/>
          <w:sz w:val="32"/>
          <w:szCs w:val="32"/>
        </w:rPr>
        <w:t>。</w:t>
      </w:r>
    </w:p>
    <w:p>
      <w:pPr>
        <w:spacing w:line="600" w:lineRule="exact"/>
        <w:ind w:firstLine="627" w:firstLineChars="196"/>
        <w:rPr>
          <w:rFonts w:eastAsia="FangSong_GB2312"/>
          <w:sz w:val="32"/>
          <w:szCs w:val="32"/>
        </w:rPr>
      </w:pPr>
    </w:p>
    <w:p>
      <w:pPr>
        <w:pStyle w:val="3"/>
        <w:jc w:val="center"/>
      </w:pPr>
      <w:bookmarkStart w:id="3" w:name="_Toc75776134"/>
      <w:r>
        <w:rPr>
          <w:rFonts w:hint="eastAsia"/>
        </w:rPr>
        <w:t>第一节  “十三五”时期商务发展成效</w:t>
      </w:r>
      <w:bookmarkEnd w:id="3"/>
    </w:p>
    <w:p>
      <w:pPr>
        <w:spacing w:line="600" w:lineRule="exact"/>
        <w:ind w:firstLine="627" w:firstLineChars="196"/>
        <w:rPr>
          <w:rFonts w:eastAsia="FangSong_GB2312"/>
          <w:sz w:val="32"/>
          <w:szCs w:val="32"/>
        </w:rPr>
      </w:pPr>
      <w:r>
        <w:rPr>
          <w:rFonts w:hint="eastAsia" w:eastAsia="FangSong_GB2312"/>
          <w:sz w:val="32"/>
          <w:szCs w:val="32"/>
        </w:rPr>
        <w:t>“十三五”期间，我市加快构建开放经济新体制，大力推进贸易强市建设，不断提高利用外资质量和水平，深入参与共建“一带一路”，促进形成强大内需市场，全力推动商务高质量发展。</w:t>
      </w:r>
    </w:p>
    <w:p>
      <w:pPr>
        <w:spacing w:line="600" w:lineRule="exact"/>
        <w:ind w:firstLine="643" w:firstLineChars="200"/>
        <w:rPr>
          <w:rFonts w:ascii="FangSong_GB2312" w:hAnsi="微软雅黑" w:eastAsia="FangSong_GB2312" w:cs="宋体"/>
          <w:sz w:val="32"/>
          <w:szCs w:val="32"/>
        </w:rPr>
      </w:pPr>
      <w:bookmarkStart w:id="4" w:name="_Toc75776135"/>
      <w:r>
        <w:rPr>
          <w:rStyle w:val="29"/>
          <w:rFonts w:hint="eastAsia"/>
        </w:rPr>
        <w:t>内贸流通创新发展，消费潜力进一步释放。</w:t>
      </w:r>
      <w:bookmarkStart w:id="5" w:name="_Hlk61275835"/>
      <w:r>
        <w:rPr>
          <w:rStyle w:val="29"/>
          <w:rFonts w:hint="eastAsia" w:ascii="FangSong_GB2312" w:eastAsia="FangSong_GB2312"/>
          <w:b w:val="0"/>
          <w:bCs w:val="0"/>
        </w:rPr>
        <w:t>“十三五”期间，</w:t>
      </w:r>
      <w:bookmarkEnd w:id="4"/>
      <w:bookmarkEnd w:id="5"/>
      <w:r>
        <w:rPr>
          <w:rFonts w:hint="eastAsia" w:ascii="FangSong_GB2312" w:eastAsia="FangSong_GB2312"/>
          <w:sz w:val="32"/>
          <w:szCs w:val="32"/>
        </w:rPr>
        <w:t>全市商品市场规模不断扩大，</w:t>
      </w:r>
      <w:r>
        <w:rPr>
          <w:rFonts w:hint="eastAsia" w:ascii="FangSong_GB2312" w:hAnsi="仿宋" w:eastAsia="FangSong_GB2312"/>
          <w:sz w:val="32"/>
          <w:szCs w:val="32"/>
        </w:rPr>
        <w:t>20</w:t>
      </w:r>
      <w:r>
        <w:rPr>
          <w:rFonts w:ascii="FangSong_GB2312" w:hAnsi="仿宋" w:eastAsia="FangSong_GB2312"/>
          <w:sz w:val="32"/>
          <w:szCs w:val="32"/>
        </w:rPr>
        <w:t>20</w:t>
      </w:r>
      <w:r>
        <w:rPr>
          <w:rFonts w:hint="eastAsia" w:ascii="FangSong_GB2312" w:hAnsi="仿宋" w:eastAsia="FangSong_GB2312"/>
          <w:sz w:val="32"/>
          <w:szCs w:val="32"/>
        </w:rPr>
        <w:t>年</w:t>
      </w:r>
      <w:bookmarkStart w:id="6" w:name="_Hlk45526318"/>
      <w:r>
        <w:rPr>
          <w:rFonts w:hint="eastAsia" w:ascii="FangSong_GB2312" w:hAnsi="微软雅黑" w:eastAsia="FangSong_GB2312" w:cs="宋体"/>
          <w:sz w:val="32"/>
          <w:szCs w:val="32"/>
        </w:rPr>
        <w:t>社会消费品零售总额</w:t>
      </w:r>
      <w:bookmarkEnd w:id="6"/>
      <w:r>
        <w:rPr>
          <w:rFonts w:hint="eastAsia" w:ascii="FangSong_GB2312" w:hAnsi="微软雅黑" w:eastAsia="FangSong_GB2312" w:cs="宋体"/>
          <w:sz w:val="32"/>
          <w:szCs w:val="32"/>
        </w:rPr>
        <w:t>达到</w:t>
      </w:r>
      <w:r>
        <w:rPr>
          <w:rFonts w:ascii="FangSong_GB2312" w:hAnsi="微软雅黑" w:eastAsia="FangSong_GB2312" w:cs="宋体"/>
          <w:sz w:val="32"/>
          <w:szCs w:val="32"/>
        </w:rPr>
        <w:t>1638.76</w:t>
      </w:r>
      <w:r>
        <w:rPr>
          <w:rFonts w:hint="eastAsia" w:ascii="FangSong_GB2312" w:hAnsi="微软雅黑" w:eastAsia="FangSong_GB2312" w:cs="宋体"/>
          <w:sz w:val="32"/>
          <w:szCs w:val="32"/>
        </w:rPr>
        <w:t>亿元，年均增长</w:t>
      </w:r>
      <w:r>
        <w:rPr>
          <w:rFonts w:ascii="FangSong_GB2312" w:hAnsi="微软雅黑" w:eastAsia="FangSong_GB2312" w:cs="宋体"/>
          <w:sz w:val="32"/>
          <w:szCs w:val="32"/>
        </w:rPr>
        <w:t>6.4%</w:t>
      </w:r>
      <w:r>
        <w:rPr>
          <w:rFonts w:hint="eastAsia" w:ascii="FangSong_GB2312" w:hAnsi="微软雅黑" w:eastAsia="FangSong_GB2312" w:cs="宋体"/>
          <w:sz w:val="32"/>
          <w:szCs w:val="32"/>
        </w:rPr>
        <w:t>。城市综合体建设带动城市商圈特色化、规模化、专业化、多核化发展，万达广场、金沙湾广场、华都汇商场、鹰展假日广场、鼎盛广场等五大商圈相继形成，农产品、海产品、家具、家电、建材、医药等六大专业市场体系逐步发展壮大，形成多元商圈格局。传统商贸规模不断壮大，</w:t>
      </w:r>
      <w:r>
        <w:rPr>
          <w:rFonts w:ascii="FangSong_GB2312" w:hAnsi="微软雅黑" w:eastAsia="FangSong_GB2312" w:cs="宋体"/>
          <w:sz w:val="32"/>
          <w:szCs w:val="32"/>
        </w:rPr>
        <w:t>2020</w:t>
      </w:r>
      <w:r>
        <w:rPr>
          <w:rFonts w:hint="eastAsia" w:ascii="FangSong_GB2312" w:hAnsi="微软雅黑" w:eastAsia="FangSong_GB2312" w:cs="宋体"/>
          <w:sz w:val="32"/>
          <w:szCs w:val="32"/>
        </w:rPr>
        <w:t>年全市限额以上商贸企业达802家，批发、零售、餐饮、住宿等四大行业销售额（营业额）达</w:t>
      </w:r>
      <w:r>
        <w:rPr>
          <w:rFonts w:ascii="FangSong_GB2312" w:hAnsi="微软雅黑" w:eastAsia="FangSong_GB2312" w:cs="宋体"/>
          <w:sz w:val="32"/>
          <w:szCs w:val="32"/>
        </w:rPr>
        <w:t>2892.4</w:t>
      </w:r>
      <w:r>
        <w:rPr>
          <w:rFonts w:hint="eastAsia" w:ascii="FangSong_GB2312" w:hAnsi="微软雅黑" w:eastAsia="FangSong_GB2312" w:cs="宋体"/>
          <w:sz w:val="32"/>
          <w:szCs w:val="32"/>
        </w:rPr>
        <w:t>亿元。流通新业态、新模式不断涌现，网络消费异军突起，遂溪、廉江、徐闻、吴川成为广东省电子商务进农村综合示范县，遂溪、廉江同时晋级为国家电子商务进农村综合示范县，遂溪县还获评为全国第二批十个农村电商激励县（市）之一，2020年全市网络零售总额达77亿元，增长7.</w:t>
      </w:r>
      <w:r>
        <w:rPr>
          <w:rFonts w:ascii="FangSong_GB2312" w:hAnsi="微软雅黑" w:eastAsia="FangSong_GB2312" w:cs="宋体"/>
          <w:sz w:val="32"/>
          <w:szCs w:val="32"/>
        </w:rPr>
        <w:t>4</w:t>
      </w:r>
      <w:r>
        <w:rPr>
          <w:rFonts w:hint="eastAsia" w:ascii="FangSong_GB2312" w:hAnsi="微软雅黑" w:eastAsia="FangSong_GB2312" w:cs="宋体"/>
          <w:sz w:val="32"/>
          <w:szCs w:val="32"/>
        </w:rPr>
        <w:t>%。城乡一体化、区域一体化现代流通体系建设不断加快，作为区域物流枢纽的能级逐步提升，消费在区域地位逐步提高，2020年全市社会消费品零售总额在粤西比重由2015年的</w:t>
      </w:r>
      <w:r>
        <w:rPr>
          <w:rFonts w:ascii="FangSong_GB2312" w:hAnsi="微软雅黑" w:eastAsia="FangSong_GB2312" w:cs="宋体"/>
          <w:sz w:val="32"/>
          <w:szCs w:val="32"/>
        </w:rPr>
        <w:t>41.9</w:t>
      </w:r>
      <w:r>
        <w:rPr>
          <w:rFonts w:hint="eastAsia" w:ascii="FangSong_GB2312" w:hAnsi="微软雅黑" w:eastAsia="FangSong_GB2312" w:cs="宋体"/>
          <w:sz w:val="32"/>
          <w:szCs w:val="32"/>
        </w:rPr>
        <w:t>%提升至</w:t>
      </w:r>
      <w:r>
        <w:rPr>
          <w:rFonts w:ascii="FangSong_GB2312" w:hAnsi="微软雅黑" w:eastAsia="FangSong_GB2312" w:cs="宋体"/>
          <w:sz w:val="32"/>
          <w:szCs w:val="32"/>
        </w:rPr>
        <w:t>47.5</w:t>
      </w:r>
      <w:r>
        <w:rPr>
          <w:rFonts w:hint="eastAsia" w:ascii="FangSong_GB2312" w:hAnsi="微软雅黑" w:eastAsia="FangSong_GB2312" w:cs="宋体"/>
          <w:sz w:val="32"/>
          <w:szCs w:val="32"/>
        </w:rPr>
        <w:t>%，增速在全省排名第5位，总额保持第6位。</w:t>
      </w:r>
    </w:p>
    <w:p>
      <w:pPr>
        <w:spacing w:line="600" w:lineRule="exact"/>
        <w:ind w:firstLine="420" w:firstLineChars="200"/>
        <w:rPr>
          <w:rFonts w:ascii="FangSong_GB2312" w:hAnsi="微软雅黑" w:eastAsia="FangSong_GB2312" w:cs="宋体"/>
          <w:sz w:val="32"/>
          <w:szCs w:val="32"/>
        </w:rPr>
      </w:pPr>
      <w:r>
        <w:drawing>
          <wp:anchor distT="0" distB="0" distL="114300" distR="114300" simplePos="0" relativeHeight="251668480" behindDoc="1" locked="0" layoutInCell="1" allowOverlap="1">
            <wp:simplePos x="0" y="0"/>
            <wp:positionH relativeFrom="margin">
              <wp:align>right</wp:align>
            </wp:positionH>
            <wp:positionV relativeFrom="paragraph">
              <wp:posOffset>28575</wp:posOffset>
            </wp:positionV>
            <wp:extent cx="5274310" cy="2569845"/>
            <wp:effectExtent l="0" t="0" r="2540" b="19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600" w:lineRule="exact"/>
        <w:ind w:firstLine="640" w:firstLineChars="200"/>
        <w:rPr>
          <w:rFonts w:ascii="FangSong_GB2312" w:hAnsi="微软雅黑" w:eastAsia="FangSong_GB2312" w:cs="宋体"/>
          <w:sz w:val="32"/>
          <w:szCs w:val="32"/>
        </w:rPr>
      </w:pPr>
    </w:p>
    <w:p>
      <w:pPr>
        <w:spacing w:line="600" w:lineRule="exact"/>
        <w:ind w:firstLine="640" w:firstLineChars="200"/>
        <w:rPr>
          <w:rFonts w:ascii="FangSong_GB2312" w:hAnsi="微软雅黑" w:eastAsia="FangSong_GB2312" w:cs="宋体"/>
          <w:sz w:val="32"/>
          <w:szCs w:val="32"/>
        </w:rPr>
      </w:pPr>
    </w:p>
    <w:p>
      <w:pPr>
        <w:spacing w:line="600" w:lineRule="exact"/>
        <w:ind w:firstLine="640" w:firstLineChars="200"/>
        <w:rPr>
          <w:rFonts w:ascii="FangSong_GB2312" w:hAnsi="微软雅黑" w:eastAsia="FangSong_GB2312" w:cs="宋体"/>
          <w:sz w:val="32"/>
          <w:szCs w:val="32"/>
        </w:rPr>
      </w:pPr>
    </w:p>
    <w:p>
      <w:pPr>
        <w:spacing w:line="600" w:lineRule="exact"/>
        <w:ind w:firstLine="640" w:firstLineChars="200"/>
        <w:rPr>
          <w:rFonts w:ascii="FangSong_GB2312" w:hAnsi="微软雅黑" w:eastAsia="FangSong_GB2312" w:cs="宋体"/>
          <w:sz w:val="32"/>
          <w:szCs w:val="32"/>
        </w:rPr>
      </w:pPr>
    </w:p>
    <w:p>
      <w:pPr>
        <w:spacing w:line="600" w:lineRule="exact"/>
        <w:ind w:firstLine="640" w:firstLineChars="200"/>
        <w:rPr>
          <w:rFonts w:ascii="FangSong_GB2312" w:hAnsi="黑体" w:eastAsia="FangSong_GB2312"/>
          <w:sz w:val="32"/>
          <w:szCs w:val="32"/>
        </w:rPr>
      </w:pPr>
    </w:p>
    <w:p>
      <w:pPr>
        <w:spacing w:line="600" w:lineRule="exact"/>
        <w:ind w:firstLine="640" w:firstLineChars="200"/>
        <w:rPr>
          <w:rFonts w:ascii="FangSong_GB2312" w:hAnsi="黑体" w:eastAsia="FangSong_GB2312"/>
          <w:sz w:val="32"/>
          <w:szCs w:val="32"/>
        </w:rPr>
      </w:pPr>
    </w:p>
    <w:p>
      <w:pPr>
        <w:spacing w:line="600" w:lineRule="exact"/>
        <w:ind w:firstLine="643" w:firstLineChars="200"/>
        <w:rPr>
          <w:rFonts w:ascii="FangSong_GB2312" w:hAnsi="楷体" w:eastAsia="FangSong_GB2312"/>
          <w:sz w:val="32"/>
          <w:szCs w:val="32"/>
        </w:rPr>
      </w:pPr>
      <w:bookmarkStart w:id="7" w:name="_Toc75776136"/>
      <w:r>
        <w:rPr>
          <w:rStyle w:val="29"/>
          <w:rFonts w:hint="eastAsia"/>
        </w:rPr>
        <w:t>对外贸易提速发展，外向型经济逐步上规模。</w:t>
      </w:r>
      <w:bookmarkStart w:id="8" w:name="_Hlk61276211"/>
      <w:r>
        <w:rPr>
          <w:rStyle w:val="29"/>
          <w:rFonts w:hint="eastAsia" w:ascii="FangSong_GB2312" w:eastAsia="FangSong_GB2312"/>
          <w:b w:val="0"/>
          <w:bCs w:val="0"/>
        </w:rPr>
        <w:t>“十三五”期间，</w:t>
      </w:r>
      <w:bookmarkEnd w:id="7"/>
      <w:r>
        <w:rPr>
          <w:rFonts w:hint="eastAsia" w:ascii="FangSong_GB2312" w:eastAsia="FangSong_GB2312"/>
          <w:sz w:val="32"/>
          <w:szCs w:val="32"/>
        </w:rPr>
        <w:t>全市</w:t>
      </w:r>
      <w:bookmarkEnd w:id="8"/>
      <w:r>
        <w:rPr>
          <w:rFonts w:hint="eastAsia" w:ascii="FangSong_GB2312" w:eastAsia="FangSong_GB2312"/>
          <w:sz w:val="32"/>
          <w:szCs w:val="32"/>
        </w:rPr>
        <w:t>外贸展现多元并进、规模发展格局。</w:t>
      </w:r>
      <w:r>
        <w:rPr>
          <w:rFonts w:hint="eastAsia" w:ascii="FangSong_GB2312" w:hAnsi="微软雅黑" w:eastAsia="FangSong_GB2312" w:cs="宋体"/>
          <w:sz w:val="32"/>
          <w:szCs w:val="32"/>
        </w:rPr>
        <w:t>2020年</w:t>
      </w:r>
      <w:r>
        <w:rPr>
          <w:rFonts w:hint="eastAsia" w:ascii="FangSong_GB2312" w:hAnsi="黑体" w:eastAsia="FangSong_GB2312"/>
          <w:sz w:val="32"/>
          <w:szCs w:val="32"/>
        </w:rPr>
        <w:t>全市</w:t>
      </w:r>
      <w:r>
        <w:rPr>
          <w:rFonts w:hint="eastAsia" w:ascii="FangSong_GB2312" w:hAnsi="微软雅黑" w:eastAsia="FangSong_GB2312" w:cs="宋体"/>
          <w:sz w:val="32"/>
          <w:szCs w:val="32"/>
        </w:rPr>
        <w:t>外贸进出口总额</w:t>
      </w:r>
      <w:r>
        <w:rPr>
          <w:rFonts w:ascii="FangSong_GB2312" w:hAnsi="微软雅黑" w:eastAsia="FangSong_GB2312" w:cs="宋体"/>
          <w:sz w:val="32"/>
          <w:szCs w:val="32"/>
        </w:rPr>
        <w:t>442.4</w:t>
      </w:r>
      <w:r>
        <w:rPr>
          <w:rFonts w:hint="eastAsia" w:ascii="FangSong_GB2312" w:hAnsi="微软雅黑" w:eastAsia="FangSong_GB2312" w:cs="宋体"/>
          <w:sz w:val="32"/>
          <w:szCs w:val="32"/>
        </w:rPr>
        <w:t>亿元，年均增长</w:t>
      </w:r>
      <w:r>
        <w:rPr>
          <w:rFonts w:ascii="FangSong_GB2312" w:hAnsi="微软雅黑" w:eastAsia="FangSong_GB2312" w:cs="宋体"/>
          <w:sz w:val="32"/>
          <w:szCs w:val="32"/>
        </w:rPr>
        <w:t>6.8</w:t>
      </w:r>
      <w:r>
        <w:rPr>
          <w:rFonts w:hint="eastAsia" w:ascii="FangSong_GB2312" w:hAnsi="微软雅黑" w:eastAsia="FangSong_GB2312" w:cs="宋体"/>
          <w:sz w:val="32"/>
          <w:szCs w:val="32"/>
        </w:rPr>
        <w:t>%，总额创历史最高水平，在全省排名第1</w:t>
      </w:r>
      <w:r>
        <w:rPr>
          <w:rFonts w:ascii="FangSong_GB2312" w:hAnsi="微软雅黑" w:eastAsia="FangSong_GB2312" w:cs="宋体"/>
          <w:sz w:val="32"/>
          <w:szCs w:val="32"/>
        </w:rPr>
        <w:t>0</w:t>
      </w:r>
      <w:r>
        <w:rPr>
          <w:rFonts w:hint="eastAsia" w:ascii="FangSong_GB2312" w:hAnsi="微软雅黑" w:eastAsia="FangSong_GB2312" w:cs="宋体"/>
          <w:sz w:val="32"/>
          <w:szCs w:val="32"/>
        </w:rPr>
        <w:t>位，比2</w:t>
      </w:r>
      <w:r>
        <w:rPr>
          <w:rFonts w:ascii="FangSong_GB2312" w:hAnsi="微软雅黑" w:eastAsia="FangSong_GB2312" w:cs="宋体"/>
          <w:sz w:val="32"/>
          <w:szCs w:val="32"/>
        </w:rPr>
        <w:t>015</w:t>
      </w:r>
      <w:r>
        <w:rPr>
          <w:rFonts w:hint="eastAsia" w:ascii="FangSong_GB2312" w:hAnsi="微软雅黑" w:eastAsia="FangSong_GB2312" w:cs="宋体"/>
          <w:sz w:val="32"/>
          <w:szCs w:val="32"/>
        </w:rPr>
        <w:t>年前进2位。</w:t>
      </w:r>
      <w:r>
        <w:rPr>
          <w:rFonts w:hint="eastAsia" w:ascii="FangSong_GB2312" w:hAnsi="仿宋" w:eastAsia="FangSong_GB2312"/>
          <w:bCs/>
          <w:sz w:val="32"/>
          <w:szCs w:val="32"/>
        </w:rPr>
        <w:t>贸易结构持续优化，钢铁、石化、森工三大重大产业增产增效带动铁矿砂、煤炭、原油、纸浆大宗商品进口持续增加，</w:t>
      </w:r>
      <w:r>
        <w:rPr>
          <w:rFonts w:hint="eastAsia" w:ascii="FangSong_GB2312" w:hAnsi="微软雅黑" w:eastAsia="FangSong_GB2312" w:cs="宋体"/>
          <w:sz w:val="32"/>
          <w:szCs w:val="32"/>
        </w:rPr>
        <w:t>进口比重从2015年的45.4%，扩大到2020年的56.4%，年均增长11.5%，有效填补出口受形势冲击形成的暂时缺口，成为稳外贸的重要支撑；水海产品、家具、</w:t>
      </w:r>
      <w:r>
        <w:rPr>
          <w:rFonts w:hint="eastAsia" w:ascii="FangSong_GB2312" w:hAnsi="等线" w:eastAsia="FangSong_GB2312"/>
          <w:sz w:val="32"/>
          <w:szCs w:val="32"/>
        </w:rPr>
        <w:t>小家电等三大传统产品出口地位得到有效巩固，</w:t>
      </w:r>
      <w:r>
        <w:rPr>
          <w:rFonts w:ascii="FangSong_GB2312" w:hAnsi="等线" w:eastAsia="FangSong_GB2312"/>
          <w:sz w:val="32"/>
          <w:szCs w:val="32"/>
        </w:rPr>
        <w:t>2020</w:t>
      </w:r>
      <w:r>
        <w:rPr>
          <w:rFonts w:hint="eastAsia" w:ascii="FangSong_GB2312" w:hAnsi="等线" w:eastAsia="FangSong_GB2312"/>
          <w:sz w:val="32"/>
          <w:szCs w:val="32"/>
        </w:rPr>
        <w:t>年占全市出口比重达</w:t>
      </w:r>
      <w:r>
        <w:rPr>
          <w:rFonts w:ascii="FangSong_GB2312" w:hAnsi="等线" w:eastAsia="FangSong_GB2312"/>
          <w:sz w:val="32"/>
          <w:szCs w:val="32"/>
        </w:rPr>
        <w:t>43.7</w:t>
      </w:r>
      <w:r>
        <w:rPr>
          <w:rFonts w:hint="eastAsia" w:ascii="FangSong_GB2312" w:hAnsi="等线" w:eastAsia="FangSong_GB2312"/>
          <w:sz w:val="32"/>
          <w:szCs w:val="32"/>
        </w:rPr>
        <w:t>%，推动</w:t>
      </w:r>
      <w:r>
        <w:rPr>
          <w:rFonts w:hint="eastAsia" w:ascii="FangSong_GB2312" w:hAnsi="微软雅黑" w:eastAsia="FangSong_GB2312" w:cs="宋体"/>
          <w:sz w:val="32"/>
          <w:szCs w:val="32"/>
        </w:rPr>
        <w:t>外贸进口与出口实现互补发展</w:t>
      </w:r>
      <w:r>
        <w:rPr>
          <w:rFonts w:hint="eastAsia" w:ascii="FangSong_GB2312" w:hAnsi="楷体" w:eastAsia="FangSong_GB2312"/>
          <w:sz w:val="32"/>
          <w:szCs w:val="32"/>
        </w:rPr>
        <w:t>；外贸新业态不断涌现，</w:t>
      </w:r>
      <w:bookmarkStart w:id="9" w:name="_Hlk49863913"/>
      <w:r>
        <w:rPr>
          <w:rFonts w:hint="eastAsia" w:ascii="FangSong_GB2312" w:hAnsi="楷体" w:eastAsia="FangSong_GB2312"/>
          <w:sz w:val="32"/>
          <w:szCs w:val="32"/>
        </w:rPr>
        <w:t>跨境电子商务、</w:t>
      </w:r>
      <w:bookmarkEnd w:id="9"/>
      <w:bookmarkStart w:id="10" w:name="_Hlk44515787"/>
      <w:r>
        <w:rPr>
          <w:rFonts w:hint="eastAsia" w:ascii="FangSong_GB2312" w:hAnsi="楷体" w:eastAsia="FangSong_GB2312"/>
          <w:sz w:val="32"/>
          <w:szCs w:val="32"/>
        </w:rPr>
        <w:t>外贸综合服务、</w:t>
      </w:r>
      <w:bookmarkStart w:id="11" w:name="_Hlk65847714"/>
      <w:r>
        <w:rPr>
          <w:rFonts w:hint="eastAsia" w:ascii="FangSong_GB2312" w:hAnsi="楷体" w:eastAsia="FangSong_GB2312"/>
          <w:sz w:val="32"/>
          <w:szCs w:val="32"/>
        </w:rPr>
        <w:t>市场采购贸易</w:t>
      </w:r>
      <w:bookmarkEnd w:id="10"/>
      <w:bookmarkEnd w:id="11"/>
      <w:r>
        <w:rPr>
          <w:rFonts w:hint="eastAsia" w:ascii="FangSong_GB2312" w:hAnsi="楷体" w:eastAsia="FangSong_GB2312"/>
          <w:sz w:val="32"/>
          <w:szCs w:val="32"/>
        </w:rPr>
        <w:t>等三大外贸新业态竞相发展，2</w:t>
      </w:r>
      <w:r>
        <w:rPr>
          <w:rFonts w:ascii="FangSong_GB2312" w:hAnsi="楷体" w:eastAsia="FangSong_GB2312"/>
          <w:sz w:val="32"/>
          <w:szCs w:val="32"/>
        </w:rPr>
        <w:t>020</w:t>
      </w:r>
      <w:r>
        <w:rPr>
          <w:rFonts w:hint="eastAsia" w:ascii="FangSong_GB2312" w:hAnsi="楷体" w:eastAsia="FangSong_GB2312"/>
          <w:sz w:val="32"/>
          <w:szCs w:val="32"/>
        </w:rPr>
        <w:t>年跨境电商进出口交易额达</w:t>
      </w:r>
      <w:r>
        <w:rPr>
          <w:rFonts w:ascii="FangSong_GB2312" w:hAnsi="楷体" w:eastAsia="FangSong_GB2312"/>
          <w:sz w:val="32"/>
          <w:szCs w:val="32"/>
        </w:rPr>
        <w:t>27.1</w:t>
      </w:r>
      <w:r>
        <w:rPr>
          <w:rFonts w:hint="eastAsia" w:ascii="FangSong_GB2312" w:hAnsi="楷体" w:eastAsia="FangSong_GB2312"/>
          <w:sz w:val="32"/>
          <w:szCs w:val="32"/>
        </w:rPr>
        <w:t>亿元，增长近4</w:t>
      </w:r>
      <w:r>
        <w:rPr>
          <w:rFonts w:ascii="FangSong_GB2312" w:hAnsi="楷体" w:eastAsia="FangSong_GB2312"/>
          <w:sz w:val="32"/>
          <w:szCs w:val="32"/>
        </w:rPr>
        <w:t>5</w:t>
      </w:r>
      <w:r>
        <w:rPr>
          <w:rFonts w:hint="eastAsia" w:ascii="FangSong_GB2312" w:hAnsi="楷体" w:eastAsia="FangSong_GB2312"/>
          <w:sz w:val="32"/>
          <w:szCs w:val="32"/>
        </w:rPr>
        <w:t>倍，外贸综合服务出口近1</w:t>
      </w:r>
      <w:r>
        <w:rPr>
          <w:rFonts w:ascii="FangSong_GB2312" w:hAnsi="楷体" w:eastAsia="FangSong_GB2312"/>
          <w:sz w:val="32"/>
          <w:szCs w:val="32"/>
        </w:rPr>
        <w:t>.5</w:t>
      </w:r>
      <w:r>
        <w:rPr>
          <w:rFonts w:hint="eastAsia" w:ascii="FangSong_GB2312" w:hAnsi="楷体" w:eastAsia="FangSong_GB2312"/>
          <w:sz w:val="32"/>
          <w:szCs w:val="32"/>
        </w:rPr>
        <w:t>亿元</w:t>
      </w:r>
      <w:bookmarkStart w:id="12" w:name="_Hlk49864132"/>
      <w:r>
        <w:rPr>
          <w:rFonts w:hint="eastAsia" w:ascii="FangSong_GB2312" w:hAnsi="楷体" w:eastAsia="FangSong_GB2312"/>
          <w:sz w:val="32"/>
          <w:szCs w:val="32"/>
        </w:rPr>
        <w:t>，</w:t>
      </w:r>
      <w:bookmarkEnd w:id="12"/>
      <w:r>
        <w:rPr>
          <w:rFonts w:hint="eastAsia" w:ascii="FangSong_GB2312" w:hAnsi="楷体" w:eastAsia="FangSong_GB2312"/>
          <w:sz w:val="32"/>
          <w:szCs w:val="32"/>
        </w:rPr>
        <w:t>市场采购贸易方式年度出口最高也达2</w:t>
      </w:r>
      <w:r>
        <w:rPr>
          <w:rFonts w:ascii="FangSong_GB2312" w:hAnsi="楷体" w:eastAsia="FangSong_GB2312"/>
          <w:sz w:val="32"/>
          <w:szCs w:val="32"/>
        </w:rPr>
        <w:t>7</w:t>
      </w:r>
      <w:r>
        <w:rPr>
          <w:rFonts w:hint="eastAsia" w:ascii="FangSong_GB2312" w:hAnsi="楷体" w:eastAsia="FangSong_GB2312"/>
          <w:sz w:val="32"/>
          <w:szCs w:val="32"/>
        </w:rPr>
        <w:t>亿元。</w:t>
      </w:r>
      <w:bookmarkStart w:id="13" w:name="_Hlk49870237"/>
      <w:r>
        <w:rPr>
          <w:rFonts w:hint="eastAsia" w:ascii="FangSong_GB2312" w:hAnsi="微软雅黑" w:eastAsia="FangSong_GB2312" w:cs="宋体"/>
          <w:sz w:val="32"/>
          <w:szCs w:val="32"/>
        </w:rPr>
        <w:t>贸易</w:t>
      </w:r>
      <w:bookmarkEnd w:id="13"/>
      <w:r>
        <w:rPr>
          <w:rFonts w:hint="eastAsia" w:ascii="FangSong_GB2312" w:hAnsi="微软雅黑" w:eastAsia="FangSong_GB2312" w:cs="宋体"/>
          <w:sz w:val="32"/>
          <w:szCs w:val="32"/>
        </w:rPr>
        <w:t>市场更多元化，向“一带一路”沿线国家进出口占比超过25%。</w:t>
      </w:r>
    </w:p>
    <w:p>
      <w:pPr>
        <w:spacing w:line="600" w:lineRule="exact"/>
        <w:ind w:firstLine="420" w:firstLineChars="200"/>
        <w:rPr>
          <w:rFonts w:ascii="FangSong_GB2312" w:eastAsia="FangSong_GB2312"/>
          <w:b/>
          <w:bCs/>
          <w:sz w:val="32"/>
          <w:szCs w:val="32"/>
        </w:rPr>
      </w:pPr>
      <w:r>
        <w:drawing>
          <wp:anchor distT="0" distB="0" distL="114300" distR="114300" simplePos="0" relativeHeight="251669504" behindDoc="1" locked="0" layoutInCell="1" allowOverlap="1">
            <wp:simplePos x="0" y="0"/>
            <wp:positionH relativeFrom="margin">
              <wp:align>left</wp:align>
            </wp:positionH>
            <wp:positionV relativeFrom="paragraph">
              <wp:posOffset>9525</wp:posOffset>
            </wp:positionV>
            <wp:extent cx="5124450" cy="257175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3" w:firstLineChars="200"/>
        <w:rPr>
          <w:rStyle w:val="29"/>
        </w:rPr>
      </w:pPr>
    </w:p>
    <w:p>
      <w:pPr>
        <w:spacing w:line="600" w:lineRule="exact"/>
        <w:ind w:firstLine="643" w:firstLineChars="200"/>
        <w:rPr>
          <w:rStyle w:val="29"/>
        </w:rPr>
      </w:pPr>
    </w:p>
    <w:p>
      <w:pPr>
        <w:spacing w:line="600" w:lineRule="exact"/>
        <w:ind w:firstLine="643" w:firstLineChars="200"/>
        <w:rPr>
          <w:rStyle w:val="29"/>
        </w:rPr>
      </w:pPr>
    </w:p>
    <w:p>
      <w:pPr>
        <w:spacing w:line="600" w:lineRule="exact"/>
        <w:ind w:firstLine="643" w:firstLineChars="200"/>
        <w:rPr>
          <w:rStyle w:val="29"/>
        </w:rPr>
      </w:pPr>
    </w:p>
    <w:p>
      <w:pPr>
        <w:spacing w:line="600" w:lineRule="exact"/>
        <w:ind w:firstLine="643" w:firstLineChars="200"/>
        <w:rPr>
          <w:rStyle w:val="29"/>
        </w:rPr>
      </w:pPr>
    </w:p>
    <w:p>
      <w:pPr>
        <w:spacing w:line="600" w:lineRule="exact"/>
        <w:ind w:firstLine="643" w:firstLineChars="200"/>
        <w:rPr>
          <w:rStyle w:val="29"/>
        </w:rPr>
      </w:pPr>
    </w:p>
    <w:p>
      <w:pPr>
        <w:spacing w:line="600" w:lineRule="exact"/>
        <w:ind w:firstLine="643" w:firstLineChars="200"/>
        <w:rPr>
          <w:rFonts w:ascii="FangSong_GB2312" w:hAnsi="微软雅黑" w:eastAsia="FangSong_GB2312" w:cs="宋体"/>
          <w:sz w:val="32"/>
          <w:szCs w:val="32"/>
        </w:rPr>
      </w:pPr>
      <w:bookmarkStart w:id="14" w:name="_Toc75776137"/>
      <w:r>
        <w:rPr>
          <w:rStyle w:val="29"/>
          <w:rFonts w:hint="eastAsia"/>
        </w:rPr>
        <w:t>利用外资跨越发展，外向发展引擎作用增强。</w:t>
      </w:r>
      <w:r>
        <w:rPr>
          <w:rStyle w:val="29"/>
          <w:rFonts w:hint="eastAsia" w:ascii="FangSong_GB2312" w:eastAsia="FangSong_GB2312"/>
          <w:b w:val="0"/>
          <w:bCs w:val="0"/>
        </w:rPr>
        <w:t>“十三五”期间，</w:t>
      </w:r>
      <w:bookmarkEnd w:id="14"/>
      <w:r>
        <w:rPr>
          <w:rFonts w:hint="eastAsia" w:ascii="FangSong_GB2312" w:eastAsia="FangSong_GB2312"/>
          <w:sz w:val="32"/>
          <w:szCs w:val="32"/>
        </w:rPr>
        <w:t>全市利用外资逐步实现规模化、高质量发展。全市累计批准外商投资企业</w:t>
      </w:r>
      <w:r>
        <w:rPr>
          <w:rFonts w:ascii="FangSong_GB2312" w:eastAsia="FangSong_GB2312"/>
          <w:sz w:val="32"/>
          <w:szCs w:val="32"/>
        </w:rPr>
        <w:t>258</w:t>
      </w:r>
      <w:r>
        <w:rPr>
          <w:rFonts w:hint="eastAsia" w:ascii="FangSong_GB2312" w:eastAsia="FangSong_GB2312"/>
          <w:sz w:val="32"/>
          <w:szCs w:val="32"/>
        </w:rPr>
        <w:t>家，合同外资</w:t>
      </w:r>
      <w:r>
        <w:rPr>
          <w:rFonts w:ascii="FangSong_GB2312" w:eastAsia="FangSong_GB2312"/>
          <w:sz w:val="32"/>
          <w:szCs w:val="32"/>
        </w:rPr>
        <w:t>21.25</w:t>
      </w:r>
      <w:r>
        <w:rPr>
          <w:rFonts w:hint="eastAsia" w:ascii="FangSong_GB2312" w:eastAsia="FangSong_GB2312"/>
          <w:sz w:val="32"/>
          <w:szCs w:val="32"/>
        </w:rPr>
        <w:t>亿美元，实际利用外资8</w:t>
      </w:r>
      <w:r>
        <w:rPr>
          <w:rFonts w:ascii="FangSong_GB2312" w:eastAsia="FangSong_GB2312"/>
          <w:sz w:val="32"/>
          <w:szCs w:val="32"/>
        </w:rPr>
        <w:t>.3</w:t>
      </w:r>
      <w:r>
        <w:rPr>
          <w:rFonts w:hint="eastAsia" w:ascii="FangSong_GB2312" w:eastAsia="FangSong_GB2312"/>
          <w:sz w:val="32"/>
          <w:szCs w:val="32"/>
        </w:rPr>
        <w:t>亿美元；20</w:t>
      </w:r>
      <w:r>
        <w:rPr>
          <w:rFonts w:ascii="FangSong_GB2312" w:eastAsia="FangSong_GB2312"/>
          <w:sz w:val="32"/>
          <w:szCs w:val="32"/>
        </w:rPr>
        <w:t>20</w:t>
      </w:r>
      <w:r>
        <w:rPr>
          <w:rFonts w:hint="eastAsia" w:ascii="FangSong_GB2312" w:eastAsia="FangSong_GB2312"/>
          <w:sz w:val="32"/>
          <w:szCs w:val="32"/>
        </w:rPr>
        <w:t>年</w:t>
      </w:r>
      <w:r>
        <w:rPr>
          <w:rFonts w:hint="eastAsia" w:ascii="FangSong_GB2312" w:hAnsi="微软雅黑" w:eastAsia="FangSong_GB2312" w:cs="宋体"/>
          <w:sz w:val="32"/>
          <w:szCs w:val="32"/>
        </w:rPr>
        <w:t>实际利用外资3</w:t>
      </w:r>
      <w:r>
        <w:rPr>
          <w:rFonts w:ascii="FangSong_GB2312" w:hAnsi="微软雅黑" w:eastAsia="FangSong_GB2312" w:cs="宋体"/>
          <w:sz w:val="32"/>
          <w:szCs w:val="32"/>
        </w:rPr>
        <w:t>.69</w:t>
      </w:r>
      <w:r>
        <w:rPr>
          <w:rFonts w:hint="eastAsia" w:ascii="FangSong_GB2312" w:hAnsi="微软雅黑" w:eastAsia="FangSong_GB2312" w:cs="宋体"/>
          <w:sz w:val="32"/>
          <w:szCs w:val="32"/>
        </w:rPr>
        <w:t>亿美元，比</w:t>
      </w:r>
      <w:r>
        <w:rPr>
          <w:rFonts w:ascii="FangSong_GB2312" w:hAnsi="微软雅黑" w:eastAsia="FangSong_GB2312" w:cs="宋体"/>
          <w:sz w:val="32"/>
          <w:szCs w:val="32"/>
        </w:rPr>
        <w:t>2015</w:t>
      </w:r>
      <w:r>
        <w:rPr>
          <w:rFonts w:hint="eastAsia" w:ascii="FangSong_GB2312" w:hAnsi="微软雅黑" w:eastAsia="FangSong_GB2312" w:cs="宋体"/>
          <w:sz w:val="32"/>
          <w:szCs w:val="32"/>
        </w:rPr>
        <w:t>年增加</w:t>
      </w:r>
      <w:r>
        <w:rPr>
          <w:rFonts w:ascii="FangSong_GB2312" w:hAnsi="微软雅黑" w:eastAsia="FangSong_GB2312" w:cs="宋体"/>
          <w:sz w:val="32"/>
          <w:szCs w:val="32"/>
        </w:rPr>
        <w:t>2.1</w:t>
      </w:r>
      <w:r>
        <w:rPr>
          <w:rFonts w:hint="eastAsia" w:ascii="FangSong_GB2312" w:hAnsi="微软雅黑" w:eastAsia="FangSong_GB2312" w:cs="宋体"/>
          <w:sz w:val="32"/>
          <w:szCs w:val="32"/>
        </w:rPr>
        <w:t>亿元，增长</w:t>
      </w:r>
      <w:r>
        <w:rPr>
          <w:rFonts w:ascii="FangSong_GB2312" w:hAnsi="微软雅黑" w:eastAsia="FangSong_GB2312" w:cs="宋体"/>
          <w:sz w:val="32"/>
          <w:szCs w:val="32"/>
        </w:rPr>
        <w:t>2.3</w:t>
      </w:r>
      <w:r>
        <w:rPr>
          <w:rFonts w:hint="eastAsia" w:ascii="FangSong_GB2312" w:hAnsi="微软雅黑" w:eastAsia="FangSong_GB2312" w:cs="宋体"/>
          <w:sz w:val="32"/>
          <w:szCs w:val="32"/>
        </w:rPr>
        <w:t>倍，刷新历史记录，在全省比重较2015年提升了2.</w:t>
      </w:r>
      <w:r>
        <w:rPr>
          <w:rFonts w:ascii="FangSong_GB2312" w:hAnsi="微软雅黑" w:eastAsia="FangSong_GB2312" w:cs="宋体"/>
          <w:sz w:val="32"/>
          <w:szCs w:val="32"/>
        </w:rPr>
        <w:t>7</w:t>
      </w:r>
      <w:r>
        <w:rPr>
          <w:rFonts w:hint="eastAsia" w:ascii="FangSong_GB2312" w:hAnsi="微软雅黑" w:eastAsia="FangSong_GB2312" w:cs="宋体"/>
          <w:sz w:val="32"/>
          <w:szCs w:val="32"/>
        </w:rPr>
        <w:t>倍，达到1.</w:t>
      </w:r>
      <w:r>
        <w:rPr>
          <w:rFonts w:ascii="FangSong_GB2312" w:hAnsi="微软雅黑" w:eastAsia="FangSong_GB2312" w:cs="宋体"/>
          <w:sz w:val="32"/>
          <w:szCs w:val="32"/>
        </w:rPr>
        <w:t>5</w:t>
      </w:r>
      <w:r>
        <w:rPr>
          <w:rFonts w:hint="eastAsia" w:ascii="FangSong_GB2312" w:hAnsi="微软雅黑" w:eastAsia="FangSong_GB2312" w:cs="宋体"/>
          <w:sz w:val="32"/>
          <w:szCs w:val="32"/>
        </w:rPr>
        <w:t>%，总额排名前移9位</w:t>
      </w:r>
      <w:r>
        <w:rPr>
          <w:rFonts w:hint="eastAsia" w:ascii="FangSong_GB2312" w:hAnsi="微软雅黑" w:eastAsia="FangSong_GB2312"/>
          <w:sz w:val="32"/>
          <w:szCs w:val="32"/>
        </w:rPr>
        <w:t>，位居第9位</w:t>
      </w:r>
      <w:r>
        <w:rPr>
          <w:rFonts w:hint="eastAsia" w:ascii="FangSong_GB2312" w:hAnsi="微软雅黑" w:eastAsia="FangSong_GB2312" w:cs="宋体"/>
          <w:sz w:val="32"/>
          <w:szCs w:val="32"/>
        </w:rPr>
        <w:t>。利用外资结构持续优化，制造业实际利用外资累计达</w:t>
      </w:r>
      <w:r>
        <w:rPr>
          <w:rFonts w:ascii="FangSong_GB2312" w:hAnsi="微软雅黑" w:eastAsia="FangSong_GB2312" w:cs="宋体"/>
          <w:sz w:val="32"/>
          <w:szCs w:val="32"/>
        </w:rPr>
        <w:t>2.3</w:t>
      </w:r>
      <w:r>
        <w:rPr>
          <w:rFonts w:hint="eastAsia" w:ascii="FangSong_GB2312" w:hAnsi="微软雅黑" w:eastAsia="FangSong_GB2312" w:cs="宋体"/>
          <w:sz w:val="32"/>
          <w:szCs w:val="32"/>
        </w:rPr>
        <w:t>亿美元，占全市比重达</w:t>
      </w:r>
      <w:r>
        <w:rPr>
          <w:rFonts w:ascii="FangSong_GB2312" w:hAnsi="微软雅黑" w:eastAsia="FangSong_GB2312" w:cs="宋体"/>
          <w:sz w:val="32"/>
          <w:szCs w:val="32"/>
        </w:rPr>
        <w:t>27.7</w:t>
      </w:r>
      <w:r>
        <w:rPr>
          <w:rFonts w:hint="eastAsia" w:ascii="FangSong_GB2312" w:hAnsi="微软雅黑" w:eastAsia="FangSong_GB2312" w:cs="宋体"/>
          <w:sz w:val="32"/>
          <w:szCs w:val="32"/>
        </w:rPr>
        <w:t>%。外资来源结构明显改善，港资继续占主导地位，达</w:t>
      </w:r>
      <w:r>
        <w:rPr>
          <w:rFonts w:ascii="FangSong_GB2312" w:hAnsi="微软雅黑" w:eastAsia="FangSong_GB2312" w:cs="宋体"/>
          <w:sz w:val="32"/>
          <w:szCs w:val="32"/>
        </w:rPr>
        <w:t>84.9</w:t>
      </w:r>
      <w:r>
        <w:rPr>
          <w:rFonts w:hint="eastAsia" w:ascii="FangSong_GB2312" w:hAnsi="微软雅黑" w:eastAsia="FangSong_GB2312" w:cs="宋体"/>
          <w:sz w:val="32"/>
          <w:szCs w:val="32"/>
        </w:rPr>
        <w:t>%，欧美发达国家投资比重提升至</w:t>
      </w:r>
      <w:r>
        <w:rPr>
          <w:rFonts w:ascii="FangSong_GB2312" w:hAnsi="微软雅黑" w:eastAsia="FangSong_GB2312" w:cs="宋体"/>
          <w:sz w:val="32"/>
          <w:szCs w:val="32"/>
        </w:rPr>
        <w:t>15</w:t>
      </w:r>
      <w:r>
        <w:rPr>
          <w:rFonts w:hint="eastAsia" w:ascii="FangSong_GB2312" w:hAnsi="微软雅黑" w:eastAsia="FangSong_GB2312" w:cs="宋体"/>
          <w:sz w:val="32"/>
          <w:szCs w:val="32"/>
        </w:rPr>
        <w:t>%，随着投资超百亿美元的巴斯夫精细化工一体化基地项目作为我国首例重化工行业外商独资项目破土动工,来自发达国家的资金还将持续增加，并逐步引领我市临海产业集群化发展、链条化发展，加速我市构建现代化产业体系的步伐，推动湛江跻身国家对外开放的第一方阵。</w:t>
      </w:r>
    </w:p>
    <w:p>
      <w:pPr>
        <w:spacing w:line="600" w:lineRule="exact"/>
        <w:ind w:firstLine="420" w:firstLineChars="200"/>
        <w:rPr>
          <w:rFonts w:ascii="FangSong_GB2312" w:eastAsia="FangSong_GB2312"/>
          <w:sz w:val="32"/>
          <w:szCs w:val="32"/>
        </w:rPr>
      </w:pPr>
      <w:r>
        <w:drawing>
          <wp:anchor distT="0" distB="0" distL="114300" distR="114300" simplePos="0" relativeHeight="251670528" behindDoc="1" locked="0" layoutInCell="1" allowOverlap="1">
            <wp:simplePos x="0" y="0"/>
            <wp:positionH relativeFrom="margin">
              <wp:align>right</wp:align>
            </wp:positionH>
            <wp:positionV relativeFrom="paragraph">
              <wp:posOffset>133350</wp:posOffset>
            </wp:positionV>
            <wp:extent cx="5274310" cy="2562225"/>
            <wp:effectExtent l="0" t="0" r="2540" b="952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FangSong_GB2312" w:eastAsia="FangSong_GB2312"/>
          <w:sz w:val="32"/>
          <w:szCs w:val="32"/>
        </w:rPr>
      </w:pPr>
    </w:p>
    <w:p>
      <w:pPr>
        <w:spacing w:line="600" w:lineRule="exact"/>
        <w:ind w:firstLine="640" w:firstLineChars="200"/>
        <w:rPr>
          <w:rFonts w:ascii="FangSong_GB2312" w:eastAsia="FangSong_GB2312"/>
          <w:sz w:val="32"/>
          <w:szCs w:val="32"/>
        </w:rPr>
      </w:pPr>
    </w:p>
    <w:p>
      <w:pPr>
        <w:spacing w:line="600" w:lineRule="exact"/>
        <w:ind w:firstLine="640" w:firstLineChars="200"/>
        <w:rPr>
          <w:rFonts w:ascii="FangSong_GB2312" w:eastAsia="FangSong_GB2312"/>
          <w:sz w:val="32"/>
          <w:szCs w:val="32"/>
        </w:rPr>
      </w:pPr>
    </w:p>
    <w:p>
      <w:pPr>
        <w:spacing w:line="600" w:lineRule="exact"/>
        <w:ind w:firstLine="640" w:firstLineChars="200"/>
        <w:rPr>
          <w:rFonts w:ascii="FangSong_GB2312" w:eastAsia="FangSong_GB2312"/>
          <w:sz w:val="32"/>
          <w:szCs w:val="32"/>
        </w:rPr>
      </w:pPr>
    </w:p>
    <w:p>
      <w:pPr>
        <w:spacing w:line="600" w:lineRule="exact"/>
        <w:ind w:firstLine="643" w:firstLineChars="200"/>
        <w:rPr>
          <w:rFonts w:ascii="FangSong_GB2312" w:eastAsia="FangSong_GB2312"/>
          <w:b/>
          <w:bCs/>
          <w:sz w:val="32"/>
          <w:szCs w:val="32"/>
        </w:rPr>
      </w:pPr>
    </w:p>
    <w:p>
      <w:pPr>
        <w:spacing w:line="600" w:lineRule="exact"/>
        <w:ind w:firstLine="643" w:firstLineChars="200"/>
        <w:rPr>
          <w:rFonts w:ascii="FangSong_GB2312" w:eastAsia="FangSong_GB2312"/>
          <w:b/>
          <w:bCs/>
          <w:sz w:val="32"/>
          <w:szCs w:val="32"/>
        </w:rPr>
      </w:pPr>
    </w:p>
    <w:p>
      <w:pPr>
        <w:spacing w:line="600" w:lineRule="exact"/>
        <w:ind w:firstLine="643" w:firstLineChars="200"/>
        <w:rPr>
          <w:rFonts w:ascii="FangSong_GB2312" w:eastAsia="FangSong_GB2312"/>
          <w:sz w:val="32"/>
          <w:szCs w:val="32"/>
        </w:rPr>
      </w:pPr>
      <w:bookmarkStart w:id="15" w:name="_Toc75776138"/>
      <w:r>
        <w:rPr>
          <w:rStyle w:val="29"/>
          <w:rFonts w:hint="eastAsia"/>
        </w:rPr>
        <w:t>对外投资有序发展，优势产业全球布局优化。</w:t>
      </w:r>
      <w:r>
        <w:rPr>
          <w:rStyle w:val="29"/>
          <w:rFonts w:hint="eastAsia" w:ascii="FangSong_GB2312" w:eastAsia="FangSong_GB2312"/>
          <w:b w:val="0"/>
          <w:bCs w:val="0"/>
        </w:rPr>
        <w:t>“十三五”期间，</w:t>
      </w:r>
      <w:bookmarkEnd w:id="15"/>
      <w:r>
        <w:rPr>
          <w:rFonts w:hint="eastAsia" w:ascii="FangSong_GB2312" w:eastAsia="FangSong_GB2312"/>
          <w:sz w:val="32"/>
          <w:szCs w:val="32"/>
        </w:rPr>
        <w:t>全市累计对外投资项目</w:t>
      </w:r>
      <w:r>
        <w:rPr>
          <w:rFonts w:ascii="FangSong_GB2312" w:eastAsia="FangSong_GB2312"/>
          <w:sz w:val="32"/>
          <w:szCs w:val="32"/>
        </w:rPr>
        <w:t>36</w:t>
      </w:r>
      <w:r>
        <w:rPr>
          <w:rFonts w:hint="eastAsia" w:ascii="FangSong_GB2312" w:eastAsia="FangSong_GB2312"/>
          <w:sz w:val="32"/>
          <w:szCs w:val="32"/>
        </w:rPr>
        <w:t>个，其中超千万美元项目</w:t>
      </w:r>
      <w:r>
        <w:rPr>
          <w:rFonts w:ascii="FangSong_GB2312" w:eastAsia="FangSong_GB2312"/>
          <w:sz w:val="32"/>
          <w:szCs w:val="32"/>
        </w:rPr>
        <w:t>17</w:t>
      </w:r>
      <w:r>
        <w:rPr>
          <w:rFonts w:hint="eastAsia" w:ascii="FangSong_GB2312" w:eastAsia="FangSong_GB2312"/>
          <w:sz w:val="32"/>
          <w:szCs w:val="32"/>
        </w:rPr>
        <w:t>个，中方协议投资额达</w:t>
      </w:r>
      <w:r>
        <w:rPr>
          <w:rFonts w:ascii="FangSong_GB2312" w:eastAsia="FangSong_GB2312"/>
          <w:sz w:val="32"/>
          <w:szCs w:val="32"/>
        </w:rPr>
        <w:t>8.6</w:t>
      </w:r>
      <w:r>
        <w:rPr>
          <w:rFonts w:hint="eastAsia" w:ascii="FangSong_GB2312" w:eastAsia="FangSong_GB2312"/>
          <w:sz w:val="32"/>
          <w:szCs w:val="32"/>
        </w:rPr>
        <w:t>亿美元。对外投资布局进一步优化，投资的国家和地区达</w:t>
      </w:r>
      <w:r>
        <w:rPr>
          <w:rFonts w:ascii="FangSong_GB2312" w:eastAsia="FangSong_GB2312"/>
          <w:sz w:val="32"/>
          <w:szCs w:val="32"/>
        </w:rPr>
        <w:t>26</w:t>
      </w:r>
      <w:r>
        <w:rPr>
          <w:rFonts w:hint="eastAsia" w:ascii="FangSong_GB2312" w:eastAsia="FangSong_GB2312"/>
          <w:sz w:val="32"/>
          <w:szCs w:val="32"/>
        </w:rPr>
        <w:t>个，遍及埃及、沙特阿拉伯、印度、孟加拉、马来西亚、印尼、越南、泰国、柬埔寨等“一带一路”沿线国家，以及美国、澳大利亚、比利时等发达国家和安哥拉、莫桑比克、塞拉利昂等非洲国家；投资行业进一步拓展，投资领域从水产养殖加工、水产批发销售、水产饲料生产加工向农林业种植、制糖产业、远洋捕捞、麻制品加工、工业园建设、稀有金属矿的开采和矿产资源开发等领域拓展；投资模式进一步创新，对外投资方式展现从资金合作单一方式发展为资金、技术、市场合作以及平台共建并举新格局，湛江水产行业还成功输出“中国标准”；境外经贸合作网络不断拓展，与43个境外商协会签署战略合作协议，与10个“一带一路”沿线国家重要商协会签订委托招商协议，建立长期委托招商关系。</w:t>
      </w:r>
    </w:p>
    <w:p>
      <w:pPr>
        <w:spacing w:line="600" w:lineRule="exact"/>
        <w:ind w:firstLine="643" w:firstLineChars="200"/>
        <w:rPr>
          <w:rFonts w:ascii="FangSong_GB2312" w:hAnsi="FangSong_GB2312" w:eastAsia="FangSong_GB2312"/>
          <w:sz w:val="32"/>
          <w:szCs w:val="32"/>
        </w:rPr>
      </w:pPr>
      <w:bookmarkStart w:id="16" w:name="_Toc75776139"/>
      <w:r>
        <w:rPr>
          <w:rStyle w:val="29"/>
          <w:rFonts w:hint="eastAsia"/>
        </w:rPr>
        <w:t>口岸建设稳步发展，跨境贸易便利化水平提高。</w:t>
      </w:r>
      <w:r>
        <w:rPr>
          <w:rStyle w:val="29"/>
          <w:rFonts w:hint="eastAsia" w:ascii="FangSong_GB2312" w:eastAsia="FangSong_GB2312"/>
          <w:b w:val="0"/>
          <w:bCs w:val="0"/>
        </w:rPr>
        <w:t>“十三五”期间，</w:t>
      </w:r>
      <w:bookmarkEnd w:id="16"/>
      <w:r>
        <w:rPr>
          <w:rFonts w:hint="eastAsia" w:ascii="FangSong_GB2312" w:eastAsia="FangSong_GB2312"/>
          <w:sz w:val="32"/>
          <w:szCs w:val="32"/>
        </w:rPr>
        <w:t>我市</w:t>
      </w:r>
      <w:r>
        <w:rPr>
          <w:rFonts w:hint="eastAsia" w:ascii="FangSong_GB2312" w:hAnsi="仿宋" w:eastAsia="FangSong_GB2312"/>
          <w:kern w:val="36"/>
          <w:sz w:val="32"/>
          <w:szCs w:val="32"/>
        </w:rPr>
        <w:t>坚持口岸建设与产业发展互促共进，不断提高口岸建设水平，扩大口岸开放，通关便利化水平不断提高</w:t>
      </w:r>
      <w:bookmarkStart w:id="17" w:name="_Hlk29971654"/>
      <w:r>
        <w:rPr>
          <w:rFonts w:hint="eastAsia" w:ascii="FangSong_GB2312" w:hAnsi="仿宋" w:eastAsia="FangSong_GB2312"/>
          <w:kern w:val="36"/>
          <w:sz w:val="32"/>
          <w:szCs w:val="32"/>
        </w:rPr>
        <w:t>，</w:t>
      </w:r>
      <w:r>
        <w:rPr>
          <w:rFonts w:hint="eastAsia" w:ascii="FangSong_GB2312" w:hAnsi="仿宋" w:eastAsia="FangSong_GB2312"/>
          <w:kern w:val="0"/>
          <w:sz w:val="32"/>
          <w:szCs w:val="32"/>
        </w:rPr>
        <w:t>2017年</w:t>
      </w:r>
      <w:r>
        <w:rPr>
          <w:rFonts w:hint="eastAsia" w:ascii="FangSong_GB2312" w:hAnsi="仿宋" w:eastAsia="FangSong_GB2312" w:cs="宋体"/>
          <w:bCs/>
          <w:kern w:val="0"/>
          <w:sz w:val="32"/>
          <w:szCs w:val="32"/>
        </w:rPr>
        <w:t>被列为国际贸易“单一窗口”首批试点城市，</w:t>
      </w:r>
      <w:r>
        <w:rPr>
          <w:rFonts w:hint="eastAsia" w:ascii="FangSong_GB2312" w:hAnsi="仿宋" w:eastAsia="FangSong_GB2312" w:cs="Arial"/>
          <w:kern w:val="0"/>
          <w:sz w:val="32"/>
          <w:szCs w:val="32"/>
        </w:rPr>
        <w:t>各项申报功能在湛江口岸</w:t>
      </w:r>
      <w:r>
        <w:rPr>
          <w:rFonts w:hint="eastAsia" w:ascii="FangSong_GB2312" w:hAnsi="仿宋" w:eastAsia="FangSong_GB2312"/>
          <w:kern w:val="0"/>
          <w:sz w:val="32"/>
          <w:szCs w:val="32"/>
        </w:rPr>
        <w:t>加速</w:t>
      </w:r>
      <w:r>
        <w:rPr>
          <w:rFonts w:hint="eastAsia" w:ascii="FangSong_GB2312" w:hAnsi="仿宋" w:eastAsia="FangSong_GB2312" w:cs="Arial"/>
          <w:kern w:val="0"/>
          <w:sz w:val="32"/>
          <w:szCs w:val="32"/>
        </w:rPr>
        <w:t>落地应用；</w:t>
      </w:r>
      <w:r>
        <w:rPr>
          <w:rFonts w:hint="eastAsia" w:ascii="FangSong_GB2312" w:hAnsi="仿宋" w:eastAsia="FangSong_GB2312"/>
          <w:kern w:val="36"/>
          <w:sz w:val="32"/>
          <w:szCs w:val="32"/>
        </w:rPr>
        <w:t>口岸进出口货物整体通关时间较</w:t>
      </w:r>
      <w:r>
        <w:rPr>
          <w:rFonts w:ascii="FangSong_GB2312" w:hAnsi="仿宋" w:eastAsia="FangSong_GB2312"/>
          <w:kern w:val="36"/>
          <w:sz w:val="32"/>
          <w:szCs w:val="32"/>
        </w:rPr>
        <w:t>2017</w:t>
      </w:r>
      <w:r>
        <w:rPr>
          <w:rFonts w:hint="eastAsia" w:ascii="FangSong_GB2312" w:hAnsi="仿宋" w:eastAsia="FangSong_GB2312"/>
          <w:kern w:val="36"/>
          <w:sz w:val="32"/>
          <w:szCs w:val="32"/>
        </w:rPr>
        <w:t>年分别压缩5</w:t>
      </w:r>
      <w:r>
        <w:rPr>
          <w:rFonts w:ascii="FangSong_GB2312" w:hAnsi="仿宋" w:eastAsia="FangSong_GB2312"/>
          <w:kern w:val="36"/>
          <w:sz w:val="32"/>
          <w:szCs w:val="32"/>
        </w:rPr>
        <w:t>0</w:t>
      </w:r>
      <w:r>
        <w:rPr>
          <w:rFonts w:hint="eastAsia" w:ascii="FangSong_GB2312" w:hAnsi="仿宋" w:eastAsia="FangSong_GB2312"/>
          <w:kern w:val="36"/>
          <w:sz w:val="32"/>
          <w:szCs w:val="32"/>
        </w:rPr>
        <w:t>%、8</w:t>
      </w:r>
      <w:r>
        <w:rPr>
          <w:rFonts w:ascii="FangSong_GB2312" w:hAnsi="仿宋" w:eastAsia="FangSong_GB2312"/>
          <w:kern w:val="36"/>
          <w:sz w:val="32"/>
          <w:szCs w:val="32"/>
        </w:rPr>
        <w:t>0</w:t>
      </w:r>
      <w:r>
        <w:rPr>
          <w:rFonts w:hint="eastAsia" w:ascii="FangSong_GB2312" w:hAnsi="仿宋" w:eastAsia="FangSong_GB2312"/>
          <w:kern w:val="36"/>
          <w:sz w:val="32"/>
          <w:szCs w:val="32"/>
        </w:rPr>
        <w:t>%</w:t>
      </w:r>
      <w:r>
        <w:rPr>
          <w:rFonts w:hint="eastAsia" w:ascii="FangSong_GB2312" w:hAnsi="仿宋" w:eastAsia="FangSong_GB2312"/>
          <w:kern w:val="0"/>
          <w:sz w:val="32"/>
          <w:szCs w:val="32"/>
        </w:rPr>
        <w:t>;</w:t>
      </w:r>
      <w:r>
        <w:rPr>
          <w:rFonts w:hint="eastAsia" w:ascii="FangSong_GB2312" w:hAnsi="仿宋" w:eastAsia="FangSong_GB2312" w:cs="宋体"/>
          <w:bCs/>
          <w:kern w:val="0"/>
          <w:sz w:val="32"/>
          <w:szCs w:val="32"/>
        </w:rPr>
        <w:t>东海岛港区、宝满港区、霞山港区30万吨级散货码头相继对外开放;航空口岸对外国籍飞机开放获批准，国际（地区）航空航线拓展至5条;外贸航线逐步加密，湛江港已开通外贸集装箱航线10条，主要至新加坡、越南、泰国、马来西亚、柬埔寨及香港等国家和地区。口岸开放展现海陆空多方位、立体化发展</w:t>
      </w:r>
      <w:bookmarkEnd w:id="17"/>
      <w:r>
        <w:rPr>
          <w:rFonts w:hint="eastAsia" w:ascii="FangSong_GB2312" w:hAnsi="仿宋" w:eastAsia="FangSong_GB2312" w:cs="宋体"/>
          <w:bCs/>
          <w:kern w:val="0"/>
          <w:sz w:val="32"/>
          <w:szCs w:val="32"/>
        </w:rPr>
        <w:t>格局，正逐步实现从传统区域性港口到现代化开放枢纽大港的重大转变。</w:t>
      </w:r>
    </w:p>
    <w:p>
      <w:pPr>
        <w:spacing w:line="600" w:lineRule="exact"/>
        <w:ind w:firstLine="643" w:firstLineChars="200"/>
        <w:rPr>
          <w:rFonts w:ascii="FangSong_GB2312" w:hAnsi="楷体" w:eastAsia="FangSong_GB2312" w:cs="宋体"/>
          <w:sz w:val="32"/>
          <w:szCs w:val="32"/>
        </w:rPr>
      </w:pPr>
      <w:bookmarkStart w:id="18" w:name="_Toc75776140"/>
      <w:r>
        <w:rPr>
          <w:rStyle w:val="29"/>
          <w:rFonts w:hint="eastAsia"/>
        </w:rPr>
        <w:t>开放平台突破发展，增添开放体制机制新优势。</w:t>
      </w:r>
      <w:bookmarkEnd w:id="18"/>
      <w:r>
        <w:rPr>
          <w:rFonts w:hint="eastAsia" w:ascii="FangSong_GB2312" w:eastAsia="FangSong_GB2312"/>
          <w:sz w:val="32"/>
          <w:szCs w:val="32"/>
        </w:rPr>
        <w:t>开放平台逐步提档升级，</w:t>
      </w:r>
      <w:r>
        <w:rPr>
          <w:rFonts w:hint="eastAsia" w:ascii="FangSong_GB2312" w:hAnsi="微软雅黑" w:eastAsia="FangSong_GB2312" w:cs="微软雅黑"/>
          <w:bCs/>
          <w:kern w:val="0"/>
          <w:sz w:val="32"/>
          <w:szCs w:val="32"/>
        </w:rPr>
        <w:t>引领开放体制机制大变革，</w:t>
      </w:r>
      <w:r>
        <w:rPr>
          <w:rFonts w:hint="eastAsia" w:ascii="FangSong_GB2312" w:hAnsi="仿宋" w:eastAsia="FangSong_GB2312" w:cs="宋体"/>
          <w:bCs/>
          <w:kern w:val="0"/>
          <w:sz w:val="32"/>
          <w:szCs w:val="32"/>
        </w:rPr>
        <w:t>逐步拉开湛江新一轮高水平、高质量开放发展序幕</w:t>
      </w:r>
      <w:r>
        <w:rPr>
          <w:rFonts w:hint="eastAsia" w:ascii="FangSong_GB2312" w:hAnsi="微软雅黑" w:eastAsia="FangSong_GB2312" w:cs="微软雅黑"/>
          <w:bCs/>
          <w:kern w:val="0"/>
          <w:sz w:val="32"/>
          <w:szCs w:val="32"/>
        </w:rPr>
        <w:t>。</w:t>
      </w:r>
      <w:r>
        <w:rPr>
          <w:rStyle w:val="29"/>
          <w:rFonts w:hint="eastAsia" w:ascii="FangSong_GB2312" w:eastAsia="FangSong_GB2312"/>
          <w:b w:val="0"/>
          <w:bCs w:val="0"/>
        </w:rPr>
        <w:t>湛江保税物流中心（B 型）快速发展，保税货源结构持续优化，2020年进出区货物量60.42万吨;</w:t>
      </w:r>
      <w:r>
        <w:rPr>
          <w:rFonts w:hint="eastAsia" w:ascii="FangSong_GB2312" w:eastAsia="FangSong_GB2312"/>
          <w:sz w:val="32"/>
          <w:szCs w:val="32"/>
        </w:rPr>
        <w:t>中国（湛江）</w:t>
      </w:r>
      <w:r>
        <w:rPr>
          <w:rFonts w:hint="eastAsia" w:ascii="FangSong_GB2312" w:hAnsi="仿宋" w:eastAsia="FangSong_GB2312" w:cs="宋体"/>
          <w:bCs/>
          <w:kern w:val="0"/>
          <w:sz w:val="32"/>
          <w:szCs w:val="32"/>
        </w:rPr>
        <w:t>跨境</w:t>
      </w:r>
      <w:r>
        <w:rPr>
          <w:rFonts w:hint="eastAsia" w:ascii="FangSong_GB2312" w:hAnsi="微软雅黑" w:eastAsia="FangSong_GB2312" w:cs="微软雅黑"/>
          <w:bCs/>
          <w:kern w:val="0"/>
          <w:sz w:val="32"/>
          <w:szCs w:val="32"/>
        </w:rPr>
        <w:t>电商综合试验区和湛江</w:t>
      </w:r>
      <w:r>
        <w:rPr>
          <w:rFonts w:hint="eastAsia" w:ascii="FangSong_GB2312" w:hAnsi="黑体" w:eastAsia="FangSong_GB2312"/>
          <w:sz w:val="32"/>
          <w:szCs w:val="32"/>
        </w:rPr>
        <w:t>综合保税区相继获得批准设立，</w:t>
      </w:r>
      <w:r>
        <w:rPr>
          <w:rFonts w:hint="eastAsia" w:ascii="FangSong_GB2312" w:hAnsi="微软雅黑" w:eastAsia="FangSong_GB2312" w:cs="微软雅黑"/>
          <w:bCs/>
          <w:kern w:val="0"/>
          <w:sz w:val="32"/>
          <w:szCs w:val="32"/>
        </w:rPr>
        <w:t>并启动建设工作，跨境电商业务迅速规模发展；争取设立广东自由贸易试验区湛江片区工作全面启动，将</w:t>
      </w:r>
      <w:r>
        <w:rPr>
          <w:rFonts w:hint="eastAsia" w:ascii="FangSong_GB2312" w:hAnsi="黑体" w:eastAsia="FangSong_GB2312" w:cs="宋体"/>
          <w:kern w:val="0"/>
          <w:sz w:val="32"/>
          <w:szCs w:val="32"/>
        </w:rPr>
        <w:t>霞山、东海岛、徐闻区块</w:t>
      </w:r>
      <w:r>
        <w:rPr>
          <w:rFonts w:hint="eastAsia" w:ascii="FangSong_GB2312" w:hAnsi="仿宋" w:eastAsia="FangSong_GB2312" w:cs="宋体"/>
          <w:bCs/>
          <w:kern w:val="0"/>
          <w:sz w:val="32"/>
          <w:szCs w:val="32"/>
        </w:rPr>
        <w:t>纳入广东自由贸易试验区扩区范围作为落实“一核一带一区”部署的重要举措，有望成为首批广东自由贸易试验区联动发展区。</w:t>
      </w:r>
    </w:p>
    <w:p>
      <w:pPr>
        <w:pStyle w:val="3"/>
        <w:jc w:val="center"/>
      </w:pPr>
      <w:bookmarkStart w:id="19" w:name="_Toc75776141"/>
      <w:r>
        <w:rPr>
          <w:rFonts w:hint="eastAsia"/>
        </w:rPr>
        <w:t>第二节 “十四五”时期商务发展形势</w:t>
      </w:r>
      <w:bookmarkEnd w:id="19"/>
    </w:p>
    <w:p>
      <w:pPr>
        <w:spacing w:line="580" w:lineRule="exact"/>
        <w:jc w:val="center"/>
        <w:rPr>
          <w:rFonts w:ascii="楷体_GB2312" w:hAnsi="黑体" w:eastAsia="楷体_GB2312"/>
          <w:sz w:val="32"/>
          <w:szCs w:val="21"/>
        </w:rPr>
      </w:pPr>
    </w:p>
    <w:p>
      <w:pPr>
        <w:spacing w:line="600" w:lineRule="exact"/>
        <w:ind w:firstLine="658" w:firstLineChars="196"/>
        <w:rPr>
          <w:rFonts w:ascii="FangSong_GB2312" w:hAnsi="微软雅黑" w:eastAsia="FangSong_GB2312"/>
          <w:spacing w:val="8"/>
          <w:sz w:val="32"/>
          <w:szCs w:val="32"/>
        </w:rPr>
      </w:pPr>
      <w:bookmarkStart w:id="20" w:name="_Hlk46741255"/>
      <w:r>
        <w:rPr>
          <w:rFonts w:hint="eastAsia" w:ascii="FangSong_GB2312" w:hAnsi="微软雅黑" w:eastAsia="FangSong_GB2312"/>
          <w:spacing w:val="8"/>
          <w:sz w:val="32"/>
          <w:szCs w:val="32"/>
        </w:rPr>
        <w:t>当前和今后一个时期，我国发展仍然处于重要战略机遇期，但机遇和挑战都有新的发展变化，这将对我市“十四五”期间商务发展带来广泛、深刻、持久、复杂的影响。</w:t>
      </w:r>
    </w:p>
    <w:bookmarkEnd w:id="20"/>
    <w:p>
      <w:pPr>
        <w:spacing w:line="600" w:lineRule="exact"/>
        <w:ind w:firstLine="658" w:firstLineChars="196"/>
        <w:rPr>
          <w:rFonts w:ascii="FangSong_GB2312" w:hAnsi="微软雅黑" w:eastAsia="FangSong_GB2312"/>
          <w:spacing w:val="8"/>
          <w:sz w:val="32"/>
          <w:szCs w:val="32"/>
        </w:rPr>
      </w:pPr>
      <w:r>
        <w:rPr>
          <w:rFonts w:hint="eastAsia" w:ascii="FangSong_GB2312" w:hAnsi="微软雅黑" w:eastAsia="FangSong_GB2312"/>
          <w:spacing w:val="8"/>
          <w:sz w:val="32"/>
          <w:szCs w:val="32"/>
        </w:rPr>
        <w:t>从国际看，新一轮科技革命和产业变革迎来从蓄势待发到群体迸发的关键时期，新产品、新服务、新业态不断涌现，新一代信息技术在商务各领域各环节应用持续深化拓展，为商务经济创新发展提供新能力。但是，当今世界正经历百年未有之大变局，国际力量对比深刻调整，国际环境日趋复杂，不稳定性不确定性明显增加，新冠肺炎疫情影响广泛深远，世界经济陷入低迷期，经济全球化遭遇逆流，全球能源供需版图深刻变革，国际经济政治格局复杂多变，世界进入动荡变革期，单边主义、保护主义、霸权主义对世界和平与发展构成威胁，对世界经济产生了前所未有的供给侧和需求端双向冲击，世界经济深度衰退，国际贸易和投资大幅萎缩，对外贸易和投资面临较大压力。</w:t>
      </w:r>
    </w:p>
    <w:p>
      <w:pPr>
        <w:spacing w:line="600" w:lineRule="exact"/>
        <w:ind w:firstLine="672" w:firstLineChars="200"/>
        <w:rPr>
          <w:rFonts w:ascii="FangSong_GB2312" w:hAnsi="等线" w:eastAsia="FangSong_GB2312"/>
          <w:sz w:val="32"/>
          <w:szCs w:val="32"/>
        </w:rPr>
      </w:pPr>
      <w:r>
        <w:rPr>
          <w:rFonts w:hint="eastAsia" w:ascii="FangSong_GB2312" w:hAnsi="微软雅黑" w:eastAsia="FangSong_GB2312"/>
          <w:spacing w:val="8"/>
          <w:sz w:val="32"/>
          <w:szCs w:val="32"/>
        </w:rPr>
        <w:t>从国内看，我国已转向高质量发展阶段，制度优势显著，治理效能提升，经济长期向好，物质基础雄厚，人力资源丰富，市场空间广阔，发展韧性强劲，社会大局稳定，继续发展具有多方面优势和条件。尤其是，以习近平同志为核心的</w:t>
      </w:r>
      <w:r>
        <w:rPr>
          <w:rFonts w:hint="eastAsia" w:ascii="FangSong_GB2312" w:hAnsi="等线" w:eastAsia="FangSong_GB2312"/>
          <w:sz w:val="32"/>
          <w:szCs w:val="32"/>
        </w:rPr>
        <w:t>党中央提出了加快推动形成“双循环”新发展格局，把扩大内需作为形成强大国内市场、构建新发展格局的战略基点，引导经济从以往依赖投资和出口拉动转向依靠消费和内需支撑，将为“十四五”时期我国经济持续增长提供强大动力。同时，我国正从经济全球化重要参与者转变为主要推动者，积极推进以“一带一路”倡议为代表的多边合作机制，推动全球高端要素自由流动与共享，有效应对逆全球化问题，在更大范围、更广领域、更多层次</w:t>
      </w:r>
      <w:r>
        <w:rPr>
          <w:rFonts w:ascii="FangSong_GB2312" w:hAnsi="等线" w:eastAsia="FangSong_GB2312"/>
          <w:sz w:val="32"/>
          <w:szCs w:val="32"/>
        </w:rPr>
        <w:t>推动更高水平的开放发展</w:t>
      </w:r>
      <w:r>
        <w:rPr>
          <w:rFonts w:hint="eastAsia" w:ascii="FangSong_GB2312" w:hAnsi="等线" w:eastAsia="FangSong_GB2312"/>
          <w:sz w:val="32"/>
          <w:szCs w:val="32"/>
        </w:rPr>
        <w:t>，为商务发展开辟更广阔的空间。</w:t>
      </w:r>
    </w:p>
    <w:p>
      <w:pPr>
        <w:spacing w:line="600" w:lineRule="exact"/>
        <w:ind w:firstLine="658" w:firstLineChars="196"/>
        <w:rPr>
          <w:rFonts w:ascii="FangSong_GB2312" w:hAnsi="微软雅黑" w:eastAsia="FangSong_GB2312"/>
          <w:spacing w:val="8"/>
          <w:sz w:val="32"/>
          <w:szCs w:val="32"/>
        </w:rPr>
      </w:pPr>
      <w:r>
        <w:rPr>
          <w:rFonts w:hint="eastAsia" w:ascii="FangSong_GB2312" w:hAnsi="微软雅黑" w:eastAsia="FangSong_GB2312"/>
          <w:spacing w:val="8"/>
          <w:sz w:val="32"/>
          <w:szCs w:val="32"/>
        </w:rPr>
        <w:t>从省内看，广东经济总量大、产业配套齐、市场机制活、开放水平高，转型升级、领先发展的态势更加明显，具备深度参与全球新一轮科技革命和产业革命的潜力。尤其是，在推进粤港澳大湾区、深圳中国特色社会主义先行示范区建设进程中,将加快形成以创新为引领的新要素优势,全面提升我省产业的竞争力。粤港澳大湾区、深圳中国特色社会主义先行示范区两个国家战略加快推进，“双区驱动效应”加快释放，“一核一带一区”区域发展格局加快形成，为广东在新的历史起点上推动开放型经济高质量发展注入了源源不断的新动能。</w:t>
      </w:r>
    </w:p>
    <w:p>
      <w:pPr>
        <w:spacing w:line="600" w:lineRule="exact"/>
        <w:ind w:firstLine="658" w:firstLineChars="196"/>
        <w:rPr>
          <w:rFonts w:ascii="FangSong_GB2312" w:hAnsi="微软雅黑" w:eastAsia="FangSong_GB2312"/>
          <w:spacing w:val="8"/>
          <w:sz w:val="32"/>
          <w:szCs w:val="32"/>
        </w:rPr>
      </w:pPr>
      <w:r>
        <w:rPr>
          <w:rFonts w:hint="eastAsia" w:ascii="FangSong_GB2312" w:hAnsi="微软雅黑" w:eastAsia="FangSong_GB2312"/>
          <w:spacing w:val="8"/>
          <w:sz w:val="32"/>
          <w:szCs w:val="32"/>
        </w:rPr>
        <w:t>从自身看，中央及省委、省政府对湛江发展高度重视、寄予厚望，赋予湛江“打造现代化沿海经济带重要发展极”和“与海南相向而行”的历史使命，省委、省政府把湛江放在“一核一带一区”区域发展格局的重要位置去谋划、去推进，明确支持湛江加快建设省域副中心城市，并出台《关于支持加快建设湛江市加快建设省域副中心城市打造现代化沿海经济带重要发展极的意见》，以一揽子含金量高的措施支持湛江发展，把湛江送上了发展的快车道。这些重要定位和给力支持为湛江实现振兴发展、高质量发展提供了重大机遇、明确了方向，也为我们融入区域经济一体化发展战略和分享世界市场资源配置增加了新优势。市委、市政府正全力推进“</w:t>
      </w:r>
      <w:r>
        <w:rPr>
          <w:rFonts w:ascii="FangSong_GB2312" w:hAnsi="微软雅黑" w:eastAsia="FangSong_GB2312"/>
          <w:spacing w:val="8"/>
          <w:sz w:val="32"/>
          <w:szCs w:val="32"/>
        </w:rPr>
        <w:t>一通道、一港区、一示范</w:t>
      </w:r>
      <w:r>
        <w:rPr>
          <w:rFonts w:hint="eastAsia" w:ascii="FangSong_GB2312" w:hAnsi="微软雅黑" w:eastAsia="FangSong_GB2312"/>
          <w:spacing w:val="8"/>
          <w:sz w:val="32"/>
          <w:szCs w:val="32"/>
        </w:rPr>
        <w:t>”建设，做强全国性综合交通枢纽，构建现代化产业体系，厚植改革开放新优势，湛江商务赖以发展的社会条件、政策环境、产业基础更优，前景更好。</w:t>
      </w:r>
    </w:p>
    <w:p>
      <w:pPr>
        <w:spacing w:line="600" w:lineRule="exact"/>
        <w:ind w:firstLine="672" w:firstLineChars="200"/>
        <w:rPr>
          <w:rFonts w:ascii="FangSong_GB2312" w:hAnsi="微软雅黑" w:eastAsia="FangSong_GB2312"/>
          <w:spacing w:val="8"/>
          <w:sz w:val="32"/>
          <w:szCs w:val="32"/>
        </w:rPr>
      </w:pPr>
      <w:r>
        <w:rPr>
          <w:rFonts w:hint="eastAsia" w:ascii="FangSong_GB2312" w:hAnsi="微软雅黑" w:eastAsia="FangSong_GB2312"/>
          <w:spacing w:val="8"/>
          <w:sz w:val="32"/>
          <w:szCs w:val="32"/>
        </w:rPr>
        <w:t>综合判断，“十四五”时期，“两个大局”深度联动是我市商务发展环境的主基调，湛江商务发展迎来前所未有的“机遇期”和“窗口期”，但面临的挑战也更为直接，机遇与挑战同生并存、机遇大于挑战：推动构建“双循环”发展格局，这为湛江利用“两个大局”，推动内外贸易、双向投资协调发展提供良好机遇，尤其是为加快构建完整的内需体系，提振内需促进消费，推动经济持续增长提供强大动力。紧抓新一轮科技革命和创新驱动释放的巨大潜力，落地应用移动互联网、大数据、云计算、物联网、人工智能、区块链等新兴技术，可为湛江商务高质量发展开辟更广阔空间和动能。以区域协调发展战略为引领，正加速构建陆海内外联动、东西双向互济全面开放新格局，主动融入区域协调发展战略，可让湛江有效承接开放型经济协调、高质量发展的巨大辐射和有力带动。全省“一核一带一区”区域发展格局，湛江作为省域副中心，在全省“双核”+“双副中心”联动协作机制推动下，将借力借势发展迈入开放发展快车道。我市“三个一”的深入推进，必将提升湛江全国性综合交通枢纽能级，从而加速区域消费中心建设；必将推动系列外向型超百亿美元项目加快落地、达产增效，从而加速实现更高水平的外向型经济体；必将加快跨境电商综合试验区、综合保税区等系列高质量开放平台，从而增进开放体制机制新优势。总之，我们要深刻认识和把握错综复杂和国际环境带来的新矛盾新挑战，紧紧围绕加快推动构建“双循环”新发展格局，利用国内、国际两个市场、两种资源，坚定信心，保持战略定力，努力在危机中育先机、于变局中开新局，抓住机遇，应对挑战，趋利避害，推动我市商务高质量发展。</w:t>
      </w:r>
    </w:p>
    <w:p>
      <w:pPr>
        <w:pStyle w:val="2"/>
        <w:jc w:val="center"/>
      </w:pPr>
      <w:bookmarkStart w:id="21" w:name="_Toc75776142"/>
      <w:r>
        <w:rPr>
          <w:rFonts w:hint="eastAsia"/>
        </w:rPr>
        <w:t>第二章 指导思想和主要目标</w:t>
      </w:r>
      <w:bookmarkEnd w:id="21"/>
    </w:p>
    <w:p>
      <w:pPr>
        <w:pStyle w:val="22"/>
        <w:spacing w:line="580" w:lineRule="exact"/>
        <w:ind w:left="1125" w:firstLine="0" w:firstLineChars="0"/>
        <w:rPr>
          <w:rFonts w:ascii="方正大标宋_GBK" w:hAnsi="黑体" w:eastAsia="方正大标宋_GBK"/>
          <w:sz w:val="32"/>
          <w:szCs w:val="21"/>
        </w:rPr>
      </w:pPr>
    </w:p>
    <w:p>
      <w:pPr>
        <w:pStyle w:val="3"/>
        <w:jc w:val="center"/>
      </w:pPr>
      <w:bookmarkStart w:id="22" w:name="_Toc75776143"/>
      <w:r>
        <w:rPr>
          <w:rFonts w:hint="eastAsia"/>
        </w:rPr>
        <w:t>第一节 指导思想</w:t>
      </w:r>
      <w:bookmarkEnd w:id="22"/>
    </w:p>
    <w:p>
      <w:pPr>
        <w:spacing w:line="580" w:lineRule="exact"/>
        <w:ind w:firstLine="640" w:firstLineChars="200"/>
        <w:rPr>
          <w:rFonts w:ascii="FangSong_GB2312" w:hAnsi="黑体" w:eastAsia="FangSong_GB2312"/>
          <w:sz w:val="32"/>
          <w:szCs w:val="21"/>
        </w:rPr>
      </w:pPr>
    </w:p>
    <w:p>
      <w:pPr>
        <w:spacing w:line="580" w:lineRule="exact"/>
        <w:ind w:firstLine="640" w:firstLineChars="200"/>
        <w:rPr>
          <w:rFonts w:ascii="FangSong_GB2312" w:hAnsi="黑体" w:eastAsia="FangSong_GB2312"/>
          <w:sz w:val="32"/>
          <w:szCs w:val="21"/>
        </w:rPr>
      </w:pPr>
      <w:bookmarkStart w:id="23" w:name="_Hlk55555172"/>
      <w:r>
        <w:rPr>
          <w:rFonts w:hint="eastAsia" w:ascii="FangSong_GB2312" w:hAnsi="黑体" w:eastAsia="FangSong_GB2312"/>
          <w:sz w:val="32"/>
          <w:szCs w:val="21"/>
        </w:rPr>
        <w:t>坚持以习近平新时代中国特色社会主义思想为指导</w:t>
      </w:r>
      <w:bookmarkEnd w:id="23"/>
      <w:r>
        <w:rPr>
          <w:rFonts w:hint="eastAsia" w:ascii="FangSong_GB2312" w:hAnsi="黑体" w:eastAsia="FangSong_GB2312"/>
          <w:sz w:val="32"/>
          <w:szCs w:val="21"/>
        </w:rPr>
        <w:t>，全面贯彻党的十九大和十九届二中、三中、四中、五中全会精神，深入贯彻落实习近平总书记对广东重要讲话和重要指示批示精神，统筹推进“五位一体”总体布局，协调推进“四个全面”战略布局，加快推动形成“双循环”新发展格局，认真贯彻落实省委“1+1</w:t>
      </w:r>
      <w:r>
        <w:rPr>
          <w:rFonts w:ascii="FangSong_GB2312" w:hAnsi="黑体" w:eastAsia="FangSong_GB2312"/>
          <w:sz w:val="32"/>
          <w:szCs w:val="21"/>
        </w:rPr>
        <w:t>+</w:t>
      </w:r>
      <w:r>
        <w:rPr>
          <w:rFonts w:hint="eastAsia" w:ascii="FangSong_GB2312" w:hAnsi="黑体" w:eastAsia="FangSong_GB2312"/>
          <w:sz w:val="32"/>
          <w:szCs w:val="21"/>
        </w:rPr>
        <w:t>9”工作部署和市委、市政府“三个一”决策部署，坚定不移贯彻新发展理念，坚持稳中求进工作总基调，以推动高质量发展为主题，以深化供给侧结构性改革为主线，以“双核+双副中心”联动协作为战略引领，以改革创新为根本动力，以加快完善现代内贸流通新体系和构建更高水平开放型经济新体制为主要目标，坚定不移推进商务领域供给侧结构性改革，加快推动由商品和要素流动型开放向规则等制度型开放转变，深化外贸领域改革，大力推进贸易强市建设，深入推进内贸流通改革创新，促进形成强大内需市场，激发外商投资活力，推动高质量利用外资，深入参与共建“一带一路”，培育以创新驱动、质量效益为核心的国际合作新优势，引导和规范境外投资有序健康发展，主动融入粤港澳大湾区、深圳先行示范区，与海南自贸港相向而行，打造高水平开放型经济新格局，实现商务经济行稳致远，为建设省域副中心城市、加快打造现代化沿海经济带重要发展极作出商务新贡献。</w:t>
      </w:r>
    </w:p>
    <w:p>
      <w:pPr>
        <w:pStyle w:val="3"/>
        <w:jc w:val="center"/>
      </w:pPr>
      <w:bookmarkStart w:id="24" w:name="_Toc75776144"/>
      <w:r>
        <w:rPr>
          <w:rFonts w:hint="eastAsia"/>
        </w:rPr>
        <w:t>第二节 发展原则</w:t>
      </w:r>
      <w:bookmarkEnd w:id="24"/>
    </w:p>
    <w:p>
      <w:pPr>
        <w:pStyle w:val="5"/>
        <w:spacing w:line="357" w:lineRule="auto"/>
        <w:ind w:right="277"/>
        <w:jc w:val="both"/>
        <w:rPr>
          <w:rFonts w:ascii="FangSong_GB2312" w:hAnsi="黑体" w:eastAsia="FangSong_GB2312"/>
          <w:szCs w:val="21"/>
          <w:lang w:eastAsia="zh-CN"/>
        </w:rPr>
      </w:pPr>
      <w:r>
        <w:rPr>
          <w:rFonts w:ascii="FangSong_GB2312" w:hAnsi="黑体" w:eastAsia="FangSong_GB2312" w:cs="Times New Roman"/>
          <w:b/>
          <w:bCs/>
          <w:kern w:val="2"/>
          <w:szCs w:val="21"/>
          <w:lang w:eastAsia="zh-CN"/>
        </w:rPr>
        <w:t>坚持党的全面领导。</w:t>
      </w:r>
      <w:r>
        <w:rPr>
          <w:rFonts w:ascii="FangSong_GB2312" w:hAnsi="黑体" w:eastAsia="FangSong_GB2312" w:cs="Times New Roman"/>
          <w:kern w:val="2"/>
          <w:szCs w:val="21"/>
          <w:lang w:eastAsia="zh-CN"/>
        </w:rPr>
        <w:t>坚持和完善党领导</w:t>
      </w:r>
      <w:r>
        <w:rPr>
          <w:rFonts w:hint="eastAsia" w:ascii="FangSong_GB2312" w:hAnsi="黑体" w:eastAsia="FangSong_GB2312" w:cs="Times New Roman"/>
          <w:kern w:val="2"/>
          <w:szCs w:val="21"/>
          <w:lang w:eastAsia="zh-CN"/>
        </w:rPr>
        <w:t>商务</w:t>
      </w:r>
      <w:r>
        <w:rPr>
          <w:rFonts w:ascii="FangSong_GB2312" w:hAnsi="黑体" w:eastAsia="FangSong_GB2312" w:cs="Times New Roman"/>
          <w:kern w:val="2"/>
          <w:szCs w:val="21"/>
          <w:lang w:eastAsia="zh-CN"/>
        </w:rPr>
        <w:t>发展的体制机制，发挥党组织的领导核心作用，</w:t>
      </w:r>
      <w:r>
        <w:rPr>
          <w:rFonts w:hint="eastAsia" w:ascii="FangSong_GB2312" w:hAnsi="黑体" w:eastAsia="FangSong_GB2312" w:cs="Times New Roman"/>
          <w:kern w:val="2"/>
          <w:szCs w:val="21"/>
          <w:lang w:eastAsia="zh-CN"/>
        </w:rPr>
        <w:t>增强党领导商务工作专业化、法治化能力</w:t>
      </w:r>
      <w:r>
        <w:rPr>
          <w:rFonts w:ascii="FangSong_GB2312" w:hAnsi="黑体" w:eastAsia="FangSong_GB2312" w:cs="Times New Roman"/>
          <w:kern w:val="2"/>
          <w:szCs w:val="21"/>
          <w:lang w:eastAsia="zh-CN"/>
        </w:rPr>
        <w:t>，不断提高贯彻新发展理念、构建新发展格局能力和水平，为实现高质量发展提供根本保证。</w:t>
      </w:r>
    </w:p>
    <w:p>
      <w:pPr>
        <w:spacing w:line="580" w:lineRule="exact"/>
        <w:ind w:firstLine="643" w:firstLineChars="200"/>
        <w:rPr>
          <w:rFonts w:ascii="FangSong_GB2312" w:hAnsi="黑体" w:eastAsia="FangSong_GB2312"/>
          <w:sz w:val="32"/>
          <w:szCs w:val="21"/>
        </w:rPr>
      </w:pPr>
      <w:r>
        <w:rPr>
          <w:rFonts w:hint="eastAsia" w:ascii="FangSong_GB2312" w:hAnsi="黑体" w:eastAsia="FangSong_GB2312"/>
          <w:b/>
          <w:bCs/>
          <w:sz w:val="32"/>
          <w:szCs w:val="21"/>
        </w:rPr>
        <w:t>坚持创新驱动。</w:t>
      </w:r>
      <w:r>
        <w:rPr>
          <w:rFonts w:hint="eastAsia" w:ascii="FangSong_GB2312" w:hAnsi="黑体" w:eastAsia="FangSong_GB2312"/>
          <w:sz w:val="32"/>
          <w:szCs w:val="21"/>
        </w:rPr>
        <w:t>坚持新发展理念，始终把创新摆在商务发展的核心位置，切实转变商务发展方式。以制度创新、科技创新、管理创新、商业模式创新、开放模式创新作为驱动商务发展的主动力，加快传统商业转型升级、创新商务数字化应用、提升出口产品科技含量、建立对外开放创新平台、充分利用全球创新资源，不断夯实湛江商务发展创新驱动原动力，推动商务发展质量变革、效率变革、动力变革，实现更高质量、更有效率、更加公平、更可持续、更为安全的发展。</w:t>
      </w:r>
    </w:p>
    <w:p>
      <w:pPr>
        <w:spacing w:line="580" w:lineRule="exact"/>
        <w:ind w:firstLine="643" w:firstLineChars="200"/>
        <w:rPr>
          <w:rFonts w:ascii="FangSong_GB2312" w:hAnsi="黑体" w:eastAsia="FangSong_GB2312"/>
          <w:sz w:val="32"/>
          <w:szCs w:val="21"/>
        </w:rPr>
      </w:pPr>
      <w:r>
        <w:rPr>
          <w:rFonts w:hint="eastAsia" w:ascii="FangSong_GB2312" w:hAnsi="黑体" w:eastAsia="FangSong_GB2312"/>
          <w:b/>
          <w:bCs/>
          <w:sz w:val="32"/>
          <w:szCs w:val="21"/>
        </w:rPr>
        <w:t>坚持协调发展。</w:t>
      </w:r>
      <w:r>
        <w:rPr>
          <w:rFonts w:hint="eastAsia" w:ascii="FangSong_GB2312" w:hAnsi="黑体" w:eastAsia="FangSong_GB2312"/>
          <w:sz w:val="32"/>
          <w:szCs w:val="21"/>
        </w:rPr>
        <w:t>坚持系统观念，统筹国内国际两个大局。推动内外需协调发展，加快构建内外一体、城乡统筹、竞争有序的大市场。加强战略性布局，主动参与和融入区域协调发展战略，拓展商务发展空间。着力固根基、扬优势、补短板、强弱项，加强外向型经济整体性推进，推动外贸主导产业建链补链延链强链，传统优势产业转型升级，培育外贸新兴产业，促进引进外资和对外投资协调发展，外贸优进优出，进口和出口均衡发展，实现商务发展质量、结构、规模、速度、效益、安全相统一。</w:t>
      </w:r>
    </w:p>
    <w:p>
      <w:pPr>
        <w:spacing w:line="580" w:lineRule="exact"/>
        <w:ind w:firstLine="643" w:firstLineChars="200"/>
        <w:rPr>
          <w:rFonts w:ascii="FangSong_GB2312" w:hAnsi="黑体" w:eastAsia="FangSong_GB2312"/>
          <w:b/>
          <w:bCs/>
          <w:sz w:val="32"/>
          <w:szCs w:val="21"/>
        </w:rPr>
      </w:pPr>
      <w:r>
        <w:rPr>
          <w:rFonts w:hint="eastAsia" w:ascii="FangSong_GB2312" w:hAnsi="黑体" w:eastAsia="FangSong_GB2312"/>
          <w:b/>
          <w:bCs/>
          <w:sz w:val="32"/>
          <w:szCs w:val="21"/>
        </w:rPr>
        <w:t>坚持绿色引领。</w:t>
      </w:r>
      <w:r>
        <w:rPr>
          <w:rFonts w:hint="eastAsia" w:ascii="FangSong_GB2312" w:hAnsi="黑体" w:eastAsia="FangSong_GB2312"/>
          <w:sz w:val="32"/>
          <w:szCs w:val="21"/>
        </w:rPr>
        <w:t>坚持绿色发展，以绿色发展理念为引领，大力发展绿色产业，积极培育新产业、新业态，转变发展方式，倡导绿色消费，推动绿色贸易、绿色流通和绿色投资，努力打造绿色商务，推动全市商务经济可持续发展。</w:t>
      </w:r>
    </w:p>
    <w:p>
      <w:pPr>
        <w:spacing w:line="580" w:lineRule="exact"/>
        <w:ind w:firstLine="643" w:firstLineChars="200"/>
        <w:rPr>
          <w:rFonts w:ascii="FangSong_GB2312" w:hAnsi="黑体" w:eastAsia="FangSong_GB2312"/>
          <w:sz w:val="32"/>
          <w:szCs w:val="21"/>
        </w:rPr>
      </w:pPr>
      <w:r>
        <w:rPr>
          <w:rFonts w:hint="eastAsia" w:ascii="FangSong_GB2312" w:hAnsi="黑体" w:eastAsia="FangSong_GB2312"/>
          <w:b/>
          <w:bCs/>
          <w:sz w:val="32"/>
          <w:szCs w:val="21"/>
        </w:rPr>
        <w:t>坚持扩大开放。</w:t>
      </w:r>
      <w:r>
        <w:rPr>
          <w:rFonts w:hint="eastAsia" w:ascii="FangSong_GB2312" w:hAnsi="黑体" w:eastAsia="FangSong_GB2312"/>
          <w:sz w:val="32"/>
          <w:szCs w:val="21"/>
        </w:rPr>
        <w:t>坚持深化改革开放，切实践行国家开放战略，发展更高层次的开放型经济。坚持“引进来”与“走出去”并举，充分发挥“一带一路”合作支点作用，深化与沿线国家（地区）经贸合作，持续扩大国际产能合作，主动融入全球产业链、供应链、价值链、创新链，优化国际市场网络和对外投资产业布局，提高湛江优势产业在全球范围内配置要素和资源的能力，全面提升开放型经济的质量和效益。不断完善开放体制机制，推动开放平台提档优化，全力搭建高能级先行先试大平台，加快形成国际一流营商环境。</w:t>
      </w:r>
    </w:p>
    <w:p>
      <w:pPr>
        <w:spacing w:line="580" w:lineRule="exact"/>
        <w:ind w:firstLine="643" w:firstLineChars="200"/>
        <w:rPr>
          <w:rFonts w:ascii="FangSong_GB2312" w:hAnsi="黑体" w:eastAsia="FangSong_GB2312"/>
          <w:sz w:val="32"/>
          <w:szCs w:val="21"/>
        </w:rPr>
      </w:pPr>
      <w:bookmarkStart w:id="25" w:name="_Hlk55399253"/>
      <w:r>
        <w:rPr>
          <w:rFonts w:hint="eastAsia" w:ascii="FangSong_GB2312" w:hAnsi="黑体" w:eastAsia="FangSong_GB2312"/>
          <w:b/>
          <w:bCs/>
          <w:sz w:val="32"/>
          <w:szCs w:val="21"/>
        </w:rPr>
        <w:t>坚持服务民生。</w:t>
      </w:r>
      <w:r>
        <w:rPr>
          <w:rFonts w:hint="eastAsia" w:ascii="FangSong_GB2312" w:hAnsi="黑体" w:eastAsia="FangSong_GB2312"/>
          <w:sz w:val="32"/>
          <w:szCs w:val="21"/>
        </w:rPr>
        <w:t>坚持以人民为中心的发展思想，把共享发展作为全市商务工作的出发点和落脚点，增强商务服务民生功能，让人民群众在商务发展中有更多获得感。鼓励批发、零售、餐饮、家政、康养等关系百姓生活、就业容量大的行业发展，稳定劳动密集型产品出口，充分发挥商务扩大就业功能。保障生活必需品安全稳定供应，加强追溯体系建设，努力为百姓创造更便利、实惠、安全的消费环境。促进特色产业发展，提升农产品交易电商化水平，畅通农产品流通渠道，增强乡村内生动力和发展活力。</w:t>
      </w:r>
    </w:p>
    <w:bookmarkEnd w:id="25"/>
    <w:p>
      <w:pPr>
        <w:spacing w:line="580" w:lineRule="exact"/>
        <w:ind w:firstLine="640" w:firstLineChars="200"/>
        <w:rPr>
          <w:rFonts w:ascii="FangSong_GB2312" w:hAnsi="黑体" w:eastAsia="FangSong_GB2312"/>
          <w:sz w:val="32"/>
          <w:szCs w:val="21"/>
        </w:rPr>
      </w:pPr>
    </w:p>
    <w:p>
      <w:pPr>
        <w:pStyle w:val="3"/>
        <w:jc w:val="center"/>
      </w:pPr>
      <w:bookmarkStart w:id="26" w:name="_Toc75776145"/>
      <w:r>
        <w:rPr>
          <w:rFonts w:hint="eastAsia"/>
        </w:rPr>
        <w:t>第三节 发展目标</w:t>
      </w:r>
      <w:bookmarkEnd w:id="26"/>
    </w:p>
    <w:p>
      <w:pPr>
        <w:spacing w:line="580" w:lineRule="exact"/>
        <w:ind w:firstLine="645"/>
        <w:rPr>
          <w:rFonts w:ascii="FangSong_GB2312" w:hAnsi="黑体" w:eastAsia="FangSong_GB2312"/>
          <w:sz w:val="32"/>
          <w:szCs w:val="21"/>
        </w:rPr>
      </w:pPr>
      <w:r>
        <w:rPr>
          <w:rFonts w:hint="eastAsia" w:ascii="FangSong_GB2312" w:hAnsi="黑体" w:eastAsia="FangSong_GB2312"/>
          <w:sz w:val="32"/>
          <w:szCs w:val="21"/>
        </w:rPr>
        <w:t>到2025年，消费规模进一步扩大，区域性消费中心的地位进一步提升，消费在经济增长的基础性作用更加凸显；对外贸易质量和规模进一步提升，贸易强市建设取得重要进展；双向投资质量进一步提高，国际经济竞争合作优势明显增强。消费扩容提质成效进一步凸显，开放型经济发展水平进一步提升，对构建“双循环”新发展格局的促进作用</w:t>
      </w:r>
      <w:bookmarkStart w:id="27" w:name="_Hlk54172968"/>
      <w:r>
        <w:rPr>
          <w:rFonts w:hint="eastAsia" w:ascii="FangSong_GB2312" w:hAnsi="黑体" w:eastAsia="FangSong_GB2312"/>
          <w:sz w:val="32"/>
          <w:szCs w:val="21"/>
        </w:rPr>
        <w:t>不断增强</w:t>
      </w:r>
      <w:bookmarkEnd w:id="27"/>
      <w:r>
        <w:rPr>
          <w:rFonts w:hint="eastAsia" w:ascii="FangSong_GB2312" w:hAnsi="黑体" w:eastAsia="FangSong_GB2312"/>
          <w:sz w:val="32"/>
          <w:szCs w:val="21"/>
        </w:rPr>
        <w:t>。</w:t>
      </w:r>
    </w:p>
    <w:p>
      <w:pPr>
        <w:spacing w:line="580" w:lineRule="exact"/>
        <w:ind w:firstLine="645"/>
        <w:rPr>
          <w:rStyle w:val="29"/>
        </w:rPr>
      </w:pPr>
      <w:bookmarkStart w:id="28" w:name="_Toc75776146"/>
      <w:r>
        <w:rPr>
          <w:rStyle w:val="29"/>
          <w:rFonts w:hint="eastAsia"/>
        </w:rPr>
        <w:t>一、内贸流通体制机制不断健全，消费扩容提质进一步凸显</w:t>
      </w:r>
      <w:bookmarkEnd w:id="28"/>
    </w:p>
    <w:p>
      <w:pPr>
        <w:spacing w:line="580" w:lineRule="exact"/>
        <w:ind w:firstLine="645"/>
        <w:rPr>
          <w:rFonts w:ascii="FangSong_GB2312" w:hAnsi="黑体" w:eastAsia="FangSong_GB2312"/>
          <w:sz w:val="32"/>
          <w:szCs w:val="21"/>
        </w:rPr>
      </w:pPr>
      <w:r>
        <w:rPr>
          <w:rFonts w:hint="eastAsia" w:ascii="FangSong_GB2312" w:hAnsi="黑体" w:eastAsia="FangSong_GB2312"/>
          <w:b/>
          <w:bCs/>
          <w:sz w:val="32"/>
          <w:szCs w:val="21"/>
        </w:rPr>
        <w:t>流通效益进一步提升。</w:t>
      </w:r>
      <w:r>
        <w:rPr>
          <w:rFonts w:hint="eastAsia" w:ascii="FangSong_GB2312" w:hAnsi="黑体" w:eastAsia="FangSong_GB2312"/>
          <w:sz w:val="32"/>
          <w:szCs w:val="21"/>
        </w:rPr>
        <w:t>现代流通体系加快建设，流通成本持续下降，供需对接更加顺畅，消费潜力加快释放，以消费升级引领供给创新、以供给提升创造消费新增长点的循环动力持续增强，实现更高水平的供需平衡，消费基础性作用进一步凸显。</w:t>
      </w:r>
    </w:p>
    <w:p>
      <w:pPr>
        <w:spacing w:line="580" w:lineRule="exact"/>
        <w:ind w:firstLine="645"/>
        <w:rPr>
          <w:rFonts w:ascii="FangSong_GB2312" w:hAnsi="黑体" w:eastAsia="FangSong_GB2312"/>
          <w:sz w:val="32"/>
          <w:szCs w:val="21"/>
        </w:rPr>
      </w:pPr>
      <w:r>
        <w:rPr>
          <w:rFonts w:hint="eastAsia" w:ascii="FangSong_GB2312" w:hAnsi="黑体" w:eastAsia="FangSong_GB2312"/>
          <w:b/>
          <w:bCs/>
          <w:sz w:val="32"/>
          <w:szCs w:val="21"/>
        </w:rPr>
        <w:t>消费结构明显优化。</w:t>
      </w:r>
      <w:r>
        <w:rPr>
          <w:rFonts w:hint="eastAsia" w:ascii="FangSong_GB2312" w:hAnsi="黑体" w:eastAsia="FangSong_GB2312"/>
          <w:sz w:val="32"/>
          <w:szCs w:val="21"/>
        </w:rPr>
        <w:t>居民消费结构持续优化升级，服务消费占比稳步提高，绿色消费智能消费占比增长，电子商务交易额保持较快速度增长。</w:t>
      </w:r>
    </w:p>
    <w:p>
      <w:pPr>
        <w:spacing w:line="580" w:lineRule="exact"/>
        <w:ind w:firstLine="645"/>
        <w:rPr>
          <w:rFonts w:ascii="FangSong_GB2312" w:hAnsi="黑体" w:eastAsia="FangSong_GB2312"/>
          <w:sz w:val="32"/>
          <w:szCs w:val="21"/>
        </w:rPr>
      </w:pPr>
      <w:r>
        <w:rPr>
          <w:rFonts w:hint="eastAsia" w:ascii="FangSong_GB2312" w:hAnsi="黑体" w:eastAsia="FangSong_GB2312"/>
          <w:b/>
          <w:bCs/>
          <w:sz w:val="32"/>
          <w:szCs w:val="21"/>
        </w:rPr>
        <w:t>消费环境更有保障。</w:t>
      </w:r>
      <w:r>
        <w:rPr>
          <w:rFonts w:hint="eastAsia" w:ascii="FangSong_GB2312" w:hAnsi="黑体" w:eastAsia="FangSong_GB2312"/>
          <w:sz w:val="32"/>
          <w:szCs w:val="21"/>
        </w:rPr>
        <w:t>社会信用环境进一步改善，重要消费产品和服务标准体系逐步建立，消费产品和服务质量不断提升，消费者满意度显著提高。</w:t>
      </w:r>
    </w:p>
    <w:p>
      <w:pPr>
        <w:spacing w:line="580" w:lineRule="exact"/>
        <w:ind w:firstLine="643" w:firstLineChars="200"/>
        <w:rPr>
          <w:rStyle w:val="29"/>
        </w:rPr>
      </w:pPr>
      <w:bookmarkStart w:id="29" w:name="_Toc75776147"/>
      <w:r>
        <w:rPr>
          <w:rStyle w:val="29"/>
          <w:rFonts w:hint="eastAsia"/>
        </w:rPr>
        <w:t>二、对外开放步伐不断加快，外向型经济发展水平进一步提升</w:t>
      </w:r>
      <w:bookmarkEnd w:id="29"/>
    </w:p>
    <w:p>
      <w:pPr>
        <w:spacing w:line="580" w:lineRule="exact"/>
        <w:ind w:firstLine="643" w:firstLineChars="200"/>
        <w:rPr>
          <w:rFonts w:ascii="FangSong_GB2312" w:hAnsi="华文中宋" w:eastAsia="FangSong_GB2312"/>
          <w:sz w:val="32"/>
          <w:szCs w:val="32"/>
        </w:rPr>
      </w:pPr>
      <w:r>
        <w:rPr>
          <w:rFonts w:hint="eastAsia" w:ascii="FangSong_GB2312" w:hAnsi="楷体" w:eastAsia="FangSong_GB2312"/>
          <w:b/>
          <w:bCs/>
          <w:sz w:val="32"/>
          <w:szCs w:val="32"/>
        </w:rPr>
        <w:t>外向经济总量总体稳定。</w:t>
      </w:r>
      <w:r>
        <w:rPr>
          <w:rFonts w:hint="eastAsia" w:ascii="FangSong_GB2312" w:hAnsi="华文中宋" w:eastAsia="FangSong_GB2312"/>
          <w:sz w:val="32"/>
          <w:szCs w:val="32"/>
        </w:rPr>
        <w:t>货物进出口规模以及在全省份额总体稳定，总量领先于粤西地区。</w:t>
      </w:r>
    </w:p>
    <w:p>
      <w:pPr>
        <w:spacing w:line="580" w:lineRule="exact"/>
        <w:ind w:firstLine="643" w:firstLineChars="200"/>
        <w:rPr>
          <w:rFonts w:ascii="FangSong_GB2312" w:hAnsi="华文中宋" w:eastAsia="FangSong_GB2312"/>
          <w:sz w:val="32"/>
          <w:szCs w:val="32"/>
        </w:rPr>
      </w:pPr>
      <w:r>
        <w:rPr>
          <w:rFonts w:hint="eastAsia" w:ascii="FangSong_GB2312" w:hAnsi="楷体" w:eastAsia="FangSong_GB2312"/>
          <w:b/>
          <w:bCs/>
          <w:sz w:val="32"/>
          <w:szCs w:val="32"/>
        </w:rPr>
        <w:t>开放发展质量明显提高。</w:t>
      </w:r>
      <w:r>
        <w:rPr>
          <w:rFonts w:hint="eastAsia" w:ascii="FangSong_GB2312" w:hAnsi="华文中宋" w:eastAsia="FangSong_GB2312"/>
          <w:sz w:val="32"/>
          <w:szCs w:val="32"/>
        </w:rPr>
        <w:t>战略性资源能源等进口稳定提高，货物进出口平衡发展，贸易结构持续改善，贸易新业态增速明显加快，服务贸易规模进一步扩大，制造业、生产性服务业吸收外资比重明显提高。</w:t>
      </w:r>
    </w:p>
    <w:p>
      <w:pPr>
        <w:spacing w:line="580" w:lineRule="exact"/>
        <w:ind w:firstLine="643" w:firstLineChars="200"/>
        <w:rPr>
          <w:rFonts w:ascii="FangSong_GB2312" w:hAnsi="华文中宋" w:eastAsia="FangSong_GB2312"/>
          <w:sz w:val="32"/>
          <w:szCs w:val="32"/>
        </w:rPr>
      </w:pPr>
      <w:r>
        <w:rPr>
          <w:rFonts w:hint="eastAsia" w:ascii="FangSong_GB2312" w:hAnsi="楷体" w:eastAsia="FangSong_GB2312"/>
          <w:b/>
          <w:bCs/>
          <w:sz w:val="32"/>
          <w:szCs w:val="32"/>
        </w:rPr>
        <w:t>开放发展区域布局更加优化。</w:t>
      </w:r>
      <w:r>
        <w:rPr>
          <w:rFonts w:hint="eastAsia" w:ascii="FangSong_GB2312" w:hAnsi="华文中宋" w:eastAsia="FangSong_GB2312"/>
          <w:sz w:val="32"/>
          <w:szCs w:val="32"/>
        </w:rPr>
        <w:t>与“一带一路”沿线国家货物进出口贸易稳定发展，份额进一步提升，吸收发达国家和地区外资比重显著提高，与港澳、东盟等地经贸联系更加紧密，成为粤西对外开放新高地。全球资源配置能力大幅度提升。</w:t>
      </w:r>
    </w:p>
    <w:p>
      <w:pPr>
        <w:spacing w:line="580" w:lineRule="exact"/>
        <w:ind w:firstLine="643" w:firstLineChars="200"/>
        <w:rPr>
          <w:rFonts w:ascii="FangSong_GB2312" w:hAnsi="华文中宋" w:eastAsia="FangSong_GB2312"/>
          <w:sz w:val="32"/>
          <w:szCs w:val="32"/>
        </w:rPr>
      </w:pPr>
      <w:r>
        <w:rPr>
          <w:rFonts w:hint="eastAsia" w:ascii="FangSong_GB2312" w:hAnsi="楷体" w:eastAsia="FangSong_GB2312"/>
          <w:b/>
          <w:bCs/>
          <w:sz w:val="32"/>
          <w:szCs w:val="32"/>
        </w:rPr>
        <w:t>对外投资的领域进一步拓展。</w:t>
      </w:r>
      <w:r>
        <w:rPr>
          <w:rFonts w:hint="eastAsia" w:ascii="FangSong_GB2312" w:hAnsi="华文中宋" w:eastAsia="FangSong_GB2312"/>
          <w:sz w:val="32"/>
          <w:szCs w:val="32"/>
        </w:rPr>
        <w:t>优势传统产业对外投资步伐加快，对外投资合作模式不断创新，产业链条进一步拓展，在“一带一路”国家影响力逐步提升。</w:t>
      </w:r>
    </w:p>
    <w:p>
      <w:pPr>
        <w:spacing w:line="580" w:lineRule="exact"/>
        <w:ind w:firstLine="643" w:firstLineChars="200"/>
        <w:rPr>
          <w:rFonts w:ascii="FangSong_GB2312" w:hAnsi="华文中宋" w:eastAsia="FangSong_GB2312"/>
          <w:sz w:val="32"/>
          <w:szCs w:val="32"/>
        </w:rPr>
      </w:pPr>
      <w:r>
        <w:rPr>
          <w:rFonts w:hint="eastAsia" w:ascii="FangSong_GB2312" w:hAnsi="楷体" w:eastAsia="FangSong_GB2312"/>
          <w:b/>
          <w:bCs/>
          <w:sz w:val="32"/>
          <w:szCs w:val="32"/>
        </w:rPr>
        <w:t>高端经济要素吸引力显著增强。</w:t>
      </w:r>
      <w:r>
        <w:rPr>
          <w:rFonts w:hint="eastAsia" w:ascii="FangSong_GB2312" w:hAnsi="华文中宋" w:eastAsia="FangSong_GB2312"/>
          <w:sz w:val="32"/>
          <w:szCs w:val="32"/>
        </w:rPr>
        <w:t>开放平台建设步伐加快，湛江综合保税区和跨境电商综合试验区建设发展效益显著。口岸进一步扩大开放，功能进一步拓展，贸易便利化水平进一步提高。深度融入国家发展战略，区域合作水平明显加强。</w:t>
      </w:r>
    </w:p>
    <w:p>
      <w:pPr>
        <w:pStyle w:val="2"/>
        <w:jc w:val="center"/>
      </w:pPr>
      <w:bookmarkStart w:id="30" w:name="_Toc75776148"/>
      <w:r>
        <w:rPr>
          <w:rFonts w:hint="eastAsia"/>
        </w:rPr>
        <w:t>第三章 完善促进消费体制机制</w:t>
      </w:r>
      <w:bookmarkEnd w:id="30"/>
    </w:p>
    <w:p>
      <w:pPr>
        <w:pStyle w:val="22"/>
        <w:spacing w:line="600" w:lineRule="exact"/>
        <w:ind w:left="1275" w:firstLine="0" w:firstLineChars="0"/>
        <w:rPr>
          <w:rFonts w:ascii="华文中宋" w:hAnsi="华文中宋" w:eastAsia="华文中宋"/>
          <w:sz w:val="32"/>
          <w:szCs w:val="21"/>
        </w:rPr>
      </w:pPr>
    </w:p>
    <w:p>
      <w:pPr>
        <w:spacing w:line="600" w:lineRule="exact"/>
        <w:ind w:firstLine="645"/>
        <w:rPr>
          <w:rFonts w:ascii="FangSong_GB2312" w:hAnsi="宋体" w:eastAsia="FangSong_GB2312" w:cs="宋体"/>
          <w:kern w:val="0"/>
          <w:sz w:val="32"/>
          <w:szCs w:val="32"/>
        </w:rPr>
      </w:pPr>
      <w:bookmarkStart w:id="31" w:name="_Hlk57735606"/>
      <w:r>
        <w:rPr>
          <w:rFonts w:hint="eastAsia" w:ascii="FangSong_GB2312" w:hAnsi="宋体" w:eastAsia="FangSong_GB2312" w:cs="宋体"/>
          <w:kern w:val="0"/>
          <w:sz w:val="32"/>
          <w:szCs w:val="32"/>
        </w:rPr>
        <w:t>坚持扩大内需这个战略基点，</w:t>
      </w:r>
      <w:bookmarkStart w:id="32" w:name="_Hlk55398838"/>
      <w:r>
        <w:rPr>
          <w:rFonts w:hint="eastAsia" w:ascii="FangSong_GB2312" w:hAnsi="宋体" w:eastAsia="FangSong_GB2312" w:cs="宋体"/>
          <w:kern w:val="0"/>
          <w:sz w:val="32"/>
          <w:szCs w:val="32"/>
        </w:rPr>
        <w:t>围绕建设区域性消费中心，完善现代内贸流通新体系，促进消费扩容</w:t>
      </w:r>
      <w:bookmarkEnd w:id="32"/>
      <w:r>
        <w:rPr>
          <w:rFonts w:hint="eastAsia" w:ascii="FangSong_GB2312" w:hAnsi="宋体" w:eastAsia="FangSong_GB2312" w:cs="宋体"/>
          <w:kern w:val="0"/>
          <w:sz w:val="32"/>
          <w:szCs w:val="32"/>
        </w:rPr>
        <w:t>提质。把实施扩大内需战略同深化供给侧结构性改革有机结合起来，以创新驱动、高质量供给引领和创造新需求，培育消费新业态新模式新热点，积极引导消费向智能、绿色、品质化方向转变；以扩大服务消费为重点，带动消费结构升级；加快商业载体升级改造，畅通供给需求有效对接，优化消费环境，促进商业繁荣，激发消费潜力，增强内贸流通对引导生产、扩大消费、改善民生的作用，畅通国内大循环。</w:t>
      </w:r>
    </w:p>
    <w:bookmarkEnd w:id="31"/>
    <w:p>
      <w:pPr>
        <w:spacing w:line="600" w:lineRule="exact"/>
        <w:jc w:val="center"/>
        <w:rPr>
          <w:rFonts w:ascii="华文中宋" w:hAnsi="华文中宋" w:eastAsia="华文中宋"/>
          <w:sz w:val="32"/>
          <w:szCs w:val="21"/>
        </w:rPr>
      </w:pPr>
    </w:p>
    <w:p>
      <w:pPr>
        <w:pStyle w:val="3"/>
        <w:jc w:val="center"/>
      </w:pPr>
      <w:bookmarkStart w:id="33" w:name="_Toc75776149"/>
      <w:r>
        <w:rPr>
          <w:rFonts w:hint="eastAsia"/>
        </w:rPr>
        <w:t>第一节 提升城市商业能级</w:t>
      </w:r>
      <w:bookmarkEnd w:id="33"/>
    </w:p>
    <w:p>
      <w:pPr>
        <w:widowControl/>
        <w:spacing w:line="600" w:lineRule="exact"/>
        <w:ind w:firstLine="643" w:firstLineChars="200"/>
        <w:rPr>
          <w:rFonts w:ascii="FangSong_GB2312" w:hAnsi="Helvetica" w:eastAsia="FangSong_GB2312" w:cs="Helvetica"/>
          <w:sz w:val="32"/>
          <w:szCs w:val="32"/>
          <w:lang w:eastAsia="zh-Hans"/>
        </w:rPr>
      </w:pPr>
      <w:bookmarkStart w:id="34" w:name="_Hlk46740244"/>
      <w:bookmarkStart w:id="35" w:name="_Toc75776150"/>
      <w:r>
        <w:rPr>
          <w:rStyle w:val="29"/>
          <w:rFonts w:hint="eastAsia"/>
        </w:rPr>
        <w:t>打造区域消费中心</w:t>
      </w:r>
      <w:bookmarkEnd w:id="34"/>
      <w:r>
        <w:rPr>
          <w:rStyle w:val="29"/>
          <w:rFonts w:hint="eastAsia"/>
        </w:rPr>
        <w:t>。</w:t>
      </w:r>
      <w:bookmarkEnd w:id="35"/>
      <w:r>
        <w:rPr>
          <w:rFonts w:hint="eastAsia" w:ascii="FangSong_GB2312" w:hAnsi="Calibri" w:eastAsia="FangSong_GB2312"/>
          <w:sz w:val="32"/>
          <w:szCs w:val="32"/>
        </w:rPr>
        <w:t>紧扣建设省域副中心城市和打造现代化沿海经济带重要发展极部署，乘势推进一批顺应形势要求、带动力度强的新型消费基础设施，打造多层级核心商圈、特色商业街区、专业市场集群，完善消费政策支撑，优化消费环境，有效聚集区域消费，借势加速优化湛江消费结构，激发消费持续发展动力，形成地区特色突出、有效衔接琼桂、辐射粤西的区域消费中心城市。</w:t>
      </w:r>
      <w:r>
        <w:rPr>
          <w:rFonts w:hint="eastAsia" w:ascii="FangSong_GB2312" w:hAnsi="Helvetica" w:eastAsia="FangSong_GB2312" w:cs="Helvetica"/>
          <w:sz w:val="32"/>
          <w:szCs w:val="32"/>
          <w:lang w:eastAsia="zh-Hans"/>
        </w:rPr>
        <w:t>依托招商国际邮轮城、华润置地北部湾万象城、华侨城欢乐海湾三大项目建设，带动旧大天然-金沙湾-调顺岛商业带联动开发，将泛中央商务区打造成为富具浓厚滨海风情和现代化气息高品位、地标性的“金三角”消费核心区；依托“一湾两岸”城市发展格局，全面提升建筑品质、城市景观和夜景灯饰艺术效果，优化配套功能和商业业态，加快知名品牌、高端产业等要素资源集聚融合，打造东西两岸核心消费带；各县（市、区）依托本</w:t>
      </w:r>
      <w:bookmarkStart w:id="190" w:name="_GoBack"/>
      <w:bookmarkEnd w:id="190"/>
      <w:r>
        <w:rPr>
          <w:rFonts w:hint="eastAsia" w:ascii="FangSong_GB2312" w:hAnsi="Helvetica" w:eastAsia="FangSong_GB2312" w:cs="Helvetica"/>
          <w:sz w:val="32"/>
          <w:szCs w:val="32"/>
          <w:lang w:eastAsia="zh-Hans"/>
        </w:rPr>
        <w:t>地消费资源特色和围绕高铁经济、航港经济，因地制宜建设购物、美食、游憩、康养、文体等消费场景，构建各有特色的多场景商圈。</w:t>
      </w:r>
    </w:p>
    <w:p>
      <w:pPr>
        <w:widowControl/>
        <w:spacing w:line="600" w:lineRule="exact"/>
        <w:ind w:firstLine="643" w:firstLineChars="200"/>
        <w:rPr>
          <w:rStyle w:val="29"/>
        </w:rPr>
      </w:pPr>
      <w:bookmarkStart w:id="36" w:name="_Toc75776151"/>
      <w:r>
        <w:rPr>
          <w:rStyle w:val="29"/>
          <w:rFonts w:hint="eastAsia"/>
        </w:rPr>
        <w:t>引导商业升级发展。</w:t>
      </w:r>
      <w:bookmarkEnd w:id="36"/>
      <w:r>
        <w:rPr>
          <w:rFonts w:hint="eastAsia" w:ascii="FangSong_GB2312" w:hAnsi="宋体" w:eastAsia="FangSong_GB2312" w:cs="宋体"/>
          <w:kern w:val="0"/>
          <w:sz w:val="32"/>
          <w:szCs w:val="32"/>
        </w:rPr>
        <w:t>围绕“高端化、个性化、特色化”，大力引进知名品牌旗舰店、体验店和连锁店，发展品牌经济，支持大型企业在湛设立区域性总部、仓储物流和展示交易节点，探讨推进区域性进出口商品商贸小镇建设，拓展高端消费服务功能，积极打造轻奢品牌、国货精品优选地，力促发展成为区域重要世界消费品橱窗和体验地。</w:t>
      </w:r>
    </w:p>
    <w:p>
      <w:pPr>
        <w:widowControl/>
        <w:spacing w:line="600" w:lineRule="exact"/>
        <w:ind w:firstLine="643" w:firstLineChars="200"/>
        <w:rPr>
          <w:rFonts w:ascii="FangSong_GB2312" w:hAnsi="宋体" w:eastAsia="FangSong_GB2312" w:cs="宋体"/>
          <w:kern w:val="0"/>
          <w:sz w:val="32"/>
          <w:szCs w:val="32"/>
        </w:rPr>
      </w:pPr>
      <w:bookmarkStart w:id="37" w:name="_Toc75776152"/>
      <w:r>
        <w:rPr>
          <w:rStyle w:val="29"/>
          <w:rFonts w:hint="eastAsia"/>
        </w:rPr>
        <w:t>培育发展商贸新业态。</w:t>
      </w:r>
      <w:bookmarkEnd w:id="37"/>
      <w:r>
        <w:rPr>
          <w:rFonts w:hint="eastAsia" w:ascii="FangSong_GB2312" w:hAnsi="宋体" w:eastAsia="FangSong_GB2312" w:cs="宋体"/>
          <w:kern w:val="0"/>
          <w:sz w:val="32"/>
          <w:szCs w:val="32"/>
        </w:rPr>
        <w:t>顺应商业变革和消费升级趋势，推动传统商业转型升级，鼓励创新经营模式和应用流通技术，着力压减物流等中间环节和经营成本，通过精准营销、协同管理提高规模效益，改善消费体验。完善“互联网+”消费生态体系，推动商贸零售创新转型，以百货商店、购物中心和超市等为重点，引导实体零售企业加快数字化、智能化改造和跨界融合，提升场景数字化、管理智能化、服务精准化水平，开展“智慧商店”示范创建。引导电商以数据赋能生产企业，促进个性化设计和柔性化生产，培育定制消费、智能消费、信息消费、时尚消费等商业新模式。积极发展直播电商、社交电商、无接触交易、社区团购、生鲜电商、品牌连锁经营等新型消费。促进社区生活服务业发展，应用新技术大力发展便利店、社区菜店等社区商业，培育发展“智慧社区”，打造“一刻钟”便民生活圈。</w:t>
      </w:r>
    </w:p>
    <w:p>
      <w:pPr>
        <w:spacing w:line="600" w:lineRule="exact"/>
        <w:ind w:firstLine="643" w:firstLineChars="200"/>
        <w:rPr>
          <w:rFonts w:ascii="FangSong_GB2312" w:eastAsia="FangSong_GB2312" w:hAnsiTheme="minorHAnsi" w:cstheme="minorBidi"/>
          <w:sz w:val="32"/>
          <w:szCs w:val="32"/>
        </w:rPr>
      </w:pPr>
      <w:bookmarkStart w:id="38" w:name="_Toc75776153"/>
      <w:r>
        <w:rPr>
          <w:rStyle w:val="29"/>
          <w:rFonts w:hint="eastAsia"/>
        </w:rPr>
        <w:t>打造特色商业街区。</w:t>
      </w:r>
      <w:bookmarkEnd w:id="38"/>
      <w:r>
        <w:rPr>
          <w:rFonts w:hint="eastAsia" w:ascii="FangSong_GB2312" w:eastAsia="FangSong_GB2312" w:hAnsiTheme="minorHAnsi" w:cstheme="minorBidi"/>
          <w:sz w:val="32"/>
          <w:szCs w:val="32"/>
        </w:rPr>
        <w:t>推动步行街特色化、</w:t>
      </w:r>
      <w:r>
        <w:rPr>
          <w:rFonts w:hint="eastAsia" w:ascii="FangSong_GB2312" w:hAnsi="宋体" w:eastAsia="FangSong_GB2312" w:cs="宋体"/>
          <w:kern w:val="0"/>
          <w:sz w:val="32"/>
          <w:szCs w:val="32"/>
        </w:rPr>
        <w:t>便利化、智能化改造，引导发展“智慧街区”。重点加快谋划建设湛江海鲜美食街，升级改造</w:t>
      </w:r>
      <w:bookmarkStart w:id="39" w:name="_Hlk64877587"/>
      <w:r>
        <w:rPr>
          <w:rFonts w:hint="eastAsia" w:ascii="FangSong_GB2312" w:hAnsi="宋体" w:eastAsia="FangSong_GB2312" w:cs="宋体"/>
          <w:kern w:val="0"/>
          <w:sz w:val="32"/>
          <w:szCs w:val="32"/>
        </w:rPr>
        <w:t>赤坎区“三民路”古商埠历史文化街区、霞山区历史旧文化街东堤片区、青岛路片区等特</w:t>
      </w:r>
      <w:r>
        <w:rPr>
          <w:rFonts w:hint="eastAsia" w:ascii="FangSong_GB2312" w:eastAsia="FangSong_GB2312" w:hAnsiTheme="minorHAnsi" w:cstheme="minorBidi"/>
          <w:sz w:val="32"/>
          <w:szCs w:val="32"/>
        </w:rPr>
        <w:t>色历史文化街区，</w:t>
      </w:r>
      <w:bookmarkEnd w:id="39"/>
      <w:r>
        <w:rPr>
          <w:rFonts w:hint="eastAsia" w:ascii="FangSong_GB2312" w:eastAsia="FangSong_GB2312" w:hAnsiTheme="minorHAnsi" w:cstheme="minorBidi"/>
          <w:sz w:val="32"/>
          <w:szCs w:val="32"/>
        </w:rPr>
        <w:t>逐步形成环境优美、商业繁华、文化浓厚、管理规范、特色明显的高品位步行街，成为一站式综合性消费平台。</w:t>
      </w:r>
    </w:p>
    <w:p>
      <w:pPr>
        <w:widowControl/>
        <w:spacing w:line="600" w:lineRule="exact"/>
        <w:ind w:firstLine="643" w:firstLineChars="200"/>
        <w:rPr>
          <w:rFonts w:ascii="FangSong_GB2312" w:hAnsi="宋体" w:eastAsia="FangSong_GB2312" w:cs="宋体"/>
          <w:kern w:val="0"/>
          <w:sz w:val="32"/>
          <w:szCs w:val="32"/>
        </w:rPr>
      </w:pPr>
      <w:bookmarkStart w:id="40" w:name="_Hlk46740301"/>
      <w:bookmarkStart w:id="41" w:name="_Toc75776154"/>
      <w:r>
        <w:rPr>
          <w:rStyle w:val="29"/>
          <w:rFonts w:hint="eastAsia"/>
        </w:rPr>
        <w:t>拓展夜间商业和节假日消费</w:t>
      </w:r>
      <w:bookmarkEnd w:id="40"/>
      <w:r>
        <w:rPr>
          <w:rStyle w:val="29"/>
          <w:rFonts w:hint="eastAsia"/>
        </w:rPr>
        <w:t>。</w:t>
      </w:r>
      <w:bookmarkEnd w:id="41"/>
      <w:bookmarkStart w:id="42" w:name="_Hlk46931332"/>
      <w:r>
        <w:rPr>
          <w:rFonts w:hint="eastAsia" w:ascii="FangSong_GB2312" w:hAnsi="宋体" w:eastAsia="FangSong_GB2312" w:cs="宋体"/>
          <w:kern w:val="0"/>
          <w:sz w:val="32"/>
          <w:szCs w:val="32"/>
        </w:rPr>
        <w:t>鼓励有条件的地区加大投入，完善“夜间经济”配套设施，打造夜间消费场景和集聚区，完善夜间交通、安全、环境等配套措施，提高夜间消费便利度和活跃度。鼓励</w:t>
      </w:r>
      <w:bookmarkEnd w:id="42"/>
      <w:r>
        <w:rPr>
          <w:rFonts w:hint="eastAsia" w:ascii="FangSong_GB2312" w:hAnsi="宋体" w:eastAsia="FangSong_GB2312" w:cs="宋体"/>
          <w:kern w:val="0"/>
          <w:sz w:val="32"/>
          <w:szCs w:val="32"/>
        </w:rPr>
        <w:t>主要商圈和特色商业街与文化、旅游、休闲等紧密结合，适当延长营业时间，开设深夜营业专区、24小时便利店和“深夜食堂”等特色餐饮街区。充分利用开放性公共空间，开设节假日步行街、周末大集、休闲文体专区等常态化消费场所，组织开展特色促销活动，探索培育专业化经营管理主体，拓宽假日消费空间。</w:t>
      </w:r>
    </w:p>
    <w:p>
      <w:pPr>
        <w:pStyle w:val="3"/>
        <w:jc w:val="center"/>
        <w:rPr>
          <w:rFonts w:ascii="华文中宋" w:hAnsi="华文中宋" w:eastAsia="华文中宋"/>
          <w:szCs w:val="21"/>
        </w:rPr>
      </w:pPr>
      <w:bookmarkStart w:id="43" w:name="_Toc75776155"/>
      <w:r>
        <w:rPr>
          <w:rFonts w:hint="eastAsia"/>
        </w:rPr>
        <w:t>第二节 优化乡村商业体系建设</w:t>
      </w:r>
      <w:bookmarkEnd w:id="43"/>
    </w:p>
    <w:p>
      <w:pPr>
        <w:pStyle w:val="13"/>
        <w:shd w:val="clear" w:color="auto" w:fill="FFFFFF"/>
        <w:spacing w:before="0" w:beforeAutospacing="0" w:after="0" w:afterAutospacing="0" w:line="600" w:lineRule="exact"/>
        <w:ind w:firstLine="639" w:firstLineChars="199"/>
        <w:jc w:val="both"/>
        <w:rPr>
          <w:rFonts w:ascii="FangSong_GB2312" w:hAnsi="华文中宋" w:eastAsia="FangSong_GB2312"/>
          <w:b/>
          <w:bCs/>
          <w:szCs w:val="21"/>
        </w:rPr>
      </w:pPr>
      <w:bookmarkStart w:id="44" w:name="_Toc75776156"/>
      <w:bookmarkStart w:id="45" w:name="_Hlk46740348"/>
      <w:r>
        <w:rPr>
          <w:rStyle w:val="29"/>
          <w:rFonts w:hint="eastAsia"/>
        </w:rPr>
        <w:t>完善农村商业设施。</w:t>
      </w:r>
      <w:bookmarkEnd w:id="44"/>
      <w:r>
        <w:rPr>
          <w:rFonts w:hint="eastAsia" w:ascii="FangSong_GB2312" w:hAnsi="华文中宋" w:eastAsia="FangSong_GB2312"/>
          <w:sz w:val="32"/>
          <w:szCs w:val="21"/>
        </w:rPr>
        <w:t>以县域为中心、乡镇为重点、村为基础，加快建设农村商业体系。引导城市大型商贸流通企业下沉农村，培育县域龙头连锁流通企业。推动各地建设改造一批乡镇商贸中心，改造提升农村传统商业网点，发展新型连锁商店和便利店，大力改善农村消费环境和条件。</w:t>
      </w:r>
    </w:p>
    <w:p>
      <w:pPr>
        <w:pStyle w:val="13"/>
        <w:shd w:val="clear" w:color="auto" w:fill="FFFFFF"/>
        <w:spacing w:before="0" w:beforeAutospacing="0" w:after="0" w:afterAutospacing="0" w:line="600" w:lineRule="exact"/>
        <w:ind w:firstLine="639" w:firstLineChars="199"/>
        <w:jc w:val="both"/>
        <w:rPr>
          <w:rFonts w:ascii="FangSong_GB2312" w:hAnsi="华文中宋" w:eastAsia="FangSong_GB2312"/>
          <w:sz w:val="32"/>
          <w:szCs w:val="21"/>
        </w:rPr>
      </w:pPr>
      <w:bookmarkStart w:id="46" w:name="_Toc75776157"/>
      <w:r>
        <w:rPr>
          <w:rStyle w:val="29"/>
          <w:rFonts w:hint="eastAsia"/>
        </w:rPr>
        <w:t>推进电子商务</w:t>
      </w:r>
      <w:bookmarkEnd w:id="45"/>
      <w:r>
        <w:rPr>
          <w:rStyle w:val="29"/>
          <w:rFonts w:hint="eastAsia"/>
        </w:rPr>
        <w:t>进农村。</w:t>
      </w:r>
      <w:bookmarkEnd w:id="46"/>
      <w:r>
        <w:rPr>
          <w:rFonts w:hint="eastAsia" w:ascii="FangSong_GB2312" w:hAnsi="华文中宋" w:eastAsia="FangSong_GB2312"/>
          <w:sz w:val="32"/>
          <w:szCs w:val="21"/>
        </w:rPr>
        <w:t>推动实施“数商兴农”，进一步激发电子商务进农村</w:t>
      </w:r>
      <w:bookmarkStart w:id="47" w:name="_Hlk58858900"/>
      <w:r>
        <w:rPr>
          <w:rFonts w:hint="eastAsia" w:ascii="FangSong_GB2312" w:hAnsi="华文中宋" w:eastAsia="FangSong_GB2312"/>
          <w:sz w:val="32"/>
          <w:szCs w:val="21"/>
        </w:rPr>
        <w:t>示范县</w:t>
      </w:r>
      <w:bookmarkEnd w:id="47"/>
      <w:r>
        <w:rPr>
          <w:rFonts w:hint="eastAsia" w:ascii="FangSong_GB2312" w:hAnsi="华文中宋" w:eastAsia="FangSong_GB2312"/>
          <w:sz w:val="32"/>
          <w:szCs w:val="21"/>
        </w:rPr>
        <w:t>活力，发挥示范带动作用，扩大电子商务向农村延伸覆盖，提高农产品标准化率和电商销售比例。推动物流、快递、商贸等企业市场化合作，发展共同配送，赋能区域内电商快递、农村夫妻店供应商等，提供仓储、物流、配送等服务，引导农村电子商务集聚化、基地化发展。</w:t>
      </w:r>
      <w:bookmarkStart w:id="48" w:name="_Hlk58859392"/>
    </w:p>
    <w:bookmarkEnd w:id="48"/>
    <w:p>
      <w:pPr>
        <w:widowControl/>
        <w:spacing w:line="600" w:lineRule="exact"/>
        <w:ind w:firstLine="643" w:firstLineChars="200"/>
        <w:rPr>
          <w:rFonts w:ascii="FangSong_GB2312" w:hAnsi="微软雅黑" w:eastAsia="FangSong_GB2312" w:cs="微软雅黑"/>
          <w:sz w:val="32"/>
          <w:szCs w:val="21"/>
        </w:rPr>
      </w:pPr>
      <w:bookmarkStart w:id="49" w:name="_Hlk46740369"/>
      <w:bookmarkStart w:id="50" w:name="_Toc75776158"/>
      <w:r>
        <w:rPr>
          <w:rStyle w:val="29"/>
          <w:rFonts w:hint="eastAsia"/>
        </w:rPr>
        <w:t>推进特色商贸小镇</w:t>
      </w:r>
      <w:bookmarkEnd w:id="49"/>
      <w:r>
        <w:rPr>
          <w:rStyle w:val="29"/>
          <w:rFonts w:hint="eastAsia"/>
        </w:rPr>
        <w:t>建设。</w:t>
      </w:r>
      <w:bookmarkEnd w:id="50"/>
      <w:r>
        <w:rPr>
          <w:rFonts w:hint="eastAsia" w:ascii="FangSong_GB2312" w:hAnsi="华文中宋" w:eastAsia="FangSong_GB2312"/>
          <w:sz w:val="32"/>
          <w:szCs w:val="21"/>
        </w:rPr>
        <w:t>以实施创新驱动发展战略和乡村振兴战略为引领，加快推进麻章南海之芯小镇建设和安铺“智农食谷”、“音乐小镇”特色小镇建设。探索以商贸古镇振兴为核心的城乡高质量协同发展模式，在保护商贸古镇传统风貌、弘扬优秀商贸文化的前提下，对商贸古镇进行可持续性的开发和利用，</w:t>
      </w:r>
      <w:r>
        <w:rPr>
          <w:rFonts w:hint="eastAsia" w:ascii="FangSong_GB2312" w:hAnsi="微软雅黑" w:eastAsia="FangSong_GB2312" w:cs="微软雅黑"/>
          <w:sz w:val="32"/>
          <w:szCs w:val="21"/>
        </w:rPr>
        <w:t>充分发挥商贸古镇的特殊价值和独特功能，推动古镇商贸振兴与发展乡村旅游、休闲农业和农村产业有机结合，更好满足人民群众美好生活需要和经济高质量发展要求，为提高新型城镇化建设水平和加快城乡统筹发展夯实基础。</w:t>
      </w:r>
    </w:p>
    <w:p>
      <w:pPr>
        <w:pStyle w:val="3"/>
        <w:jc w:val="center"/>
      </w:pPr>
      <w:bookmarkStart w:id="51" w:name="_Toc75776159"/>
      <w:r>
        <w:rPr>
          <w:rFonts w:hint="eastAsia"/>
        </w:rPr>
        <w:t xml:space="preserve">第三节 </w:t>
      </w:r>
      <w:bookmarkStart w:id="52" w:name="_Hlk46740397"/>
      <w:r>
        <w:rPr>
          <w:rFonts w:hint="eastAsia"/>
        </w:rPr>
        <w:t>畅通</w:t>
      </w:r>
      <w:bookmarkEnd w:id="52"/>
      <w:r>
        <w:rPr>
          <w:rFonts w:hint="eastAsia"/>
        </w:rPr>
        <w:t>商贸流通</w:t>
      </w:r>
      <w:bookmarkEnd w:id="51"/>
    </w:p>
    <w:p>
      <w:pPr>
        <w:spacing w:line="600" w:lineRule="exact"/>
        <w:ind w:firstLine="643" w:firstLineChars="200"/>
        <w:rPr>
          <w:rFonts w:ascii="FangSong_GB2312" w:hAnsi="宋体" w:eastAsia="FangSong_GB2312" w:cs="宋体"/>
          <w:kern w:val="0"/>
          <w:sz w:val="32"/>
          <w:szCs w:val="32"/>
        </w:rPr>
      </w:pPr>
      <w:bookmarkStart w:id="53" w:name="_Toc75776160"/>
      <w:bookmarkStart w:id="54" w:name="_Hlk46740290"/>
      <w:r>
        <w:rPr>
          <w:rStyle w:val="29"/>
          <w:rFonts w:hint="eastAsia"/>
        </w:rPr>
        <w:t>培育发展商贸流通主体。</w:t>
      </w:r>
      <w:bookmarkEnd w:id="53"/>
      <w:r>
        <w:rPr>
          <w:rFonts w:hint="eastAsia" w:ascii="FangSong_GB2312" w:hAnsi="宋体" w:eastAsia="FangSong_GB2312" w:cs="宋体"/>
          <w:kern w:val="0"/>
          <w:sz w:val="32"/>
          <w:szCs w:val="32"/>
        </w:rPr>
        <w:t>推动流通企业创新发展、兼并重组，发展流通新业态新模式，促进资源整合、要素集聚、内外联通，培育一批线上线下融合、商产融合、内外贸融合、经营能力强的现代流通企业，提高产业集中度和国际竞争力。鼓励大型制造业应用现代企业管理模式，分立销售公司，扩大和优化经销网点，构建专业化供应网络。</w:t>
      </w:r>
    </w:p>
    <w:p>
      <w:pPr>
        <w:spacing w:line="600" w:lineRule="exact"/>
        <w:ind w:firstLine="643" w:firstLineChars="200"/>
        <w:rPr>
          <w:rFonts w:ascii="FangSong_GB2312" w:eastAsia="FangSong_GB2312" w:hAnsiTheme="minorHAnsi" w:cstheme="minorBidi"/>
          <w:sz w:val="32"/>
          <w:szCs w:val="32"/>
        </w:rPr>
      </w:pPr>
      <w:bookmarkStart w:id="55" w:name="_Toc75776161"/>
      <w:r>
        <w:rPr>
          <w:rStyle w:val="29"/>
          <w:rFonts w:hint="eastAsia"/>
        </w:rPr>
        <w:t>打造专业市场集群。</w:t>
      </w:r>
      <w:bookmarkEnd w:id="55"/>
      <w:r>
        <w:rPr>
          <w:rFonts w:hint="eastAsia" w:ascii="FangSong_GB2312" w:eastAsia="FangSong_GB2312" w:hAnsiTheme="minorHAnsi" w:cstheme="minorBidi"/>
          <w:sz w:val="32"/>
          <w:szCs w:val="32"/>
        </w:rPr>
        <w:t>以创新驱动、转型升级为重点，努力构建“大市场、大流通、大开放”新格局，依托湛江港和湛江综合保税区，拓展综合批发、</w:t>
      </w:r>
      <w:r>
        <w:rPr>
          <w:rFonts w:ascii="FangSong_GB2312" w:eastAsia="FangSong_GB2312" w:hAnsiTheme="minorHAnsi" w:cstheme="minorBidi"/>
          <w:sz w:val="32"/>
          <w:szCs w:val="32"/>
        </w:rPr>
        <w:t>期货交割、保税中转等新型物流业态，建设油品、矿石、煤炭、粮食、化工等大宗货物集散中心和交割地，将湛江港建设成为世界级的散货母港、集装箱运输干线港，打造区域性国际物流中心和航运中心。</w:t>
      </w:r>
      <w:r>
        <w:rPr>
          <w:rFonts w:hint="eastAsia" w:ascii="FangSong_GB2312" w:eastAsia="FangSong_GB2312" w:hAnsiTheme="minorHAnsi" w:cstheme="minorBidi"/>
          <w:sz w:val="32"/>
          <w:szCs w:val="32"/>
        </w:rPr>
        <w:t>以打造粤西最大专业市场群为发展目标，以发展农产品、海产品、家具、家电、建材、医药等六大专业市场为核心，应用物联网技术，引导专业市场转型升级发展。优化市场布局，畅通区域间、城乡间流通网络，打造以</w:t>
      </w:r>
      <w:r>
        <w:rPr>
          <w:rFonts w:ascii="FangSong_GB2312" w:eastAsia="FangSong_GB2312" w:hAnsiTheme="minorHAnsi" w:cstheme="minorBidi"/>
          <w:sz w:val="32"/>
          <w:szCs w:val="32"/>
        </w:rPr>
        <w:t>遂溪、麻章区</w:t>
      </w:r>
      <w:r>
        <w:rPr>
          <w:rFonts w:hint="eastAsia" w:ascii="FangSong_GB2312" w:eastAsia="FangSong_GB2312" w:hAnsiTheme="minorHAnsi" w:cstheme="minorBidi"/>
          <w:sz w:val="32"/>
          <w:szCs w:val="32"/>
        </w:rPr>
        <w:t>为核心、打造与产业发展相适应县域市场体系。力促在全市范围形成商品经营特色突出、产业链供应链服务功能强大、线上线下融合发展的商品市场集群，</w:t>
      </w:r>
      <w:r>
        <w:rPr>
          <w:rFonts w:ascii="FangSong_GB2312" w:eastAsia="FangSong_GB2312" w:hAnsiTheme="minorHAnsi" w:cstheme="minorBidi"/>
          <w:sz w:val="32"/>
          <w:szCs w:val="32"/>
        </w:rPr>
        <w:t>成为</w:t>
      </w:r>
      <w:r>
        <w:rPr>
          <w:rFonts w:hint="eastAsia" w:ascii="FangSong_GB2312" w:eastAsia="FangSong_GB2312" w:hAnsiTheme="minorHAnsi" w:cstheme="minorBidi"/>
          <w:sz w:val="32"/>
          <w:szCs w:val="32"/>
        </w:rPr>
        <w:t>北部湾</w:t>
      </w:r>
      <w:r>
        <w:rPr>
          <w:rFonts w:ascii="FangSong_GB2312" w:eastAsia="FangSong_GB2312" w:hAnsiTheme="minorHAnsi" w:cstheme="minorBidi"/>
          <w:sz w:val="32"/>
          <w:szCs w:val="32"/>
        </w:rPr>
        <w:t>经济圈重要的物资集散地。</w:t>
      </w:r>
    </w:p>
    <w:p>
      <w:pPr>
        <w:widowControl/>
        <w:spacing w:line="600" w:lineRule="exact"/>
        <w:ind w:firstLine="643" w:firstLineChars="200"/>
        <w:rPr>
          <w:rFonts w:ascii="FangSong_GB2312" w:eastAsia="FangSong_GB2312" w:hAnsiTheme="minorHAnsi" w:cstheme="minorBidi"/>
          <w:sz w:val="32"/>
          <w:szCs w:val="32"/>
        </w:rPr>
      </w:pPr>
      <w:bookmarkStart w:id="56" w:name="_Toc75776162"/>
      <w:r>
        <w:rPr>
          <w:rStyle w:val="29"/>
          <w:rFonts w:hint="eastAsia"/>
        </w:rPr>
        <w:t>推进商品市场平台化发展。</w:t>
      </w:r>
      <w:bookmarkEnd w:id="56"/>
      <w:r>
        <w:rPr>
          <w:rFonts w:hint="eastAsia" w:ascii="FangSong_GB2312" w:eastAsia="FangSong_GB2312" w:hAnsiTheme="minorHAnsi" w:cstheme="minorBidi"/>
          <w:sz w:val="32"/>
          <w:szCs w:val="32"/>
        </w:rPr>
        <w:t>推动商品市场适应数字经济发展要求，完善数字化交易配套和服务设施，搭建开放平台与中小商户共享，形成集成服务、协同产业的平台经济生态，支持全联集采公司打造集展示交易、电子商务、物流配送、商品检测、贸易服务等功能一体的区域性冻品供应链服务平台。推进电子商务进农村示范县建设，完善线上线下融合的产销对接平台，引导农产品市场强化产销对接，更好链接农户、市场和消费者，构建长期稳定的农产品流通模式。推动工业消费品市场依托大数据分析和智能化应用，增强对消费需求变动研判，引导生产企业更好满足居民消费升级和多样化、个性化需求，推动工业消费品市场跨界融合。推出统一的产品和服务消费平台，统筹发布各类促销和展销信息，打造消费时尚风向标。</w:t>
      </w:r>
    </w:p>
    <w:p>
      <w:pPr>
        <w:widowControl/>
        <w:spacing w:line="600" w:lineRule="exact"/>
        <w:ind w:firstLine="643" w:firstLineChars="200"/>
        <w:rPr>
          <w:rFonts w:ascii="FangSong_GB2312" w:hAnsi="宋体" w:eastAsia="FangSong_GB2312" w:cs="宋体"/>
          <w:strike/>
          <w:kern w:val="0"/>
          <w:sz w:val="32"/>
          <w:szCs w:val="32"/>
        </w:rPr>
      </w:pPr>
      <w:bookmarkStart w:id="57" w:name="_Toc75776163"/>
      <w:r>
        <w:rPr>
          <w:rStyle w:val="29"/>
          <w:rFonts w:hint="eastAsia"/>
        </w:rPr>
        <w:t>畅通商品内外双向流通</w:t>
      </w:r>
      <w:bookmarkEnd w:id="54"/>
      <w:r>
        <w:rPr>
          <w:rStyle w:val="29"/>
          <w:rFonts w:hint="eastAsia"/>
        </w:rPr>
        <w:t>。</w:t>
      </w:r>
      <w:bookmarkEnd w:id="57"/>
      <w:r>
        <w:rPr>
          <w:rFonts w:hint="eastAsia" w:ascii="FangSong_GB2312" w:hAnsi="宋体" w:eastAsia="FangSong_GB2312" w:cs="宋体"/>
          <w:kern w:val="0"/>
          <w:sz w:val="32"/>
          <w:szCs w:val="32"/>
        </w:rPr>
        <w:t>鼓励企业发展内外销“同线同标同质”产品，鼓励外贸加工制造企业充分利用自身产能，创新商业模式，构建国内分销体系，通过自营、合作或者对接电商平台等方式增加面向国内市场的优质商品供给，拓展内销市场网络。支持外贸企业利用电商平台、直播电商基地等载体开拓国内市场。支持外向型生产企业利用“粤贸全国”平台，拓展国内营销网络。</w:t>
      </w:r>
    </w:p>
    <w:p>
      <w:pPr>
        <w:widowControl/>
        <w:spacing w:line="600" w:lineRule="exact"/>
        <w:ind w:firstLine="643" w:firstLineChars="200"/>
        <w:rPr>
          <w:rFonts w:ascii="FangSong_GB2312" w:hAnsi="宋体" w:eastAsia="FangSong_GB2312" w:cs="宋体"/>
          <w:kern w:val="0"/>
          <w:sz w:val="32"/>
          <w:szCs w:val="32"/>
        </w:rPr>
      </w:pPr>
      <w:bookmarkStart w:id="58" w:name="_Toc75776164"/>
      <w:bookmarkStart w:id="59" w:name="_Hlk46740456"/>
      <w:bookmarkStart w:id="60" w:name="_Hlk46740443"/>
      <w:r>
        <w:rPr>
          <w:rStyle w:val="29"/>
          <w:rFonts w:hint="eastAsia"/>
        </w:rPr>
        <w:t>健全农产品流通网络。</w:t>
      </w:r>
      <w:bookmarkEnd w:id="58"/>
      <w:r>
        <w:rPr>
          <w:rFonts w:hint="eastAsia" w:ascii="FangSong_GB2312" w:hAnsi="宋体" w:eastAsia="FangSong_GB2312" w:cs="宋体"/>
          <w:kern w:val="0"/>
          <w:sz w:val="32"/>
          <w:szCs w:val="32"/>
        </w:rPr>
        <w:t>全力落实《</w:t>
      </w:r>
      <w:bookmarkStart w:id="61" w:name="_Hlk41923811"/>
      <w:r>
        <w:rPr>
          <w:rFonts w:hint="eastAsia" w:ascii="FangSong_GB2312" w:hAnsi="宋体" w:eastAsia="FangSong_GB2312" w:cs="宋体"/>
          <w:kern w:val="0"/>
          <w:sz w:val="32"/>
          <w:szCs w:val="32"/>
        </w:rPr>
        <w:t>湛江市农村物流建设发展规划（2</w:t>
      </w:r>
      <w:r>
        <w:rPr>
          <w:rFonts w:ascii="FangSong_GB2312" w:hAnsi="宋体" w:eastAsia="FangSong_GB2312" w:cs="宋体"/>
          <w:kern w:val="0"/>
          <w:sz w:val="32"/>
          <w:szCs w:val="32"/>
        </w:rPr>
        <w:t>019-2022</w:t>
      </w:r>
      <w:r>
        <w:rPr>
          <w:rFonts w:hint="eastAsia" w:ascii="FangSong_GB2312" w:hAnsi="宋体" w:eastAsia="FangSong_GB2312" w:cs="宋体"/>
          <w:kern w:val="0"/>
          <w:sz w:val="32"/>
          <w:szCs w:val="32"/>
        </w:rPr>
        <w:t>年）</w:t>
      </w:r>
      <w:bookmarkEnd w:id="61"/>
      <w:r>
        <w:rPr>
          <w:rFonts w:hint="eastAsia" w:ascii="FangSong_GB2312" w:hAnsi="宋体" w:eastAsia="FangSong_GB2312" w:cs="宋体"/>
          <w:kern w:val="0"/>
          <w:sz w:val="32"/>
          <w:szCs w:val="32"/>
        </w:rPr>
        <w:t>》，加快建设以湛江现代化农海产品物流中心为枢纽，以县（市、区）物流园或专业市场为支撑，以农产品产地市场、乡（镇）农村物流服务站、行政村物流服务点、</w:t>
      </w:r>
      <w:r>
        <w:rPr>
          <w:rFonts w:hint="eastAsia" w:ascii="FangSong_GB2312" w:hAnsi="楷体" w:eastAsia="FangSong_GB2312" w:cs="宋体"/>
          <w:kern w:val="0"/>
          <w:sz w:val="32"/>
          <w:szCs w:val="32"/>
        </w:rPr>
        <w:t>乡镇快递网点</w:t>
      </w:r>
      <w:r>
        <w:rPr>
          <w:rFonts w:hint="eastAsia" w:ascii="FangSong_GB2312" w:hAnsi="宋体" w:eastAsia="FangSong_GB2312" w:cs="宋体"/>
          <w:kern w:val="0"/>
          <w:sz w:val="32"/>
          <w:szCs w:val="32"/>
        </w:rPr>
        <w:t>为节点的物流网络体系，</w:t>
      </w:r>
      <w:r>
        <w:rPr>
          <w:rFonts w:hint="eastAsia" w:ascii="FangSong_GB2312" w:hAnsi="华文中宋" w:eastAsia="FangSong_GB2312"/>
          <w:sz w:val="32"/>
          <w:szCs w:val="21"/>
        </w:rPr>
        <w:t>升级改造一批公益性农产品批发市场、农贸市场和菜市场，健全农产品骨干流通网络，大力推进农产品产销对接，推动各地开展多种形式的产销对接活动，打造长期稳定、利益共享、风险共担的农商关系，</w:t>
      </w:r>
      <w:r>
        <w:rPr>
          <w:rFonts w:hint="eastAsia" w:ascii="FangSong_GB2312" w:hAnsi="宋体" w:eastAsia="FangSong_GB2312" w:cs="宋体"/>
          <w:kern w:val="0"/>
          <w:sz w:val="32"/>
          <w:szCs w:val="32"/>
        </w:rPr>
        <w:t>更好贯通城乡、对接产销，畅通农产品进城、工业品下乡通道，促进城乡协调发展。</w:t>
      </w:r>
    </w:p>
    <w:p>
      <w:pPr>
        <w:spacing w:line="600" w:lineRule="exact"/>
        <w:ind w:firstLine="645"/>
        <w:rPr>
          <w:rFonts w:ascii="FangSong_GB2312" w:eastAsia="FangSong_GB2312"/>
          <w:sz w:val="32"/>
          <w:szCs w:val="32"/>
        </w:rPr>
      </w:pPr>
      <w:bookmarkStart w:id="62" w:name="_Toc75776165"/>
      <w:r>
        <w:rPr>
          <w:rStyle w:val="29"/>
          <w:rFonts w:hint="eastAsia"/>
        </w:rPr>
        <w:t>发展农产品冷链物流</w:t>
      </w:r>
      <w:bookmarkEnd w:id="59"/>
      <w:r>
        <w:rPr>
          <w:rStyle w:val="29"/>
          <w:rFonts w:hint="eastAsia"/>
        </w:rPr>
        <w:t>。</w:t>
      </w:r>
      <w:bookmarkEnd w:id="62"/>
      <w:r>
        <w:rPr>
          <w:rFonts w:hint="eastAsia" w:ascii="FangSong_GB2312" w:eastAsia="FangSong_GB2312"/>
          <w:sz w:val="32"/>
          <w:szCs w:val="32"/>
        </w:rPr>
        <w:t>推动各地建设一批农产品产后商品化处理设施，加快推进农产品产地预冷、冷藏运输、低温配送、冷链销售等基础设施建设，探索解决农产品冷链流通“最初一公里”和“最后一公里”问题，初步形成重点区域全覆盖、上下游有效衔接、全程一体化的农产品冷链物流设施网络。依托全国冷链物流标准化工作，以冷链物流龙头企业为重点，加快完善冷链物流标准体系，并迅速推广实施。依托数字经济发展战略，加快推进互联网、物联网、大数据、云计算等现代技术在冷链物流领域的应用，推动“农产品进城”更加畅通高效、安全有序。</w:t>
      </w:r>
    </w:p>
    <w:p>
      <w:pPr>
        <w:spacing w:line="600" w:lineRule="exact"/>
        <w:ind w:firstLine="645"/>
        <w:rPr>
          <w:rFonts w:ascii="FangSong_GB2312" w:eastAsia="FangSong_GB2312"/>
          <w:sz w:val="32"/>
          <w:szCs w:val="32"/>
        </w:rPr>
      </w:pPr>
      <w:bookmarkStart w:id="63" w:name="_Toc75776166"/>
      <w:r>
        <w:rPr>
          <w:rStyle w:val="29"/>
          <w:rFonts w:hint="eastAsia"/>
        </w:rPr>
        <w:t>推进电子商务与快递物流协同发展</w:t>
      </w:r>
      <w:bookmarkEnd w:id="60"/>
      <w:r>
        <w:rPr>
          <w:rStyle w:val="29"/>
          <w:rFonts w:hint="eastAsia"/>
        </w:rPr>
        <w:t>。</w:t>
      </w:r>
      <w:bookmarkEnd w:id="63"/>
      <w:r>
        <w:rPr>
          <w:rFonts w:hint="eastAsia" w:ascii="FangSong_GB2312" w:eastAsia="FangSong_GB2312"/>
          <w:sz w:val="32"/>
          <w:szCs w:val="32"/>
        </w:rPr>
        <w:t>深入实施“互联网</w:t>
      </w:r>
      <w:r>
        <w:rPr>
          <w:rFonts w:ascii="FangSong_GB2312" w:eastAsia="FangSong_GB2312"/>
          <w:sz w:val="32"/>
          <w:szCs w:val="32"/>
        </w:rPr>
        <w:t>+流通”行动计划，提高电子商务与快递物流协同发展水平，</w:t>
      </w:r>
      <w:r>
        <w:rPr>
          <w:rFonts w:hint="eastAsia" w:ascii="FangSong_GB2312" w:eastAsia="FangSong_GB2312"/>
          <w:sz w:val="32"/>
          <w:szCs w:val="32"/>
        </w:rPr>
        <w:t>科学引导快递物流基础设施建设，完善优化快递物流网络布局，构建层级合理、规模适当、匹配需求的电子商务快递物流网络。</w:t>
      </w:r>
      <w:r>
        <w:rPr>
          <w:rFonts w:hint="eastAsia" w:ascii="FangSong_GB2312" w:hAnsi="宋体" w:eastAsia="FangSong_GB2312" w:cs="宋体"/>
          <w:kern w:val="0"/>
          <w:sz w:val="32"/>
          <w:szCs w:val="32"/>
        </w:rPr>
        <w:t>充分发挥邮政系统、供销合作社系统现有农村网点布局优势，实施“邮政在乡”、升级“快递下乡”，</w:t>
      </w:r>
      <w:r>
        <w:rPr>
          <w:rFonts w:hint="eastAsia" w:ascii="FangSong_GB2312" w:eastAsia="FangSong_GB2312"/>
          <w:sz w:val="32"/>
          <w:szCs w:val="32"/>
        </w:rPr>
        <w:t>健全以县级物流配送中心、乡镇配送节点、村级公共服务点为支撑的农村电商配送网络。鼓励传统物流园区适应电子商务和快递业发展需求转型升级，提升仓储、运输、配送、信息等综合管理和服务水平。鼓励仓储、快递、第三方技术服务企业发展智能仓储，发展仓配一体化服务，延伸服务链条，整合共享上下游资源，促进商流、物流、信息流、资金流等无缝衔接和高效流动，提高电子商务企业与快递物流企业供应链协同效率。</w:t>
      </w:r>
    </w:p>
    <w:p>
      <w:pPr>
        <w:pStyle w:val="3"/>
        <w:jc w:val="center"/>
      </w:pPr>
      <w:bookmarkStart w:id="64" w:name="_Toc75776167"/>
      <w:r>
        <w:rPr>
          <w:rFonts w:hint="eastAsia"/>
        </w:rPr>
        <w:t>第四节 优化消费服务供给</w:t>
      </w:r>
      <w:bookmarkEnd w:id="64"/>
    </w:p>
    <w:p>
      <w:pPr>
        <w:spacing w:line="600" w:lineRule="exact"/>
        <w:ind w:firstLine="643" w:firstLineChars="200"/>
        <w:rPr>
          <w:rStyle w:val="29"/>
        </w:rPr>
      </w:pPr>
      <w:bookmarkStart w:id="65" w:name="_Toc75776168"/>
      <w:bookmarkStart w:id="66" w:name="_Hlk46740556"/>
      <w:r>
        <w:rPr>
          <w:rStyle w:val="29"/>
          <w:rFonts w:hint="eastAsia"/>
        </w:rPr>
        <w:t>促进大宗消费提档升级。</w:t>
      </w:r>
      <w:r>
        <w:rPr>
          <w:rStyle w:val="29"/>
          <w:rFonts w:hint="eastAsia" w:ascii="FangSong_GB2312" w:eastAsia="FangSong_GB2312"/>
          <w:b w:val="0"/>
          <w:bCs w:val="0"/>
        </w:rPr>
        <w:t>优化汽车消费环境，进一步简化在湛常住务工外地人员购置非营运小型汽车手续，放宽汽车上牌控制，有序推进县域汽车综合卖场建设，落实好二手车交易便利化措施，扩大汽车消费规模。积极促进家电、家居、智能产品消费，鼓励消费品升级换代。</w:t>
      </w:r>
      <w:bookmarkEnd w:id="65"/>
    </w:p>
    <w:p>
      <w:pPr>
        <w:spacing w:line="600" w:lineRule="exact"/>
        <w:ind w:firstLine="643" w:firstLineChars="200"/>
        <w:rPr>
          <w:rStyle w:val="29"/>
          <w:rFonts w:ascii="FangSong_GB2312" w:eastAsia="FangSong_GB2312"/>
          <w:b w:val="0"/>
        </w:rPr>
      </w:pPr>
      <w:bookmarkStart w:id="67" w:name="_Toc75776169"/>
      <w:r>
        <w:rPr>
          <w:rStyle w:val="29"/>
          <w:rFonts w:hint="eastAsia"/>
        </w:rPr>
        <w:t>推进服务消费扩容提质。</w:t>
      </w:r>
      <w:bookmarkEnd w:id="66"/>
      <w:r>
        <w:rPr>
          <w:rStyle w:val="29"/>
          <w:rFonts w:ascii="FangSong_GB2312" w:eastAsia="FangSong_GB2312"/>
          <w:b w:val="0"/>
        </w:rPr>
        <w:t>加快旅游、文化</w:t>
      </w:r>
      <w:r>
        <w:rPr>
          <w:rStyle w:val="29"/>
          <w:rFonts w:hint="eastAsia" w:ascii="FangSong_GB2312" w:eastAsia="FangSong_GB2312"/>
          <w:b w:val="0"/>
        </w:rPr>
        <w:t>、</w:t>
      </w:r>
      <w:r>
        <w:rPr>
          <w:rStyle w:val="29"/>
          <w:rFonts w:ascii="FangSong_GB2312" w:eastAsia="FangSong_GB2312"/>
          <w:b w:val="0"/>
        </w:rPr>
        <w:t>教育、健康、 体育、家政</w:t>
      </w:r>
      <w:r>
        <w:rPr>
          <w:rStyle w:val="29"/>
          <w:rFonts w:hint="eastAsia" w:ascii="FangSong_GB2312" w:eastAsia="FangSong_GB2312"/>
          <w:b w:val="0"/>
        </w:rPr>
        <w:t>、餐饮</w:t>
      </w:r>
      <w:r>
        <w:rPr>
          <w:rStyle w:val="29"/>
          <w:rFonts w:ascii="FangSong_GB2312" w:eastAsia="FangSong_GB2312"/>
          <w:b w:val="0"/>
        </w:rPr>
        <w:t>等服务业发展</w:t>
      </w:r>
      <w:r>
        <w:rPr>
          <w:rStyle w:val="29"/>
          <w:rFonts w:hint="eastAsia" w:ascii="FangSong_GB2312" w:eastAsia="FangSong_GB2312"/>
          <w:b w:val="0"/>
        </w:rPr>
        <w:t>，</w:t>
      </w:r>
      <w:r>
        <w:rPr>
          <w:rStyle w:val="29"/>
          <w:rFonts w:ascii="FangSong_GB2312" w:eastAsia="FangSong_GB2312"/>
          <w:b w:val="0"/>
        </w:rPr>
        <w:t>释放服务消费新潜力。积极发展</w:t>
      </w:r>
      <w:r>
        <w:rPr>
          <w:rStyle w:val="29"/>
          <w:rFonts w:hint="eastAsia" w:ascii="FangSong_GB2312" w:eastAsia="FangSong_GB2312"/>
          <w:b w:val="0"/>
        </w:rPr>
        <w:t>滨海旅游、特色</w:t>
      </w:r>
      <w:r>
        <w:rPr>
          <w:rStyle w:val="29"/>
          <w:rFonts w:ascii="FangSong_GB2312" w:eastAsia="FangSong_GB2312"/>
          <w:b w:val="0"/>
        </w:rPr>
        <w:t>乡村旅游、南粤古驿道旅游、自驾车房车旅游、邮轮旅游。加快发展网络视听、移动多媒体、数字出版、动漫游戏等新兴文化产业，大力推进传统文化消费升级。鼓励发展教育培训</w:t>
      </w:r>
      <w:r>
        <w:rPr>
          <w:rStyle w:val="29"/>
          <w:rFonts w:hint="eastAsia" w:ascii="FangSong_GB2312" w:eastAsia="FangSong_GB2312"/>
          <w:b w:val="0"/>
        </w:rPr>
        <w:t>，</w:t>
      </w:r>
      <w:r>
        <w:rPr>
          <w:rStyle w:val="29"/>
          <w:rFonts w:ascii="FangSong_GB2312" w:eastAsia="FangSong_GB2312"/>
          <w:b w:val="0"/>
        </w:rPr>
        <w:t>推进“互联网＋教育”，鼓励符合条件的各类主体发展在线教育</w:t>
      </w:r>
      <w:r>
        <w:rPr>
          <w:rStyle w:val="29"/>
          <w:rFonts w:hint="eastAsia" w:ascii="FangSong_GB2312" w:eastAsia="FangSong_GB2312"/>
          <w:b w:val="0"/>
        </w:rPr>
        <w:t>，</w:t>
      </w:r>
      <w:r>
        <w:rPr>
          <w:rStyle w:val="29"/>
          <w:rFonts w:ascii="FangSong_GB2312" w:eastAsia="FangSong_GB2312"/>
          <w:b w:val="0"/>
        </w:rPr>
        <w:t>扩大教育培训有效供给。加快发展健康消费</w:t>
      </w:r>
      <w:r>
        <w:rPr>
          <w:rStyle w:val="29"/>
          <w:rFonts w:hint="eastAsia" w:ascii="FangSong_GB2312" w:eastAsia="FangSong_GB2312"/>
          <w:b w:val="0"/>
        </w:rPr>
        <w:t>，</w:t>
      </w:r>
      <w:r>
        <w:rPr>
          <w:rStyle w:val="29"/>
          <w:rFonts w:ascii="FangSong_GB2312" w:eastAsia="FangSong_GB2312"/>
          <w:b w:val="0"/>
        </w:rPr>
        <w:t>推动健康消费多样化发展</w:t>
      </w:r>
      <w:r>
        <w:rPr>
          <w:rStyle w:val="29"/>
          <w:rFonts w:hint="eastAsia" w:ascii="FangSong_GB2312" w:eastAsia="FangSong_GB2312"/>
          <w:b w:val="0"/>
        </w:rPr>
        <w:t>，</w:t>
      </w:r>
      <w:r>
        <w:rPr>
          <w:rStyle w:val="29"/>
          <w:rFonts w:ascii="FangSong_GB2312" w:eastAsia="FangSong_GB2312"/>
          <w:b w:val="0"/>
        </w:rPr>
        <w:t>规范发展健康体检、专业护理、母婴照料、高端医疗等专业健康服务机构</w:t>
      </w:r>
      <w:r>
        <w:rPr>
          <w:rStyle w:val="29"/>
          <w:rFonts w:hint="eastAsia" w:ascii="FangSong_GB2312" w:eastAsia="FangSong_GB2312"/>
          <w:b w:val="0"/>
        </w:rPr>
        <w:t>，</w:t>
      </w:r>
      <w:r>
        <w:rPr>
          <w:rStyle w:val="29"/>
          <w:rFonts w:ascii="FangSong_GB2312" w:eastAsia="FangSong_GB2312"/>
          <w:b w:val="0"/>
        </w:rPr>
        <w:t>引导发展远程医疗、网络医院。丰富生物医药和中医药健康服务产品种类，推动老年用品、照料护理等行业发展，推进医养结合，提升社区健康养老服务水平。积极发展家政服务，鼓励家政电商、“互联网＋家政” 等新业态发展，支持专业化家政服务机构拓展养老、托幼、托育服务。</w:t>
      </w:r>
      <w:bookmarkEnd w:id="67"/>
      <w:bookmarkStart w:id="68" w:name="_Hlk46740312"/>
    </w:p>
    <w:p>
      <w:pPr>
        <w:spacing w:line="600" w:lineRule="exact"/>
        <w:ind w:firstLine="643" w:firstLineChars="200"/>
        <w:rPr>
          <w:rStyle w:val="29"/>
        </w:rPr>
      </w:pPr>
      <w:bookmarkStart w:id="69" w:name="_Toc75776170"/>
      <w:r>
        <w:rPr>
          <w:rStyle w:val="29"/>
          <w:rFonts w:hint="eastAsia"/>
        </w:rPr>
        <w:t>推动特色餐饮消费规范发展。</w:t>
      </w:r>
      <w:r>
        <w:rPr>
          <w:rStyle w:val="29"/>
          <w:rFonts w:hint="eastAsia" w:ascii="FangSong_GB2312" w:eastAsia="FangSong_GB2312"/>
          <w:b w:val="0"/>
        </w:rPr>
        <w:t>建立</w:t>
      </w:r>
      <w:bookmarkEnd w:id="69"/>
      <w:r>
        <w:rPr>
          <w:rFonts w:hint="eastAsia" w:ascii="FangSong_GB2312" w:eastAsia="FangSong_GB2312"/>
          <w:sz w:val="32"/>
          <w:szCs w:val="32"/>
        </w:rPr>
        <w:t>湛江菜标准体系和餐饮业服务规范，打造湛江餐饮经营管理系列标准。培育、引进一批重点大型餐饮集团，加快餐饮企业集团化、连锁化发展，打造美食名城。利用“粤菜师傅”工程，依托“中国海鲜美食之都”品牌，培育餐饮名店、名菜、名点，大力发展具有浓郁湛江特色的地方美食，打造特色美食之乡。</w:t>
      </w:r>
    </w:p>
    <w:p>
      <w:pPr>
        <w:widowControl/>
        <w:spacing w:line="600" w:lineRule="exact"/>
        <w:ind w:firstLine="643" w:firstLineChars="200"/>
        <w:rPr>
          <w:rFonts w:ascii="FangSong_GB2312" w:hAnsi="宋体" w:eastAsia="FangSong_GB2312" w:cs="宋体"/>
          <w:kern w:val="0"/>
          <w:sz w:val="32"/>
          <w:szCs w:val="32"/>
        </w:rPr>
      </w:pPr>
      <w:bookmarkStart w:id="70" w:name="_Toc75776171"/>
      <w:r>
        <w:rPr>
          <w:rStyle w:val="29"/>
          <w:rFonts w:hint="eastAsia"/>
        </w:rPr>
        <w:t>有序推进绿色消费</w:t>
      </w:r>
      <w:bookmarkEnd w:id="68"/>
      <w:r>
        <w:rPr>
          <w:rStyle w:val="29"/>
          <w:rFonts w:hint="eastAsia"/>
        </w:rPr>
        <w:t>。</w:t>
      </w:r>
      <w:bookmarkEnd w:id="70"/>
      <w:r>
        <w:rPr>
          <w:rFonts w:hint="eastAsia" w:ascii="FangSong_GB2312" w:hAnsi="宋体" w:eastAsia="FangSong_GB2312" w:cs="宋体"/>
          <w:kern w:val="0"/>
          <w:sz w:val="32"/>
          <w:szCs w:val="32"/>
        </w:rPr>
        <w:t>鼓励发展“互联网+旧货”、“互联网+资源循环”，促进循环消费。鼓励创建绿色商场、绿色饭店、绿色电商等流通主体，开辟绿色产品销售专区。规范发展汽车、家电、电子产品回收利用行业，鼓励具备条件的流通企业回收消费者淘汰的废旧电子电器产品，折价置换超高清电视、节能冰箱、洗衣机、空调、智能手机等绿色、节能、智能电子电器产品，扩大绿色智能消费。</w:t>
      </w:r>
    </w:p>
    <w:p>
      <w:pPr>
        <w:pStyle w:val="3"/>
        <w:jc w:val="center"/>
      </w:pPr>
      <w:bookmarkStart w:id="71" w:name="_Toc75776172"/>
      <w:bookmarkStart w:id="72" w:name="_Hlk25608362"/>
      <w:r>
        <w:rPr>
          <w:rFonts w:hint="eastAsia"/>
        </w:rPr>
        <w:t>第五节 联动区域市场消费</w:t>
      </w:r>
      <w:bookmarkEnd w:id="71"/>
    </w:p>
    <w:p>
      <w:pPr>
        <w:spacing w:line="600" w:lineRule="exact"/>
        <w:ind w:firstLine="643" w:firstLineChars="200"/>
        <w:rPr>
          <w:rFonts w:ascii="FangSong_GB2312" w:eastAsia="FangSong_GB2312" w:hAnsiTheme="minorHAnsi" w:cstheme="minorBidi"/>
          <w:sz w:val="32"/>
          <w:szCs w:val="32"/>
        </w:rPr>
      </w:pPr>
      <w:bookmarkStart w:id="73" w:name="_Toc75776173"/>
      <w:r>
        <w:rPr>
          <w:rStyle w:val="29"/>
          <w:rFonts w:hint="eastAsia"/>
        </w:rPr>
        <w:t>对接海南自贸港联动消费。</w:t>
      </w:r>
      <w:bookmarkEnd w:id="73"/>
      <w:r>
        <w:rPr>
          <w:rFonts w:hint="eastAsia" w:ascii="FangSong_GB2312" w:eastAsia="FangSong_GB2312" w:hAnsiTheme="minorHAnsi" w:cstheme="minorBidi"/>
          <w:sz w:val="32"/>
          <w:szCs w:val="32"/>
        </w:rPr>
        <w:t>全面推进与海南的交通、产业、对外开放、公共服务等</w:t>
      </w:r>
      <w:r>
        <w:rPr>
          <w:rFonts w:ascii="FangSong_GB2312" w:eastAsia="FangSong_GB2312" w:hAnsiTheme="minorHAnsi" w:cstheme="minorBidi"/>
          <w:sz w:val="32"/>
          <w:szCs w:val="32"/>
        </w:rPr>
        <w:t>方面深度融合</w:t>
      </w:r>
      <w:r>
        <w:rPr>
          <w:rFonts w:hint="eastAsia" w:ascii="FangSong_GB2312" w:eastAsia="FangSong_GB2312" w:hAnsiTheme="minorHAnsi" w:cstheme="minorBidi"/>
          <w:sz w:val="32"/>
          <w:szCs w:val="32"/>
        </w:rPr>
        <w:t>紧密合作</w:t>
      </w:r>
      <w:r>
        <w:rPr>
          <w:rFonts w:ascii="FangSong_GB2312" w:eastAsia="FangSong_GB2312" w:hAnsiTheme="minorHAnsi" w:cstheme="minorBidi"/>
          <w:sz w:val="32"/>
          <w:szCs w:val="32"/>
        </w:rPr>
        <w:t>，</w:t>
      </w:r>
      <w:r>
        <w:rPr>
          <w:rFonts w:hint="eastAsia" w:ascii="FangSong_GB2312" w:hAnsi="黑体" w:eastAsia="FangSong_GB2312"/>
          <w:sz w:val="32"/>
          <w:szCs w:val="21"/>
        </w:rPr>
        <w:t>支持湛江综合保税区探讨推进两地货物保税间流转业务，有机拓展跨区域的保税仓储分拨、流通加工、加工展销及国际物流配送等方面合作</w:t>
      </w:r>
      <w:r>
        <w:rPr>
          <w:rFonts w:hint="eastAsia" w:ascii="FangSong_GB2312" w:eastAsia="FangSong_GB2312" w:hAnsiTheme="minorHAnsi" w:cstheme="minorBidi"/>
          <w:sz w:val="32"/>
          <w:szCs w:val="32"/>
        </w:rPr>
        <w:t>；利用琼州海峡两岸一体化规划机遇，布局两地“一程多站”旅游线路，主动承接海南国际旅游消费中心的辐射；利用湛江农产品优势资源条件，保障海南的日常生活物资基本需求，</w:t>
      </w:r>
      <w:r>
        <w:rPr>
          <w:rFonts w:ascii="FangSong_GB2312" w:eastAsia="FangSong_GB2312" w:hAnsiTheme="minorHAnsi" w:cstheme="minorBidi"/>
          <w:sz w:val="32"/>
          <w:szCs w:val="32"/>
        </w:rPr>
        <w:t>将湛江打造成为内陆与海南内外联动的重要纽</w:t>
      </w:r>
      <w:r>
        <w:rPr>
          <w:rFonts w:hint="eastAsia" w:ascii="FangSong_GB2312" w:eastAsia="FangSong_GB2312" w:hAnsiTheme="minorHAnsi" w:cstheme="minorBidi"/>
          <w:sz w:val="32"/>
          <w:szCs w:val="32"/>
        </w:rPr>
        <w:t>带</w:t>
      </w:r>
      <w:r>
        <w:rPr>
          <w:rFonts w:ascii="FangSong_GB2312" w:eastAsia="FangSong_GB2312" w:hAnsiTheme="minorHAnsi" w:cstheme="minorBidi"/>
          <w:sz w:val="32"/>
          <w:szCs w:val="32"/>
        </w:rPr>
        <w:t>、海南自由贸易港的后勤基地和经济腹地、广东支持保障海南自由贸易港建设的门户城市。</w:t>
      </w:r>
    </w:p>
    <w:p>
      <w:pPr>
        <w:spacing w:line="600" w:lineRule="exact"/>
        <w:ind w:firstLine="643" w:firstLineChars="200"/>
        <w:rPr>
          <w:rFonts w:ascii="FangSong_GB2312" w:eastAsia="FangSong_GB2312" w:hAnsiTheme="minorHAnsi" w:cstheme="minorBidi"/>
          <w:sz w:val="32"/>
          <w:szCs w:val="32"/>
        </w:rPr>
      </w:pPr>
      <w:bookmarkStart w:id="74" w:name="_Toc75776174"/>
      <w:r>
        <w:rPr>
          <w:rStyle w:val="29"/>
          <w:rFonts w:hint="eastAsia"/>
        </w:rPr>
        <w:t>拓展北部湾旅游消费。</w:t>
      </w:r>
      <w:bookmarkEnd w:id="74"/>
      <w:bookmarkStart w:id="75" w:name="_Hlk63602338"/>
      <w:r>
        <w:rPr>
          <w:rFonts w:hint="eastAsia" w:ascii="FangSong_GB2312" w:eastAsia="FangSong_GB2312" w:hAnsiTheme="minorHAnsi" w:cstheme="minorBidi"/>
          <w:sz w:val="32"/>
          <w:szCs w:val="32"/>
        </w:rPr>
        <w:t>深入实施</w:t>
      </w:r>
      <w:bookmarkEnd w:id="75"/>
      <w:r>
        <w:rPr>
          <w:rFonts w:hint="eastAsia" w:ascii="FangSong_GB2312" w:eastAsia="FangSong_GB2312" w:hAnsiTheme="minorHAnsi" w:cstheme="minorBidi"/>
          <w:sz w:val="32"/>
          <w:szCs w:val="32"/>
        </w:rPr>
        <w:t>《</w:t>
      </w:r>
      <w:bookmarkStart w:id="76" w:name="_Hlk63600987"/>
      <w:r>
        <w:rPr>
          <w:rFonts w:hint="eastAsia" w:ascii="FangSong_GB2312" w:eastAsia="FangSong_GB2312" w:hAnsiTheme="minorHAnsi" w:cstheme="minorBidi"/>
          <w:sz w:val="32"/>
          <w:szCs w:val="32"/>
        </w:rPr>
        <w:t>北部湾</w:t>
      </w:r>
      <w:bookmarkEnd w:id="76"/>
      <w:bookmarkStart w:id="77" w:name="_Hlk63600955"/>
      <w:r>
        <w:rPr>
          <w:rFonts w:hint="eastAsia" w:ascii="FangSong_GB2312" w:eastAsia="FangSong_GB2312" w:hAnsiTheme="minorHAnsi" w:cstheme="minorBidi"/>
          <w:sz w:val="32"/>
          <w:szCs w:val="32"/>
        </w:rPr>
        <w:t>共建中国</w:t>
      </w:r>
      <w:bookmarkStart w:id="78" w:name="_Hlk63601052"/>
      <w:r>
        <w:rPr>
          <w:rFonts w:hint="eastAsia" w:ascii="FangSong_GB2312" w:eastAsia="FangSong_GB2312" w:hAnsiTheme="minorHAnsi" w:cstheme="minorBidi"/>
          <w:sz w:val="32"/>
          <w:szCs w:val="32"/>
        </w:rPr>
        <w:t>滨海</w:t>
      </w:r>
      <w:bookmarkEnd w:id="78"/>
      <w:r>
        <w:rPr>
          <w:rFonts w:hint="eastAsia" w:ascii="FangSong_GB2312" w:eastAsia="FangSong_GB2312" w:hAnsiTheme="minorHAnsi" w:cstheme="minorBidi"/>
          <w:sz w:val="32"/>
          <w:szCs w:val="32"/>
        </w:rPr>
        <w:t>度假旅游目的地</w:t>
      </w:r>
      <w:bookmarkEnd w:id="77"/>
      <w:r>
        <w:rPr>
          <w:rFonts w:hint="eastAsia" w:ascii="FangSong_GB2312" w:eastAsia="FangSong_GB2312" w:hAnsiTheme="minorHAnsi" w:cstheme="minorBidi"/>
          <w:sz w:val="32"/>
          <w:szCs w:val="32"/>
        </w:rPr>
        <w:t>合作框架协议》，依托北部湾旅游度假区的自然条件、人文特色、客源优势和市场基础，以湛江作为合作重点节点，与北部湾城市共建中国滨海度假旅游目的地。同时深入实施《北部湾共建现代农业产业发展集聚区合作协议》，与北部湾城市共同</w:t>
      </w:r>
      <w:r>
        <w:rPr>
          <w:rFonts w:ascii="FangSong_GB2312" w:eastAsia="FangSong_GB2312" w:hAnsiTheme="minorHAnsi" w:cstheme="minorBidi"/>
          <w:sz w:val="32"/>
          <w:szCs w:val="32"/>
        </w:rPr>
        <w:t>推动</w:t>
      </w:r>
      <w:r>
        <w:rPr>
          <w:rFonts w:hint="eastAsia" w:ascii="FangSong_GB2312" w:eastAsia="FangSong_GB2312" w:hAnsiTheme="minorHAnsi" w:cstheme="minorBidi"/>
          <w:sz w:val="32"/>
          <w:szCs w:val="32"/>
        </w:rPr>
        <w:t>传统优势农业产业集群</w:t>
      </w:r>
      <w:r>
        <w:rPr>
          <w:rFonts w:ascii="FangSong_GB2312" w:eastAsia="FangSong_GB2312" w:hAnsiTheme="minorHAnsi" w:cstheme="minorBidi"/>
          <w:sz w:val="32"/>
          <w:szCs w:val="32"/>
        </w:rPr>
        <w:t>转型升级，</w:t>
      </w:r>
      <w:r>
        <w:rPr>
          <w:rFonts w:hint="eastAsia" w:ascii="FangSong_GB2312" w:eastAsia="FangSong_GB2312" w:hAnsiTheme="minorHAnsi" w:cstheme="minorBidi"/>
          <w:sz w:val="32"/>
          <w:szCs w:val="32"/>
        </w:rPr>
        <w:t>带动</w:t>
      </w:r>
      <w:r>
        <w:rPr>
          <w:rFonts w:ascii="FangSong_GB2312" w:eastAsia="FangSong_GB2312" w:hAnsiTheme="minorHAnsi" w:cstheme="minorBidi"/>
          <w:sz w:val="32"/>
          <w:szCs w:val="32"/>
        </w:rPr>
        <w:t>农业商贸流通、休闲旅游等新兴战略产业</w:t>
      </w:r>
      <w:r>
        <w:rPr>
          <w:rFonts w:hint="eastAsia" w:ascii="FangSong_GB2312" w:eastAsia="FangSong_GB2312" w:hAnsiTheme="minorHAnsi" w:cstheme="minorBidi"/>
          <w:sz w:val="32"/>
          <w:szCs w:val="32"/>
        </w:rPr>
        <w:t>发展</w:t>
      </w:r>
      <w:r>
        <w:rPr>
          <w:rFonts w:ascii="FangSong_GB2312" w:eastAsia="FangSong_GB2312" w:hAnsiTheme="minorHAnsi" w:cstheme="minorBidi"/>
          <w:sz w:val="32"/>
          <w:szCs w:val="32"/>
        </w:rPr>
        <w:t>。</w:t>
      </w:r>
    </w:p>
    <w:p>
      <w:pPr>
        <w:spacing w:line="600" w:lineRule="exact"/>
        <w:ind w:firstLine="643" w:firstLineChars="200"/>
        <w:rPr>
          <w:rFonts w:ascii="FangSong_GB2312" w:eastAsia="FangSong_GB2312" w:hAnsiTheme="minorHAnsi" w:cstheme="minorBidi"/>
          <w:sz w:val="32"/>
          <w:szCs w:val="32"/>
        </w:rPr>
      </w:pPr>
      <w:bookmarkStart w:id="79" w:name="_Toc75776175"/>
      <w:r>
        <w:rPr>
          <w:rStyle w:val="29"/>
          <w:rFonts w:hint="eastAsia"/>
        </w:rPr>
        <w:t>保障</w:t>
      </w:r>
      <w:bookmarkStart w:id="80" w:name="_Hlk65488471"/>
      <w:r>
        <w:rPr>
          <w:rStyle w:val="29"/>
          <w:rFonts w:hint="eastAsia"/>
        </w:rPr>
        <w:t>“双区”资源需求</w:t>
      </w:r>
      <w:bookmarkEnd w:id="80"/>
      <w:r>
        <w:rPr>
          <w:rStyle w:val="29"/>
          <w:rFonts w:hint="eastAsia"/>
        </w:rPr>
        <w:t>。</w:t>
      </w:r>
      <w:bookmarkEnd w:id="79"/>
      <w:r>
        <w:rPr>
          <w:rFonts w:hint="eastAsia" w:ascii="FangSong_GB2312" w:eastAsia="FangSong_GB2312" w:hAnsiTheme="minorHAnsi" w:cstheme="minorBidi"/>
          <w:sz w:val="32"/>
          <w:szCs w:val="32"/>
        </w:rPr>
        <w:t>把握粤港澳大湾区、深圳先行示范区建设重大战略机</w:t>
      </w:r>
      <w:r>
        <w:rPr>
          <w:rFonts w:ascii="FangSong_GB2312" w:eastAsia="FangSong_GB2312" w:hAnsiTheme="minorHAnsi" w:cstheme="minorBidi"/>
          <w:sz w:val="32"/>
          <w:szCs w:val="32"/>
        </w:rPr>
        <w:t>遇，以强化广州湛江</w:t>
      </w:r>
      <w:r>
        <w:rPr>
          <w:rFonts w:hint="eastAsia" w:ascii="FangSong_GB2312" w:eastAsia="FangSong_GB2312" w:hAnsiTheme="minorHAnsi" w:cstheme="minorBidi"/>
          <w:sz w:val="32"/>
          <w:szCs w:val="32"/>
        </w:rPr>
        <w:t>“</w:t>
      </w:r>
      <w:r>
        <w:rPr>
          <w:rFonts w:ascii="FangSong_GB2312" w:eastAsia="FangSong_GB2312" w:hAnsiTheme="minorHAnsi" w:cstheme="minorBidi"/>
          <w:sz w:val="32"/>
          <w:szCs w:val="32"/>
        </w:rPr>
        <w:t>核+副中心</w:t>
      </w:r>
      <w:r>
        <w:rPr>
          <w:rFonts w:hint="eastAsia" w:ascii="FangSong_GB2312" w:eastAsia="FangSong_GB2312" w:hAnsiTheme="minorHAnsi" w:cstheme="minorBidi"/>
          <w:sz w:val="32"/>
          <w:szCs w:val="32"/>
        </w:rPr>
        <w:t>”</w:t>
      </w:r>
      <w:r>
        <w:rPr>
          <w:rFonts w:ascii="FangSong_GB2312" w:eastAsia="FangSong_GB2312" w:hAnsiTheme="minorHAnsi" w:cstheme="minorBidi"/>
          <w:sz w:val="32"/>
          <w:szCs w:val="32"/>
        </w:rPr>
        <w:t>动力机制为纽带，</w:t>
      </w:r>
      <w:r>
        <w:rPr>
          <w:rFonts w:hint="eastAsia" w:ascii="FangSong_GB2312" w:eastAsia="FangSong_GB2312"/>
          <w:sz w:val="32"/>
          <w:szCs w:val="32"/>
        </w:rPr>
        <w:t>加强产业链、供应链方面合作，助力湛江利用大港口、大路网、大航空立体交通网络，打造区域物流供应链枢纽中心，更好服务和保障“双区”对大宗商品、中间品等生产资源和“菜篮子”等生活物资消费需求</w:t>
      </w:r>
      <w:r>
        <w:rPr>
          <w:rFonts w:ascii="FangSong_GB2312" w:eastAsia="FangSong_GB2312"/>
          <w:sz w:val="32"/>
          <w:szCs w:val="32"/>
        </w:rPr>
        <w:t>。</w:t>
      </w:r>
    </w:p>
    <w:p>
      <w:pPr>
        <w:spacing w:line="600" w:lineRule="exact"/>
        <w:ind w:firstLine="643" w:firstLineChars="200"/>
        <w:rPr>
          <w:rFonts w:ascii="FangSong_GB2312" w:eastAsia="FangSong_GB2312" w:hAnsiTheme="minorHAnsi" w:cstheme="minorBidi"/>
          <w:sz w:val="32"/>
          <w:szCs w:val="32"/>
        </w:rPr>
      </w:pPr>
      <w:bookmarkStart w:id="81" w:name="_Toc75776176"/>
      <w:r>
        <w:rPr>
          <w:rStyle w:val="29"/>
          <w:rFonts w:hint="eastAsia"/>
        </w:rPr>
        <w:t>带动湛茂都市圈消费。</w:t>
      </w:r>
      <w:bookmarkEnd w:id="81"/>
      <w:r>
        <w:rPr>
          <w:rFonts w:hint="eastAsia" w:ascii="FangSong_GB2312" w:eastAsia="FangSong_GB2312" w:hAnsiTheme="minorHAnsi" w:cstheme="minorBidi"/>
          <w:sz w:val="32"/>
          <w:szCs w:val="32"/>
        </w:rPr>
        <w:t>推动湛江、茂名两地加快形成常态合作机制，推</w:t>
      </w:r>
      <w:r>
        <w:rPr>
          <w:rFonts w:ascii="FangSong_GB2312" w:eastAsia="FangSong_GB2312" w:hAnsiTheme="minorHAnsi" w:cstheme="minorBidi"/>
          <w:sz w:val="32"/>
          <w:szCs w:val="32"/>
        </w:rPr>
        <w:t>动统一市场建设，</w:t>
      </w:r>
      <w:r>
        <w:rPr>
          <w:rFonts w:hint="eastAsia" w:ascii="FangSong_GB2312" w:eastAsia="FangSong_GB2312" w:hAnsiTheme="minorHAnsi" w:cstheme="minorBidi"/>
          <w:sz w:val="32"/>
          <w:szCs w:val="32"/>
        </w:rPr>
        <w:t>更好承接湛江消费辐射，推动现代化沿海经济带西翼消费繁荣发展。</w:t>
      </w:r>
    </w:p>
    <w:p>
      <w:pPr>
        <w:ind w:firstLine="643" w:firstLineChars="200"/>
        <w:rPr>
          <w:rFonts w:ascii="FangSong_GB2312" w:eastAsia="FangSong_GB2312"/>
          <w:sz w:val="32"/>
          <w:szCs w:val="32"/>
        </w:rPr>
      </w:pPr>
      <w:bookmarkStart w:id="82" w:name="_Toc75776177"/>
      <w:r>
        <w:rPr>
          <w:rStyle w:val="29"/>
          <w:rFonts w:hint="eastAsia"/>
        </w:rPr>
        <w:t>衔接区域对口经贸协作。</w:t>
      </w:r>
      <w:bookmarkEnd w:id="82"/>
      <w:r>
        <w:rPr>
          <w:rFonts w:hint="eastAsia" w:ascii="FangSong_GB2312" w:eastAsia="FangSong_GB2312"/>
          <w:sz w:val="32"/>
          <w:szCs w:val="32"/>
        </w:rPr>
        <w:t>围绕省、市关于多渠道扩大国内消费市场战略部署，组织好有关经贸活动，引导湛江企业和产品定向开拓内销市场。落实对口商务协作工作任务，结合我市产业实际和优势特色，组织赴对口地区开展产业对接和商务交流活动，助力当地经济社会发展。</w:t>
      </w:r>
    </w:p>
    <w:bookmarkEnd w:id="72"/>
    <w:p>
      <w:pPr>
        <w:pStyle w:val="3"/>
        <w:jc w:val="center"/>
      </w:pPr>
      <w:bookmarkStart w:id="83" w:name="_Toc75776178"/>
      <w:r>
        <w:rPr>
          <w:rFonts w:hint="eastAsia"/>
        </w:rPr>
        <w:t xml:space="preserve">第六节 </w:t>
      </w:r>
      <w:bookmarkStart w:id="84" w:name="_Hlk46740579"/>
      <w:r>
        <w:rPr>
          <w:rFonts w:hint="eastAsia"/>
        </w:rPr>
        <w:t>优化消费环境</w:t>
      </w:r>
      <w:bookmarkEnd w:id="83"/>
    </w:p>
    <w:bookmarkEnd w:id="84"/>
    <w:p>
      <w:pPr>
        <w:pStyle w:val="13"/>
        <w:shd w:val="clear" w:color="auto" w:fill="FFFFFF"/>
        <w:spacing w:before="0" w:beforeAutospacing="0" w:after="0" w:afterAutospacing="0" w:line="600" w:lineRule="exact"/>
        <w:ind w:firstLine="639" w:firstLineChars="199"/>
        <w:jc w:val="both"/>
        <w:rPr>
          <w:rFonts w:ascii="FangSong_GB2312" w:eastAsia="FangSong_GB2312"/>
          <w:sz w:val="32"/>
          <w:szCs w:val="32"/>
        </w:rPr>
      </w:pPr>
      <w:bookmarkStart w:id="85" w:name="_Hlk46740586"/>
      <w:bookmarkStart w:id="86" w:name="_Toc75776179"/>
      <w:r>
        <w:rPr>
          <w:rStyle w:val="29"/>
          <w:rFonts w:hint="eastAsia"/>
        </w:rPr>
        <w:t>加强消费市场信用体系建设</w:t>
      </w:r>
      <w:bookmarkEnd w:id="85"/>
      <w:r>
        <w:rPr>
          <w:rStyle w:val="29"/>
          <w:rFonts w:hint="eastAsia"/>
        </w:rPr>
        <w:t>。</w:t>
      </w:r>
      <w:bookmarkEnd w:id="86"/>
      <w:r>
        <w:rPr>
          <w:rFonts w:hint="eastAsia" w:ascii="FangSong_GB2312" w:eastAsia="FangSong_GB2312"/>
          <w:sz w:val="32"/>
          <w:szCs w:val="32"/>
        </w:rPr>
        <w:t>依托全省信用信息共享平台，按照“统一标准、统一平台、分步实施、分级共享”的原则，不断完善商务诚信信息共享共用机制。建立健全商业领域信用承诺、公示、修复等制度，规范市场化综合信用评价机制，探索建立以信用为基础的商务领域新型监管机制。鼓励线上线下市场平台开展信用评价，重点加强家政服务、住宿餐饮、批发零售等民生消费领域信用建设。引导商品交易市场、物流园及第三方电子商务平台等建立入驻商户信用评价机制。支持建立第三方信用评价机制，促进信用调查、信用评估、信用保险、商业保理等信用服务行业加快发展，创新信用产品和服务。鼓励行业协会商会建立会员企业信用档案，推动行业协会商会建立信用信息共享机制。</w:t>
      </w:r>
    </w:p>
    <w:p>
      <w:pPr>
        <w:spacing w:line="600" w:lineRule="exact"/>
        <w:ind w:firstLine="643" w:firstLineChars="200"/>
        <w:rPr>
          <w:rFonts w:ascii="FangSong_GB2312" w:hAnsi="华文中宋" w:eastAsia="FangSong_GB2312"/>
          <w:sz w:val="32"/>
          <w:szCs w:val="21"/>
        </w:rPr>
      </w:pPr>
      <w:bookmarkStart w:id="87" w:name="_Hlk46740596"/>
      <w:bookmarkStart w:id="88" w:name="_Toc75776180"/>
      <w:r>
        <w:rPr>
          <w:rStyle w:val="29"/>
          <w:rFonts w:hint="eastAsia"/>
        </w:rPr>
        <w:t>有序推进</w:t>
      </w:r>
      <w:bookmarkStart w:id="89" w:name="_Hlk41923983"/>
      <w:r>
        <w:rPr>
          <w:rStyle w:val="29"/>
          <w:rFonts w:hint="eastAsia"/>
        </w:rPr>
        <w:t>肉菜追溯体系建设</w:t>
      </w:r>
      <w:bookmarkEnd w:id="87"/>
      <w:bookmarkEnd w:id="89"/>
      <w:r>
        <w:rPr>
          <w:rStyle w:val="29"/>
          <w:rFonts w:hint="eastAsia"/>
        </w:rPr>
        <w:t>。</w:t>
      </w:r>
      <w:bookmarkEnd w:id="88"/>
      <w:r>
        <w:rPr>
          <w:rFonts w:hint="eastAsia" w:ascii="FangSong_GB2312" w:hAnsi="华文中宋" w:eastAsia="FangSong_GB2312"/>
          <w:sz w:val="32"/>
          <w:szCs w:val="21"/>
        </w:rPr>
        <w:t>统筹规划全市重要产品追溯体系建设，落实国家、省追溯数据标准，基于市政府信息共享平台，以大数据技术为支撑，推进全市重要产品溯源公共服务平台建设。不断完善</w:t>
      </w:r>
      <w:bookmarkStart w:id="90" w:name="_Hlk29905571"/>
      <w:r>
        <w:rPr>
          <w:rFonts w:hint="eastAsia" w:ascii="FangSong_GB2312" w:hAnsi="华文中宋" w:eastAsia="FangSong_GB2312"/>
          <w:sz w:val="32"/>
          <w:szCs w:val="21"/>
        </w:rPr>
        <w:t>肉类蔬菜追溯体系</w:t>
      </w:r>
      <w:bookmarkEnd w:id="90"/>
      <w:r>
        <w:rPr>
          <w:rFonts w:hint="eastAsia" w:ascii="FangSong_GB2312" w:hAnsi="华文中宋" w:eastAsia="FangSong_GB2312"/>
          <w:sz w:val="32"/>
          <w:szCs w:val="21"/>
        </w:rPr>
        <w:t>建设试点工作，健全完善追溯管理与市场准入的衔接机制，以扫码入市或索取追溯凭证为市场准入条件，构建从产地到市场到餐桌的全程可追溯体系。升级改造追溯管理平台，向生产和消费两端延伸追溯链条，开发智能监管功能，提高数据处理和综合分析能力。完善考核评估体系，建立健全长效机制。逐步扩大追溯体系覆盖范围，增加品种和节点数量，构建全市肉菜“来源可查、去向可追、责任可究”的追溯链条。</w:t>
      </w:r>
    </w:p>
    <w:p>
      <w:pPr>
        <w:ind w:firstLine="636" w:firstLineChars="199"/>
        <w:rPr>
          <w:rFonts w:ascii="FangSong_GB2312" w:eastAsia="FangSong_GB2312"/>
          <w:sz w:val="32"/>
          <w:szCs w:val="32"/>
        </w:rPr>
      </w:pPr>
      <w:r>
        <w:rPr>
          <w:rFonts w:hint="eastAsia" w:ascii="FangSong_GB2312" w:hAnsi="华文中宋" w:eastAsia="FangSong_GB2312"/>
          <w:sz w:val="32"/>
          <w:szCs w:val="21"/>
        </w:rPr>
        <w:t xml:space="preserve"> </w:t>
      </w:r>
      <w:bookmarkStart w:id="91" w:name="_Toc75776181"/>
      <w:r>
        <w:rPr>
          <w:rStyle w:val="29"/>
          <w:rFonts w:hint="eastAsia"/>
        </w:rPr>
        <w:t>创新市场应急调控机制。</w:t>
      </w:r>
      <w:bookmarkEnd w:id="91"/>
      <w:r>
        <w:rPr>
          <w:rFonts w:hint="eastAsia" w:ascii="FangSong_GB2312" w:eastAsia="FangSong_GB2312"/>
          <w:sz w:val="32"/>
          <w:szCs w:val="32"/>
        </w:rPr>
        <w:t>完善健全生活必需品供应应急体系，以及市场应急供应管理制度和协调机制。科学评估预判各类突发事件对市场影响范围和程度，建立政府储备与商业储备相结合的商品应急储备体系，编制应急生活必需品管理目录，实行分类管理，科学划定政府重点储备和调控品种。引导应急保供重点企业落实商业储备，增加储备品种及储备数量，推动储备模式创新。增强全市市场应急保供能力，建立市场应急调控平台和应急保供企业及商品数据库，保障信息畅通传导和有序调度。对应急保供重点企业实施动态管理，合理规划设置应急商品集散地和投放网点。</w:t>
      </w:r>
    </w:p>
    <w:p>
      <w:pPr>
        <w:jc w:val="center"/>
        <w:rPr>
          <w:rFonts w:ascii="FangSong_GB2312" w:eastAsia="FangSong_GB2312"/>
          <w:sz w:val="32"/>
          <w:szCs w:val="32"/>
        </w:rPr>
      </w:pPr>
    </w:p>
    <w:p>
      <w:pPr>
        <w:spacing w:line="600" w:lineRule="exact"/>
        <w:jc w:val="center"/>
        <w:rPr>
          <w:rFonts w:ascii="方正粗宋简体" w:hAnsi="华文中宋" w:eastAsia="方正粗宋简体"/>
          <w:sz w:val="32"/>
          <w:szCs w:val="21"/>
        </w:rPr>
      </w:pPr>
    </w:p>
    <w:p>
      <w:pPr>
        <w:pStyle w:val="2"/>
        <w:jc w:val="center"/>
      </w:pPr>
      <w:bookmarkStart w:id="92" w:name="_Toc75776182"/>
      <w:r>
        <w:rPr>
          <w:rFonts w:hint="eastAsia"/>
        </w:rPr>
        <w:t>第四章 构建更高水平开放型经济新体制</w:t>
      </w:r>
      <w:bookmarkEnd w:id="92"/>
    </w:p>
    <w:p>
      <w:pPr>
        <w:spacing w:line="600" w:lineRule="exact"/>
        <w:jc w:val="center"/>
        <w:rPr>
          <w:rFonts w:ascii="华文中宋" w:hAnsi="华文中宋" w:eastAsia="华文中宋"/>
          <w:sz w:val="32"/>
          <w:szCs w:val="21"/>
        </w:rPr>
      </w:pPr>
    </w:p>
    <w:p>
      <w:pPr>
        <w:spacing w:line="600" w:lineRule="exact"/>
        <w:ind w:firstLine="645"/>
        <w:rPr>
          <w:rFonts w:ascii="FangSong_GB2312" w:hAnsi="宋体" w:eastAsia="FangSong_GB2312" w:cs="宋体"/>
          <w:kern w:val="0"/>
          <w:sz w:val="32"/>
          <w:szCs w:val="32"/>
        </w:rPr>
      </w:pPr>
      <w:bookmarkStart w:id="93" w:name="_Hlk54967272"/>
      <w:bookmarkStart w:id="94" w:name="_Hlk38295610"/>
      <w:r>
        <w:rPr>
          <w:rFonts w:hint="eastAsia" w:ascii="FangSong_GB2312" w:hAnsi="宋体" w:eastAsia="FangSong_GB2312" w:cs="宋体"/>
          <w:kern w:val="0"/>
          <w:sz w:val="32"/>
          <w:szCs w:val="32"/>
        </w:rPr>
        <w:t>坚持</w:t>
      </w:r>
      <w:r>
        <w:rPr>
          <w:rFonts w:ascii="FangSong_GB2312" w:hAnsi="宋体" w:eastAsia="FangSong_GB2312" w:cs="宋体"/>
          <w:kern w:val="0"/>
          <w:sz w:val="32"/>
          <w:szCs w:val="32"/>
        </w:rPr>
        <w:t>以开放促改革促发展，</w:t>
      </w:r>
      <w:r>
        <w:rPr>
          <w:rFonts w:hint="eastAsia" w:ascii="FangSong_GB2312" w:hAnsi="宋体" w:eastAsia="FangSong_GB2312" w:cs="宋体"/>
          <w:kern w:val="0"/>
          <w:sz w:val="32"/>
          <w:szCs w:val="32"/>
        </w:rPr>
        <w:t>重塑开放发展新优势，持续推动更加开放的政策落地应用，</w:t>
      </w:r>
      <w:r>
        <w:rPr>
          <w:rFonts w:ascii="FangSong_GB2312" w:hAnsi="宋体" w:eastAsia="FangSong_GB2312" w:cs="宋体"/>
          <w:kern w:val="0"/>
          <w:sz w:val="32"/>
          <w:szCs w:val="32"/>
        </w:rPr>
        <w:t>稳定外贸外资基本盘</w:t>
      </w:r>
      <w:r>
        <w:rPr>
          <w:rFonts w:hint="eastAsia" w:ascii="FangSong_GB2312" w:hAnsi="宋体" w:eastAsia="FangSong_GB2312" w:cs="宋体"/>
          <w:kern w:val="0"/>
          <w:sz w:val="32"/>
          <w:szCs w:val="32"/>
        </w:rPr>
        <w:t>，推动由商品和要素流动型开放向规则等制度型开放转变，</w:t>
      </w:r>
      <w:r>
        <w:rPr>
          <w:rFonts w:ascii="FangSong_GB2312" w:hAnsi="宋体" w:eastAsia="FangSong_GB2312" w:cs="宋体"/>
          <w:kern w:val="0"/>
          <w:sz w:val="32"/>
          <w:szCs w:val="32"/>
        </w:rPr>
        <w:t>稳定产业链供应链，</w:t>
      </w:r>
      <w:r>
        <w:rPr>
          <w:rFonts w:hint="eastAsia" w:ascii="FangSong_GB2312" w:hAnsi="宋体" w:eastAsia="FangSong_GB2312" w:cs="宋体"/>
          <w:kern w:val="0"/>
          <w:sz w:val="32"/>
          <w:szCs w:val="32"/>
        </w:rPr>
        <w:t>建设更高水平开放型经济新体制，促进国际大循环</w:t>
      </w:r>
      <w:r>
        <w:rPr>
          <w:rFonts w:ascii="FangSong_GB2312" w:hAnsi="宋体" w:eastAsia="FangSong_GB2312" w:cs="宋体"/>
          <w:kern w:val="0"/>
          <w:sz w:val="32"/>
          <w:szCs w:val="32"/>
        </w:rPr>
        <w:t>。</w:t>
      </w:r>
    </w:p>
    <w:bookmarkEnd w:id="93"/>
    <w:p>
      <w:pPr>
        <w:pStyle w:val="3"/>
        <w:jc w:val="center"/>
        <w:rPr>
          <w:rFonts w:ascii="华文中宋" w:eastAsia="华文中宋"/>
        </w:rPr>
      </w:pPr>
      <w:bookmarkStart w:id="95" w:name="_Toc75776183"/>
      <w:r>
        <w:rPr>
          <w:rFonts w:hint="eastAsia"/>
        </w:rPr>
        <w:t xml:space="preserve">第一节 </w:t>
      </w:r>
      <w:bookmarkStart w:id="96" w:name="_Hlk46740728"/>
      <w:r>
        <w:rPr>
          <w:rFonts w:hint="eastAsia"/>
        </w:rPr>
        <w:t>推进对外贸易高质量发展</w:t>
      </w:r>
      <w:bookmarkEnd w:id="94"/>
      <w:bookmarkEnd w:id="95"/>
      <w:bookmarkEnd w:id="96"/>
    </w:p>
    <w:p>
      <w:pPr>
        <w:widowControl/>
        <w:shd w:val="clear" w:color="auto" w:fill="FFFFFF"/>
        <w:spacing w:line="600" w:lineRule="exact"/>
        <w:ind w:firstLine="640" w:firstLineChars="200"/>
        <w:rPr>
          <w:rFonts w:ascii="FangSong_GB2312" w:hAnsi="宋体" w:eastAsia="FangSong_GB2312" w:cs="宋体"/>
          <w:kern w:val="0"/>
          <w:sz w:val="32"/>
          <w:szCs w:val="32"/>
        </w:rPr>
      </w:pPr>
    </w:p>
    <w:p>
      <w:pPr>
        <w:widowControl/>
        <w:shd w:val="clear" w:color="auto" w:fill="FFFFFF"/>
        <w:spacing w:line="600" w:lineRule="exact"/>
        <w:ind w:firstLine="640" w:firstLineChars="200"/>
        <w:rPr>
          <w:rFonts w:ascii="FangSong_GB2312" w:hAnsi="仿宋" w:eastAsia="FangSong_GB2312"/>
          <w:sz w:val="32"/>
          <w:szCs w:val="32"/>
        </w:rPr>
      </w:pPr>
      <w:bookmarkStart w:id="97" w:name="_Hlk54967600"/>
      <w:r>
        <w:rPr>
          <w:rFonts w:hint="eastAsia" w:ascii="FangSong_GB2312" w:hAnsi="仿宋" w:eastAsia="FangSong_GB2312"/>
          <w:sz w:val="32"/>
          <w:szCs w:val="32"/>
        </w:rPr>
        <w:t>优化外贸供给结构体系，推动进口与出口、货物贸易与服务贸易、贸易与产业协调发展，大力发展贸易新业态新模式，植厚贸易发展新动力，促进外循环，拓展贸易发展新空间。</w:t>
      </w:r>
      <w:r>
        <w:rPr>
          <w:rFonts w:ascii="FangSong_GB2312" w:hAnsi="仿宋" w:eastAsia="FangSong_GB2312"/>
          <w:sz w:val="32"/>
          <w:szCs w:val="32"/>
        </w:rPr>
        <w:t xml:space="preserve"> </w:t>
      </w:r>
    </w:p>
    <w:bookmarkEnd w:id="97"/>
    <w:p>
      <w:pPr>
        <w:widowControl/>
        <w:shd w:val="clear" w:color="auto" w:fill="FFFFFF"/>
        <w:spacing w:line="600" w:lineRule="exact"/>
        <w:ind w:firstLine="643" w:firstLineChars="200"/>
        <w:rPr>
          <w:rFonts w:ascii="FangSong_GB2312" w:hAnsi="宋体" w:eastAsia="FangSong_GB2312" w:cs="宋体"/>
          <w:kern w:val="0"/>
          <w:sz w:val="32"/>
          <w:szCs w:val="32"/>
        </w:rPr>
      </w:pPr>
      <w:bookmarkStart w:id="98" w:name="_Toc75776184"/>
      <w:bookmarkStart w:id="99" w:name="_Hlk46740719"/>
      <w:bookmarkStart w:id="100" w:name="_Hlk55490370"/>
      <w:r>
        <w:rPr>
          <w:rStyle w:val="29"/>
          <w:rFonts w:hint="eastAsia"/>
        </w:rPr>
        <w:t>壮大外贸主导产业。</w:t>
      </w:r>
      <w:bookmarkEnd w:id="98"/>
      <w:bookmarkStart w:id="101" w:name="_Hlk54100023"/>
      <w:bookmarkStart w:id="102" w:name="_Hlk55490382"/>
      <w:r>
        <w:rPr>
          <w:rFonts w:hint="eastAsia" w:ascii="FangSong_GB2312" w:hAnsi="宋体" w:eastAsia="FangSong_GB2312" w:cs="宋体"/>
          <w:kern w:val="0"/>
          <w:sz w:val="32"/>
          <w:szCs w:val="32"/>
        </w:rPr>
        <w:t>鼓励钢铁、石化、能源、高端造纸等行业龙头企业依托湛江深水港优势，大力拓展大宗商品贸易和加工水平，从供给端对接好产业对中间品需求，更好融入全球供应链、产业链、价值链，提升在全球范围内配置要素资源、布局市场网络的能力。</w:t>
      </w:r>
      <w:bookmarkEnd w:id="101"/>
      <w:r>
        <w:rPr>
          <w:rFonts w:hint="eastAsia" w:ascii="FangSong_GB2312" w:hAnsi="宋体" w:eastAsia="FangSong_GB2312" w:cs="宋体"/>
          <w:kern w:val="0"/>
          <w:sz w:val="32"/>
          <w:szCs w:val="32"/>
        </w:rPr>
        <w:t>鼓励区域优势互补，稳妥推进有条件的外向型企业将整机生产、零部件、原材料配套和研发、结算等向湛江梯度转移，对本土产业链稳链补链强链，形成跨区域上下游相互配套、专业化分工合作的产业链，形成贯通内外、对接供需的外向型主导产业集群，进一步提高我市经济外贸依存度。</w:t>
      </w:r>
      <w:bookmarkStart w:id="103" w:name="_Hlk48288275"/>
      <w:r>
        <w:rPr>
          <w:rFonts w:ascii="FangSong_GB2312" w:hAnsi="宋体" w:eastAsia="FangSong_GB2312" w:cs="宋体"/>
          <w:kern w:val="0"/>
          <w:sz w:val="32"/>
          <w:szCs w:val="32"/>
        </w:rPr>
        <w:t xml:space="preserve"> </w:t>
      </w:r>
    </w:p>
    <w:bookmarkEnd w:id="102"/>
    <w:bookmarkEnd w:id="103"/>
    <w:p>
      <w:pPr>
        <w:spacing w:line="600" w:lineRule="exact"/>
        <w:ind w:firstLine="643" w:firstLineChars="200"/>
        <w:rPr>
          <w:rFonts w:ascii="FangSong_GB2312" w:hAnsi="仿宋" w:eastAsia="FangSong_GB2312"/>
          <w:sz w:val="32"/>
          <w:szCs w:val="32"/>
        </w:rPr>
      </w:pPr>
      <w:bookmarkStart w:id="104" w:name="_Toc75776185"/>
      <w:r>
        <w:rPr>
          <w:rStyle w:val="29"/>
          <w:rFonts w:hint="eastAsia"/>
        </w:rPr>
        <w:t>推动传统出口产业转型升级。</w:t>
      </w:r>
      <w:bookmarkEnd w:id="99"/>
      <w:bookmarkEnd w:id="104"/>
      <w:bookmarkStart w:id="105" w:name="_Hlk58917338"/>
      <w:r>
        <w:rPr>
          <w:rFonts w:hint="eastAsia" w:ascii="FangSong_GB2312" w:hAnsi="仿宋" w:eastAsia="FangSong_GB2312"/>
          <w:sz w:val="32"/>
          <w:szCs w:val="32"/>
        </w:rPr>
        <w:t>发挥传统产业集聚优势，引导家电、家具、水海产品等传统出口</w:t>
      </w:r>
      <w:r>
        <w:rPr>
          <w:rFonts w:ascii="FangSong_GB2312" w:hAnsi="仿宋" w:eastAsia="FangSong_GB2312"/>
          <w:sz w:val="32"/>
          <w:szCs w:val="32"/>
        </w:rPr>
        <w:t>企业</w:t>
      </w:r>
      <w:r>
        <w:rPr>
          <w:rFonts w:hint="eastAsia" w:ascii="FangSong_GB2312" w:hAnsi="仿宋" w:eastAsia="FangSong_GB2312"/>
          <w:sz w:val="32"/>
          <w:szCs w:val="32"/>
        </w:rPr>
        <w:t>应用高新技术和先进适用技术改造传统产业，增强贸易创新能力，进一步巩固和提升传统品牌市场知名度和认可度，推进国家级水海产品和省级小家电外贸转型升级基地以及家具等有优势传统产业创新转型升级发展，推进区域品牌注册建设，不断</w:t>
      </w:r>
      <w:r>
        <w:rPr>
          <w:rFonts w:hint="eastAsia" w:ascii="FangSong_GB2312" w:hAnsi="宋体" w:eastAsia="FangSong_GB2312" w:cs="宋体"/>
          <w:kern w:val="0"/>
          <w:sz w:val="32"/>
          <w:szCs w:val="32"/>
        </w:rPr>
        <w:t>夯实传统贸易发展的产业基础</w:t>
      </w:r>
      <w:r>
        <w:rPr>
          <w:rFonts w:hint="eastAsia" w:ascii="FangSong_GB2312" w:hAnsi="仿宋" w:eastAsia="FangSong_GB2312"/>
          <w:sz w:val="32"/>
          <w:szCs w:val="32"/>
        </w:rPr>
        <w:t>，巩固提高优势产品的国际议价能力和市场的占有率，争取以对外贸易赋能生产制造，反哺出口型小家电、家具、水海产品加工制造基地建设</w:t>
      </w:r>
      <w:r>
        <w:rPr>
          <w:rFonts w:hint="eastAsia" w:ascii="FangSong_GB2312" w:hAnsi="宋体" w:eastAsia="FangSong_GB2312" w:cs="宋体"/>
          <w:kern w:val="0"/>
          <w:sz w:val="32"/>
          <w:szCs w:val="32"/>
        </w:rPr>
        <w:t>。</w:t>
      </w:r>
      <w:bookmarkStart w:id="106" w:name="_Hlk54798134"/>
      <w:bookmarkStart w:id="107" w:name="_Hlk48288228"/>
    </w:p>
    <w:bookmarkEnd w:id="100"/>
    <w:bookmarkEnd w:id="105"/>
    <w:bookmarkEnd w:id="106"/>
    <w:bookmarkEnd w:id="107"/>
    <w:p>
      <w:pPr>
        <w:spacing w:line="600" w:lineRule="exact"/>
        <w:ind w:firstLine="643" w:firstLineChars="200"/>
        <w:rPr>
          <w:rFonts w:ascii="FangSong_GB2312" w:hAnsi="宋体" w:eastAsia="FangSong_GB2312" w:cs="宋体"/>
          <w:kern w:val="0"/>
          <w:sz w:val="32"/>
          <w:szCs w:val="32"/>
        </w:rPr>
      </w:pPr>
      <w:bookmarkStart w:id="108" w:name="_Toc75776186"/>
      <w:bookmarkStart w:id="109" w:name="_Hlk46740757"/>
      <w:r>
        <w:rPr>
          <w:rStyle w:val="29"/>
          <w:rFonts w:hint="eastAsia"/>
        </w:rPr>
        <w:t>培育特色外向型产业集群</w:t>
      </w:r>
      <w:r>
        <w:rPr>
          <w:rStyle w:val="29"/>
          <w:b w:val="0"/>
          <w:bCs w:val="0"/>
        </w:rPr>
        <w:t>。</w:t>
      </w:r>
      <w:bookmarkEnd w:id="108"/>
      <w:r>
        <w:rPr>
          <w:rFonts w:hint="eastAsia" w:ascii="FangSong_GB2312" w:hAnsi="宋体" w:eastAsia="FangSong_GB2312" w:cs="宋体"/>
          <w:kern w:val="0"/>
          <w:sz w:val="32"/>
          <w:szCs w:val="32"/>
        </w:rPr>
        <w:t>鼓励本土优质企业通过新设、收购、参股、合作等多种方式，优化资源、品牌和营销渠道，参与境外供应链投资、整合和拓展，深度融入国际市场体系。加强对中小企业服务，鼓励创新型、创业型和劳动密集型中小企业聚焦主业，与大企业基于产业链协同发展，走“专精特新”国际化道路，</w:t>
      </w:r>
      <w:bookmarkStart w:id="110" w:name="_Hlk55490170"/>
      <w:r>
        <w:rPr>
          <w:rFonts w:hint="eastAsia" w:ascii="FangSong_GB2312" w:hAnsi="宋体" w:eastAsia="FangSong_GB2312" w:cs="宋体"/>
          <w:kern w:val="0"/>
          <w:sz w:val="32"/>
          <w:szCs w:val="32"/>
        </w:rPr>
        <w:t>进一步优化外贸出口主体结构。引导对本地优势资源、特色资源综合利用和创新开发，生产迎合国际市场需求的适销产品，促进更多有湛江特色的优势农产品和传统食品走出国门，进一步丰富我市外贸产品结构。</w:t>
      </w:r>
      <w:r>
        <w:rPr>
          <w:rFonts w:ascii="FangSong_GB2312" w:hAnsi="宋体" w:eastAsia="FangSong_GB2312" w:cs="宋体"/>
          <w:kern w:val="0"/>
          <w:sz w:val="32"/>
          <w:szCs w:val="32"/>
        </w:rPr>
        <w:t xml:space="preserve"> </w:t>
      </w:r>
    </w:p>
    <w:bookmarkEnd w:id="110"/>
    <w:p>
      <w:pPr>
        <w:widowControl/>
        <w:shd w:val="clear" w:color="auto" w:fill="FFFFFF"/>
        <w:spacing w:line="600" w:lineRule="exact"/>
        <w:ind w:firstLine="643" w:firstLineChars="200"/>
        <w:rPr>
          <w:rFonts w:ascii="FangSong_GB2312" w:hAnsi="宋体" w:eastAsia="FangSong_GB2312" w:cs="宋体"/>
          <w:kern w:val="0"/>
          <w:sz w:val="32"/>
          <w:szCs w:val="32"/>
        </w:rPr>
      </w:pPr>
      <w:bookmarkStart w:id="111" w:name="_Toc75776187"/>
      <w:r>
        <w:rPr>
          <w:rStyle w:val="29"/>
          <w:rFonts w:hint="eastAsia"/>
        </w:rPr>
        <w:t>促进贸易均衡协调</w:t>
      </w:r>
      <w:bookmarkEnd w:id="109"/>
      <w:r>
        <w:rPr>
          <w:rStyle w:val="29"/>
          <w:rFonts w:hint="eastAsia"/>
        </w:rPr>
        <w:t>发展。</w:t>
      </w:r>
      <w:bookmarkEnd w:id="111"/>
      <w:bookmarkStart w:id="112" w:name="_Hlk54100597"/>
      <w:r>
        <w:rPr>
          <w:rFonts w:hint="eastAsia" w:ascii="FangSong_GB2312" w:hAnsi="宋体" w:eastAsia="FangSong_GB2312" w:cs="宋体"/>
          <w:kern w:val="0"/>
          <w:sz w:val="32"/>
          <w:szCs w:val="32"/>
        </w:rPr>
        <w:t>拓展外贸网络，优化外贸市场布局，更好发挥湛江作为</w:t>
      </w:r>
      <w:bookmarkStart w:id="113" w:name="_Hlk57216381"/>
      <w:r>
        <w:rPr>
          <w:rFonts w:hint="eastAsia" w:ascii="FangSong_GB2312" w:hAnsi="宋体" w:eastAsia="FangSong_GB2312" w:cs="宋体"/>
          <w:kern w:val="0"/>
          <w:sz w:val="32"/>
          <w:szCs w:val="32"/>
        </w:rPr>
        <w:t>“一带一路”</w:t>
      </w:r>
      <w:bookmarkEnd w:id="113"/>
      <w:r>
        <w:rPr>
          <w:rFonts w:hint="eastAsia" w:ascii="FangSong_GB2312" w:hAnsi="宋体" w:eastAsia="FangSong_GB2312" w:cs="宋体"/>
          <w:kern w:val="0"/>
          <w:sz w:val="32"/>
          <w:szCs w:val="32"/>
        </w:rPr>
        <w:t>合作支点的作用，抓住区域全面经济伙伴关系协定（RCEP）签署实施机遇，与“一带一路”沿线国家及相关国家开展多层次、多领域的经贸合作，不断拓展贸易空间，提升贸易份额。</w:t>
      </w:r>
      <w:r>
        <w:rPr>
          <w:rFonts w:hint="eastAsia" w:ascii="FangSong_GB2312" w:hAnsi="黑体" w:eastAsia="FangSong_GB2312" w:cs="宋体"/>
          <w:kern w:val="0"/>
          <w:sz w:val="32"/>
          <w:szCs w:val="32"/>
        </w:rPr>
        <w:t>优化进口商品供给，扩大中间品贸易规模，</w:t>
      </w:r>
      <w:r>
        <w:rPr>
          <w:rFonts w:hint="eastAsia" w:ascii="FangSong_GB2312" w:hAnsi="宋体" w:eastAsia="FangSong_GB2312" w:cs="宋体"/>
          <w:kern w:val="0"/>
          <w:sz w:val="32"/>
          <w:szCs w:val="32"/>
        </w:rPr>
        <w:t>利用湛江口岸扩大开放和湛江港作为进境粮食、水果、冻肉</w:t>
      </w:r>
      <w:r>
        <w:rPr>
          <w:rFonts w:hint="eastAsia" w:ascii="FangSong_GB2312" w:hAnsi="黑体" w:eastAsia="FangSong_GB2312"/>
          <w:sz w:val="32"/>
          <w:szCs w:val="21"/>
        </w:rPr>
        <w:t>、食用水生动物进口</w:t>
      </w:r>
      <w:r>
        <w:rPr>
          <w:rFonts w:hint="eastAsia" w:ascii="FangSong_GB2312" w:hAnsi="宋体" w:eastAsia="FangSong_GB2312" w:cs="宋体"/>
          <w:kern w:val="0"/>
          <w:sz w:val="32"/>
          <w:szCs w:val="32"/>
        </w:rPr>
        <w:t>指定口岸的优势，扩大资源型产品、中间品进口，不断推进南方国际铁矿石分拨交易中心、中西南粮食化肥贸易分销中心、华南石油集散中心、华南煤炭集散中心和水果、冻肉等进口商品集散地建设，加快形成区域性进口水海产品交易中心，</w:t>
      </w:r>
      <w:bookmarkEnd w:id="112"/>
      <w:r>
        <w:rPr>
          <w:rFonts w:hint="eastAsia" w:ascii="FangSong_GB2312" w:hAnsi="宋体" w:eastAsia="FangSong_GB2312" w:cs="宋体"/>
          <w:kern w:val="0"/>
          <w:sz w:val="32"/>
          <w:szCs w:val="32"/>
        </w:rPr>
        <w:t>在更大范围保障区域大型钢铁、石化、能源、粮油食品、水海产品加工等企业增产达效发展需要，更高层次保障民生需要和市场需求。</w:t>
      </w:r>
    </w:p>
    <w:p>
      <w:pPr>
        <w:widowControl/>
        <w:shd w:val="clear" w:color="auto" w:fill="FFFFFF"/>
        <w:spacing w:line="600" w:lineRule="exact"/>
        <w:ind w:firstLine="643" w:firstLineChars="200"/>
        <w:rPr>
          <w:rFonts w:ascii="FangSong_GB2312" w:hAnsi="楷体" w:eastAsia="FangSong_GB2312" w:cs="宋体"/>
          <w:kern w:val="0"/>
          <w:sz w:val="32"/>
          <w:szCs w:val="32"/>
        </w:rPr>
      </w:pPr>
      <w:bookmarkStart w:id="114" w:name="_Hlk46740767"/>
      <w:bookmarkStart w:id="115" w:name="_Toc75776188"/>
      <w:r>
        <w:rPr>
          <w:rStyle w:val="29"/>
          <w:rFonts w:hint="eastAsia"/>
        </w:rPr>
        <w:t>培育发展贸易新业态</w:t>
      </w:r>
      <w:bookmarkEnd w:id="114"/>
      <w:r>
        <w:rPr>
          <w:rStyle w:val="29"/>
          <w:rFonts w:hint="eastAsia"/>
        </w:rPr>
        <w:t>新模式。</w:t>
      </w:r>
      <w:bookmarkEnd w:id="115"/>
      <w:r>
        <w:rPr>
          <w:rFonts w:hint="eastAsia" w:ascii="FangSong_GB2312" w:hAnsi="华文中宋" w:eastAsia="FangSong_GB2312"/>
          <w:sz w:val="32"/>
          <w:szCs w:val="32"/>
        </w:rPr>
        <w:t>继续做好与</w:t>
      </w:r>
      <w:bookmarkStart w:id="116" w:name="_Hlk54100128"/>
      <w:r>
        <w:rPr>
          <w:rFonts w:hint="eastAsia" w:ascii="FangSong_GB2312" w:hAnsi="华文中宋" w:eastAsia="FangSong_GB2312"/>
          <w:sz w:val="32"/>
          <w:szCs w:val="32"/>
        </w:rPr>
        <w:t>我省各市场采购</w:t>
      </w:r>
      <w:bookmarkEnd w:id="116"/>
      <w:r>
        <w:rPr>
          <w:rFonts w:hint="eastAsia" w:ascii="FangSong_GB2312" w:hAnsi="华文中宋" w:eastAsia="FangSong_GB2312"/>
          <w:sz w:val="32"/>
          <w:szCs w:val="32"/>
        </w:rPr>
        <w:t>试点市场的对接，引导更多市场主体入驻试点市场，进一步扩大</w:t>
      </w:r>
      <w:r>
        <w:rPr>
          <w:rFonts w:hint="eastAsia" w:ascii="FangSong_GB2312" w:hAnsi="微软雅黑" w:eastAsia="FangSong_GB2312" w:cs="微软雅黑"/>
          <w:sz w:val="32"/>
          <w:szCs w:val="32"/>
        </w:rPr>
        <w:t>市场采购出口</w:t>
      </w:r>
      <w:r>
        <w:rPr>
          <w:rFonts w:hint="eastAsia" w:ascii="FangSong_GB2312" w:hAnsi="华文中宋" w:eastAsia="FangSong_GB2312"/>
          <w:sz w:val="32"/>
          <w:szCs w:val="32"/>
        </w:rPr>
        <w:t>规模，并创造条件争取在湛江设立市场采购贸易方式试点，更好带动我市传统优质商品出口；积极</w:t>
      </w:r>
      <w:r>
        <w:rPr>
          <w:rFonts w:hint="eastAsia" w:ascii="FangSong_GB2312" w:hAnsi="仿宋" w:eastAsia="FangSong_GB2312"/>
          <w:sz w:val="32"/>
          <w:szCs w:val="32"/>
        </w:rPr>
        <w:t>引进有实力的</w:t>
      </w:r>
      <w:bookmarkStart w:id="117" w:name="_Hlk54100139"/>
      <w:r>
        <w:rPr>
          <w:rFonts w:hint="eastAsia" w:ascii="FangSong_GB2312" w:hAnsi="仿宋" w:eastAsia="FangSong_GB2312"/>
          <w:sz w:val="32"/>
          <w:szCs w:val="32"/>
        </w:rPr>
        <w:t>外贸综合服务</w:t>
      </w:r>
      <w:bookmarkEnd w:id="117"/>
      <w:r>
        <w:rPr>
          <w:rFonts w:hint="eastAsia" w:ascii="FangSong_GB2312" w:hAnsi="仿宋" w:eastAsia="FangSong_GB2312"/>
          <w:sz w:val="32"/>
          <w:szCs w:val="32"/>
        </w:rPr>
        <w:t>平台，培育壮大本土</w:t>
      </w:r>
      <w:bookmarkStart w:id="118" w:name="_Hlk27380737"/>
      <w:r>
        <w:rPr>
          <w:rFonts w:hint="eastAsia" w:ascii="FangSong_GB2312" w:hAnsi="仿宋" w:eastAsia="FangSong_GB2312"/>
          <w:sz w:val="32"/>
          <w:szCs w:val="32"/>
        </w:rPr>
        <w:t>外贸综合服务</w:t>
      </w:r>
      <w:bookmarkEnd w:id="118"/>
      <w:r>
        <w:rPr>
          <w:rFonts w:hint="eastAsia" w:ascii="FangSong_GB2312" w:hAnsi="仿宋" w:eastAsia="FangSong_GB2312"/>
          <w:sz w:val="32"/>
          <w:szCs w:val="32"/>
        </w:rPr>
        <w:t>主体，为湛江更多中小微企业拓展国际市场提供更好、更全面的服务</w:t>
      </w:r>
      <w:bookmarkStart w:id="119" w:name="_Hlk46741083"/>
      <w:r>
        <w:rPr>
          <w:rFonts w:hint="eastAsia" w:ascii="FangSong_GB2312" w:hAnsi="黑体" w:eastAsia="FangSong_GB2312" w:cs="宋体"/>
          <w:kern w:val="0"/>
          <w:sz w:val="32"/>
          <w:szCs w:val="32"/>
        </w:rPr>
        <w:t>；</w:t>
      </w:r>
      <w:bookmarkStart w:id="120" w:name="_Hlk55549573"/>
      <w:r>
        <w:rPr>
          <w:rFonts w:hint="eastAsia" w:ascii="FangSong_GB2312" w:hAnsi="楷体" w:eastAsia="FangSong_GB2312" w:cs="宋体"/>
          <w:kern w:val="0"/>
          <w:sz w:val="32"/>
          <w:szCs w:val="32"/>
        </w:rPr>
        <w:t>扎实推进</w:t>
      </w:r>
      <w:bookmarkStart w:id="121" w:name="_Hlk54100149"/>
      <w:r>
        <w:rPr>
          <w:rFonts w:hint="eastAsia" w:ascii="FangSong_GB2312" w:hAnsi="楷体" w:eastAsia="FangSong_GB2312" w:cs="宋体"/>
          <w:kern w:val="0"/>
          <w:sz w:val="32"/>
          <w:szCs w:val="32"/>
        </w:rPr>
        <w:t>跨境电商</w:t>
      </w:r>
      <w:bookmarkEnd w:id="121"/>
      <w:r>
        <w:rPr>
          <w:rFonts w:hint="eastAsia" w:ascii="FangSong_GB2312" w:hAnsi="楷体" w:eastAsia="FangSong_GB2312" w:cs="宋体"/>
          <w:kern w:val="0"/>
          <w:sz w:val="32"/>
          <w:szCs w:val="32"/>
        </w:rPr>
        <w:t>综合试验区建设</w:t>
      </w:r>
      <w:bookmarkEnd w:id="119"/>
      <w:r>
        <w:rPr>
          <w:rFonts w:hint="eastAsia" w:ascii="FangSong_GB2312" w:hAnsi="楷体" w:eastAsia="FangSong_GB2312" w:cs="宋体"/>
          <w:kern w:val="0"/>
          <w:sz w:val="32"/>
          <w:szCs w:val="32"/>
        </w:rPr>
        <w:t>，加快构建跨境电商综合试验区“六体系两平台”基础构架，引导</w:t>
      </w:r>
      <w:r>
        <w:rPr>
          <w:rFonts w:hint="eastAsia" w:ascii="FangSong_GB2312" w:hAnsi="黑体" w:eastAsia="FangSong_GB2312" w:cs="宋体"/>
          <w:kern w:val="0"/>
          <w:sz w:val="32"/>
          <w:szCs w:val="32"/>
        </w:rPr>
        <w:t>相关制造生产、电商平台、仓储物流、金融服务等各类企业汇聚，</w:t>
      </w:r>
      <w:r>
        <w:rPr>
          <w:rFonts w:hint="eastAsia" w:ascii="FangSong_GB2312" w:hAnsi="宋体" w:eastAsia="FangSong_GB2312" w:cs="宋体"/>
          <w:kern w:val="0"/>
          <w:sz w:val="32"/>
          <w:szCs w:val="32"/>
        </w:rPr>
        <w:t>探索推进跨境电子商务海外购城市消费中心建设，</w:t>
      </w:r>
      <w:r>
        <w:rPr>
          <w:rFonts w:hint="eastAsia" w:ascii="FangSong_GB2312" w:hAnsi="黑体" w:eastAsia="FangSong_GB2312" w:cs="宋体"/>
          <w:kern w:val="0"/>
          <w:sz w:val="32"/>
          <w:szCs w:val="32"/>
        </w:rPr>
        <w:t>鼓励电子商务企业加快境外投资布局，构建</w:t>
      </w:r>
      <w:r>
        <w:rPr>
          <w:rFonts w:hint="eastAsia" w:ascii="FangSong_GB2312" w:hAnsi="楷体" w:eastAsia="FangSong_GB2312" w:cs="宋体"/>
          <w:kern w:val="0"/>
          <w:sz w:val="32"/>
          <w:szCs w:val="32"/>
        </w:rPr>
        <w:t>跨境电商境外节点，</w:t>
      </w:r>
      <w:r>
        <w:rPr>
          <w:rFonts w:hint="eastAsia" w:ascii="FangSong_GB2312" w:hAnsi="黑体" w:eastAsia="FangSong_GB2312" w:cs="宋体"/>
          <w:kern w:val="0"/>
          <w:sz w:val="32"/>
          <w:szCs w:val="32"/>
        </w:rPr>
        <w:t>逐步建立和完善跨境电商产业链和生态圈</w:t>
      </w:r>
      <w:r>
        <w:rPr>
          <w:rFonts w:hint="eastAsia" w:ascii="FangSong_GB2312" w:hAnsi="楷体" w:eastAsia="FangSong_GB2312" w:cs="宋体"/>
          <w:kern w:val="0"/>
          <w:sz w:val="32"/>
          <w:szCs w:val="32"/>
        </w:rPr>
        <w:t>，从供应链、价值链和资源链上逐步构建跨境电子商务综合服务体系，推动湛江跨境电子商务向规模化、标准化、集群化、规范化方向发展。加快发展数字贸易，推动传统贸易数字转型，引导外贸企业搭建和应用数字贸易平台，服务企业数字化转型，推动订单流、单证流、资金流数字化，借助区块链技术推动贸易链透明化可追溯化，实现数字贸易全链条监管。</w:t>
      </w:r>
    </w:p>
    <w:bookmarkEnd w:id="120"/>
    <w:p>
      <w:pPr>
        <w:widowControl/>
        <w:shd w:val="clear" w:color="auto" w:fill="FFFFFF"/>
        <w:spacing w:line="600" w:lineRule="exact"/>
        <w:ind w:firstLine="643" w:firstLineChars="200"/>
        <w:rPr>
          <w:rStyle w:val="29"/>
          <w:rFonts w:ascii="FangSong_GB2312" w:eastAsia="FangSong_GB2312"/>
          <w:b w:val="0"/>
          <w:bCs w:val="0"/>
        </w:rPr>
      </w:pPr>
      <w:bookmarkStart w:id="122" w:name="_Toc75776189"/>
      <w:bookmarkStart w:id="123" w:name="_Hlk46740778"/>
      <w:r>
        <w:rPr>
          <w:rStyle w:val="29"/>
          <w:rFonts w:hint="eastAsia"/>
        </w:rPr>
        <w:t>大力发展服务贸易。</w:t>
      </w:r>
      <w:r>
        <w:rPr>
          <w:rStyle w:val="29"/>
          <w:rFonts w:hint="eastAsia" w:ascii="FangSong_GB2312" w:eastAsia="FangSong_GB2312"/>
          <w:b w:val="0"/>
          <w:bCs w:val="0"/>
        </w:rPr>
        <w:t>支持企业围绕“新技术、新产业、新模式、新业态”开展技术引进，通过消化、吸收和创新培育，形成新的技术出口。积极发展设计、维修、咨询、检验检测等服务外包领域，促进生产性贸易发展。鼓励和引导企业顺应科技革命和产业变革新趋势，开展服务贸易技术创新和商业模式创新，以数字贸易赋能，提升传统服务的可贸易性，发展跨境跨界服务贸易，推动服务业创新与制造业转型升级融合互促发展，衍生更多服务新业态与新模式，不断拓展服务贸易的新领域和新内容，增强服务贸易发展动能。</w:t>
      </w:r>
      <w:bookmarkEnd w:id="122"/>
    </w:p>
    <w:bookmarkEnd w:id="123"/>
    <w:p>
      <w:pPr>
        <w:widowControl/>
        <w:shd w:val="clear" w:color="auto" w:fill="FFFFFF"/>
        <w:spacing w:line="600" w:lineRule="exact"/>
        <w:ind w:firstLine="643" w:firstLineChars="200"/>
        <w:rPr>
          <w:rFonts w:ascii="FangSong_GB2312" w:hAnsi="宋体" w:eastAsia="FangSong_GB2312" w:cs="宋体"/>
          <w:kern w:val="0"/>
          <w:sz w:val="32"/>
          <w:szCs w:val="32"/>
        </w:rPr>
      </w:pPr>
      <w:bookmarkStart w:id="124" w:name="_Toc75776190"/>
      <w:r>
        <w:rPr>
          <w:rStyle w:val="29"/>
          <w:rFonts w:hint="eastAsia"/>
        </w:rPr>
        <w:t>搭建内外贸对接平台。</w:t>
      </w:r>
      <w:bookmarkEnd w:id="124"/>
      <w:r>
        <w:rPr>
          <w:rFonts w:hint="eastAsia" w:ascii="FangSong_GB2312" w:hAnsi="宋体" w:eastAsia="FangSong_GB2312" w:cs="宋体"/>
          <w:kern w:val="0"/>
          <w:sz w:val="32"/>
          <w:szCs w:val="32"/>
        </w:rPr>
        <w:t>办好中国国际水产博览会、广东·东盟农产品交易博览会和广东国际海洋装备博览会，不断提升其吸引力和国际影响力。利用好中国国际进口博览会、中国进出口商品交易会（广交会）以及“粤贸全球”展会品牌，不断拓展面向全球主要贸易伙伴的自主营销网络，形成更加稳定的多元支撑的国际市场布局。鼓励和引导企业利用境外展会开拓国际市场。</w:t>
      </w:r>
    </w:p>
    <w:p>
      <w:pPr>
        <w:spacing w:line="600" w:lineRule="exact"/>
        <w:ind w:firstLine="643" w:firstLineChars="200"/>
        <w:rPr>
          <w:rFonts w:ascii="FangSong_GB2312" w:hAnsi="黑体" w:eastAsia="FangSong_GB2312"/>
          <w:bCs/>
          <w:sz w:val="32"/>
          <w:szCs w:val="32"/>
        </w:rPr>
      </w:pPr>
      <w:bookmarkStart w:id="125" w:name="_Hlk46740789"/>
      <w:bookmarkStart w:id="126" w:name="_Toc75776191"/>
      <w:r>
        <w:rPr>
          <w:rStyle w:val="29"/>
          <w:rFonts w:hint="eastAsia"/>
        </w:rPr>
        <w:t>加强贸易风险应对和防范</w:t>
      </w:r>
      <w:bookmarkEnd w:id="125"/>
      <w:r>
        <w:rPr>
          <w:rStyle w:val="29"/>
          <w:rFonts w:hint="eastAsia"/>
        </w:rPr>
        <w:t>。</w:t>
      </w:r>
      <w:bookmarkEnd w:id="126"/>
      <w:r>
        <w:rPr>
          <w:rFonts w:hint="eastAsia" w:ascii="FangSong_GB2312" w:hAnsi="黑体" w:eastAsia="FangSong_GB2312"/>
          <w:bCs/>
          <w:sz w:val="32"/>
          <w:szCs w:val="32"/>
        </w:rPr>
        <w:t>加强贸易摩擦“四体联动”应对工作机制，提升贸易摩擦协调联动水平，妥善应对各类贸易摩擦。用足用好商务部贸易摩擦综合预警与法律服务平台信息资源，完善贸易摩擦案件信息服务工作，加大对企业应对贸易摩擦法律服务的支持力度，提高企业运用国际规则能力。积极应对国际贸易中可能出现的不稳定因素，协助产业开展贸易救济调查申诉工作，加强维护产业安全。加强对国外技术性贸易措施的研究与应对，支持湛江小家电技术性贸易措施研究评议基地建设，指导企业积极应对技术贸易壁垒。</w:t>
      </w:r>
    </w:p>
    <w:p>
      <w:pPr>
        <w:spacing w:line="600" w:lineRule="exact"/>
        <w:ind w:firstLine="643" w:firstLineChars="200"/>
        <w:rPr>
          <w:rFonts w:ascii="FangSong_GB2312" w:hAnsi="黑体" w:eastAsia="FangSong_GB2312"/>
          <w:bCs/>
          <w:sz w:val="32"/>
          <w:szCs w:val="32"/>
        </w:rPr>
      </w:pPr>
      <w:bookmarkStart w:id="127" w:name="_Toc75776192"/>
      <w:r>
        <w:rPr>
          <w:rStyle w:val="29"/>
          <w:rFonts w:hint="eastAsia"/>
        </w:rPr>
        <w:t>促进外贸统计数据回归。</w:t>
      </w:r>
      <w:bookmarkEnd w:id="127"/>
      <w:r>
        <w:rPr>
          <w:rFonts w:hint="eastAsia" w:ascii="FangSong_GB2312" w:hAnsi="黑体" w:eastAsia="FangSong_GB2312"/>
          <w:bCs/>
          <w:sz w:val="32"/>
          <w:szCs w:val="32"/>
        </w:rPr>
        <w:t>加强对在湛央企、省企针对性服务和引导，争取公司总部增加在湛江企业自主经营权限和份额。鼓励在湛江设立独立法人子公司开展进出口业务，从体制上解决外贸归口统计问题。鼓励通过开展保税方式进口，促进在湛进口业务如实回归湛江统计，使湛江外贸发展情况得到真实体现。</w:t>
      </w:r>
    </w:p>
    <w:p>
      <w:pPr>
        <w:spacing w:line="600" w:lineRule="exact"/>
        <w:ind w:firstLine="640" w:firstLineChars="200"/>
        <w:rPr>
          <w:rFonts w:ascii="FangSong_GB2312" w:hAnsi="黑体" w:eastAsia="FangSong_GB2312"/>
          <w:bCs/>
          <w:sz w:val="32"/>
          <w:szCs w:val="32"/>
        </w:rPr>
      </w:pPr>
    </w:p>
    <w:p>
      <w:pPr>
        <w:pStyle w:val="3"/>
        <w:jc w:val="center"/>
      </w:pPr>
      <w:bookmarkStart w:id="128" w:name="_Toc75776193"/>
      <w:r>
        <w:rPr>
          <w:rFonts w:hint="eastAsia"/>
        </w:rPr>
        <w:t xml:space="preserve">第二节 </w:t>
      </w:r>
      <w:bookmarkStart w:id="129" w:name="_Hlk46740802"/>
      <w:r>
        <w:rPr>
          <w:rFonts w:hint="eastAsia"/>
        </w:rPr>
        <w:t>提升利用外资质量和效益</w:t>
      </w:r>
      <w:bookmarkEnd w:id="128"/>
    </w:p>
    <w:bookmarkEnd w:id="129"/>
    <w:p>
      <w:pPr>
        <w:spacing w:line="640" w:lineRule="exact"/>
        <w:ind w:firstLine="640" w:firstLineChars="200"/>
        <w:rPr>
          <w:rFonts w:ascii="FangSong_GB2312" w:hAnsi="楷体" w:eastAsia="FangSong_GB2312"/>
          <w:sz w:val="32"/>
          <w:szCs w:val="21"/>
        </w:rPr>
      </w:pPr>
      <w:bookmarkStart w:id="130" w:name="_Hlk54967422"/>
      <w:r>
        <w:rPr>
          <w:rFonts w:hint="eastAsia" w:ascii="FangSong_GB2312" w:hAnsi="楷体" w:eastAsia="FangSong_GB2312"/>
          <w:sz w:val="32"/>
          <w:szCs w:val="21"/>
        </w:rPr>
        <w:t>乘借“看好湛江、投资湛江”大好形势，深化投资便利化改革，积极促进外商投资，稳定扩大利用外资规模，优化外资结构，以外资带动湛江产业升级，稳定产业链供应链，促进产业循环，助力湛江构建有特色的现代化产业体系。</w:t>
      </w:r>
      <w:bookmarkEnd w:id="130"/>
      <w:r>
        <w:rPr>
          <w:rFonts w:ascii="FangSong_GB2312" w:hAnsi="楷体" w:eastAsia="FangSong_GB2312"/>
          <w:sz w:val="32"/>
          <w:szCs w:val="21"/>
        </w:rPr>
        <w:t xml:space="preserve"> </w:t>
      </w:r>
    </w:p>
    <w:p>
      <w:pPr>
        <w:spacing w:line="640" w:lineRule="exact"/>
        <w:ind w:firstLine="643" w:firstLineChars="200"/>
        <w:rPr>
          <w:rFonts w:ascii="FangSong_GB2312" w:hAnsi="楷体" w:eastAsia="FangSong_GB2312"/>
          <w:sz w:val="32"/>
          <w:szCs w:val="21"/>
        </w:rPr>
      </w:pPr>
      <w:bookmarkStart w:id="131" w:name="_Toc75776194"/>
      <w:r>
        <w:rPr>
          <w:rStyle w:val="29"/>
          <w:rFonts w:hint="eastAsia"/>
        </w:rPr>
        <w:t>进一步拓宽对外开放领域。</w:t>
      </w:r>
      <w:bookmarkEnd w:id="131"/>
      <w:r>
        <w:rPr>
          <w:rFonts w:hint="eastAsia" w:ascii="FangSong_GB2312" w:hAnsi="楷体" w:eastAsia="FangSong_GB2312"/>
          <w:sz w:val="32"/>
          <w:szCs w:val="21"/>
        </w:rPr>
        <w:t>落实准入前国民待遇加负面清单管理制度，负面清单之外的领域，按照内外资一致原则实施管理，支持和引导外商投资新开放领域。</w:t>
      </w:r>
    </w:p>
    <w:p>
      <w:pPr>
        <w:widowControl/>
        <w:shd w:val="clear" w:color="auto" w:fill="FFFFFF"/>
        <w:spacing w:line="640" w:lineRule="exact"/>
        <w:ind w:firstLine="643" w:firstLineChars="200"/>
        <w:rPr>
          <w:rFonts w:ascii="FangSong_GB2312" w:hAnsi="黑体" w:eastAsia="FangSong_GB2312" w:cs="宋体"/>
          <w:kern w:val="0"/>
          <w:sz w:val="32"/>
          <w:szCs w:val="32"/>
        </w:rPr>
      </w:pPr>
      <w:bookmarkStart w:id="132" w:name="_Toc75776195"/>
      <w:bookmarkStart w:id="133" w:name="_Hlk46740825"/>
      <w:r>
        <w:rPr>
          <w:rStyle w:val="29"/>
          <w:rFonts w:hint="eastAsia"/>
        </w:rPr>
        <w:t>推进经济功能区创新发展。</w:t>
      </w:r>
      <w:bookmarkEnd w:id="132"/>
      <w:r>
        <w:rPr>
          <w:rFonts w:hint="eastAsia" w:ascii="FangSong_GB2312" w:hAnsi="黑体" w:eastAsia="FangSong_GB2312" w:cs="宋体"/>
          <w:kern w:val="0"/>
          <w:sz w:val="32"/>
          <w:szCs w:val="32"/>
        </w:rPr>
        <w:t>推动经开区拓展业态、完善功能、优化政策环境，</w:t>
      </w:r>
      <w:bookmarkStart w:id="134" w:name="_Hlk54100444"/>
      <w:r>
        <w:rPr>
          <w:rFonts w:hint="eastAsia" w:ascii="FangSong_GB2312" w:hAnsi="黑体" w:eastAsia="FangSong_GB2312" w:cs="宋体"/>
          <w:kern w:val="0"/>
          <w:sz w:val="32"/>
          <w:szCs w:val="32"/>
        </w:rPr>
        <w:t>不断夯实和提高对产业承接能力，</w:t>
      </w:r>
      <w:bookmarkEnd w:id="134"/>
      <w:r>
        <w:rPr>
          <w:rFonts w:hint="eastAsia" w:ascii="FangSong_GB2312" w:hAnsi="黑体" w:eastAsia="FangSong_GB2312" w:cs="宋体"/>
          <w:kern w:val="0"/>
          <w:sz w:val="32"/>
          <w:szCs w:val="32"/>
        </w:rPr>
        <w:t>以更加包容、开放、创新、优质、高效的发展模式参与国际产业竞争与合作。</w:t>
      </w:r>
      <w:r>
        <w:rPr>
          <w:rFonts w:hint="eastAsia" w:ascii="FangSong_GB2312" w:hAnsi="楷体" w:eastAsia="FangSong_GB2312"/>
          <w:sz w:val="32"/>
          <w:szCs w:val="21"/>
        </w:rPr>
        <w:t>鼓励湛江经开区争取承接行使更多省市级管理权限，</w:t>
      </w:r>
      <w:r>
        <w:rPr>
          <w:rFonts w:hint="eastAsia" w:ascii="FangSong_GB2312" w:hAnsi="华文中宋" w:eastAsia="FangSong_GB2312"/>
          <w:sz w:val="32"/>
          <w:szCs w:val="21"/>
        </w:rPr>
        <w:t>打造品牌化招商引资平台，</w:t>
      </w:r>
      <w:bookmarkStart w:id="135" w:name="_Hlk54100457"/>
      <w:r>
        <w:rPr>
          <w:rFonts w:hint="eastAsia" w:ascii="FangSong_GB2312" w:hAnsi="楷体" w:eastAsia="FangSong_GB2312"/>
          <w:sz w:val="32"/>
          <w:szCs w:val="21"/>
        </w:rPr>
        <w:t>形成吸引外资“强磁场”，推动符合产业发展导向的重大外资项目落户。</w:t>
      </w:r>
      <w:bookmarkEnd w:id="135"/>
      <w:r>
        <w:rPr>
          <w:rFonts w:hint="eastAsia" w:ascii="FangSong_GB2312" w:hAnsi="楷体" w:eastAsia="FangSong_GB2312"/>
          <w:sz w:val="32"/>
          <w:szCs w:val="21"/>
        </w:rPr>
        <w:t>协助雷州市政府申报设立省级经开区，支持奋勇高新区中小微电子企业产业园项目和东盟产业园加快建设。支持各类经开区发挥产业优势和制度优势，加快优质项目引进，推动符合产业发展导向的重大外资项目落户。</w:t>
      </w:r>
      <w:r>
        <w:rPr>
          <w:rFonts w:hint="eastAsia" w:ascii="FangSong_GB2312" w:hAnsi="黑体" w:eastAsia="FangSong_GB2312" w:cs="宋体"/>
          <w:kern w:val="0"/>
          <w:sz w:val="32"/>
          <w:szCs w:val="32"/>
        </w:rPr>
        <w:t>以外向发展赋能</w:t>
      </w:r>
      <w:bookmarkStart w:id="136" w:name="_Hlk51320074"/>
      <w:r>
        <w:rPr>
          <w:rFonts w:hint="eastAsia" w:ascii="FangSong_GB2312" w:hAnsi="黑体" w:eastAsia="FangSong_GB2312" w:cs="宋体"/>
          <w:kern w:val="0"/>
          <w:sz w:val="32"/>
          <w:szCs w:val="32"/>
        </w:rPr>
        <w:t>湛江空港经济区</w:t>
      </w:r>
      <w:bookmarkEnd w:id="136"/>
      <w:r>
        <w:rPr>
          <w:rFonts w:hint="eastAsia" w:ascii="FangSong_GB2312" w:hAnsi="黑体" w:eastAsia="FangSong_GB2312" w:cs="宋体"/>
          <w:kern w:val="0"/>
          <w:sz w:val="32"/>
          <w:szCs w:val="32"/>
        </w:rPr>
        <w:t>建设，推动湛江物流体系重组、外向产业再造、城市开放格局重塑，使湛江空港经济区成为湛江市对外开放的新窗口、现代服务业发展新高地、承接境外高端产业资本新载体。</w:t>
      </w:r>
    </w:p>
    <w:p>
      <w:pPr>
        <w:spacing w:line="600" w:lineRule="exact"/>
        <w:ind w:firstLine="643" w:firstLineChars="200"/>
        <w:rPr>
          <w:rFonts w:ascii="FangSong_GB2312" w:hAnsi="楷体" w:eastAsia="FangSong_GB2312"/>
          <w:iCs/>
          <w:sz w:val="32"/>
          <w:szCs w:val="21"/>
        </w:rPr>
      </w:pPr>
      <w:bookmarkStart w:id="137" w:name="_Toc75776196"/>
      <w:bookmarkStart w:id="138" w:name="_Hlk55548308"/>
      <w:r>
        <w:rPr>
          <w:rStyle w:val="29"/>
          <w:rFonts w:hint="eastAsia"/>
        </w:rPr>
        <w:t>促进投资与产业有效互动</w:t>
      </w:r>
      <w:bookmarkEnd w:id="133"/>
      <w:r>
        <w:rPr>
          <w:rStyle w:val="29"/>
          <w:rFonts w:hint="eastAsia"/>
        </w:rPr>
        <w:t>。</w:t>
      </w:r>
      <w:bookmarkEnd w:id="137"/>
      <w:r>
        <w:rPr>
          <w:rFonts w:hint="eastAsia" w:ascii="FangSong_GB2312" w:hAnsi="楷体" w:eastAsia="FangSong_GB2312"/>
          <w:sz w:val="32"/>
          <w:szCs w:val="21"/>
        </w:rPr>
        <w:t>把利用外资同转变经济发展方式和调整经济结构紧密结合起来，通过</w:t>
      </w:r>
      <w:r>
        <w:rPr>
          <w:rFonts w:hint="eastAsia" w:ascii="FangSong_GB2312" w:hAnsi="华文中宋" w:eastAsia="FangSong_GB2312"/>
          <w:sz w:val="32"/>
          <w:szCs w:val="21"/>
        </w:rPr>
        <w:t>持续落实、实施省、市“外资十条”，</w:t>
      </w:r>
      <w:bookmarkStart w:id="139" w:name="_Hlk54100502"/>
      <w:r>
        <w:rPr>
          <w:rFonts w:hint="eastAsia" w:ascii="FangSong_GB2312" w:hAnsi="华文中宋" w:eastAsia="FangSong_GB2312"/>
          <w:iCs/>
          <w:sz w:val="32"/>
          <w:szCs w:val="21"/>
        </w:rPr>
        <w:t>鼓励外资投资战略性支柱产业和战略性新兴产业，</w:t>
      </w:r>
      <w:bookmarkEnd w:id="139"/>
      <w:r>
        <w:rPr>
          <w:rFonts w:hint="eastAsia" w:ascii="FangSong_GB2312" w:hAnsi="华文中宋" w:eastAsia="FangSong_GB2312"/>
          <w:iCs/>
          <w:sz w:val="32"/>
          <w:szCs w:val="21"/>
        </w:rPr>
        <w:t>引导外资投向现代钢铁、汽车制造、生物制药、海工装备、船舶制造、数字印刷、精品包装等先进制造业，支持外资参与精细化工、现代物流、新能源、新材料等重大产业项目建设，提升外资对产业升级和外贸高质量发展的带动作用，增强我市产业集群发展能级</w:t>
      </w:r>
      <w:r>
        <w:rPr>
          <w:rFonts w:hint="eastAsia" w:ascii="FangSong_GB2312" w:hAnsi="楷体" w:eastAsia="FangSong_GB2312"/>
          <w:iCs/>
          <w:sz w:val="32"/>
          <w:szCs w:val="21"/>
        </w:rPr>
        <w:t>，</w:t>
      </w:r>
      <w:r>
        <w:rPr>
          <w:rFonts w:hint="eastAsia" w:ascii="FangSong_GB2312" w:hAnsi="华文中宋" w:eastAsia="FangSong_GB2312"/>
          <w:iCs/>
          <w:sz w:val="32"/>
          <w:szCs w:val="21"/>
        </w:rPr>
        <w:t>助力构建有湛江特色的现代化产业体系，</w:t>
      </w:r>
      <w:r>
        <w:rPr>
          <w:rFonts w:hint="eastAsia" w:ascii="FangSong_GB2312" w:hAnsi="楷体" w:eastAsia="FangSong_GB2312"/>
          <w:iCs/>
          <w:sz w:val="32"/>
          <w:szCs w:val="21"/>
        </w:rPr>
        <w:t>促进与粤港澳大湾区、海南自贸港产业链有效互动合作。</w:t>
      </w:r>
    </w:p>
    <w:p>
      <w:pPr>
        <w:spacing w:line="600" w:lineRule="exact"/>
        <w:ind w:firstLine="643" w:firstLineChars="200"/>
        <w:rPr>
          <w:rFonts w:ascii="FangSong_GB2312" w:hAnsi="黑体" w:eastAsia="FangSong_GB2312"/>
          <w:bCs/>
          <w:sz w:val="32"/>
          <w:szCs w:val="32"/>
        </w:rPr>
      </w:pPr>
      <w:bookmarkStart w:id="140" w:name="_Hlk46740836"/>
      <w:bookmarkStart w:id="141" w:name="_Toc75776197"/>
      <w:r>
        <w:rPr>
          <w:rStyle w:val="29"/>
          <w:rFonts w:hint="eastAsia"/>
        </w:rPr>
        <w:t>创新投资促进机制</w:t>
      </w:r>
      <w:bookmarkEnd w:id="140"/>
      <w:r>
        <w:rPr>
          <w:rStyle w:val="29"/>
          <w:rFonts w:hint="eastAsia"/>
        </w:rPr>
        <w:t>。</w:t>
      </w:r>
      <w:bookmarkEnd w:id="141"/>
      <w:r>
        <w:rPr>
          <w:rFonts w:hint="eastAsia" w:ascii="FangSong_GB2312" w:hAnsi="黑体" w:eastAsia="FangSong_GB2312"/>
          <w:bCs/>
          <w:sz w:val="32"/>
          <w:szCs w:val="32"/>
        </w:rPr>
        <w:t>按照属地管理与行业管理相结合原则，提高县域和行业招商主体责任，提升招商专业化水平，创新招商方式，全面加强招商引资，推动各县（市、区）、各行业扩大利用外资。持续实施利用外资奖励机制，进一步增进“一带一路”沿线国家重要商协会委托招商关系，汇聚更多客商和项目资源。利用粤美、粤欧、粤港澳和对日本、韩国经贸活动等省级交流合作，推介湛江，拓展湛江对外常态化交流对接渠道。</w:t>
      </w:r>
    </w:p>
    <w:p>
      <w:pPr>
        <w:spacing w:line="600" w:lineRule="exact"/>
        <w:ind w:firstLine="643" w:firstLineChars="200"/>
        <w:rPr>
          <w:rFonts w:ascii="FangSong_GB2312" w:hAnsi="华文中宋" w:eastAsia="FangSong_GB2312" w:cs="FangSong_GB2312"/>
          <w:sz w:val="32"/>
          <w:szCs w:val="32"/>
        </w:rPr>
      </w:pPr>
      <w:bookmarkStart w:id="142" w:name="_Hlk46740848"/>
      <w:bookmarkStart w:id="143" w:name="_Toc75776198"/>
      <w:r>
        <w:rPr>
          <w:rStyle w:val="29"/>
          <w:rFonts w:hint="eastAsia"/>
        </w:rPr>
        <w:t>提高外资项目服务水平</w:t>
      </w:r>
      <w:bookmarkEnd w:id="142"/>
      <w:r>
        <w:rPr>
          <w:rStyle w:val="29"/>
          <w:rFonts w:hint="eastAsia"/>
        </w:rPr>
        <w:t>。</w:t>
      </w:r>
      <w:bookmarkEnd w:id="143"/>
      <w:r>
        <w:rPr>
          <w:rFonts w:hint="eastAsia" w:ascii="FangSong_GB2312" w:hAnsi="楷体" w:eastAsia="FangSong_GB2312"/>
          <w:sz w:val="32"/>
          <w:szCs w:val="21"/>
        </w:rPr>
        <w:t>进一步完善重大外资项目快速响应和跟踪服务机制，</w:t>
      </w:r>
      <w:r>
        <w:rPr>
          <w:rFonts w:hint="eastAsia" w:ascii="FangSong_GB2312" w:hAnsi="华文中宋" w:eastAsia="FangSong_GB2312"/>
          <w:sz w:val="32"/>
          <w:szCs w:val="21"/>
        </w:rPr>
        <w:t>以“一企一策”方式，服务好重点外商投资项目。全力以赴确保</w:t>
      </w:r>
      <w:bookmarkStart w:id="144" w:name="_Hlk41924366"/>
      <w:r>
        <w:rPr>
          <w:rFonts w:hint="eastAsia" w:ascii="FangSong_GB2312" w:hAnsi="华文中宋" w:eastAsia="FangSong_GB2312"/>
          <w:sz w:val="32"/>
          <w:szCs w:val="21"/>
        </w:rPr>
        <w:t>巴斯夫（广东）一体化基地</w:t>
      </w:r>
      <w:bookmarkEnd w:id="144"/>
      <w:r>
        <w:rPr>
          <w:rFonts w:hint="eastAsia" w:ascii="FangSong_GB2312" w:hAnsi="华文中宋" w:eastAsia="FangSong_GB2312"/>
          <w:sz w:val="32"/>
          <w:szCs w:val="21"/>
        </w:rPr>
        <w:t>建设项目如期建设投产，带动</w:t>
      </w:r>
      <w:r>
        <w:rPr>
          <w:rFonts w:hint="eastAsia" w:ascii="FangSong_GB2312" w:hAnsi="华文中宋" w:eastAsia="FangSong_GB2312" w:cs="FangSong_GB2312"/>
          <w:sz w:val="32"/>
          <w:szCs w:val="32"/>
        </w:rPr>
        <w:t>更多的境外资本落地湛江，进行有效的建链、延链、补链、强链，壮大湛江高质量外向型经济。</w:t>
      </w:r>
    </w:p>
    <w:bookmarkEnd w:id="138"/>
    <w:p>
      <w:pPr>
        <w:spacing w:line="600" w:lineRule="exact"/>
        <w:ind w:firstLine="643" w:firstLineChars="200"/>
        <w:rPr>
          <w:rFonts w:ascii="FangSong_GB2312" w:hAnsi="楷体" w:eastAsia="FangSong_GB2312"/>
          <w:iCs/>
          <w:sz w:val="32"/>
          <w:szCs w:val="21"/>
        </w:rPr>
      </w:pPr>
      <w:bookmarkStart w:id="145" w:name="_Hlk46740859"/>
      <w:bookmarkStart w:id="146" w:name="_Toc75776199"/>
      <w:r>
        <w:rPr>
          <w:rStyle w:val="29"/>
          <w:rFonts w:hint="eastAsia"/>
        </w:rPr>
        <w:t>保障外商投资合法权益</w:t>
      </w:r>
      <w:bookmarkEnd w:id="145"/>
      <w:r>
        <w:rPr>
          <w:rStyle w:val="29"/>
          <w:rFonts w:hint="eastAsia"/>
        </w:rPr>
        <w:t>。</w:t>
      </w:r>
      <w:bookmarkEnd w:id="146"/>
      <w:r>
        <w:rPr>
          <w:rFonts w:hint="eastAsia" w:ascii="FangSong_GB2312" w:hAnsi="楷体" w:eastAsia="FangSong_GB2312"/>
          <w:iCs/>
          <w:sz w:val="32"/>
          <w:szCs w:val="21"/>
        </w:rPr>
        <w:t>进一步加强外商投资企业投诉处理工作机构和机制建设，衔接和建立省市县联动机制和部门的联动协作机制，加大外商投资企业投诉处理力度，帮助企业解决实际困难，切实保障外商投资企业的合法权益。</w:t>
      </w:r>
    </w:p>
    <w:p>
      <w:pPr>
        <w:pStyle w:val="3"/>
        <w:jc w:val="center"/>
        <w:rPr>
          <w:rFonts w:ascii="FangSong_GB2312" w:hAnsi="华文中宋" w:eastAsia="FangSong_GB2312"/>
          <w:sz w:val="32"/>
          <w:szCs w:val="21"/>
        </w:rPr>
      </w:pPr>
      <w:bookmarkStart w:id="147" w:name="_Toc75776200"/>
      <w:r>
        <w:rPr>
          <w:rFonts w:hint="eastAsia" w:hAnsi="楷体"/>
        </w:rPr>
        <w:t xml:space="preserve">第三节 </w:t>
      </w:r>
      <w:bookmarkStart w:id="148" w:name="_Hlk46740882"/>
      <w:r>
        <w:rPr>
          <w:rFonts w:hint="eastAsia"/>
        </w:rPr>
        <w:t>有序推进对外投资</w:t>
      </w:r>
      <w:bookmarkEnd w:id="147"/>
      <w:bookmarkEnd w:id="148"/>
    </w:p>
    <w:p>
      <w:pPr>
        <w:spacing w:line="600" w:lineRule="exact"/>
        <w:ind w:firstLine="640" w:firstLineChars="200"/>
        <w:rPr>
          <w:rFonts w:ascii="FangSong_GB2312" w:hAnsi="华文中宋" w:eastAsia="FangSong_GB2312"/>
          <w:sz w:val="32"/>
          <w:szCs w:val="21"/>
        </w:rPr>
      </w:pPr>
      <w:bookmarkStart w:id="149" w:name="_Hlk55548583"/>
      <w:r>
        <w:rPr>
          <w:rFonts w:hint="eastAsia" w:ascii="FangSong_GB2312" w:hAnsi="华文中宋" w:eastAsia="FangSong_GB2312"/>
          <w:sz w:val="32"/>
          <w:szCs w:val="21"/>
        </w:rPr>
        <w:t>积极参与“一带一路”建设，深化与东盟经贸交流合作，推动优势产业跨境布局，积极融入全球产业链、价值链、供应链，不断提高全球资源和市场配置能力，促进产业外循环。</w:t>
      </w:r>
    </w:p>
    <w:p>
      <w:pPr>
        <w:spacing w:line="600" w:lineRule="exact"/>
        <w:ind w:firstLine="643" w:firstLineChars="200"/>
        <w:rPr>
          <w:rFonts w:ascii="FangSong_GB2312" w:hAnsi="楷体" w:eastAsia="FangSong_GB2312"/>
          <w:sz w:val="32"/>
          <w:szCs w:val="21"/>
        </w:rPr>
      </w:pPr>
      <w:bookmarkStart w:id="150" w:name="_Hlk46740897"/>
      <w:bookmarkStart w:id="151" w:name="_Toc75776201"/>
      <w:r>
        <w:rPr>
          <w:rStyle w:val="29"/>
          <w:rFonts w:hint="eastAsia"/>
        </w:rPr>
        <w:t>推动对外投资创新发展</w:t>
      </w:r>
      <w:bookmarkEnd w:id="150"/>
      <w:r>
        <w:rPr>
          <w:rStyle w:val="29"/>
          <w:rFonts w:hint="eastAsia"/>
        </w:rPr>
        <w:t>。</w:t>
      </w:r>
      <w:bookmarkEnd w:id="151"/>
      <w:r>
        <w:rPr>
          <w:rFonts w:hint="eastAsia" w:ascii="FangSong_GB2312" w:hAnsi="楷体" w:eastAsia="FangSong_GB2312"/>
          <w:sz w:val="32"/>
          <w:szCs w:val="21"/>
        </w:rPr>
        <w:t>鼓励我市家用电器、农海产品加工、制糖、造纸、饲料、家具、修造船等优势传统产业到境外开展投资合作，建立境外生产加工基地，布局建设产业园区，推动产能梯度输出，打造“一带一路”示范合作项目，支持广东恒兴集团在沙特阿拉伯投资共建渔业产业园。推动境外投资从以设立境外一般贸易机构为主向完善境外产研销链条转变，从以价值链中低端环节为主向技术、人才、品牌等高端环节转变，提升国际化经营能力，构建优势产业跨国合作产业体系。继续鼓励企业走出去投资</w:t>
      </w:r>
      <w:bookmarkStart w:id="152" w:name="_Hlk54100272"/>
      <w:r>
        <w:rPr>
          <w:rFonts w:hint="eastAsia" w:ascii="FangSong_GB2312" w:hAnsi="楷体" w:eastAsia="FangSong_GB2312"/>
          <w:sz w:val="32"/>
          <w:szCs w:val="21"/>
        </w:rPr>
        <w:t>，主动参与国际合作和分工，带动湛江优势产品、技术、标准和人才走向国际市场，促进要素有序自由流动、资源高效配置、市场深度融合。</w:t>
      </w:r>
      <w:bookmarkEnd w:id="149"/>
    </w:p>
    <w:bookmarkEnd w:id="152"/>
    <w:p>
      <w:pPr>
        <w:spacing w:line="600" w:lineRule="exact"/>
        <w:ind w:firstLine="643" w:firstLineChars="200"/>
        <w:rPr>
          <w:rFonts w:ascii="FangSong_GB2312" w:hAnsi="楷体" w:eastAsia="FangSong_GB2312"/>
          <w:sz w:val="32"/>
          <w:szCs w:val="21"/>
        </w:rPr>
      </w:pPr>
      <w:bookmarkStart w:id="153" w:name="_Hlk46740909"/>
      <w:bookmarkStart w:id="154" w:name="_Toc75776202"/>
      <w:r>
        <w:rPr>
          <w:rStyle w:val="29"/>
          <w:rFonts w:hint="eastAsia"/>
        </w:rPr>
        <w:t>健全走出去服务和安全保障体系</w:t>
      </w:r>
      <w:bookmarkEnd w:id="153"/>
      <w:r>
        <w:rPr>
          <w:rStyle w:val="29"/>
          <w:rFonts w:hint="eastAsia"/>
        </w:rPr>
        <w:t>。</w:t>
      </w:r>
      <w:bookmarkEnd w:id="154"/>
      <w:r>
        <w:rPr>
          <w:rFonts w:hint="eastAsia" w:ascii="FangSong_GB2312" w:hAnsi="楷体" w:eastAsia="FangSong_GB2312"/>
          <w:sz w:val="32"/>
          <w:szCs w:val="21"/>
        </w:rPr>
        <w:t>健全与“一带一路”沿线国家重点合作项目跟踪服务机制，用好国家和省的信息共享平台，对境外投资的重大项目提供有效的政策和金融支持。强化境外安全保障工作，加强对外投资事中事后监管，压实企业主体责任，引导企业开展合规经营，加强海外风险防范应对。引导我市境外投资合作企业加入国家和省相关走出去行业和国别协会商会，借力维护海外投资权益。</w:t>
      </w:r>
    </w:p>
    <w:p>
      <w:pPr>
        <w:spacing w:line="600" w:lineRule="exact"/>
        <w:ind w:firstLine="640" w:firstLineChars="200"/>
        <w:rPr>
          <w:rFonts w:ascii="FangSong_GB2312" w:hAnsi="楷体" w:eastAsia="FangSong_GB2312"/>
          <w:sz w:val="32"/>
          <w:szCs w:val="21"/>
        </w:rPr>
      </w:pPr>
    </w:p>
    <w:p>
      <w:pPr>
        <w:pStyle w:val="3"/>
        <w:jc w:val="center"/>
      </w:pPr>
      <w:bookmarkStart w:id="155" w:name="_Toc75776203"/>
      <w:r>
        <w:rPr>
          <w:rFonts w:hint="eastAsia"/>
        </w:rPr>
        <w:t xml:space="preserve">第四节 </w:t>
      </w:r>
      <w:bookmarkStart w:id="156" w:name="_Hlk55549388"/>
      <w:bookmarkStart w:id="157" w:name="_Hlk46740931"/>
      <w:r>
        <w:rPr>
          <w:rFonts w:hint="eastAsia"/>
        </w:rPr>
        <w:t>提高通关便利化水平</w:t>
      </w:r>
      <w:bookmarkEnd w:id="155"/>
      <w:bookmarkEnd w:id="156"/>
    </w:p>
    <w:bookmarkEnd w:id="157"/>
    <w:p>
      <w:pPr>
        <w:spacing w:line="600" w:lineRule="exact"/>
        <w:jc w:val="center"/>
        <w:rPr>
          <w:rFonts w:ascii="方正大标宋_GBK" w:hAnsi="华文中宋" w:eastAsia="方正大标宋_GBK"/>
          <w:sz w:val="32"/>
          <w:szCs w:val="21"/>
        </w:rPr>
      </w:pPr>
    </w:p>
    <w:p>
      <w:pPr>
        <w:widowControl/>
        <w:shd w:val="clear" w:color="auto" w:fill="FFFFFF"/>
        <w:spacing w:line="600" w:lineRule="exact"/>
        <w:ind w:firstLine="640" w:firstLineChars="200"/>
        <w:rPr>
          <w:rFonts w:ascii="FangSong_GB2312" w:hAnsi="宋体" w:eastAsia="FangSong_GB2312" w:cs="宋体"/>
          <w:kern w:val="0"/>
          <w:sz w:val="32"/>
          <w:szCs w:val="32"/>
        </w:rPr>
      </w:pPr>
      <w:r>
        <w:rPr>
          <w:rFonts w:hint="eastAsia" w:ascii="FangSong_GB2312" w:hAnsi="宋体" w:eastAsia="FangSong_GB2312" w:cs="宋体"/>
          <w:kern w:val="0"/>
          <w:sz w:val="32"/>
          <w:szCs w:val="32"/>
        </w:rPr>
        <w:t>优化口岸开放布局，推动口岸多方位、立体化开放发展，深化口岸通关改革创新，降低跨境贸易综合成本，提高贸易便利化水平，更好保障商品与要素国际间自由流动，为构建“双循环”新发展格局提供有力保障。</w:t>
      </w:r>
    </w:p>
    <w:p>
      <w:pPr>
        <w:spacing w:line="600" w:lineRule="exact"/>
        <w:ind w:firstLine="645"/>
        <w:rPr>
          <w:rStyle w:val="29"/>
          <w:rFonts w:ascii="FangSong_GB2312" w:eastAsia="FangSong_GB2312"/>
          <w:b w:val="0"/>
          <w:bCs w:val="0"/>
        </w:rPr>
      </w:pPr>
      <w:bookmarkStart w:id="158" w:name="_Hlk46740977"/>
      <w:bookmarkStart w:id="159" w:name="_Toc75776204"/>
      <w:bookmarkStart w:id="160" w:name="_Hlk55549428"/>
      <w:r>
        <w:rPr>
          <w:rStyle w:val="29"/>
          <w:rFonts w:hint="eastAsia"/>
        </w:rPr>
        <w:t>推进口岸对外开放建设</w:t>
      </w:r>
      <w:bookmarkEnd w:id="158"/>
      <w:r>
        <w:rPr>
          <w:rStyle w:val="29"/>
          <w:rFonts w:hint="eastAsia"/>
        </w:rPr>
        <w:t>。</w:t>
      </w:r>
      <w:r>
        <w:rPr>
          <w:rStyle w:val="29"/>
          <w:rFonts w:hint="eastAsia" w:ascii="FangSong_GB2312" w:eastAsia="FangSong_GB2312"/>
          <w:b w:val="0"/>
          <w:bCs w:val="0"/>
        </w:rPr>
        <w:t>持续推进口岸开放，优化口岸开放布局，推动公共码头和专用码头开放互济并进、海陆空口岸立体化开放发展，逐步构建更加高效、便利的口岸开放新格局，推动深度融入西部陆海新通道，提升与“一带一路”沿线国家的互联互通水平，发展成为更加开放的“一带一路”枢纽门户。</w:t>
      </w:r>
      <w:bookmarkEnd w:id="159"/>
      <w:bookmarkEnd w:id="160"/>
      <w:bookmarkStart w:id="161" w:name="_Hlk46740967"/>
    </w:p>
    <w:p>
      <w:pPr>
        <w:spacing w:line="600" w:lineRule="exact"/>
        <w:ind w:firstLine="645"/>
        <w:rPr>
          <w:rFonts w:ascii="FangSong_GB2312" w:hAnsi="黑体" w:eastAsia="FangSong_GB2312"/>
          <w:bCs/>
          <w:sz w:val="32"/>
          <w:szCs w:val="32"/>
        </w:rPr>
      </w:pPr>
      <w:bookmarkStart w:id="162" w:name="_Toc75776205"/>
      <w:bookmarkStart w:id="163" w:name="_Hlk55549472"/>
      <w:r>
        <w:rPr>
          <w:rStyle w:val="29"/>
          <w:rFonts w:hint="eastAsia"/>
        </w:rPr>
        <w:t>持续促进口岸提效降费</w:t>
      </w:r>
      <w:bookmarkEnd w:id="161"/>
      <w:r>
        <w:rPr>
          <w:rStyle w:val="29"/>
          <w:rFonts w:hint="eastAsia"/>
        </w:rPr>
        <w:t>。</w:t>
      </w:r>
      <w:bookmarkEnd w:id="162"/>
      <w:r>
        <w:rPr>
          <w:rFonts w:hint="eastAsia" w:ascii="FangSong_GB2312" w:hAnsi="黑体" w:eastAsia="FangSong_GB2312"/>
          <w:bCs/>
          <w:sz w:val="32"/>
          <w:szCs w:val="32"/>
        </w:rPr>
        <w:t>建立和完善口岸营商环境常态化跟踪监测机制，进一步简化通关审批、优化监管模式、压缩通关时间，提升通关效率。建立港口“一站式阳光价格”，推动降低口岸收费，减少收费项目，持续实施免除海关查验没有问题外贸企业吊装移位仓储费用，持续降低通关成本。</w:t>
      </w:r>
    </w:p>
    <w:bookmarkEnd w:id="163"/>
    <w:p>
      <w:pPr>
        <w:spacing w:line="600" w:lineRule="exact"/>
        <w:ind w:firstLine="645"/>
        <w:rPr>
          <w:rFonts w:ascii="FangSong_GB2312" w:hAnsi="黑体" w:eastAsia="FangSong_GB2312"/>
          <w:bCs/>
          <w:sz w:val="32"/>
          <w:szCs w:val="32"/>
        </w:rPr>
      </w:pPr>
      <w:bookmarkStart w:id="164" w:name="_Hlk46740990"/>
      <w:bookmarkStart w:id="165" w:name="_Toc75776206"/>
      <w:r>
        <w:rPr>
          <w:rStyle w:val="29"/>
          <w:rFonts w:hint="eastAsia"/>
        </w:rPr>
        <w:t>深入建设国际贸易“单一窗口”</w:t>
      </w:r>
      <w:bookmarkEnd w:id="164"/>
      <w:r>
        <w:rPr>
          <w:rStyle w:val="29"/>
          <w:rFonts w:hint="eastAsia"/>
        </w:rPr>
        <w:t>。</w:t>
      </w:r>
      <w:bookmarkEnd w:id="165"/>
      <w:r>
        <w:rPr>
          <w:rFonts w:hint="eastAsia" w:ascii="FangSong_GB2312" w:hAnsi="黑体" w:eastAsia="FangSong_GB2312"/>
          <w:bCs/>
          <w:sz w:val="32"/>
          <w:szCs w:val="32"/>
        </w:rPr>
        <w:t>依托广东电子口岸平台，推动“智慧口岸”建设，推进口岸查验、港口、物流、中介代理等主体相关信息平台的互联互通，逐步实现“通关+物流”一体化联动。积极推进国际贸易“单一窗口”标准版和广东国际贸易“单一窗口”各项应用功能在我市应用推广，稳步提升各项应用覆盖率，争取逐步覆盖至国际贸易全链条，有效促进贸易和通关一体化发展。</w:t>
      </w:r>
    </w:p>
    <w:p>
      <w:pPr>
        <w:spacing w:line="600" w:lineRule="exact"/>
        <w:ind w:firstLine="645"/>
        <w:rPr>
          <w:rFonts w:ascii="FangSong_GB2312" w:hAnsi="楷体" w:eastAsia="FangSong_GB2312"/>
          <w:bCs/>
          <w:sz w:val="32"/>
          <w:szCs w:val="32"/>
        </w:rPr>
      </w:pPr>
      <w:bookmarkStart w:id="166" w:name="_Hlk46741002"/>
      <w:bookmarkStart w:id="167" w:name="_Toc75776207"/>
      <w:r>
        <w:rPr>
          <w:rStyle w:val="29"/>
          <w:rFonts w:hint="eastAsia"/>
        </w:rPr>
        <w:t>进一步完善口岸通关数据库建设</w:t>
      </w:r>
      <w:bookmarkEnd w:id="166"/>
      <w:r>
        <w:rPr>
          <w:rStyle w:val="29"/>
          <w:rFonts w:hint="eastAsia"/>
        </w:rPr>
        <w:t>。</w:t>
      </w:r>
      <w:bookmarkEnd w:id="167"/>
      <w:r>
        <w:rPr>
          <w:rFonts w:hint="eastAsia" w:ascii="FangSong_GB2312" w:hAnsi="楷体" w:eastAsia="FangSong_GB2312"/>
          <w:bCs/>
          <w:sz w:val="32"/>
          <w:szCs w:val="32"/>
        </w:rPr>
        <w:t>探索建设湛江口岸物流协同平台项目，为监管部门和口岸企业提供集业务办理、流程跟踪、信息监控、数据共享等一站式服务的综合物流信息平台，提升监管部门查验、监管的效率和运输物流链整体效率。</w:t>
      </w:r>
    </w:p>
    <w:p>
      <w:pPr>
        <w:widowControl/>
        <w:shd w:val="clear" w:color="auto" w:fill="FFFFFF"/>
        <w:spacing w:line="600" w:lineRule="exact"/>
        <w:ind w:firstLine="643" w:firstLineChars="200"/>
        <w:rPr>
          <w:rFonts w:ascii="黑体" w:hAnsi="黑体" w:eastAsia="黑体" w:cs="宋体"/>
          <w:b/>
          <w:bCs/>
          <w:kern w:val="0"/>
          <w:sz w:val="32"/>
          <w:szCs w:val="32"/>
        </w:rPr>
      </w:pPr>
    </w:p>
    <w:p>
      <w:pPr>
        <w:pStyle w:val="3"/>
        <w:jc w:val="center"/>
      </w:pPr>
      <w:bookmarkStart w:id="168" w:name="_Toc75776208"/>
      <w:r>
        <w:rPr>
          <w:rFonts w:hint="eastAsia"/>
        </w:rPr>
        <w:t xml:space="preserve">第五节 </w:t>
      </w:r>
      <w:bookmarkStart w:id="169" w:name="_Hlk46741023"/>
      <w:r>
        <w:rPr>
          <w:rFonts w:hint="eastAsia"/>
        </w:rPr>
        <w:t>构建高水平开放平台</w:t>
      </w:r>
      <w:bookmarkEnd w:id="168"/>
      <w:bookmarkEnd w:id="169"/>
    </w:p>
    <w:p>
      <w:pPr>
        <w:widowControl/>
        <w:shd w:val="clear" w:color="auto" w:fill="FFFFFF"/>
        <w:spacing w:line="600" w:lineRule="exact"/>
        <w:ind w:firstLine="640" w:firstLineChars="200"/>
        <w:rPr>
          <w:rFonts w:ascii="FangSong_GB2312" w:hAnsi="楷体" w:eastAsia="FangSong_GB2312" w:cs="宋体"/>
          <w:kern w:val="0"/>
          <w:sz w:val="32"/>
          <w:szCs w:val="32"/>
        </w:rPr>
      </w:pPr>
    </w:p>
    <w:p>
      <w:pPr>
        <w:widowControl/>
        <w:shd w:val="clear" w:color="auto" w:fill="FFFFFF"/>
        <w:spacing w:line="600" w:lineRule="exact"/>
        <w:ind w:firstLine="640" w:firstLineChars="200"/>
        <w:rPr>
          <w:rFonts w:ascii="FangSong_GB2312" w:hAnsi="楷体" w:eastAsia="FangSong_GB2312" w:cs="宋体"/>
          <w:kern w:val="0"/>
          <w:sz w:val="32"/>
          <w:szCs w:val="32"/>
        </w:rPr>
      </w:pPr>
      <w:bookmarkStart w:id="170" w:name="_Hlk55549250"/>
      <w:r>
        <w:rPr>
          <w:rFonts w:hint="eastAsia" w:ascii="FangSong_GB2312" w:hAnsi="楷体" w:eastAsia="FangSong_GB2312" w:cs="宋体"/>
          <w:kern w:val="0"/>
          <w:sz w:val="32"/>
          <w:szCs w:val="32"/>
        </w:rPr>
        <w:t>不断打造和优化高水平开放平台，加快推进配套制度改革，</w:t>
      </w:r>
      <w:bookmarkStart w:id="171" w:name="_Hlk55552795"/>
      <w:r>
        <w:rPr>
          <w:rFonts w:hint="eastAsia" w:ascii="FangSong_GB2312" w:hAnsi="楷体" w:eastAsia="FangSong_GB2312" w:cs="宋体"/>
          <w:kern w:val="0"/>
          <w:sz w:val="32"/>
          <w:szCs w:val="32"/>
        </w:rPr>
        <w:t>重建湛江开放发展新体制，重塑开放新优势，</w:t>
      </w:r>
      <w:bookmarkEnd w:id="171"/>
      <w:r>
        <w:rPr>
          <w:rFonts w:hint="eastAsia" w:ascii="FangSong_GB2312" w:hAnsi="楷体" w:eastAsia="FangSong_GB2312" w:cs="宋体"/>
          <w:kern w:val="0"/>
          <w:sz w:val="32"/>
          <w:szCs w:val="32"/>
        </w:rPr>
        <w:t>为构建与区域协调发展、与国际市场接轨的开放型经济体系提供支撑，为构建“双循环”新发展格局提供保障。</w:t>
      </w:r>
    </w:p>
    <w:p>
      <w:pPr>
        <w:widowControl/>
        <w:shd w:val="clear" w:color="auto" w:fill="FFFFFF"/>
        <w:spacing w:line="600" w:lineRule="exact"/>
        <w:ind w:firstLine="643" w:firstLineChars="200"/>
        <w:rPr>
          <w:rFonts w:ascii="FangSong_GB2312" w:hAnsi="楷体" w:eastAsia="FangSong_GB2312" w:cs="宋体"/>
          <w:kern w:val="0"/>
          <w:sz w:val="32"/>
          <w:szCs w:val="32"/>
        </w:rPr>
      </w:pPr>
      <w:bookmarkStart w:id="172" w:name="_Hlk46741034"/>
      <w:bookmarkStart w:id="173" w:name="_Toc75776209"/>
      <w:r>
        <w:rPr>
          <w:rStyle w:val="29"/>
          <w:rFonts w:hint="eastAsia"/>
        </w:rPr>
        <w:t>拓展湛江保税物流中心（B型）发展空间</w:t>
      </w:r>
      <w:bookmarkEnd w:id="172"/>
      <w:r>
        <w:rPr>
          <w:rStyle w:val="29"/>
          <w:rFonts w:hint="eastAsia"/>
        </w:rPr>
        <w:t>。</w:t>
      </w:r>
      <w:bookmarkEnd w:id="173"/>
      <w:r>
        <w:rPr>
          <w:rFonts w:hint="eastAsia" w:ascii="FangSong_GB2312" w:hAnsi="楷体" w:eastAsia="FangSong_GB2312" w:cs="宋体"/>
          <w:kern w:val="0"/>
          <w:sz w:val="32"/>
          <w:szCs w:val="32"/>
        </w:rPr>
        <w:t>加大支持湛江保税物流中心（B型）运营发展，推动湛江及周边地区保税业务开展。引导更多主体和商品进入湛江保税物流中心（B型）中心以“保税+新零售”模式经营，推动保税物流与国内贸易互动发展。</w:t>
      </w:r>
    </w:p>
    <w:bookmarkEnd w:id="170"/>
    <w:p>
      <w:pPr>
        <w:widowControl/>
        <w:shd w:val="clear" w:color="auto" w:fill="FFFFFF"/>
        <w:spacing w:line="600" w:lineRule="exact"/>
        <w:ind w:firstLine="643" w:firstLineChars="200"/>
        <w:rPr>
          <w:rFonts w:ascii="FangSong_GB2312" w:hAnsi="黑体" w:eastAsia="FangSong_GB2312" w:cs="宋体"/>
          <w:kern w:val="0"/>
          <w:sz w:val="32"/>
          <w:szCs w:val="32"/>
        </w:rPr>
      </w:pPr>
      <w:bookmarkStart w:id="174" w:name="_Hlk46741046"/>
      <w:bookmarkStart w:id="175" w:name="_Toc75776210"/>
      <w:bookmarkStart w:id="176" w:name="_Hlk55549273"/>
      <w:r>
        <w:rPr>
          <w:rStyle w:val="29"/>
          <w:rFonts w:hint="eastAsia"/>
        </w:rPr>
        <w:t>高水平建设综合保税区</w:t>
      </w:r>
      <w:bookmarkEnd w:id="174"/>
      <w:r>
        <w:rPr>
          <w:rStyle w:val="29"/>
          <w:rFonts w:hint="eastAsia"/>
        </w:rPr>
        <w:t>。</w:t>
      </w:r>
      <w:bookmarkEnd w:id="175"/>
      <w:r>
        <w:rPr>
          <w:rFonts w:hint="eastAsia" w:ascii="FangSong_GB2312" w:hAnsi="黑体" w:eastAsia="FangSong_GB2312" w:cs="宋体"/>
          <w:kern w:val="0"/>
          <w:sz w:val="32"/>
          <w:szCs w:val="32"/>
        </w:rPr>
        <w:t>加快推进湛江综合保税区建设，确保如期封关运行，推动高水平的贸易和投资自由化便利化政策早日在综合保税区落地应用，并以开放政策为平台，遴选高质量外向型项目入区建设发展，通过“优势传统产业+特色临海产业”双核驱动，以优势起步，以特色领跑，把湛江综合保税区建设成为有区域影响力“五大中心”，实现区内“买全球、卖全球、修全球”，不断引领湛江产业高质量发展。</w:t>
      </w:r>
    </w:p>
    <w:bookmarkEnd w:id="176"/>
    <w:p>
      <w:pPr>
        <w:widowControl/>
        <w:shd w:val="clear" w:color="auto" w:fill="FFFFFF"/>
        <w:spacing w:line="600" w:lineRule="exact"/>
        <w:ind w:firstLine="643" w:firstLineChars="200"/>
        <w:rPr>
          <w:rFonts w:ascii="FangSong_GB2312" w:hAnsi="黑体" w:eastAsia="FangSong_GB2312" w:cs="宋体"/>
          <w:kern w:val="0"/>
          <w:sz w:val="32"/>
          <w:szCs w:val="32"/>
        </w:rPr>
      </w:pPr>
      <w:bookmarkStart w:id="177" w:name="_Hlk46741096"/>
      <w:bookmarkStart w:id="178" w:name="_Toc75776211"/>
      <w:bookmarkStart w:id="179" w:name="_Hlk55549285"/>
      <w:r>
        <w:rPr>
          <w:rStyle w:val="29"/>
          <w:rFonts w:hint="eastAsia"/>
        </w:rPr>
        <w:t>争取纳入</w:t>
      </w:r>
      <w:bookmarkStart w:id="180" w:name="_Hlk41924781"/>
      <w:r>
        <w:rPr>
          <w:rStyle w:val="29"/>
          <w:rFonts w:hint="eastAsia"/>
        </w:rPr>
        <w:t>广东自贸区扩区</w:t>
      </w:r>
      <w:bookmarkEnd w:id="180"/>
      <w:r>
        <w:rPr>
          <w:rStyle w:val="29"/>
          <w:rFonts w:hint="eastAsia"/>
        </w:rPr>
        <w:t>的片区</w:t>
      </w:r>
      <w:bookmarkEnd w:id="177"/>
      <w:r>
        <w:rPr>
          <w:rStyle w:val="29"/>
          <w:rFonts w:hint="eastAsia"/>
        </w:rPr>
        <w:t>。</w:t>
      </w:r>
      <w:bookmarkEnd w:id="178"/>
      <w:r>
        <w:rPr>
          <w:rFonts w:hint="eastAsia" w:ascii="FangSong_GB2312" w:hAnsi="黑体" w:eastAsia="FangSong_GB2312" w:cs="宋体"/>
          <w:kern w:val="0"/>
          <w:sz w:val="32"/>
          <w:szCs w:val="32"/>
        </w:rPr>
        <w:t>积极复制推广全国和广东自贸区改革试点经验，主动适应广东自贸区扩区需要，争取将霞山区块、东海岛区块、徐闻区块纳入广东自贸区联动发展区，有序推动纳入扩区范围，以此为平台先行先试更多开放政策，推动湛江形成法治化国际化便利化的营商环境和公平开放统一高效的市场环境，成为促进区域经济协调发展的重要纽带。</w:t>
      </w:r>
    </w:p>
    <w:p>
      <w:pPr>
        <w:widowControl/>
        <w:shd w:val="clear" w:color="auto" w:fill="FFFFFF"/>
        <w:spacing w:line="600" w:lineRule="exact"/>
        <w:ind w:firstLine="640" w:firstLineChars="200"/>
        <w:rPr>
          <w:rFonts w:ascii="FangSong_GB2312" w:hAnsi="黑体" w:eastAsia="FangSong_GB2312" w:cs="宋体"/>
          <w:kern w:val="0"/>
          <w:sz w:val="32"/>
          <w:szCs w:val="32"/>
        </w:rPr>
      </w:pPr>
    </w:p>
    <w:bookmarkEnd w:id="179"/>
    <w:p>
      <w:pPr>
        <w:spacing w:line="600" w:lineRule="exact"/>
        <w:rPr>
          <w:rFonts w:ascii="华文中宋" w:hAnsi="华文中宋" w:eastAsia="华文中宋"/>
          <w:sz w:val="32"/>
          <w:szCs w:val="21"/>
        </w:rPr>
      </w:pPr>
    </w:p>
    <w:p>
      <w:pPr>
        <w:pStyle w:val="2"/>
        <w:jc w:val="center"/>
      </w:pPr>
      <w:bookmarkStart w:id="181" w:name="_Toc75776212"/>
      <w:r>
        <w:rPr>
          <w:rFonts w:hint="eastAsia"/>
        </w:rPr>
        <w:t>第五章 保障措施</w:t>
      </w:r>
      <w:bookmarkEnd w:id="181"/>
    </w:p>
    <w:p>
      <w:pPr>
        <w:pStyle w:val="3"/>
        <w:jc w:val="center"/>
      </w:pPr>
      <w:bookmarkStart w:id="182" w:name="_Toc75776213"/>
      <w:bookmarkStart w:id="183" w:name="_Toc453853701"/>
      <w:r>
        <w:rPr>
          <w:rFonts w:hint="eastAsia"/>
        </w:rPr>
        <w:t>第一节 加强党对商务工作的领导</w:t>
      </w:r>
      <w:bookmarkEnd w:id="182"/>
      <w:bookmarkEnd w:id="183"/>
    </w:p>
    <w:p>
      <w:pPr>
        <w:spacing w:line="600" w:lineRule="exact"/>
        <w:ind w:firstLine="640" w:firstLineChars="200"/>
        <w:rPr>
          <w:rFonts w:ascii="FangSong_GB2312" w:hAnsi="宋体" w:eastAsia="FangSong_GB2312" w:cs="宋体"/>
          <w:kern w:val="0"/>
          <w:sz w:val="32"/>
          <w:szCs w:val="32"/>
        </w:rPr>
      </w:pPr>
    </w:p>
    <w:p>
      <w:pPr>
        <w:spacing w:line="600" w:lineRule="exact"/>
        <w:ind w:firstLine="640" w:firstLineChars="200"/>
        <w:rPr>
          <w:rFonts w:eastAsia="FangSong_GB2312"/>
          <w:sz w:val="32"/>
          <w:szCs w:val="21"/>
        </w:rPr>
      </w:pPr>
      <w:r>
        <w:rPr>
          <w:rFonts w:hint="eastAsia" w:ascii="FangSong_GB2312" w:hAnsi="宋体" w:eastAsia="FangSong_GB2312" w:cs="宋体"/>
          <w:kern w:val="0"/>
          <w:sz w:val="32"/>
          <w:szCs w:val="32"/>
        </w:rPr>
        <w:t>发挥商务主管部门党组领导核心作用，完善党组研究商务发展战略、分析经济形势、研究重大方针政策的工作体制机制，提高对重大商务问题的科学决策、科学管理水平。</w:t>
      </w:r>
      <w:r>
        <w:rPr>
          <w:rFonts w:eastAsia="FangSong_GB2312"/>
          <w:sz w:val="32"/>
          <w:szCs w:val="21"/>
        </w:rPr>
        <w:t>优化</w:t>
      </w:r>
      <w:r>
        <w:rPr>
          <w:rFonts w:hint="eastAsia" w:eastAsia="FangSong_GB2312"/>
          <w:sz w:val="32"/>
          <w:szCs w:val="21"/>
        </w:rPr>
        <w:t>干部队伍</w:t>
      </w:r>
      <w:r>
        <w:rPr>
          <w:rFonts w:eastAsia="FangSong_GB2312"/>
          <w:sz w:val="32"/>
          <w:szCs w:val="21"/>
        </w:rPr>
        <w:t>知识结构和专业结构，加强政治、经济、法律、外交、管理等方面的学习，增强党领导商务工作专业化能力。坚持法治思维、增强法治观念，依法调控和治理经济，提高党领导商务工作法治化水平。落实全面从严治党主体责任，健全改进作风长效机制，强化权力运行制约和监督</w:t>
      </w:r>
      <w:r>
        <w:rPr>
          <w:rFonts w:hint="eastAsia" w:eastAsia="FangSong_GB2312"/>
          <w:sz w:val="32"/>
          <w:szCs w:val="21"/>
        </w:rPr>
        <w:t>。</w:t>
      </w:r>
      <w:r>
        <w:rPr>
          <w:rFonts w:eastAsia="FangSong_GB2312"/>
          <w:sz w:val="32"/>
          <w:szCs w:val="21"/>
        </w:rPr>
        <w:t>强化基层党组织整体功能，发挥战斗堡垒作用和党员先锋模范作用，更好推进商务事业发展。</w:t>
      </w:r>
    </w:p>
    <w:p>
      <w:pPr>
        <w:pStyle w:val="3"/>
        <w:jc w:val="center"/>
        <w:rPr>
          <w:sz w:val="18"/>
          <w:szCs w:val="18"/>
        </w:rPr>
      </w:pPr>
      <w:bookmarkStart w:id="184" w:name="_Toc453853702"/>
      <w:bookmarkStart w:id="185" w:name="_Toc75776214"/>
      <w:r>
        <w:rPr>
          <w:rFonts w:hint="eastAsia" w:hAnsi="Times New Roman"/>
        </w:rPr>
        <w:t>第二节</w:t>
      </w:r>
      <w:bookmarkEnd w:id="184"/>
      <w:bookmarkStart w:id="186" w:name="_Toc453853703"/>
      <w:r>
        <w:rPr>
          <w:rFonts w:hint="eastAsia" w:hAnsi="Times New Roman"/>
        </w:rPr>
        <w:t xml:space="preserve"> </w:t>
      </w:r>
      <w:r>
        <w:rPr>
          <w:rFonts w:hint="eastAsia"/>
        </w:rPr>
        <w:t>加强行业组织自律</w:t>
      </w:r>
      <w:bookmarkEnd w:id="185"/>
    </w:p>
    <w:p>
      <w:pPr>
        <w:spacing w:line="600" w:lineRule="exact"/>
        <w:ind w:firstLine="640" w:firstLineChars="200"/>
        <w:rPr>
          <w:rFonts w:eastAsia="FangSong_GB2312"/>
          <w:sz w:val="32"/>
          <w:szCs w:val="21"/>
        </w:rPr>
      </w:pPr>
      <w:r>
        <w:rPr>
          <w:rFonts w:eastAsia="FangSong_GB2312"/>
          <w:sz w:val="32"/>
          <w:szCs w:val="21"/>
        </w:rPr>
        <w:t>充分发挥行业组织的商务保障功能，支持相关商会和行业协会按市场化原则规范和发展成为自律性组织，充分发挥其在协调企业行为、信息交流、价格协调、专业培训、行业自律等方面的重要作用，积极为全市内贸流通、对外贸易、利用外资、对外投资服务。</w:t>
      </w:r>
      <w:r>
        <w:rPr>
          <w:rFonts w:hint="eastAsia" w:eastAsia="FangSong_GB2312"/>
          <w:sz w:val="32"/>
          <w:szCs w:val="21"/>
        </w:rPr>
        <w:t xml:space="preserve"> </w:t>
      </w:r>
    </w:p>
    <w:p>
      <w:pPr>
        <w:widowControl/>
        <w:spacing w:line="600" w:lineRule="exact"/>
        <w:jc w:val="center"/>
        <w:rPr>
          <w:rFonts w:ascii="方正大标宋_GBK" w:eastAsia="方正大标宋_GBK"/>
          <w:kern w:val="0"/>
          <w:sz w:val="32"/>
          <w:szCs w:val="32"/>
        </w:rPr>
      </w:pPr>
    </w:p>
    <w:p>
      <w:pPr>
        <w:pStyle w:val="3"/>
        <w:jc w:val="center"/>
        <w:rPr>
          <w:rFonts w:hAnsi="宋体" w:cs="宋体"/>
        </w:rPr>
      </w:pPr>
      <w:bookmarkStart w:id="187" w:name="_Toc75776215"/>
      <w:r>
        <w:rPr>
          <w:rFonts w:hint="eastAsia"/>
        </w:rPr>
        <w:t>第三节 加强商务宣传联动</w:t>
      </w:r>
      <w:bookmarkEnd w:id="187"/>
    </w:p>
    <w:p>
      <w:pPr>
        <w:widowControl/>
        <w:spacing w:line="600" w:lineRule="exact"/>
        <w:ind w:firstLine="645"/>
        <w:rPr>
          <w:rFonts w:ascii="FangSong_GB2312" w:eastAsia="FangSong_GB2312"/>
          <w:kern w:val="0"/>
          <w:sz w:val="32"/>
          <w:szCs w:val="32"/>
        </w:rPr>
      </w:pPr>
    </w:p>
    <w:p>
      <w:pPr>
        <w:widowControl/>
        <w:spacing w:line="600" w:lineRule="exact"/>
        <w:ind w:firstLine="645"/>
        <w:rPr>
          <w:rFonts w:ascii="宋体" w:hAnsi="宋体" w:cs="宋体"/>
          <w:kern w:val="0"/>
          <w:sz w:val="18"/>
          <w:szCs w:val="18"/>
        </w:rPr>
      </w:pPr>
      <w:r>
        <w:rPr>
          <w:rFonts w:hint="eastAsia" w:ascii="FangSong_GB2312" w:eastAsia="FangSong_GB2312"/>
          <w:kern w:val="0"/>
          <w:sz w:val="32"/>
          <w:szCs w:val="32"/>
        </w:rPr>
        <w:t>各地商务主管部门要加强政策宣传解读，营造有利于商务发展的舆论环境。强化投资和发展环境的对外宣传推介，注重湛江国际形象的整体宣传，通过多渠道扩大宣传，提高湛江对外知名度和美誉度，增进国际社会对我市发展前景的支持和认可。</w:t>
      </w:r>
    </w:p>
    <w:p>
      <w:pPr>
        <w:spacing w:line="600" w:lineRule="exact"/>
        <w:rPr>
          <w:rFonts w:asciiTheme="minorHAnsi" w:hAnsiTheme="minorHAnsi" w:eastAsiaTheme="minorEastAsia" w:cstheme="minorBidi"/>
          <w:szCs w:val="22"/>
        </w:rPr>
      </w:pPr>
    </w:p>
    <w:bookmarkEnd w:id="186"/>
    <w:p>
      <w:pPr>
        <w:pStyle w:val="3"/>
        <w:jc w:val="center"/>
      </w:pPr>
      <w:bookmarkStart w:id="188" w:name="_Toc75776216"/>
      <w:bookmarkStart w:id="189" w:name="_Toc453853704"/>
      <w:r>
        <w:t>第四节 加强规划实施和督导</w:t>
      </w:r>
      <w:bookmarkEnd w:id="188"/>
      <w:bookmarkEnd w:id="189"/>
    </w:p>
    <w:p>
      <w:pPr>
        <w:pStyle w:val="24"/>
        <w:spacing w:line="600" w:lineRule="exact"/>
        <w:ind w:firstLine="640"/>
        <w:rPr>
          <w:rFonts w:eastAsia="FangSong_GB2312"/>
          <w:sz w:val="32"/>
          <w:szCs w:val="21"/>
        </w:rPr>
      </w:pPr>
    </w:p>
    <w:p>
      <w:pPr>
        <w:pStyle w:val="24"/>
        <w:spacing w:line="600" w:lineRule="exact"/>
        <w:ind w:firstLine="640"/>
        <w:rPr>
          <w:rFonts w:ascii="楷体_GB2312" w:hAnsi="黑体" w:eastAsia="楷体_GB2312"/>
          <w:sz w:val="32"/>
          <w:szCs w:val="21"/>
        </w:rPr>
      </w:pPr>
      <w:r>
        <w:rPr>
          <w:rFonts w:eastAsia="FangSong_GB2312"/>
          <w:sz w:val="32"/>
          <w:szCs w:val="21"/>
        </w:rPr>
        <w:t>完善规划实施机制，加强对本规划实施的组织、协调和督导。开展规划实施情况动态监测和评估工作，建立健全规划年度监督制度、中期评估制度和终期检查制度。加强商务领域各专项规划、区域规划、地方规划与本规划的统筹管理和衔接协调。制定年度工作计划要依照本规划进行分解，与规划保持衔接和协调，对规划提出的目标和任务，制定具体措施保障落实。</w:t>
      </w:r>
      <w:r>
        <w:rPr>
          <w:rFonts w:hint="eastAsia" w:eastAsia="FangSong_GB2312"/>
          <w:sz w:val="32"/>
          <w:szCs w:val="21"/>
        </w:rPr>
        <w:t>加强公众参与和舆论监督，拓宽规划实施公开渠道，营造以开放促改革、促发展、促创新的良好社会氛围。在本规划执行期间，如形势出现较大变化，根据实际情况，依照相关程序，适当调整本规划预期目标任务。</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FangSong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粗宋简体">
    <w:altName w:val="方正书宋_GBK"/>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汉仪黛玉体简">
    <w:panose1 w:val="02010604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397183"/>
    </w:sdtPr>
    <w:sdtContent>
      <w:p>
        <w:pPr>
          <w:pStyle w:val="8"/>
          <w:jc w:val="center"/>
        </w:pPr>
        <w:r>
          <w:fldChar w:fldCharType="begin"/>
        </w:r>
        <w:r>
          <w:instrText xml:space="preserve">PAGE   \* MERGEFORMAT</w:instrText>
        </w:r>
        <w:r>
          <w:fldChar w:fldCharType="separate"/>
        </w:r>
        <w:r>
          <w:rPr>
            <w:lang w:val="zh-CN"/>
          </w:rPr>
          <w:t>49</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40"/>
    <w:rsid w:val="000005DF"/>
    <w:rsid w:val="00001404"/>
    <w:rsid w:val="00002C01"/>
    <w:rsid w:val="000037F3"/>
    <w:rsid w:val="000053E5"/>
    <w:rsid w:val="00006BBE"/>
    <w:rsid w:val="00006D2B"/>
    <w:rsid w:val="000102FB"/>
    <w:rsid w:val="00011C20"/>
    <w:rsid w:val="000203BD"/>
    <w:rsid w:val="000211EF"/>
    <w:rsid w:val="00021257"/>
    <w:rsid w:val="00021E4A"/>
    <w:rsid w:val="00024AA3"/>
    <w:rsid w:val="0002635E"/>
    <w:rsid w:val="00026419"/>
    <w:rsid w:val="00031D57"/>
    <w:rsid w:val="000334F7"/>
    <w:rsid w:val="000338AD"/>
    <w:rsid w:val="00034172"/>
    <w:rsid w:val="00041301"/>
    <w:rsid w:val="00042383"/>
    <w:rsid w:val="000429B4"/>
    <w:rsid w:val="000447B2"/>
    <w:rsid w:val="000466BE"/>
    <w:rsid w:val="00046F04"/>
    <w:rsid w:val="00050CD3"/>
    <w:rsid w:val="0005238E"/>
    <w:rsid w:val="0005315E"/>
    <w:rsid w:val="00054A94"/>
    <w:rsid w:val="0005567F"/>
    <w:rsid w:val="000556CD"/>
    <w:rsid w:val="00055AA4"/>
    <w:rsid w:val="000567BD"/>
    <w:rsid w:val="00061E8B"/>
    <w:rsid w:val="0006331A"/>
    <w:rsid w:val="00063C19"/>
    <w:rsid w:val="00064C9A"/>
    <w:rsid w:val="000663FC"/>
    <w:rsid w:val="000665FC"/>
    <w:rsid w:val="0006747D"/>
    <w:rsid w:val="00067BAB"/>
    <w:rsid w:val="000728C4"/>
    <w:rsid w:val="0007386A"/>
    <w:rsid w:val="00075F95"/>
    <w:rsid w:val="00080408"/>
    <w:rsid w:val="000935F9"/>
    <w:rsid w:val="000944D0"/>
    <w:rsid w:val="00094CEE"/>
    <w:rsid w:val="00096EA0"/>
    <w:rsid w:val="00097B8A"/>
    <w:rsid w:val="000A1F14"/>
    <w:rsid w:val="000A288E"/>
    <w:rsid w:val="000A3F77"/>
    <w:rsid w:val="000A6BC9"/>
    <w:rsid w:val="000A722D"/>
    <w:rsid w:val="000A7A0F"/>
    <w:rsid w:val="000B7B36"/>
    <w:rsid w:val="000C1427"/>
    <w:rsid w:val="000C36DF"/>
    <w:rsid w:val="000C3971"/>
    <w:rsid w:val="000C3A92"/>
    <w:rsid w:val="000C4733"/>
    <w:rsid w:val="000C5F4D"/>
    <w:rsid w:val="000D1C8A"/>
    <w:rsid w:val="000D2869"/>
    <w:rsid w:val="000D31E8"/>
    <w:rsid w:val="000D332A"/>
    <w:rsid w:val="000D38FA"/>
    <w:rsid w:val="000D3B5F"/>
    <w:rsid w:val="000D58D4"/>
    <w:rsid w:val="000D7844"/>
    <w:rsid w:val="000D7F1F"/>
    <w:rsid w:val="000E3887"/>
    <w:rsid w:val="000E40C9"/>
    <w:rsid w:val="000E50BE"/>
    <w:rsid w:val="000E7DC6"/>
    <w:rsid w:val="000F05D3"/>
    <w:rsid w:val="000F12EF"/>
    <w:rsid w:val="000F18D8"/>
    <w:rsid w:val="000F2418"/>
    <w:rsid w:val="000F2EF0"/>
    <w:rsid w:val="000F694F"/>
    <w:rsid w:val="000F6F6E"/>
    <w:rsid w:val="000F7898"/>
    <w:rsid w:val="0010045D"/>
    <w:rsid w:val="00100E17"/>
    <w:rsid w:val="00103EB7"/>
    <w:rsid w:val="001041F8"/>
    <w:rsid w:val="001042F8"/>
    <w:rsid w:val="00105E14"/>
    <w:rsid w:val="00106D71"/>
    <w:rsid w:val="0011064A"/>
    <w:rsid w:val="001114EC"/>
    <w:rsid w:val="00111EF1"/>
    <w:rsid w:val="00116C94"/>
    <w:rsid w:val="0012013B"/>
    <w:rsid w:val="00120AC0"/>
    <w:rsid w:val="001214E1"/>
    <w:rsid w:val="00123D5E"/>
    <w:rsid w:val="00124902"/>
    <w:rsid w:val="0012579C"/>
    <w:rsid w:val="001257C3"/>
    <w:rsid w:val="00131F4C"/>
    <w:rsid w:val="0013224D"/>
    <w:rsid w:val="00135997"/>
    <w:rsid w:val="00136272"/>
    <w:rsid w:val="0013720B"/>
    <w:rsid w:val="001427C5"/>
    <w:rsid w:val="00142B64"/>
    <w:rsid w:val="00142BD0"/>
    <w:rsid w:val="00143BEF"/>
    <w:rsid w:val="001452EF"/>
    <w:rsid w:val="00145AD0"/>
    <w:rsid w:val="00146E76"/>
    <w:rsid w:val="00150239"/>
    <w:rsid w:val="00154633"/>
    <w:rsid w:val="00155B36"/>
    <w:rsid w:val="0015749D"/>
    <w:rsid w:val="00160998"/>
    <w:rsid w:val="001609D8"/>
    <w:rsid w:val="00164921"/>
    <w:rsid w:val="00164A95"/>
    <w:rsid w:val="001658E0"/>
    <w:rsid w:val="001664EE"/>
    <w:rsid w:val="00166E8C"/>
    <w:rsid w:val="001715D6"/>
    <w:rsid w:val="00173957"/>
    <w:rsid w:val="00175104"/>
    <w:rsid w:val="001814AB"/>
    <w:rsid w:val="001840B5"/>
    <w:rsid w:val="00186475"/>
    <w:rsid w:val="0019671D"/>
    <w:rsid w:val="001A0CCD"/>
    <w:rsid w:val="001A588F"/>
    <w:rsid w:val="001A5D85"/>
    <w:rsid w:val="001A75F7"/>
    <w:rsid w:val="001A7BA4"/>
    <w:rsid w:val="001B148B"/>
    <w:rsid w:val="001B1BD8"/>
    <w:rsid w:val="001B5571"/>
    <w:rsid w:val="001C07B7"/>
    <w:rsid w:val="001C3BEB"/>
    <w:rsid w:val="001C66CF"/>
    <w:rsid w:val="001C6E8A"/>
    <w:rsid w:val="001D15D6"/>
    <w:rsid w:val="001D1948"/>
    <w:rsid w:val="001D6420"/>
    <w:rsid w:val="001D70DA"/>
    <w:rsid w:val="001D749B"/>
    <w:rsid w:val="001D7C1C"/>
    <w:rsid w:val="001E0597"/>
    <w:rsid w:val="001E4F46"/>
    <w:rsid w:val="001E589B"/>
    <w:rsid w:val="001E6074"/>
    <w:rsid w:val="001E7A7E"/>
    <w:rsid w:val="001F19CF"/>
    <w:rsid w:val="001F217E"/>
    <w:rsid w:val="001F218D"/>
    <w:rsid w:val="001F25A8"/>
    <w:rsid w:val="001F2E90"/>
    <w:rsid w:val="001F5CA1"/>
    <w:rsid w:val="001F60F6"/>
    <w:rsid w:val="001F6A8C"/>
    <w:rsid w:val="001F70F9"/>
    <w:rsid w:val="00200A85"/>
    <w:rsid w:val="002027E4"/>
    <w:rsid w:val="00206CA8"/>
    <w:rsid w:val="00207EDC"/>
    <w:rsid w:val="00210741"/>
    <w:rsid w:val="00210E48"/>
    <w:rsid w:val="0021323B"/>
    <w:rsid w:val="00213986"/>
    <w:rsid w:val="00213B6E"/>
    <w:rsid w:val="00220F5E"/>
    <w:rsid w:val="0022106F"/>
    <w:rsid w:val="00222A65"/>
    <w:rsid w:val="00223130"/>
    <w:rsid w:val="00225992"/>
    <w:rsid w:val="00225F39"/>
    <w:rsid w:val="002305C5"/>
    <w:rsid w:val="0023129C"/>
    <w:rsid w:val="00232694"/>
    <w:rsid w:val="002329BB"/>
    <w:rsid w:val="00234FBA"/>
    <w:rsid w:val="0023750F"/>
    <w:rsid w:val="00240BB7"/>
    <w:rsid w:val="00240E84"/>
    <w:rsid w:val="00241855"/>
    <w:rsid w:val="00241934"/>
    <w:rsid w:val="00241C3C"/>
    <w:rsid w:val="00242CE7"/>
    <w:rsid w:val="002445B3"/>
    <w:rsid w:val="002466F5"/>
    <w:rsid w:val="00246DB5"/>
    <w:rsid w:val="002471DF"/>
    <w:rsid w:val="00250364"/>
    <w:rsid w:val="0025115C"/>
    <w:rsid w:val="00252919"/>
    <w:rsid w:val="0025462F"/>
    <w:rsid w:val="002546A6"/>
    <w:rsid w:val="00260243"/>
    <w:rsid w:val="00261C34"/>
    <w:rsid w:val="00262168"/>
    <w:rsid w:val="00264F79"/>
    <w:rsid w:val="002655D0"/>
    <w:rsid w:val="0026678E"/>
    <w:rsid w:val="0026681E"/>
    <w:rsid w:val="00267D76"/>
    <w:rsid w:val="002703F7"/>
    <w:rsid w:val="002705FD"/>
    <w:rsid w:val="002718DA"/>
    <w:rsid w:val="0027271D"/>
    <w:rsid w:val="0027273E"/>
    <w:rsid w:val="00277C0D"/>
    <w:rsid w:val="00283DBB"/>
    <w:rsid w:val="00287990"/>
    <w:rsid w:val="00291599"/>
    <w:rsid w:val="00291F3B"/>
    <w:rsid w:val="0029205D"/>
    <w:rsid w:val="002929FE"/>
    <w:rsid w:val="002949D3"/>
    <w:rsid w:val="002A09AA"/>
    <w:rsid w:val="002A197E"/>
    <w:rsid w:val="002A1C86"/>
    <w:rsid w:val="002A27BA"/>
    <w:rsid w:val="002A3649"/>
    <w:rsid w:val="002A37EC"/>
    <w:rsid w:val="002B0495"/>
    <w:rsid w:val="002B0E03"/>
    <w:rsid w:val="002B2073"/>
    <w:rsid w:val="002B2A3E"/>
    <w:rsid w:val="002B4620"/>
    <w:rsid w:val="002B684E"/>
    <w:rsid w:val="002C1615"/>
    <w:rsid w:val="002C1C5C"/>
    <w:rsid w:val="002C1EF7"/>
    <w:rsid w:val="002C25F5"/>
    <w:rsid w:val="002C4A30"/>
    <w:rsid w:val="002C58ED"/>
    <w:rsid w:val="002C5980"/>
    <w:rsid w:val="002C6033"/>
    <w:rsid w:val="002C6DC9"/>
    <w:rsid w:val="002C7632"/>
    <w:rsid w:val="002C7845"/>
    <w:rsid w:val="002C7F79"/>
    <w:rsid w:val="002D0F0E"/>
    <w:rsid w:val="002D1C5F"/>
    <w:rsid w:val="002D43A7"/>
    <w:rsid w:val="002D456E"/>
    <w:rsid w:val="002D685A"/>
    <w:rsid w:val="002D7A32"/>
    <w:rsid w:val="002D7D7F"/>
    <w:rsid w:val="002E0495"/>
    <w:rsid w:val="002E08B9"/>
    <w:rsid w:val="002E279A"/>
    <w:rsid w:val="002E7898"/>
    <w:rsid w:val="002F0AB8"/>
    <w:rsid w:val="002F2E12"/>
    <w:rsid w:val="002F324F"/>
    <w:rsid w:val="002F5DC1"/>
    <w:rsid w:val="00300A8E"/>
    <w:rsid w:val="00302A54"/>
    <w:rsid w:val="0030523F"/>
    <w:rsid w:val="00305D65"/>
    <w:rsid w:val="00307CDA"/>
    <w:rsid w:val="0031302C"/>
    <w:rsid w:val="0031314C"/>
    <w:rsid w:val="00313322"/>
    <w:rsid w:val="00313EC6"/>
    <w:rsid w:val="00314C25"/>
    <w:rsid w:val="0031712B"/>
    <w:rsid w:val="00320826"/>
    <w:rsid w:val="0032089C"/>
    <w:rsid w:val="00322047"/>
    <w:rsid w:val="00327D98"/>
    <w:rsid w:val="00327EAA"/>
    <w:rsid w:val="00332005"/>
    <w:rsid w:val="00332287"/>
    <w:rsid w:val="00332932"/>
    <w:rsid w:val="00332FFA"/>
    <w:rsid w:val="00335DB9"/>
    <w:rsid w:val="00336155"/>
    <w:rsid w:val="00336E7F"/>
    <w:rsid w:val="003371DA"/>
    <w:rsid w:val="00340FAD"/>
    <w:rsid w:val="00342F1B"/>
    <w:rsid w:val="00344607"/>
    <w:rsid w:val="0034474D"/>
    <w:rsid w:val="003472AB"/>
    <w:rsid w:val="0035213B"/>
    <w:rsid w:val="00353737"/>
    <w:rsid w:val="0035443A"/>
    <w:rsid w:val="00355626"/>
    <w:rsid w:val="003569AB"/>
    <w:rsid w:val="00357040"/>
    <w:rsid w:val="00363206"/>
    <w:rsid w:val="0036409D"/>
    <w:rsid w:val="0036415D"/>
    <w:rsid w:val="003652E1"/>
    <w:rsid w:val="00365D00"/>
    <w:rsid w:val="00367DA8"/>
    <w:rsid w:val="00370089"/>
    <w:rsid w:val="0037116B"/>
    <w:rsid w:val="00373494"/>
    <w:rsid w:val="00375209"/>
    <w:rsid w:val="00376E81"/>
    <w:rsid w:val="00377727"/>
    <w:rsid w:val="003837B0"/>
    <w:rsid w:val="00383DDA"/>
    <w:rsid w:val="003841D3"/>
    <w:rsid w:val="00384ABC"/>
    <w:rsid w:val="00386034"/>
    <w:rsid w:val="00387540"/>
    <w:rsid w:val="00390207"/>
    <w:rsid w:val="00392140"/>
    <w:rsid w:val="0039239B"/>
    <w:rsid w:val="0039664B"/>
    <w:rsid w:val="003973B9"/>
    <w:rsid w:val="00397D00"/>
    <w:rsid w:val="003A0D9F"/>
    <w:rsid w:val="003A22C9"/>
    <w:rsid w:val="003A4462"/>
    <w:rsid w:val="003A51C8"/>
    <w:rsid w:val="003A649A"/>
    <w:rsid w:val="003A79AC"/>
    <w:rsid w:val="003B0046"/>
    <w:rsid w:val="003B1BB9"/>
    <w:rsid w:val="003B4302"/>
    <w:rsid w:val="003B52F0"/>
    <w:rsid w:val="003B602E"/>
    <w:rsid w:val="003C1557"/>
    <w:rsid w:val="003C367C"/>
    <w:rsid w:val="003C5C46"/>
    <w:rsid w:val="003C6AAD"/>
    <w:rsid w:val="003C6C21"/>
    <w:rsid w:val="003C7DAB"/>
    <w:rsid w:val="003D0D73"/>
    <w:rsid w:val="003D2CAC"/>
    <w:rsid w:val="003D44CB"/>
    <w:rsid w:val="003D47BB"/>
    <w:rsid w:val="003D557D"/>
    <w:rsid w:val="003D7DD6"/>
    <w:rsid w:val="003E2340"/>
    <w:rsid w:val="003E3EBC"/>
    <w:rsid w:val="003E5FA2"/>
    <w:rsid w:val="003E62C3"/>
    <w:rsid w:val="003E707F"/>
    <w:rsid w:val="003E728A"/>
    <w:rsid w:val="003E7B60"/>
    <w:rsid w:val="003F1AFE"/>
    <w:rsid w:val="003F3A92"/>
    <w:rsid w:val="003F4983"/>
    <w:rsid w:val="00401F9A"/>
    <w:rsid w:val="00404303"/>
    <w:rsid w:val="00404CFF"/>
    <w:rsid w:val="00404E5F"/>
    <w:rsid w:val="004054EA"/>
    <w:rsid w:val="004062EC"/>
    <w:rsid w:val="004121AB"/>
    <w:rsid w:val="0041302B"/>
    <w:rsid w:val="00415556"/>
    <w:rsid w:val="00416A17"/>
    <w:rsid w:val="00416C17"/>
    <w:rsid w:val="0042163E"/>
    <w:rsid w:val="00422936"/>
    <w:rsid w:val="004230B5"/>
    <w:rsid w:val="00424039"/>
    <w:rsid w:val="00424058"/>
    <w:rsid w:val="004245B9"/>
    <w:rsid w:val="0042517E"/>
    <w:rsid w:val="00430F9F"/>
    <w:rsid w:val="00434100"/>
    <w:rsid w:val="00435D25"/>
    <w:rsid w:val="00442F25"/>
    <w:rsid w:val="004471E6"/>
    <w:rsid w:val="0044747C"/>
    <w:rsid w:val="00447A0F"/>
    <w:rsid w:val="004505A3"/>
    <w:rsid w:val="004558F7"/>
    <w:rsid w:val="00455C56"/>
    <w:rsid w:val="00455E63"/>
    <w:rsid w:val="00456B74"/>
    <w:rsid w:val="00456DFC"/>
    <w:rsid w:val="00457677"/>
    <w:rsid w:val="00457D3B"/>
    <w:rsid w:val="004610FB"/>
    <w:rsid w:val="00461258"/>
    <w:rsid w:val="00461598"/>
    <w:rsid w:val="0046199C"/>
    <w:rsid w:val="004628E9"/>
    <w:rsid w:val="00462A61"/>
    <w:rsid w:val="00462BB2"/>
    <w:rsid w:val="0046300D"/>
    <w:rsid w:val="004645B2"/>
    <w:rsid w:val="00464FE0"/>
    <w:rsid w:val="00466044"/>
    <w:rsid w:val="00470978"/>
    <w:rsid w:val="00471631"/>
    <w:rsid w:val="00471D51"/>
    <w:rsid w:val="0047215D"/>
    <w:rsid w:val="00472A42"/>
    <w:rsid w:val="00474376"/>
    <w:rsid w:val="004762CE"/>
    <w:rsid w:val="00476614"/>
    <w:rsid w:val="004777C6"/>
    <w:rsid w:val="00481AFC"/>
    <w:rsid w:val="00483EB1"/>
    <w:rsid w:val="004879B5"/>
    <w:rsid w:val="00487F0D"/>
    <w:rsid w:val="00490323"/>
    <w:rsid w:val="004907CC"/>
    <w:rsid w:val="0049133D"/>
    <w:rsid w:val="00491CCC"/>
    <w:rsid w:val="00491FE8"/>
    <w:rsid w:val="00494F10"/>
    <w:rsid w:val="00495B62"/>
    <w:rsid w:val="0049745B"/>
    <w:rsid w:val="004A3B29"/>
    <w:rsid w:val="004A57E8"/>
    <w:rsid w:val="004A58BF"/>
    <w:rsid w:val="004A64B4"/>
    <w:rsid w:val="004A652C"/>
    <w:rsid w:val="004B29A4"/>
    <w:rsid w:val="004B3934"/>
    <w:rsid w:val="004C0794"/>
    <w:rsid w:val="004C0B25"/>
    <w:rsid w:val="004C2AC2"/>
    <w:rsid w:val="004C3E8E"/>
    <w:rsid w:val="004C4A08"/>
    <w:rsid w:val="004C7903"/>
    <w:rsid w:val="004D36BC"/>
    <w:rsid w:val="004D3FE2"/>
    <w:rsid w:val="004D666F"/>
    <w:rsid w:val="004E02B7"/>
    <w:rsid w:val="004E0B93"/>
    <w:rsid w:val="004E344F"/>
    <w:rsid w:val="004E3AAF"/>
    <w:rsid w:val="004E4D73"/>
    <w:rsid w:val="004E539F"/>
    <w:rsid w:val="004E5F7A"/>
    <w:rsid w:val="004E67BE"/>
    <w:rsid w:val="004E6EBB"/>
    <w:rsid w:val="004F2E0A"/>
    <w:rsid w:val="004F3746"/>
    <w:rsid w:val="004F4EBE"/>
    <w:rsid w:val="004F516C"/>
    <w:rsid w:val="004F52F7"/>
    <w:rsid w:val="004F7EA4"/>
    <w:rsid w:val="00500B1A"/>
    <w:rsid w:val="00502039"/>
    <w:rsid w:val="00502C72"/>
    <w:rsid w:val="00503726"/>
    <w:rsid w:val="00506ECD"/>
    <w:rsid w:val="00510E42"/>
    <w:rsid w:val="00512AB8"/>
    <w:rsid w:val="00513459"/>
    <w:rsid w:val="00513C8D"/>
    <w:rsid w:val="00515AE8"/>
    <w:rsid w:val="00517474"/>
    <w:rsid w:val="005178D9"/>
    <w:rsid w:val="00520C28"/>
    <w:rsid w:val="00524238"/>
    <w:rsid w:val="0052634C"/>
    <w:rsid w:val="00527D95"/>
    <w:rsid w:val="00527DD8"/>
    <w:rsid w:val="00530A61"/>
    <w:rsid w:val="0053472C"/>
    <w:rsid w:val="00535063"/>
    <w:rsid w:val="00541C3C"/>
    <w:rsid w:val="00543D89"/>
    <w:rsid w:val="00551DA9"/>
    <w:rsid w:val="00552003"/>
    <w:rsid w:val="0055204E"/>
    <w:rsid w:val="005521B0"/>
    <w:rsid w:val="00552325"/>
    <w:rsid w:val="0055396A"/>
    <w:rsid w:val="00553B9E"/>
    <w:rsid w:val="005541F0"/>
    <w:rsid w:val="00556B2C"/>
    <w:rsid w:val="005611D5"/>
    <w:rsid w:val="00563A53"/>
    <w:rsid w:val="00566490"/>
    <w:rsid w:val="0057142E"/>
    <w:rsid w:val="0057325B"/>
    <w:rsid w:val="00576232"/>
    <w:rsid w:val="00577D5A"/>
    <w:rsid w:val="00582072"/>
    <w:rsid w:val="005822E5"/>
    <w:rsid w:val="0058641E"/>
    <w:rsid w:val="005876F6"/>
    <w:rsid w:val="00587F21"/>
    <w:rsid w:val="00590AB5"/>
    <w:rsid w:val="005957BF"/>
    <w:rsid w:val="00595FE3"/>
    <w:rsid w:val="005A13F4"/>
    <w:rsid w:val="005A190A"/>
    <w:rsid w:val="005A2CE9"/>
    <w:rsid w:val="005A6284"/>
    <w:rsid w:val="005B5FAD"/>
    <w:rsid w:val="005B6A4E"/>
    <w:rsid w:val="005C0C29"/>
    <w:rsid w:val="005C1DF3"/>
    <w:rsid w:val="005C26F4"/>
    <w:rsid w:val="005C3271"/>
    <w:rsid w:val="005C4A8F"/>
    <w:rsid w:val="005C4C7F"/>
    <w:rsid w:val="005C54BA"/>
    <w:rsid w:val="005C56E5"/>
    <w:rsid w:val="005C5789"/>
    <w:rsid w:val="005C5CC8"/>
    <w:rsid w:val="005C5EF3"/>
    <w:rsid w:val="005D098C"/>
    <w:rsid w:val="005D2AEB"/>
    <w:rsid w:val="005D2C61"/>
    <w:rsid w:val="005D336A"/>
    <w:rsid w:val="005D69F0"/>
    <w:rsid w:val="005D6C1C"/>
    <w:rsid w:val="005E123B"/>
    <w:rsid w:val="005E1C3C"/>
    <w:rsid w:val="005E2115"/>
    <w:rsid w:val="005E24BF"/>
    <w:rsid w:val="005E6106"/>
    <w:rsid w:val="005E6D1C"/>
    <w:rsid w:val="005E7822"/>
    <w:rsid w:val="005F021D"/>
    <w:rsid w:val="005F10D5"/>
    <w:rsid w:val="005F3AB3"/>
    <w:rsid w:val="005F5D74"/>
    <w:rsid w:val="0060079D"/>
    <w:rsid w:val="00601343"/>
    <w:rsid w:val="0060157B"/>
    <w:rsid w:val="006036EB"/>
    <w:rsid w:val="00604CAD"/>
    <w:rsid w:val="00604FF2"/>
    <w:rsid w:val="00607955"/>
    <w:rsid w:val="00610117"/>
    <w:rsid w:val="00611713"/>
    <w:rsid w:val="0061245A"/>
    <w:rsid w:val="00616EEC"/>
    <w:rsid w:val="006171B6"/>
    <w:rsid w:val="00620046"/>
    <w:rsid w:val="00620185"/>
    <w:rsid w:val="00622E20"/>
    <w:rsid w:val="006254EE"/>
    <w:rsid w:val="0063141B"/>
    <w:rsid w:val="00631428"/>
    <w:rsid w:val="006322DF"/>
    <w:rsid w:val="0063267F"/>
    <w:rsid w:val="00632C0F"/>
    <w:rsid w:val="00633A7B"/>
    <w:rsid w:val="00637D34"/>
    <w:rsid w:val="00644290"/>
    <w:rsid w:val="006460E1"/>
    <w:rsid w:val="00647936"/>
    <w:rsid w:val="00651652"/>
    <w:rsid w:val="00651BD4"/>
    <w:rsid w:val="00652D95"/>
    <w:rsid w:val="006532B6"/>
    <w:rsid w:val="00653334"/>
    <w:rsid w:val="00655F2D"/>
    <w:rsid w:val="00656DEE"/>
    <w:rsid w:val="006578FF"/>
    <w:rsid w:val="006607E8"/>
    <w:rsid w:val="00660D94"/>
    <w:rsid w:val="0066163D"/>
    <w:rsid w:val="00661ADD"/>
    <w:rsid w:val="00662C28"/>
    <w:rsid w:val="0066584C"/>
    <w:rsid w:val="006707A3"/>
    <w:rsid w:val="0067136A"/>
    <w:rsid w:val="00673F98"/>
    <w:rsid w:val="00674E27"/>
    <w:rsid w:val="00677B16"/>
    <w:rsid w:val="006808B3"/>
    <w:rsid w:val="006851BB"/>
    <w:rsid w:val="00686429"/>
    <w:rsid w:val="00690F21"/>
    <w:rsid w:val="00691001"/>
    <w:rsid w:val="0069223F"/>
    <w:rsid w:val="00694FA0"/>
    <w:rsid w:val="00697C55"/>
    <w:rsid w:val="006A0CD7"/>
    <w:rsid w:val="006A0F77"/>
    <w:rsid w:val="006A5C93"/>
    <w:rsid w:val="006B2A98"/>
    <w:rsid w:val="006B308F"/>
    <w:rsid w:val="006B335F"/>
    <w:rsid w:val="006B37DF"/>
    <w:rsid w:val="006B3C8B"/>
    <w:rsid w:val="006B449C"/>
    <w:rsid w:val="006B4F2F"/>
    <w:rsid w:val="006B539F"/>
    <w:rsid w:val="006B6D13"/>
    <w:rsid w:val="006B7CA3"/>
    <w:rsid w:val="006C0524"/>
    <w:rsid w:val="006C056A"/>
    <w:rsid w:val="006C1948"/>
    <w:rsid w:val="006C2178"/>
    <w:rsid w:val="006C3CEB"/>
    <w:rsid w:val="006C3E53"/>
    <w:rsid w:val="006C686C"/>
    <w:rsid w:val="006C6B12"/>
    <w:rsid w:val="006C6E34"/>
    <w:rsid w:val="006C77AD"/>
    <w:rsid w:val="006D0C43"/>
    <w:rsid w:val="006D289B"/>
    <w:rsid w:val="006D2BB1"/>
    <w:rsid w:val="006D3429"/>
    <w:rsid w:val="006D3496"/>
    <w:rsid w:val="006D3FE5"/>
    <w:rsid w:val="006D5D53"/>
    <w:rsid w:val="006D6974"/>
    <w:rsid w:val="006E04B1"/>
    <w:rsid w:val="006E112E"/>
    <w:rsid w:val="006E2728"/>
    <w:rsid w:val="006E2C2B"/>
    <w:rsid w:val="006E4407"/>
    <w:rsid w:val="006E483D"/>
    <w:rsid w:val="006E5B87"/>
    <w:rsid w:val="006F1410"/>
    <w:rsid w:val="006F25D6"/>
    <w:rsid w:val="006F2E34"/>
    <w:rsid w:val="006F5F4D"/>
    <w:rsid w:val="006F6445"/>
    <w:rsid w:val="007000E6"/>
    <w:rsid w:val="007041BF"/>
    <w:rsid w:val="007052A3"/>
    <w:rsid w:val="00706BB5"/>
    <w:rsid w:val="00707D58"/>
    <w:rsid w:val="0071165C"/>
    <w:rsid w:val="00711865"/>
    <w:rsid w:val="0072427C"/>
    <w:rsid w:val="007267B2"/>
    <w:rsid w:val="00731A71"/>
    <w:rsid w:val="00732BBD"/>
    <w:rsid w:val="00733883"/>
    <w:rsid w:val="00734CA2"/>
    <w:rsid w:val="00737093"/>
    <w:rsid w:val="00737DAA"/>
    <w:rsid w:val="007404B6"/>
    <w:rsid w:val="00740A1E"/>
    <w:rsid w:val="00745BED"/>
    <w:rsid w:val="00745C48"/>
    <w:rsid w:val="00750044"/>
    <w:rsid w:val="00750BE4"/>
    <w:rsid w:val="00752E99"/>
    <w:rsid w:val="00754181"/>
    <w:rsid w:val="0075465B"/>
    <w:rsid w:val="00755CBB"/>
    <w:rsid w:val="00760D52"/>
    <w:rsid w:val="00760ED2"/>
    <w:rsid w:val="007647B5"/>
    <w:rsid w:val="007658BC"/>
    <w:rsid w:val="00766135"/>
    <w:rsid w:val="00770765"/>
    <w:rsid w:val="007720E7"/>
    <w:rsid w:val="00773453"/>
    <w:rsid w:val="00774042"/>
    <w:rsid w:val="0077470D"/>
    <w:rsid w:val="00775658"/>
    <w:rsid w:val="00782173"/>
    <w:rsid w:val="00785932"/>
    <w:rsid w:val="00785DA1"/>
    <w:rsid w:val="007879A2"/>
    <w:rsid w:val="007903F2"/>
    <w:rsid w:val="00791CDE"/>
    <w:rsid w:val="00793327"/>
    <w:rsid w:val="00794A00"/>
    <w:rsid w:val="00794B41"/>
    <w:rsid w:val="00795608"/>
    <w:rsid w:val="00797197"/>
    <w:rsid w:val="00797922"/>
    <w:rsid w:val="007A1152"/>
    <w:rsid w:val="007A606F"/>
    <w:rsid w:val="007B4ECB"/>
    <w:rsid w:val="007B5A4B"/>
    <w:rsid w:val="007B6315"/>
    <w:rsid w:val="007C0C50"/>
    <w:rsid w:val="007D1644"/>
    <w:rsid w:val="007D1C05"/>
    <w:rsid w:val="007D2924"/>
    <w:rsid w:val="007D4291"/>
    <w:rsid w:val="007D4BAD"/>
    <w:rsid w:val="007D51E9"/>
    <w:rsid w:val="007D592D"/>
    <w:rsid w:val="007E4C63"/>
    <w:rsid w:val="007E5228"/>
    <w:rsid w:val="007E6E53"/>
    <w:rsid w:val="007E6EE3"/>
    <w:rsid w:val="007E766F"/>
    <w:rsid w:val="007E7B1C"/>
    <w:rsid w:val="007F572F"/>
    <w:rsid w:val="007F7A68"/>
    <w:rsid w:val="008005B7"/>
    <w:rsid w:val="00801330"/>
    <w:rsid w:val="008048F4"/>
    <w:rsid w:val="0080514D"/>
    <w:rsid w:val="0080554F"/>
    <w:rsid w:val="00806237"/>
    <w:rsid w:val="00806A6E"/>
    <w:rsid w:val="00811F30"/>
    <w:rsid w:val="008132B3"/>
    <w:rsid w:val="00814C1F"/>
    <w:rsid w:val="0081506E"/>
    <w:rsid w:val="008160B4"/>
    <w:rsid w:val="0081670F"/>
    <w:rsid w:val="00816F77"/>
    <w:rsid w:val="00820A4D"/>
    <w:rsid w:val="00824299"/>
    <w:rsid w:val="0082448C"/>
    <w:rsid w:val="00824CC8"/>
    <w:rsid w:val="0082663D"/>
    <w:rsid w:val="00827CCA"/>
    <w:rsid w:val="008350FD"/>
    <w:rsid w:val="008364E7"/>
    <w:rsid w:val="0084088F"/>
    <w:rsid w:val="00841E28"/>
    <w:rsid w:val="008453DE"/>
    <w:rsid w:val="00846B07"/>
    <w:rsid w:val="00847BA0"/>
    <w:rsid w:val="0085189E"/>
    <w:rsid w:val="008549F3"/>
    <w:rsid w:val="00854C3A"/>
    <w:rsid w:val="00854E14"/>
    <w:rsid w:val="00856F1F"/>
    <w:rsid w:val="00857AFA"/>
    <w:rsid w:val="00861713"/>
    <w:rsid w:val="00861D92"/>
    <w:rsid w:val="008623FB"/>
    <w:rsid w:val="00873C76"/>
    <w:rsid w:val="00873E83"/>
    <w:rsid w:val="00874448"/>
    <w:rsid w:val="00876657"/>
    <w:rsid w:val="00883E98"/>
    <w:rsid w:val="00887346"/>
    <w:rsid w:val="008946C9"/>
    <w:rsid w:val="0089480A"/>
    <w:rsid w:val="0089625A"/>
    <w:rsid w:val="00897C80"/>
    <w:rsid w:val="008A0241"/>
    <w:rsid w:val="008A5D6E"/>
    <w:rsid w:val="008B1033"/>
    <w:rsid w:val="008B2299"/>
    <w:rsid w:val="008B4571"/>
    <w:rsid w:val="008B4C2D"/>
    <w:rsid w:val="008B4FDE"/>
    <w:rsid w:val="008C0BCB"/>
    <w:rsid w:val="008C131B"/>
    <w:rsid w:val="008C7D4F"/>
    <w:rsid w:val="008D0CAA"/>
    <w:rsid w:val="008D2087"/>
    <w:rsid w:val="008D71E2"/>
    <w:rsid w:val="008E2F43"/>
    <w:rsid w:val="008E4959"/>
    <w:rsid w:val="008E4E31"/>
    <w:rsid w:val="008E6932"/>
    <w:rsid w:val="008E759B"/>
    <w:rsid w:val="008F0932"/>
    <w:rsid w:val="008F2BED"/>
    <w:rsid w:val="008F2CF3"/>
    <w:rsid w:val="008F41EC"/>
    <w:rsid w:val="00902500"/>
    <w:rsid w:val="00902A4D"/>
    <w:rsid w:val="00905FE0"/>
    <w:rsid w:val="0090612C"/>
    <w:rsid w:val="00910C9E"/>
    <w:rsid w:val="00913114"/>
    <w:rsid w:val="00913A58"/>
    <w:rsid w:val="00913EEE"/>
    <w:rsid w:val="00914D43"/>
    <w:rsid w:val="00915B48"/>
    <w:rsid w:val="00916405"/>
    <w:rsid w:val="00917A61"/>
    <w:rsid w:val="00921DF7"/>
    <w:rsid w:val="009223F5"/>
    <w:rsid w:val="00923224"/>
    <w:rsid w:val="009254DC"/>
    <w:rsid w:val="00926954"/>
    <w:rsid w:val="009303E8"/>
    <w:rsid w:val="00930B03"/>
    <w:rsid w:val="00930B36"/>
    <w:rsid w:val="00931AC0"/>
    <w:rsid w:val="00932F0E"/>
    <w:rsid w:val="009346E6"/>
    <w:rsid w:val="00936191"/>
    <w:rsid w:val="00940636"/>
    <w:rsid w:val="00940B6F"/>
    <w:rsid w:val="00941624"/>
    <w:rsid w:val="009428F4"/>
    <w:rsid w:val="00943EEB"/>
    <w:rsid w:val="009453CF"/>
    <w:rsid w:val="0094695B"/>
    <w:rsid w:val="009501DA"/>
    <w:rsid w:val="009518F7"/>
    <w:rsid w:val="0095544D"/>
    <w:rsid w:val="00955EBC"/>
    <w:rsid w:val="00956901"/>
    <w:rsid w:val="00956EA0"/>
    <w:rsid w:val="009636BE"/>
    <w:rsid w:val="00965409"/>
    <w:rsid w:val="0096646B"/>
    <w:rsid w:val="00971419"/>
    <w:rsid w:val="00971E76"/>
    <w:rsid w:val="00972AE0"/>
    <w:rsid w:val="00972DA0"/>
    <w:rsid w:val="009731B4"/>
    <w:rsid w:val="009747F5"/>
    <w:rsid w:val="009772FF"/>
    <w:rsid w:val="0097750E"/>
    <w:rsid w:val="00977BAF"/>
    <w:rsid w:val="00977BF9"/>
    <w:rsid w:val="00981A26"/>
    <w:rsid w:val="0098255E"/>
    <w:rsid w:val="00982971"/>
    <w:rsid w:val="009830B0"/>
    <w:rsid w:val="00984410"/>
    <w:rsid w:val="009900BA"/>
    <w:rsid w:val="00991648"/>
    <w:rsid w:val="00994444"/>
    <w:rsid w:val="00995061"/>
    <w:rsid w:val="00995CAF"/>
    <w:rsid w:val="00996065"/>
    <w:rsid w:val="009A109A"/>
    <w:rsid w:val="009A2077"/>
    <w:rsid w:val="009A30BE"/>
    <w:rsid w:val="009A5543"/>
    <w:rsid w:val="009A67A3"/>
    <w:rsid w:val="009A6B4D"/>
    <w:rsid w:val="009A6F3C"/>
    <w:rsid w:val="009B2F13"/>
    <w:rsid w:val="009B62FF"/>
    <w:rsid w:val="009B642C"/>
    <w:rsid w:val="009B736F"/>
    <w:rsid w:val="009C0782"/>
    <w:rsid w:val="009C4FF5"/>
    <w:rsid w:val="009C6835"/>
    <w:rsid w:val="009D31D5"/>
    <w:rsid w:val="009D3C4D"/>
    <w:rsid w:val="009D3DB7"/>
    <w:rsid w:val="009D540E"/>
    <w:rsid w:val="009D5D76"/>
    <w:rsid w:val="009D74B7"/>
    <w:rsid w:val="009D7641"/>
    <w:rsid w:val="009E0785"/>
    <w:rsid w:val="009E2D52"/>
    <w:rsid w:val="009E3EBF"/>
    <w:rsid w:val="009E5636"/>
    <w:rsid w:val="009E67B9"/>
    <w:rsid w:val="009E7985"/>
    <w:rsid w:val="009F1B4A"/>
    <w:rsid w:val="009F2C03"/>
    <w:rsid w:val="009F37B2"/>
    <w:rsid w:val="009F4256"/>
    <w:rsid w:val="009F4D74"/>
    <w:rsid w:val="009F7837"/>
    <w:rsid w:val="00A00137"/>
    <w:rsid w:val="00A02EAE"/>
    <w:rsid w:val="00A03074"/>
    <w:rsid w:val="00A03150"/>
    <w:rsid w:val="00A052F5"/>
    <w:rsid w:val="00A07828"/>
    <w:rsid w:val="00A07B67"/>
    <w:rsid w:val="00A11687"/>
    <w:rsid w:val="00A1428C"/>
    <w:rsid w:val="00A164A2"/>
    <w:rsid w:val="00A179FC"/>
    <w:rsid w:val="00A21E20"/>
    <w:rsid w:val="00A23DCA"/>
    <w:rsid w:val="00A2745F"/>
    <w:rsid w:val="00A30B88"/>
    <w:rsid w:val="00A31330"/>
    <w:rsid w:val="00A40247"/>
    <w:rsid w:val="00A403CA"/>
    <w:rsid w:val="00A41617"/>
    <w:rsid w:val="00A434F1"/>
    <w:rsid w:val="00A439EE"/>
    <w:rsid w:val="00A449E8"/>
    <w:rsid w:val="00A44E69"/>
    <w:rsid w:val="00A44E73"/>
    <w:rsid w:val="00A46AE1"/>
    <w:rsid w:val="00A471E0"/>
    <w:rsid w:val="00A51DAA"/>
    <w:rsid w:val="00A53A88"/>
    <w:rsid w:val="00A555F7"/>
    <w:rsid w:val="00A566E1"/>
    <w:rsid w:val="00A61053"/>
    <w:rsid w:val="00A63217"/>
    <w:rsid w:val="00A639C0"/>
    <w:rsid w:val="00A6619C"/>
    <w:rsid w:val="00A73BCC"/>
    <w:rsid w:val="00A77769"/>
    <w:rsid w:val="00A77B06"/>
    <w:rsid w:val="00A817C5"/>
    <w:rsid w:val="00A81830"/>
    <w:rsid w:val="00A81C47"/>
    <w:rsid w:val="00A87C64"/>
    <w:rsid w:val="00A916A2"/>
    <w:rsid w:val="00A92D84"/>
    <w:rsid w:val="00A93D7C"/>
    <w:rsid w:val="00A9402B"/>
    <w:rsid w:val="00A94CD6"/>
    <w:rsid w:val="00A94F8F"/>
    <w:rsid w:val="00A961E2"/>
    <w:rsid w:val="00A968C6"/>
    <w:rsid w:val="00AA13DA"/>
    <w:rsid w:val="00AA195F"/>
    <w:rsid w:val="00AA2A76"/>
    <w:rsid w:val="00AA3897"/>
    <w:rsid w:val="00AA3CF2"/>
    <w:rsid w:val="00AA51F3"/>
    <w:rsid w:val="00AA61B7"/>
    <w:rsid w:val="00AA6B82"/>
    <w:rsid w:val="00AA74CA"/>
    <w:rsid w:val="00AB013D"/>
    <w:rsid w:val="00AB1CD2"/>
    <w:rsid w:val="00AB2315"/>
    <w:rsid w:val="00AB2E8E"/>
    <w:rsid w:val="00AB65BD"/>
    <w:rsid w:val="00AB7D8C"/>
    <w:rsid w:val="00AC0145"/>
    <w:rsid w:val="00AC019F"/>
    <w:rsid w:val="00AC030B"/>
    <w:rsid w:val="00AC2D07"/>
    <w:rsid w:val="00AC3DB6"/>
    <w:rsid w:val="00AC5A36"/>
    <w:rsid w:val="00AC5EAC"/>
    <w:rsid w:val="00AC68F5"/>
    <w:rsid w:val="00AD0BB2"/>
    <w:rsid w:val="00AD1145"/>
    <w:rsid w:val="00AD25B8"/>
    <w:rsid w:val="00AD3AD1"/>
    <w:rsid w:val="00AD47A5"/>
    <w:rsid w:val="00AD7859"/>
    <w:rsid w:val="00AE08B6"/>
    <w:rsid w:val="00AE3C86"/>
    <w:rsid w:val="00AE436F"/>
    <w:rsid w:val="00AE4A90"/>
    <w:rsid w:val="00AE5F56"/>
    <w:rsid w:val="00AE65ED"/>
    <w:rsid w:val="00AE6FBD"/>
    <w:rsid w:val="00AF0C24"/>
    <w:rsid w:val="00AF1808"/>
    <w:rsid w:val="00AF1BC5"/>
    <w:rsid w:val="00AF23EA"/>
    <w:rsid w:val="00AF2D0C"/>
    <w:rsid w:val="00AF40AE"/>
    <w:rsid w:val="00AF4343"/>
    <w:rsid w:val="00AF4C5B"/>
    <w:rsid w:val="00AF6DDE"/>
    <w:rsid w:val="00B008F3"/>
    <w:rsid w:val="00B03289"/>
    <w:rsid w:val="00B0520A"/>
    <w:rsid w:val="00B05C9C"/>
    <w:rsid w:val="00B076FF"/>
    <w:rsid w:val="00B07B6F"/>
    <w:rsid w:val="00B12712"/>
    <w:rsid w:val="00B145D0"/>
    <w:rsid w:val="00B150B3"/>
    <w:rsid w:val="00B15FFF"/>
    <w:rsid w:val="00B17432"/>
    <w:rsid w:val="00B2121A"/>
    <w:rsid w:val="00B22F05"/>
    <w:rsid w:val="00B233E9"/>
    <w:rsid w:val="00B2421B"/>
    <w:rsid w:val="00B25E3D"/>
    <w:rsid w:val="00B2695F"/>
    <w:rsid w:val="00B26F57"/>
    <w:rsid w:val="00B36F2B"/>
    <w:rsid w:val="00B36FFF"/>
    <w:rsid w:val="00B40D06"/>
    <w:rsid w:val="00B43305"/>
    <w:rsid w:val="00B43D0A"/>
    <w:rsid w:val="00B4493B"/>
    <w:rsid w:val="00B44BDE"/>
    <w:rsid w:val="00B47E3E"/>
    <w:rsid w:val="00B50F3B"/>
    <w:rsid w:val="00B51DA4"/>
    <w:rsid w:val="00B52772"/>
    <w:rsid w:val="00B527E3"/>
    <w:rsid w:val="00B62D92"/>
    <w:rsid w:val="00B6340C"/>
    <w:rsid w:val="00B653E7"/>
    <w:rsid w:val="00B661AB"/>
    <w:rsid w:val="00B668B9"/>
    <w:rsid w:val="00B7188E"/>
    <w:rsid w:val="00B72CC9"/>
    <w:rsid w:val="00B80A84"/>
    <w:rsid w:val="00B824E8"/>
    <w:rsid w:val="00B8352D"/>
    <w:rsid w:val="00B851D9"/>
    <w:rsid w:val="00B87898"/>
    <w:rsid w:val="00B9380F"/>
    <w:rsid w:val="00B93CE6"/>
    <w:rsid w:val="00BA017A"/>
    <w:rsid w:val="00BA092A"/>
    <w:rsid w:val="00BA28A2"/>
    <w:rsid w:val="00BA2989"/>
    <w:rsid w:val="00BA3C55"/>
    <w:rsid w:val="00BA66A8"/>
    <w:rsid w:val="00BB1882"/>
    <w:rsid w:val="00BB49A4"/>
    <w:rsid w:val="00BB6C3B"/>
    <w:rsid w:val="00BC31AC"/>
    <w:rsid w:val="00BC5672"/>
    <w:rsid w:val="00BC6BCA"/>
    <w:rsid w:val="00BD0490"/>
    <w:rsid w:val="00BD0882"/>
    <w:rsid w:val="00BD32EE"/>
    <w:rsid w:val="00BD3E48"/>
    <w:rsid w:val="00BD6F3C"/>
    <w:rsid w:val="00BE02A9"/>
    <w:rsid w:val="00BE2211"/>
    <w:rsid w:val="00BE577E"/>
    <w:rsid w:val="00BE64F9"/>
    <w:rsid w:val="00BF0869"/>
    <w:rsid w:val="00BF3683"/>
    <w:rsid w:val="00BF4424"/>
    <w:rsid w:val="00BF4BFC"/>
    <w:rsid w:val="00C013FD"/>
    <w:rsid w:val="00C01C4B"/>
    <w:rsid w:val="00C024EC"/>
    <w:rsid w:val="00C02B55"/>
    <w:rsid w:val="00C03F3E"/>
    <w:rsid w:val="00C05060"/>
    <w:rsid w:val="00C0699D"/>
    <w:rsid w:val="00C13BCC"/>
    <w:rsid w:val="00C14BFD"/>
    <w:rsid w:val="00C16E1F"/>
    <w:rsid w:val="00C179B6"/>
    <w:rsid w:val="00C209B8"/>
    <w:rsid w:val="00C20A26"/>
    <w:rsid w:val="00C21BE8"/>
    <w:rsid w:val="00C22668"/>
    <w:rsid w:val="00C23BA4"/>
    <w:rsid w:val="00C25172"/>
    <w:rsid w:val="00C2752B"/>
    <w:rsid w:val="00C334CC"/>
    <w:rsid w:val="00C338AF"/>
    <w:rsid w:val="00C3558C"/>
    <w:rsid w:val="00C35BA8"/>
    <w:rsid w:val="00C37DDF"/>
    <w:rsid w:val="00C4022B"/>
    <w:rsid w:val="00C41920"/>
    <w:rsid w:val="00C45671"/>
    <w:rsid w:val="00C47015"/>
    <w:rsid w:val="00C503FC"/>
    <w:rsid w:val="00C50E7F"/>
    <w:rsid w:val="00C538D3"/>
    <w:rsid w:val="00C541FA"/>
    <w:rsid w:val="00C54305"/>
    <w:rsid w:val="00C543BA"/>
    <w:rsid w:val="00C5633D"/>
    <w:rsid w:val="00C579BA"/>
    <w:rsid w:val="00C60287"/>
    <w:rsid w:val="00C604E4"/>
    <w:rsid w:val="00C61205"/>
    <w:rsid w:val="00C62CD3"/>
    <w:rsid w:val="00C655BC"/>
    <w:rsid w:val="00C67384"/>
    <w:rsid w:val="00C677C6"/>
    <w:rsid w:val="00C70117"/>
    <w:rsid w:val="00C706C7"/>
    <w:rsid w:val="00C73BEC"/>
    <w:rsid w:val="00C73FEA"/>
    <w:rsid w:val="00C7574F"/>
    <w:rsid w:val="00C8044C"/>
    <w:rsid w:val="00C81ABB"/>
    <w:rsid w:val="00C81C28"/>
    <w:rsid w:val="00C83C4D"/>
    <w:rsid w:val="00C87686"/>
    <w:rsid w:val="00C87793"/>
    <w:rsid w:val="00C90E34"/>
    <w:rsid w:val="00C91FF7"/>
    <w:rsid w:val="00C92268"/>
    <w:rsid w:val="00C927F0"/>
    <w:rsid w:val="00C92A52"/>
    <w:rsid w:val="00C96C3F"/>
    <w:rsid w:val="00CA0F4C"/>
    <w:rsid w:val="00CA6B96"/>
    <w:rsid w:val="00CA73B5"/>
    <w:rsid w:val="00CA7AD5"/>
    <w:rsid w:val="00CB0B36"/>
    <w:rsid w:val="00CB176D"/>
    <w:rsid w:val="00CB1986"/>
    <w:rsid w:val="00CB2DFE"/>
    <w:rsid w:val="00CB335E"/>
    <w:rsid w:val="00CC0998"/>
    <w:rsid w:val="00CC0A33"/>
    <w:rsid w:val="00CC10EF"/>
    <w:rsid w:val="00CC201A"/>
    <w:rsid w:val="00CC36BF"/>
    <w:rsid w:val="00CC3BB3"/>
    <w:rsid w:val="00CC69B8"/>
    <w:rsid w:val="00CC7961"/>
    <w:rsid w:val="00CD08DD"/>
    <w:rsid w:val="00CD32C5"/>
    <w:rsid w:val="00CD48F6"/>
    <w:rsid w:val="00CD6425"/>
    <w:rsid w:val="00CD705E"/>
    <w:rsid w:val="00CD70B4"/>
    <w:rsid w:val="00CD7194"/>
    <w:rsid w:val="00CD71B5"/>
    <w:rsid w:val="00CE2BBD"/>
    <w:rsid w:val="00CE7F1B"/>
    <w:rsid w:val="00CF4157"/>
    <w:rsid w:val="00CF6109"/>
    <w:rsid w:val="00CF62AA"/>
    <w:rsid w:val="00D02229"/>
    <w:rsid w:val="00D02F47"/>
    <w:rsid w:val="00D057E1"/>
    <w:rsid w:val="00D05C74"/>
    <w:rsid w:val="00D0697A"/>
    <w:rsid w:val="00D10058"/>
    <w:rsid w:val="00D10DAC"/>
    <w:rsid w:val="00D11B42"/>
    <w:rsid w:val="00D127FC"/>
    <w:rsid w:val="00D14CB2"/>
    <w:rsid w:val="00D162F9"/>
    <w:rsid w:val="00D177BA"/>
    <w:rsid w:val="00D23CD1"/>
    <w:rsid w:val="00D24B4D"/>
    <w:rsid w:val="00D24C53"/>
    <w:rsid w:val="00D256A4"/>
    <w:rsid w:val="00D26063"/>
    <w:rsid w:val="00D26CF3"/>
    <w:rsid w:val="00D2740C"/>
    <w:rsid w:val="00D3105D"/>
    <w:rsid w:val="00D31345"/>
    <w:rsid w:val="00D31F40"/>
    <w:rsid w:val="00D3371A"/>
    <w:rsid w:val="00D3652C"/>
    <w:rsid w:val="00D37C48"/>
    <w:rsid w:val="00D41ADB"/>
    <w:rsid w:val="00D429DF"/>
    <w:rsid w:val="00D43E6C"/>
    <w:rsid w:val="00D45481"/>
    <w:rsid w:val="00D4601E"/>
    <w:rsid w:val="00D47B91"/>
    <w:rsid w:val="00D504A3"/>
    <w:rsid w:val="00D50712"/>
    <w:rsid w:val="00D518C5"/>
    <w:rsid w:val="00D5361D"/>
    <w:rsid w:val="00D53A80"/>
    <w:rsid w:val="00D54C49"/>
    <w:rsid w:val="00D55247"/>
    <w:rsid w:val="00D56DB3"/>
    <w:rsid w:val="00D57A89"/>
    <w:rsid w:val="00D610B3"/>
    <w:rsid w:val="00D61EB9"/>
    <w:rsid w:val="00D64B1B"/>
    <w:rsid w:val="00D65C9B"/>
    <w:rsid w:val="00D80008"/>
    <w:rsid w:val="00D8579A"/>
    <w:rsid w:val="00D90345"/>
    <w:rsid w:val="00D90B0B"/>
    <w:rsid w:val="00D91655"/>
    <w:rsid w:val="00D93BCF"/>
    <w:rsid w:val="00D9586F"/>
    <w:rsid w:val="00D97673"/>
    <w:rsid w:val="00D97CD8"/>
    <w:rsid w:val="00DA1347"/>
    <w:rsid w:val="00DA1368"/>
    <w:rsid w:val="00DA3CB8"/>
    <w:rsid w:val="00DA3F91"/>
    <w:rsid w:val="00DA6725"/>
    <w:rsid w:val="00DA6A03"/>
    <w:rsid w:val="00DB0086"/>
    <w:rsid w:val="00DB11EB"/>
    <w:rsid w:val="00DB4B65"/>
    <w:rsid w:val="00DB6579"/>
    <w:rsid w:val="00DC1B33"/>
    <w:rsid w:val="00DC2EA5"/>
    <w:rsid w:val="00DC331C"/>
    <w:rsid w:val="00DC5A6B"/>
    <w:rsid w:val="00DD3DAD"/>
    <w:rsid w:val="00DD7520"/>
    <w:rsid w:val="00DE1A29"/>
    <w:rsid w:val="00DE5F48"/>
    <w:rsid w:val="00DE66B3"/>
    <w:rsid w:val="00DE763A"/>
    <w:rsid w:val="00DF49BB"/>
    <w:rsid w:val="00DF5AA5"/>
    <w:rsid w:val="00DF5E8C"/>
    <w:rsid w:val="00DF756F"/>
    <w:rsid w:val="00DF7F10"/>
    <w:rsid w:val="00E0085D"/>
    <w:rsid w:val="00E0267B"/>
    <w:rsid w:val="00E031F4"/>
    <w:rsid w:val="00E035C7"/>
    <w:rsid w:val="00E0360E"/>
    <w:rsid w:val="00E03ACD"/>
    <w:rsid w:val="00E03F5F"/>
    <w:rsid w:val="00E0450C"/>
    <w:rsid w:val="00E064FD"/>
    <w:rsid w:val="00E112D3"/>
    <w:rsid w:val="00E11D79"/>
    <w:rsid w:val="00E13512"/>
    <w:rsid w:val="00E1504E"/>
    <w:rsid w:val="00E16D51"/>
    <w:rsid w:val="00E22EBF"/>
    <w:rsid w:val="00E26F65"/>
    <w:rsid w:val="00E34B1D"/>
    <w:rsid w:val="00E34E9E"/>
    <w:rsid w:val="00E361E3"/>
    <w:rsid w:val="00E37003"/>
    <w:rsid w:val="00E406AD"/>
    <w:rsid w:val="00E40E09"/>
    <w:rsid w:val="00E40E40"/>
    <w:rsid w:val="00E41E89"/>
    <w:rsid w:val="00E41EE9"/>
    <w:rsid w:val="00E429C6"/>
    <w:rsid w:val="00E45672"/>
    <w:rsid w:val="00E47501"/>
    <w:rsid w:val="00E50167"/>
    <w:rsid w:val="00E510FB"/>
    <w:rsid w:val="00E51AB5"/>
    <w:rsid w:val="00E542E3"/>
    <w:rsid w:val="00E5461E"/>
    <w:rsid w:val="00E55CEB"/>
    <w:rsid w:val="00E60555"/>
    <w:rsid w:val="00E61E3D"/>
    <w:rsid w:val="00E643DA"/>
    <w:rsid w:val="00E656E2"/>
    <w:rsid w:val="00E668A9"/>
    <w:rsid w:val="00E66922"/>
    <w:rsid w:val="00E669D3"/>
    <w:rsid w:val="00E67688"/>
    <w:rsid w:val="00E67A78"/>
    <w:rsid w:val="00E701C4"/>
    <w:rsid w:val="00E71236"/>
    <w:rsid w:val="00E7307C"/>
    <w:rsid w:val="00E76606"/>
    <w:rsid w:val="00E81373"/>
    <w:rsid w:val="00E900CB"/>
    <w:rsid w:val="00E91670"/>
    <w:rsid w:val="00E91F95"/>
    <w:rsid w:val="00E93710"/>
    <w:rsid w:val="00E94668"/>
    <w:rsid w:val="00E94B28"/>
    <w:rsid w:val="00EA0377"/>
    <w:rsid w:val="00EA18B9"/>
    <w:rsid w:val="00EA3014"/>
    <w:rsid w:val="00EA69CB"/>
    <w:rsid w:val="00EA7F7D"/>
    <w:rsid w:val="00EB020B"/>
    <w:rsid w:val="00EB190E"/>
    <w:rsid w:val="00EB1A54"/>
    <w:rsid w:val="00EB2A22"/>
    <w:rsid w:val="00EB44F2"/>
    <w:rsid w:val="00EB4669"/>
    <w:rsid w:val="00EB49F8"/>
    <w:rsid w:val="00EB51A0"/>
    <w:rsid w:val="00EB5988"/>
    <w:rsid w:val="00EB7356"/>
    <w:rsid w:val="00EC0805"/>
    <w:rsid w:val="00EC322D"/>
    <w:rsid w:val="00EC64FE"/>
    <w:rsid w:val="00ED039B"/>
    <w:rsid w:val="00ED0B2F"/>
    <w:rsid w:val="00ED13AD"/>
    <w:rsid w:val="00ED303B"/>
    <w:rsid w:val="00ED35B6"/>
    <w:rsid w:val="00ED3D1F"/>
    <w:rsid w:val="00ED4CE1"/>
    <w:rsid w:val="00ED570A"/>
    <w:rsid w:val="00ED6FB6"/>
    <w:rsid w:val="00ED71D9"/>
    <w:rsid w:val="00ED783D"/>
    <w:rsid w:val="00EE043F"/>
    <w:rsid w:val="00EE04A9"/>
    <w:rsid w:val="00EE5AE3"/>
    <w:rsid w:val="00EF07F7"/>
    <w:rsid w:val="00EF12AB"/>
    <w:rsid w:val="00EF2436"/>
    <w:rsid w:val="00EF252B"/>
    <w:rsid w:val="00EF2C40"/>
    <w:rsid w:val="00EF3DBC"/>
    <w:rsid w:val="00EF4391"/>
    <w:rsid w:val="00EF506B"/>
    <w:rsid w:val="00F0134C"/>
    <w:rsid w:val="00F04627"/>
    <w:rsid w:val="00F062C3"/>
    <w:rsid w:val="00F06919"/>
    <w:rsid w:val="00F1047D"/>
    <w:rsid w:val="00F115B7"/>
    <w:rsid w:val="00F154A3"/>
    <w:rsid w:val="00F15DE0"/>
    <w:rsid w:val="00F15F51"/>
    <w:rsid w:val="00F17042"/>
    <w:rsid w:val="00F1767B"/>
    <w:rsid w:val="00F17FE7"/>
    <w:rsid w:val="00F20878"/>
    <w:rsid w:val="00F21670"/>
    <w:rsid w:val="00F21FC4"/>
    <w:rsid w:val="00F2791F"/>
    <w:rsid w:val="00F31BC8"/>
    <w:rsid w:val="00F31F16"/>
    <w:rsid w:val="00F324AE"/>
    <w:rsid w:val="00F324EB"/>
    <w:rsid w:val="00F34750"/>
    <w:rsid w:val="00F359EA"/>
    <w:rsid w:val="00F35B42"/>
    <w:rsid w:val="00F35C95"/>
    <w:rsid w:val="00F36894"/>
    <w:rsid w:val="00F4019B"/>
    <w:rsid w:val="00F42CA7"/>
    <w:rsid w:val="00F4309D"/>
    <w:rsid w:val="00F43EF9"/>
    <w:rsid w:val="00F46267"/>
    <w:rsid w:val="00F46C1E"/>
    <w:rsid w:val="00F502E3"/>
    <w:rsid w:val="00F50687"/>
    <w:rsid w:val="00F50FD8"/>
    <w:rsid w:val="00F523B8"/>
    <w:rsid w:val="00F56A8F"/>
    <w:rsid w:val="00F61B9A"/>
    <w:rsid w:val="00F620FB"/>
    <w:rsid w:val="00F6261B"/>
    <w:rsid w:val="00F62A47"/>
    <w:rsid w:val="00F6681B"/>
    <w:rsid w:val="00F747FB"/>
    <w:rsid w:val="00F74D33"/>
    <w:rsid w:val="00F750D8"/>
    <w:rsid w:val="00F8190E"/>
    <w:rsid w:val="00F821B0"/>
    <w:rsid w:val="00F84080"/>
    <w:rsid w:val="00F86287"/>
    <w:rsid w:val="00F86D0A"/>
    <w:rsid w:val="00F86D6D"/>
    <w:rsid w:val="00F87F83"/>
    <w:rsid w:val="00F90285"/>
    <w:rsid w:val="00F93928"/>
    <w:rsid w:val="00F95A6A"/>
    <w:rsid w:val="00F9648A"/>
    <w:rsid w:val="00F96AB2"/>
    <w:rsid w:val="00F96ED8"/>
    <w:rsid w:val="00FA08BE"/>
    <w:rsid w:val="00FA4464"/>
    <w:rsid w:val="00FA5CAC"/>
    <w:rsid w:val="00FA6C61"/>
    <w:rsid w:val="00FA7932"/>
    <w:rsid w:val="00FB1223"/>
    <w:rsid w:val="00FB2EFE"/>
    <w:rsid w:val="00FB6C22"/>
    <w:rsid w:val="00FC09FC"/>
    <w:rsid w:val="00FC2315"/>
    <w:rsid w:val="00FC35AC"/>
    <w:rsid w:val="00FC4EA9"/>
    <w:rsid w:val="00FC5F5C"/>
    <w:rsid w:val="00FC634F"/>
    <w:rsid w:val="00FC6B62"/>
    <w:rsid w:val="00FD08C2"/>
    <w:rsid w:val="00FD1128"/>
    <w:rsid w:val="00FD3795"/>
    <w:rsid w:val="00FD417B"/>
    <w:rsid w:val="00FE1661"/>
    <w:rsid w:val="00FE4E48"/>
    <w:rsid w:val="00FE5B63"/>
    <w:rsid w:val="00FF2849"/>
    <w:rsid w:val="00FF6E6C"/>
    <w:rsid w:val="1BEF8446"/>
    <w:rsid w:val="1EF5B966"/>
    <w:rsid w:val="2BFB3973"/>
    <w:rsid w:val="2EE4A7D1"/>
    <w:rsid w:val="2F76F2B2"/>
    <w:rsid w:val="2F775878"/>
    <w:rsid w:val="33BFD21B"/>
    <w:rsid w:val="36FDFCCB"/>
    <w:rsid w:val="37AE5C67"/>
    <w:rsid w:val="37FBCAEB"/>
    <w:rsid w:val="3BEF7B8B"/>
    <w:rsid w:val="3F6E4C0C"/>
    <w:rsid w:val="3FC5DF4C"/>
    <w:rsid w:val="43D6B1F3"/>
    <w:rsid w:val="4F376057"/>
    <w:rsid w:val="57FCCC27"/>
    <w:rsid w:val="5AFF0F03"/>
    <w:rsid w:val="5DD765D6"/>
    <w:rsid w:val="5DFD0F4E"/>
    <w:rsid w:val="5F493749"/>
    <w:rsid w:val="5FE5B172"/>
    <w:rsid w:val="5FFFD1F7"/>
    <w:rsid w:val="67E7564E"/>
    <w:rsid w:val="6BEE9DCA"/>
    <w:rsid w:val="6FF75D68"/>
    <w:rsid w:val="6FFB4031"/>
    <w:rsid w:val="7399F504"/>
    <w:rsid w:val="75F7A7F1"/>
    <w:rsid w:val="763F57E1"/>
    <w:rsid w:val="763F979C"/>
    <w:rsid w:val="76D35C3B"/>
    <w:rsid w:val="77CD9BB6"/>
    <w:rsid w:val="77DF5F86"/>
    <w:rsid w:val="77FF1145"/>
    <w:rsid w:val="78E8561F"/>
    <w:rsid w:val="7AE653BB"/>
    <w:rsid w:val="7AEC944A"/>
    <w:rsid w:val="7AF7BB97"/>
    <w:rsid w:val="7B7C87E4"/>
    <w:rsid w:val="7BFDF8BB"/>
    <w:rsid w:val="7DBBC1FC"/>
    <w:rsid w:val="7DD7A141"/>
    <w:rsid w:val="7DDF9AF7"/>
    <w:rsid w:val="7ECE0698"/>
    <w:rsid w:val="7EEE3BA9"/>
    <w:rsid w:val="7FAA8F8B"/>
    <w:rsid w:val="7FCF1F29"/>
    <w:rsid w:val="7FDFFD92"/>
    <w:rsid w:val="7FED7A8A"/>
    <w:rsid w:val="7FEE7B34"/>
    <w:rsid w:val="7FF4E9C7"/>
    <w:rsid w:val="7FFE7040"/>
    <w:rsid w:val="8EBF148C"/>
    <w:rsid w:val="9B6FEDBB"/>
    <w:rsid w:val="9FFF8F3A"/>
    <w:rsid w:val="ADEE65B3"/>
    <w:rsid w:val="AEEF7648"/>
    <w:rsid w:val="AFF994F4"/>
    <w:rsid w:val="AFFEA844"/>
    <w:rsid w:val="B073E4EA"/>
    <w:rsid w:val="B5154B3D"/>
    <w:rsid w:val="B7BF4237"/>
    <w:rsid w:val="B7FB65F1"/>
    <w:rsid w:val="BEBEA330"/>
    <w:rsid w:val="BF3E100A"/>
    <w:rsid w:val="BFA23673"/>
    <w:rsid w:val="BFD934AF"/>
    <w:rsid w:val="BFE75638"/>
    <w:rsid w:val="BFED3BFB"/>
    <w:rsid w:val="C5FF6634"/>
    <w:rsid w:val="CCAAF4C9"/>
    <w:rsid w:val="D2F8F73C"/>
    <w:rsid w:val="D2FF1443"/>
    <w:rsid w:val="D676AF50"/>
    <w:rsid w:val="D9E3E52D"/>
    <w:rsid w:val="DB972955"/>
    <w:rsid w:val="DBF74900"/>
    <w:rsid w:val="DCFA1169"/>
    <w:rsid w:val="DDBB2F44"/>
    <w:rsid w:val="DE579AC6"/>
    <w:rsid w:val="DEEE2E0D"/>
    <w:rsid w:val="DFBEFAB6"/>
    <w:rsid w:val="E9DE4C49"/>
    <w:rsid w:val="EEF309A0"/>
    <w:rsid w:val="EF9E6C63"/>
    <w:rsid w:val="F577A067"/>
    <w:rsid w:val="F749447D"/>
    <w:rsid w:val="F766167A"/>
    <w:rsid w:val="F77B3AFC"/>
    <w:rsid w:val="F7BC1BB2"/>
    <w:rsid w:val="F7FE411E"/>
    <w:rsid w:val="FB7FA13C"/>
    <w:rsid w:val="FBD7583B"/>
    <w:rsid w:val="FBF75EB8"/>
    <w:rsid w:val="FDEF93F5"/>
    <w:rsid w:val="FDFB1E6E"/>
    <w:rsid w:val="FEB7D9F4"/>
    <w:rsid w:val="FEDF06B5"/>
    <w:rsid w:val="FEFDD703"/>
    <w:rsid w:val="FF1C4CB3"/>
    <w:rsid w:val="FF2FB3AC"/>
    <w:rsid w:val="FF79C18C"/>
    <w:rsid w:val="FFDAFB7F"/>
    <w:rsid w:val="FFDBE7F8"/>
    <w:rsid w:val="FFDDBBB5"/>
    <w:rsid w:val="FFEF151F"/>
    <w:rsid w:val="FFFB182F"/>
    <w:rsid w:val="FFFBD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2"/>
    <w:qFormat/>
    <w:uiPriority w:val="1"/>
    <w:pPr>
      <w:ind w:left="120" w:firstLine="640"/>
      <w:jc w:val="left"/>
    </w:pPr>
    <w:rPr>
      <w:rFonts w:ascii="仿宋" w:hAnsi="仿宋" w:eastAsia="仿宋" w:cstheme="minorBidi"/>
      <w:kern w:val="0"/>
      <w:sz w:val="32"/>
      <w:szCs w:val="32"/>
      <w:lang w:eastAsia="en-US"/>
    </w:r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Balloon Text"/>
    <w:basedOn w:val="1"/>
    <w:link w:val="23"/>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1">
    <w:name w:val="Subtitle"/>
    <w:basedOn w:val="1"/>
    <w:next w:val="1"/>
    <w:link w:val="26"/>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6"/>
    <w:link w:val="7"/>
    <w:semiHidden/>
    <w:qFormat/>
    <w:uiPriority w:val="99"/>
    <w:rPr>
      <w:rFonts w:ascii="Times New Roman" w:hAnsi="Times New Roman" w:eastAsia="宋体" w:cs="Times New Roman"/>
      <w:sz w:val="18"/>
      <w:szCs w:val="18"/>
    </w:rPr>
  </w:style>
  <w:style w:type="paragraph" w:customStyle="1" w:styleId="24">
    <w:name w:val="1"/>
    <w:basedOn w:val="1"/>
    <w:next w:val="22"/>
    <w:qFormat/>
    <w:uiPriority w:val="34"/>
    <w:pPr>
      <w:ind w:firstLine="420" w:firstLineChars="200"/>
    </w:pPr>
  </w:style>
  <w:style w:type="character" w:customStyle="1" w:styleId="25">
    <w:name w:val="副标题 字符"/>
    <w:basedOn w:val="16"/>
    <w:qFormat/>
    <w:uiPriority w:val="11"/>
    <w:rPr>
      <w:b/>
      <w:bCs/>
      <w:kern w:val="28"/>
      <w:sz w:val="32"/>
      <w:szCs w:val="32"/>
    </w:rPr>
  </w:style>
  <w:style w:type="character" w:customStyle="1" w:styleId="26">
    <w:name w:val="副标题 字符1"/>
    <w:link w:val="11"/>
    <w:qFormat/>
    <w:uiPriority w:val="0"/>
    <w:rPr>
      <w:rFonts w:ascii="Cambria" w:hAnsi="Cambria" w:eastAsia="宋体" w:cs="Times New Roman"/>
      <w:b/>
      <w:bCs/>
      <w:kern w:val="28"/>
      <w:sz w:val="32"/>
      <w:szCs w:val="32"/>
    </w:rPr>
  </w:style>
  <w:style w:type="character" w:customStyle="1" w:styleId="27">
    <w:name w:val="标题 1 字符"/>
    <w:basedOn w:val="16"/>
    <w:link w:val="2"/>
    <w:qFormat/>
    <w:uiPriority w:val="9"/>
    <w:rPr>
      <w:rFonts w:ascii="Times New Roman" w:hAnsi="Times New Roman" w:eastAsia="宋体" w:cs="Times New Roman"/>
      <w:b/>
      <w:bCs/>
      <w:kern w:val="44"/>
      <w:sz w:val="44"/>
      <w:szCs w:val="44"/>
    </w:rPr>
  </w:style>
  <w:style w:type="character" w:customStyle="1" w:styleId="28">
    <w:name w:val="标题 2 字符"/>
    <w:basedOn w:val="16"/>
    <w:link w:val="3"/>
    <w:qFormat/>
    <w:uiPriority w:val="9"/>
    <w:rPr>
      <w:rFonts w:asciiTheme="majorHAnsi" w:hAnsiTheme="majorHAnsi" w:eastAsiaTheme="majorEastAsia" w:cstheme="majorBidi"/>
      <w:b/>
      <w:bCs/>
      <w:sz w:val="32"/>
      <w:szCs w:val="32"/>
    </w:rPr>
  </w:style>
  <w:style w:type="character" w:customStyle="1" w:styleId="29">
    <w:name w:val="标题 3 字符"/>
    <w:basedOn w:val="16"/>
    <w:link w:val="4"/>
    <w:qFormat/>
    <w:uiPriority w:val="9"/>
    <w:rPr>
      <w:rFonts w:ascii="Times New Roman" w:hAnsi="Times New Roman" w:eastAsia="宋体" w:cs="Times New Roman"/>
      <w:b/>
      <w:bCs/>
      <w:sz w:val="32"/>
      <w:szCs w:val="32"/>
    </w:rPr>
  </w:style>
  <w:style w:type="paragraph" w:customStyle="1" w:styleId="3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1">
    <w:name w:val="bjh-p"/>
    <w:basedOn w:val="16"/>
    <w:qFormat/>
    <w:uiPriority w:val="0"/>
  </w:style>
  <w:style w:type="character" w:customStyle="1" w:styleId="32">
    <w:name w:val="正文文本 字符"/>
    <w:basedOn w:val="16"/>
    <w:link w:val="5"/>
    <w:qFormat/>
    <w:uiPriority w:val="1"/>
    <w:rPr>
      <w:rFonts w:ascii="仿宋" w:hAnsi="仿宋" w:eastAsia="仿宋"/>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t>“十三五”时期湛江市社消零总额情况</a:t>
            </a:r>
            <a:endParaRPr lang="zh-CN"/>
          </a:p>
        </c:rich>
      </c:tx>
      <c:layout/>
      <c:overlay val="false"/>
      <c:spPr>
        <a:noFill/>
        <a:ln>
          <a:noFill/>
        </a:ln>
        <a:effectLst/>
      </c:spPr>
    </c:title>
    <c:autoTitleDeleted val="false"/>
    <c:plotArea>
      <c:layout/>
      <c:barChart>
        <c:barDir val="col"/>
        <c:grouping val="clustered"/>
        <c:varyColors val="false"/>
        <c:ser>
          <c:idx val="0"/>
          <c:order val="0"/>
          <c:tx>
            <c:strRef>
              <c:f>Sheet1!$A$2</c:f>
              <c:strCache>
                <c:ptCount val="1"/>
                <c:pt idx="0">
                  <c:v>社消零总额（亿元）</c:v>
                </c:pt>
              </c:strCache>
            </c:strRef>
          </c:tx>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false"/>
          <c:dLbls>
            <c:delete val="true"/>
          </c:dLbls>
          <c:cat>
            <c:strRef>
              <c:f>Sheet1!$B$1:$F$1</c:f>
              <c:strCache>
                <c:ptCount val="5"/>
                <c:pt idx="0">
                  <c:v>2016年</c:v>
                </c:pt>
                <c:pt idx="1">
                  <c:v>2017年</c:v>
                </c:pt>
                <c:pt idx="2">
                  <c:v>2018年</c:v>
                </c:pt>
                <c:pt idx="3">
                  <c:v>2019年</c:v>
                </c:pt>
                <c:pt idx="4">
                  <c:v>2020年</c:v>
                </c:pt>
              </c:strCache>
            </c:strRef>
          </c:cat>
          <c:val>
            <c:numRef>
              <c:f>Sheet1!$B$2:$F$2</c:f>
              <c:numCache>
                <c:formatCode>General</c:formatCode>
                <c:ptCount val="5"/>
                <c:pt idx="0">
                  <c:v>1299.2</c:v>
                </c:pt>
                <c:pt idx="1">
                  <c:v>1431.25</c:v>
                </c:pt>
                <c:pt idx="2">
                  <c:v>1575.26</c:v>
                </c:pt>
                <c:pt idx="3">
                  <c:v>1717.27</c:v>
                </c:pt>
                <c:pt idx="4">
                  <c:v>1638.76</c:v>
                </c:pt>
              </c:numCache>
            </c:numRef>
          </c:val>
        </c:ser>
        <c:dLbls>
          <c:showLegendKey val="false"/>
          <c:showVal val="false"/>
          <c:showCatName val="false"/>
          <c:showSerName val="false"/>
          <c:showPercent val="false"/>
          <c:showBubbleSize val="false"/>
        </c:dLbls>
        <c:gapWidth val="219"/>
        <c:overlap val="-27"/>
        <c:axId val="813226160"/>
        <c:axId val="813229488"/>
      </c:barChart>
      <c:lineChart>
        <c:grouping val="standard"/>
        <c:varyColors val="false"/>
        <c:ser>
          <c:idx val="1"/>
          <c:order val="1"/>
          <c:tx>
            <c:strRef>
              <c:f>Sheet1!$A$3</c:f>
              <c:strCache>
                <c:ptCount val="1"/>
                <c:pt idx="0">
                  <c:v>增速</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elete val="true"/>
          </c:dLbls>
          <c:cat>
            <c:strRef>
              <c:f>Sheet1!$B$1:$F$1</c:f>
              <c:strCache>
                <c:ptCount val="5"/>
                <c:pt idx="0">
                  <c:v>2016年</c:v>
                </c:pt>
                <c:pt idx="1">
                  <c:v>2017年</c:v>
                </c:pt>
                <c:pt idx="2">
                  <c:v>2018年</c:v>
                </c:pt>
                <c:pt idx="3">
                  <c:v>2019年</c:v>
                </c:pt>
                <c:pt idx="4">
                  <c:v>2020年</c:v>
                </c:pt>
              </c:strCache>
            </c:strRef>
          </c:cat>
          <c:val>
            <c:numRef>
              <c:f>Sheet1!$B$3:$F$3</c:f>
              <c:numCache>
                <c:formatCode>0.0%</c:formatCode>
                <c:ptCount val="5"/>
                <c:pt idx="0">
                  <c:v>0.084</c:v>
                </c:pt>
                <c:pt idx="1">
                  <c:v>0.102</c:v>
                </c:pt>
                <c:pt idx="2">
                  <c:v>0.101</c:v>
                </c:pt>
                <c:pt idx="3">
                  <c:v>0.09</c:v>
                </c:pt>
                <c:pt idx="4">
                  <c:v>-0.046</c:v>
                </c:pt>
              </c:numCache>
            </c:numRef>
          </c:val>
          <c:smooth val="false"/>
        </c:ser>
        <c:dLbls>
          <c:showLegendKey val="false"/>
          <c:showVal val="false"/>
          <c:showCatName val="false"/>
          <c:showSerName val="false"/>
          <c:showPercent val="false"/>
          <c:showBubbleSize val="false"/>
        </c:dLbls>
        <c:marker val="false"/>
        <c:smooth val="false"/>
        <c:axId val="813236976"/>
        <c:axId val="813234064"/>
      </c:lineChart>
      <c:catAx>
        <c:axId val="813226160"/>
        <c:scaling>
          <c:orientation val="minMax"/>
        </c:scaling>
        <c:delete val="false"/>
        <c:axPos val="b"/>
        <c:numFmt formatCode="General" sourceLinked="true"/>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3229488"/>
        <c:crosses val="autoZero"/>
        <c:auto val="true"/>
        <c:lblAlgn val="ctr"/>
        <c:lblOffset val="100"/>
        <c:noMultiLvlLbl val="false"/>
      </c:catAx>
      <c:valAx>
        <c:axId val="81322948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3226160"/>
        <c:crosses val="autoZero"/>
        <c:crossBetween val="between"/>
      </c:valAx>
      <c:catAx>
        <c:axId val="813236976"/>
        <c:scaling>
          <c:orientation val="minMax"/>
        </c:scaling>
        <c:delete val="true"/>
        <c:axPos val="b"/>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3234064"/>
        <c:crosses val="autoZero"/>
        <c:auto val="true"/>
        <c:lblAlgn val="ctr"/>
        <c:lblOffset val="100"/>
        <c:noMultiLvlLbl val="false"/>
      </c:catAx>
      <c:valAx>
        <c:axId val="813234064"/>
        <c:scaling>
          <c:orientation val="minMax"/>
        </c:scaling>
        <c:delete val="false"/>
        <c:axPos val="r"/>
        <c:numFmt formatCode="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3236976"/>
        <c:crosses val="max"/>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t>“十三五”时期湛江市外贸进出口情况</a:t>
            </a:r>
            <a:endParaRPr lang="zh-CN"/>
          </a:p>
        </c:rich>
      </c:tx>
      <c:layout/>
      <c:overlay val="false"/>
      <c:spPr>
        <a:noFill/>
        <a:ln>
          <a:noFill/>
        </a:ln>
        <a:effectLst/>
      </c:spPr>
    </c:title>
    <c:autoTitleDeleted val="false"/>
    <c:plotArea>
      <c:layout/>
      <c:barChart>
        <c:barDir val="col"/>
        <c:grouping val="clustered"/>
        <c:varyColors val="false"/>
        <c:ser>
          <c:idx val="0"/>
          <c:order val="0"/>
          <c:tx>
            <c:strRef>
              <c:f>Sheet1!$I$2</c:f>
              <c:strCache>
                <c:ptCount val="1"/>
                <c:pt idx="0">
                  <c:v>外贸进出口（亿元）</c:v>
                </c:pt>
              </c:strCache>
            </c:strRef>
          </c:tx>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false"/>
          <c:dLbls>
            <c:delete val="true"/>
          </c:dLbls>
          <c:cat>
            <c:strRef>
              <c:f>Sheet1!$J$1:$N$1</c:f>
              <c:strCache>
                <c:ptCount val="5"/>
                <c:pt idx="0">
                  <c:v>2016年</c:v>
                </c:pt>
                <c:pt idx="1">
                  <c:v>2017年</c:v>
                </c:pt>
                <c:pt idx="2">
                  <c:v>2018年</c:v>
                </c:pt>
                <c:pt idx="3">
                  <c:v>2019年</c:v>
                </c:pt>
                <c:pt idx="4">
                  <c:v>2020年</c:v>
                </c:pt>
              </c:strCache>
            </c:strRef>
          </c:cat>
          <c:val>
            <c:numRef>
              <c:f>Sheet1!$J$2:$N$2</c:f>
              <c:numCache>
                <c:formatCode>General</c:formatCode>
                <c:ptCount val="5"/>
                <c:pt idx="0">
                  <c:v>304.4</c:v>
                </c:pt>
                <c:pt idx="1">
                  <c:v>345.6</c:v>
                </c:pt>
                <c:pt idx="2">
                  <c:v>377</c:v>
                </c:pt>
                <c:pt idx="3">
                  <c:v>413.8</c:v>
                </c:pt>
                <c:pt idx="4">
                  <c:v>442.4</c:v>
                </c:pt>
              </c:numCache>
            </c:numRef>
          </c:val>
        </c:ser>
        <c:dLbls>
          <c:showLegendKey val="false"/>
          <c:showVal val="false"/>
          <c:showCatName val="false"/>
          <c:showSerName val="false"/>
          <c:showPercent val="false"/>
          <c:showBubbleSize val="false"/>
        </c:dLbls>
        <c:gapWidth val="219"/>
        <c:overlap val="-27"/>
        <c:axId val="809985520"/>
        <c:axId val="809982192"/>
      </c:barChart>
      <c:lineChart>
        <c:grouping val="standard"/>
        <c:varyColors val="false"/>
        <c:ser>
          <c:idx val="1"/>
          <c:order val="1"/>
          <c:tx>
            <c:strRef>
              <c:f>Sheet1!$I$3</c:f>
              <c:strCache>
                <c:ptCount val="1"/>
                <c:pt idx="0">
                  <c:v>增速</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elete val="true"/>
          </c:dLbls>
          <c:cat>
            <c:strRef>
              <c:f>Sheet1!$J$1:$N$1</c:f>
              <c:strCache>
                <c:ptCount val="5"/>
                <c:pt idx="0">
                  <c:v>2016年</c:v>
                </c:pt>
                <c:pt idx="1">
                  <c:v>2017年</c:v>
                </c:pt>
                <c:pt idx="2">
                  <c:v>2018年</c:v>
                </c:pt>
                <c:pt idx="3">
                  <c:v>2019年</c:v>
                </c:pt>
                <c:pt idx="4">
                  <c:v>2020年</c:v>
                </c:pt>
              </c:strCache>
            </c:strRef>
          </c:cat>
          <c:val>
            <c:numRef>
              <c:f>Sheet1!$J$3:$N$3</c:f>
              <c:numCache>
                <c:formatCode>0.0%</c:formatCode>
                <c:ptCount val="5"/>
                <c:pt idx="0">
                  <c:v>-0.046</c:v>
                </c:pt>
                <c:pt idx="1">
                  <c:v>0.135</c:v>
                </c:pt>
                <c:pt idx="2">
                  <c:v>0.09</c:v>
                </c:pt>
                <c:pt idx="3">
                  <c:v>0.097</c:v>
                </c:pt>
                <c:pt idx="4">
                  <c:v>0.067</c:v>
                </c:pt>
              </c:numCache>
            </c:numRef>
          </c:val>
          <c:smooth val="false"/>
        </c:ser>
        <c:dLbls>
          <c:showLegendKey val="false"/>
          <c:showVal val="false"/>
          <c:showCatName val="false"/>
          <c:showSerName val="false"/>
          <c:showPercent val="false"/>
          <c:showBubbleSize val="false"/>
        </c:dLbls>
        <c:marker val="false"/>
        <c:smooth val="false"/>
        <c:axId val="809984272"/>
        <c:axId val="809990096"/>
      </c:lineChart>
      <c:catAx>
        <c:axId val="809985520"/>
        <c:scaling>
          <c:orientation val="minMax"/>
        </c:scaling>
        <c:delete val="false"/>
        <c:axPos val="b"/>
        <c:numFmt formatCode="General" sourceLinked="true"/>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82192"/>
        <c:crosses val="autoZero"/>
        <c:auto val="true"/>
        <c:lblAlgn val="ctr"/>
        <c:lblOffset val="100"/>
        <c:noMultiLvlLbl val="false"/>
      </c:catAx>
      <c:valAx>
        <c:axId val="80998219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85520"/>
        <c:crosses val="autoZero"/>
        <c:crossBetween val="between"/>
      </c:valAx>
      <c:catAx>
        <c:axId val="809984272"/>
        <c:scaling>
          <c:orientation val="minMax"/>
        </c:scaling>
        <c:delete val="true"/>
        <c:axPos val="b"/>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90096"/>
        <c:crosses val="autoZero"/>
        <c:auto val="true"/>
        <c:lblAlgn val="ctr"/>
        <c:lblOffset val="100"/>
        <c:noMultiLvlLbl val="false"/>
      </c:catAx>
      <c:valAx>
        <c:axId val="809990096"/>
        <c:scaling>
          <c:orientation val="minMax"/>
        </c:scaling>
        <c:delete val="false"/>
        <c:axPos val="r"/>
        <c:numFmt formatCode="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84272"/>
        <c:crosses val="max"/>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t>“十三五”时期湛江市实际利用外资情况</a:t>
            </a:r>
            <a:endParaRPr lang="zh-CN"/>
          </a:p>
        </c:rich>
      </c:tx>
      <c:layout>
        <c:manualLayout>
          <c:xMode val="edge"/>
          <c:yMode val="edge"/>
          <c:x val="0.121541964730932"/>
          <c:y val="0.0386718574676307"/>
        </c:manualLayout>
      </c:layout>
      <c:overlay val="false"/>
      <c:spPr>
        <a:noFill/>
        <a:ln>
          <a:noFill/>
        </a:ln>
        <a:effectLst/>
      </c:spPr>
    </c:title>
    <c:autoTitleDeleted val="false"/>
    <c:plotArea>
      <c:layout/>
      <c:barChart>
        <c:barDir val="col"/>
        <c:grouping val="clustered"/>
        <c:varyColors val="false"/>
        <c:ser>
          <c:idx val="0"/>
          <c:order val="0"/>
          <c:tx>
            <c:strRef>
              <c:f>Sheet1!$Q$2</c:f>
              <c:strCache>
                <c:ptCount val="1"/>
                <c:pt idx="0">
                  <c:v>实际利用外资（万美元）</c:v>
                </c:pt>
              </c:strCache>
            </c:strRef>
          </c:tx>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false"/>
          <c:dLbls>
            <c:delete val="true"/>
          </c:dLbls>
          <c:cat>
            <c:strRef>
              <c:f>Sheet1!$R$1:$V$1</c:f>
              <c:strCache>
                <c:ptCount val="5"/>
                <c:pt idx="0">
                  <c:v>2016年</c:v>
                </c:pt>
                <c:pt idx="1">
                  <c:v>2017年</c:v>
                </c:pt>
                <c:pt idx="2">
                  <c:v>2018年</c:v>
                </c:pt>
                <c:pt idx="3">
                  <c:v>2019年</c:v>
                </c:pt>
                <c:pt idx="4">
                  <c:v>2020年</c:v>
                </c:pt>
              </c:strCache>
            </c:strRef>
          </c:cat>
          <c:val>
            <c:numRef>
              <c:f>Sheet1!$R$2:$V$2</c:f>
              <c:numCache>
                <c:formatCode>General</c:formatCode>
                <c:ptCount val="5"/>
                <c:pt idx="0">
                  <c:v>6132</c:v>
                </c:pt>
                <c:pt idx="1">
                  <c:v>8095</c:v>
                </c:pt>
                <c:pt idx="2">
                  <c:v>8529</c:v>
                </c:pt>
                <c:pt idx="3">
                  <c:v>23577</c:v>
                </c:pt>
                <c:pt idx="4">
                  <c:v>36874</c:v>
                </c:pt>
              </c:numCache>
            </c:numRef>
          </c:val>
        </c:ser>
        <c:dLbls>
          <c:showLegendKey val="false"/>
          <c:showVal val="false"/>
          <c:showCatName val="false"/>
          <c:showSerName val="false"/>
          <c:showPercent val="false"/>
          <c:showBubbleSize val="false"/>
        </c:dLbls>
        <c:gapWidth val="219"/>
        <c:overlap val="-27"/>
        <c:axId val="809986768"/>
        <c:axId val="809991760"/>
      </c:barChart>
      <c:lineChart>
        <c:grouping val="standard"/>
        <c:varyColors val="false"/>
        <c:ser>
          <c:idx val="1"/>
          <c:order val="1"/>
          <c:tx>
            <c:strRef>
              <c:f>Sheet1!$Q$3</c:f>
              <c:strCache>
                <c:ptCount val="1"/>
                <c:pt idx="0">
                  <c:v>增速</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elete val="true"/>
          </c:dLbls>
          <c:cat>
            <c:strRef>
              <c:f>Sheet1!$R$1:$V$1</c:f>
              <c:strCache>
                <c:ptCount val="5"/>
                <c:pt idx="0">
                  <c:v>2016年</c:v>
                </c:pt>
                <c:pt idx="1">
                  <c:v>2017年</c:v>
                </c:pt>
                <c:pt idx="2">
                  <c:v>2018年</c:v>
                </c:pt>
                <c:pt idx="3">
                  <c:v>2019年</c:v>
                </c:pt>
                <c:pt idx="4">
                  <c:v>2020年</c:v>
                </c:pt>
              </c:strCache>
            </c:strRef>
          </c:cat>
          <c:val>
            <c:numRef>
              <c:f>Sheet1!$R$3:$V$3</c:f>
              <c:numCache>
                <c:formatCode>0.0%</c:formatCode>
                <c:ptCount val="5"/>
                <c:pt idx="0">
                  <c:v>-0.61</c:v>
                </c:pt>
                <c:pt idx="1">
                  <c:v>0.32</c:v>
                </c:pt>
                <c:pt idx="2">
                  <c:v>0.054</c:v>
                </c:pt>
                <c:pt idx="3">
                  <c:v>2.38</c:v>
                </c:pt>
                <c:pt idx="4">
                  <c:v>0.564</c:v>
                </c:pt>
              </c:numCache>
            </c:numRef>
          </c:val>
          <c:smooth val="false"/>
        </c:ser>
        <c:dLbls>
          <c:showLegendKey val="false"/>
          <c:showVal val="false"/>
          <c:showCatName val="false"/>
          <c:showSerName val="false"/>
          <c:showPercent val="false"/>
          <c:showBubbleSize val="false"/>
        </c:dLbls>
        <c:marker val="false"/>
        <c:smooth val="false"/>
        <c:axId val="809996752"/>
        <c:axId val="809996336"/>
      </c:lineChart>
      <c:catAx>
        <c:axId val="809986768"/>
        <c:scaling>
          <c:orientation val="minMax"/>
        </c:scaling>
        <c:delete val="false"/>
        <c:axPos val="b"/>
        <c:numFmt formatCode="General" sourceLinked="true"/>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91760"/>
        <c:crosses val="autoZero"/>
        <c:auto val="true"/>
        <c:lblAlgn val="ctr"/>
        <c:lblOffset val="100"/>
        <c:noMultiLvlLbl val="false"/>
      </c:catAx>
      <c:valAx>
        <c:axId val="80999176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86768"/>
        <c:crosses val="autoZero"/>
        <c:crossBetween val="between"/>
      </c:valAx>
      <c:catAx>
        <c:axId val="809996752"/>
        <c:scaling>
          <c:orientation val="minMax"/>
        </c:scaling>
        <c:delete val="true"/>
        <c:axPos val="b"/>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96336"/>
        <c:crosses val="autoZero"/>
        <c:auto val="true"/>
        <c:lblAlgn val="ctr"/>
        <c:lblOffset val="100"/>
        <c:noMultiLvlLbl val="false"/>
      </c:catAx>
      <c:valAx>
        <c:axId val="809996336"/>
        <c:scaling>
          <c:orientation val="minMax"/>
        </c:scaling>
        <c:delete val="false"/>
        <c:axPos val="r"/>
        <c:numFmt formatCode="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996752"/>
        <c:crosses val="max"/>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55</Pages>
  <Words>5596</Words>
  <Characters>31899</Characters>
  <Lines>265</Lines>
  <Paragraphs>74</Paragraphs>
  <TotalTime>11</TotalTime>
  <ScaleCrop>false</ScaleCrop>
  <LinksUpToDate>false</LinksUpToDate>
  <CharactersWithSpaces>37421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2021-06-04T02:22:00Z</dcterms:created>
  <dc:creator>林书海</dc:creator>
  <cp:lastModifiedBy>uos</cp:lastModifiedBy>
  <cp:lastPrinted>2021-06-21T17:36:00Z</cp:lastPrinted>
  <dcterms:modified xsi:type="dcterms:W3CDTF">2021-07-15T10:44:57Z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