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PO_part3A3Year1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湛江市残疾人联合会（本级）</w:t>
      </w:r>
    </w:p>
    <w:p>
      <w:pPr>
        <w:spacing w:line="288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年度财政拨款“三公”经费支出决算情况说明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（一）“三公”经费财政拨款支出决算总体情况说明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湛江市残疾人联合会(本级)2024年度“三公”经费财政拨款支出决算为1.41万元,完成全年预算2.47万元的57%,比上年决算数减少1.61万元,下降53.2%。其中:因公出国(境)费支出决算为0万元,完成预算0万元的--%(基数为0,不可比),比上年决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算数增加0万元,增长--(基数为0,不可比);公务用车购置及运行维护费支出决算为1.14万元,完成预算2.2万元的51.7%,比上年决算数减少1.07万元,下降48.5%;其中:公务用车购置支出决算为0万元,完成预算0万元的--%(基数为0,不可比),比上年决算数增加0万元,增长--(基数为0,不可比);公务用车运行维护费支出决算为1.14万元,完成预算2.2万元的51.7%,比上年决算数减少1.07万元,下降48.5%;公务接待费支出决算为0.27万元,完成预算0.27万元的100%,比上年决算数减少0.53万元,下降66.1%。2024年度“三公”经费支出决算小于预算数的主要情况:认真贯彻落实中央八项规定精神和厉行节约的要求,从严控制“三公”经费开支,全年实际支出比预算有所节约。2024年度“三公”经费支出决算小于上年决算数的主要情况:认真贯彻落实中央八项规定精神和厉行节约的要求,从严控制“三公”经费开支,全年实际支出比预算有所节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（二）“三公”经费财政拨款支出决算具体情况说明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度“三公”经费财政拨款支出决算中,因公出国(境)费0万元,占0%;公务用车购置及运行维护费支出1.14万元,占80.6%;公务接待费支出0.27万元,占19.4%。具体情况如下:1.因公出国(境)费支出0万元。全年使用财政拨款安排出国(境)团组0个、累计0人次。全年使用财政拨款安排出国(境)团组0个、累计0人次。2.公务用车购置及运行维护费支出1.14万元,其中:公务用车购置支出为0万元,公务用车购置数0辆。公务用车运行维护费支出1.14万元,公务用车保有量为1辆,主要用于开展残疾人康复、教育和就业、体育、文化宣传等公务支出。3.公务接待费支出0.27万元,主要用于开展残疾人康复、教育和就业、体育、文化宣传等公务支出,共接待国外、境外来访团组0个,来访外宾0人次;发生国内接待2次,接待人数共17人。主要包括包括接待省文化体育与康复辅具中心、中山残联等部门调研、指导、交流学习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8885" cy="2889885"/>
            <wp:effectExtent l="0" t="0" r="18415" b="5715"/>
            <wp:docPr id="1" name="图片 1" descr="screen_shot_175790209664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_shot_175790209664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104BE"/>
    <w:rsid w:val="17D104BE"/>
    <w:rsid w:val="BAFFC623"/>
    <w:rsid w:val="FD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2025-09-04T23:17:00Z</dcterms:created>
  <dc:creator>Just Mani~ </dc:creator>
  <cp:lastModifiedBy>greatwall</cp:lastModifiedBy>
  <dcterms:modified xsi:type="dcterms:W3CDTF">2025-09-15T10:14:03Z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A9256CB70A9C4EC3B9D46B51C6D9571A_11</vt:lpwstr>
  </property>
  <property fmtid="{D5CDD505-2E9C-101B-9397-08002B2CF9AE}" pid="4" name="KSOTemplateDocerSaveRecord">
    <vt:lpwstr>eyJoZGlkIjoiNjg5ODliMjEwOWNhNzNiZDJlYjgzNTg3YTNhZjllYmUiLCJ1c2VySWQiOiIyNDk4MjgxMzAifQ==</vt:lpwstr>
  </property>
</Properties>
</file>