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89636">
      <w:pPr>
        <w:spacing w:line="288" w:lineRule="auto"/>
        <w:ind w:left="1767" w:hanging="1767" w:hangingChars="400"/>
        <w:jc w:val="center"/>
        <w:rPr>
          <w:rFonts w:hint="eastAsia" w:ascii="仿宋_GB2312" w:hAnsi="宋体" w:eastAsia="仿宋_GB2312" w:cs="宋体"/>
          <w:b/>
          <w:sz w:val="44"/>
          <w:szCs w:val="44"/>
        </w:rPr>
      </w:pPr>
      <w:r>
        <w:rPr>
          <w:rFonts w:hint="eastAsia" w:ascii="仿宋_GB2312" w:hAnsi="宋体" w:eastAsia="仿宋_GB2312" w:cs="宋体"/>
          <w:b/>
          <w:sz w:val="44"/>
          <w:szCs w:val="44"/>
        </w:rPr>
        <w:t>202</w:t>
      </w:r>
      <w:r>
        <w:rPr>
          <w:rFonts w:hint="eastAsia" w:ascii="仿宋_GB2312" w:hAnsi="宋体" w:eastAsia="仿宋_GB2312" w:cs="宋体"/>
          <w:b/>
          <w:sz w:val="44"/>
          <w:szCs w:val="44"/>
          <w:lang w:val="en-US" w:eastAsia="zh-CN"/>
        </w:rPr>
        <w:t>4</w:t>
      </w:r>
      <w:r>
        <w:rPr>
          <w:rFonts w:hint="eastAsia" w:ascii="仿宋_GB2312" w:hAnsi="宋体" w:eastAsia="仿宋_GB2312" w:cs="宋体"/>
          <w:b/>
          <w:sz w:val="44"/>
          <w:szCs w:val="44"/>
        </w:rPr>
        <w:t>年度财政拨款“三公”经费支出</w:t>
      </w:r>
    </w:p>
    <w:p w14:paraId="28A2F5A2">
      <w:pPr>
        <w:spacing w:line="288" w:lineRule="auto"/>
        <w:ind w:left="1767" w:hanging="1767" w:hangingChars="400"/>
        <w:jc w:val="center"/>
        <w:rPr>
          <w:rFonts w:hint="eastAsia" w:ascii="仿宋_GB2312" w:hAnsi="宋体" w:eastAsia="仿宋_GB2312" w:cs="宋体"/>
          <w:b/>
          <w:sz w:val="44"/>
          <w:szCs w:val="44"/>
        </w:rPr>
      </w:pPr>
      <w:r>
        <w:rPr>
          <w:rFonts w:hint="eastAsia" w:ascii="仿宋_GB2312" w:hAnsi="宋体" w:eastAsia="仿宋_GB2312" w:cs="宋体"/>
          <w:b/>
          <w:sz w:val="44"/>
          <w:szCs w:val="44"/>
        </w:rPr>
        <w:t>决算情况说明</w:t>
      </w:r>
    </w:p>
    <w:p w14:paraId="6BBE98FA">
      <w:pPr>
        <w:pStyle w:val="2"/>
        <w:rPr>
          <w:rFonts w:hint="eastAsia"/>
        </w:rPr>
      </w:pPr>
    </w:p>
    <w:p w14:paraId="2424B5D6">
      <w:pPr>
        <w:keepNext w:val="0"/>
        <w:keepLines w:val="0"/>
        <w:widowControl/>
        <w:suppressLineNumbers w:val="0"/>
        <w:ind w:firstLine="602" w:firstLineChars="200"/>
        <w:jc w:val="left"/>
      </w:pPr>
      <w:r>
        <w:rPr>
          <w:rFonts w:ascii="仿宋" w:hAnsi="仿宋" w:eastAsia="仿宋" w:cs="仿宋"/>
          <w:b/>
          <w:bCs/>
          <w:color w:val="000000"/>
          <w:kern w:val="0"/>
          <w:sz w:val="30"/>
          <w:szCs w:val="30"/>
          <w:lang w:val="en-US" w:eastAsia="zh-CN" w:bidi="ar"/>
        </w:rPr>
        <w:t>一</w:t>
      </w:r>
      <w:r>
        <w:rPr>
          <w:rFonts w:hint="eastAsia" w:ascii="仿宋" w:hAnsi="仿宋" w:eastAsia="仿宋" w:cs="仿宋"/>
          <w:b/>
          <w:bCs/>
          <w:color w:val="000000"/>
          <w:kern w:val="0"/>
          <w:sz w:val="30"/>
          <w:szCs w:val="30"/>
          <w:lang w:val="en-US" w:eastAsia="zh-CN" w:bidi="ar"/>
        </w:rPr>
        <w:t>、</w:t>
      </w:r>
      <w:r>
        <w:rPr>
          <w:rFonts w:ascii="仿宋" w:hAnsi="仿宋" w:eastAsia="仿宋" w:cs="仿宋"/>
          <w:b/>
          <w:bCs/>
          <w:color w:val="000000"/>
          <w:kern w:val="0"/>
          <w:sz w:val="30"/>
          <w:szCs w:val="30"/>
          <w:lang w:val="en-US" w:eastAsia="zh-CN" w:bidi="ar"/>
        </w:rPr>
        <w:t xml:space="preserve">“三公”经费财政拨款支出决算总体情况说明 </w:t>
      </w:r>
    </w:p>
    <w:p w14:paraId="26A39ABC">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湛江市交通运输局（本级）2024年度“三公”经费财政拨款支出决算为68.67万元，完成全年预算74.3万元的92.4%，比上年决算数减少38.59万元，下降36%。其中：因公出国（境）费支出决算为0万元，完成预算0万元的--%（基数为0，不可比），比上年决算数减少0.34万元，下降100%；公务用车购置及运行维护费支出决算为64.95万元，完成预算69.2万元的93.9%，比上年决算数减少39.77万元，下降38%；其中：公务用车购置支出决算为0万元，完成预算0万元的--%（基数为0，不可比），比上年决算数减少35.55万元，下降100%；公务用车运行维护费支出决算为64.95万元，完成预算69.2万元的93.9%，比上年决算数减少4.22万元，下降6.1%；公务接待费支出决算为3.72万元，完成预算5.1万元的72.9%，比上年决算数增加1.52万元，增长69.4%。 </w:t>
      </w:r>
    </w:p>
    <w:p w14:paraId="788A0859">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2024年度“三公”经费支出决算小于预算数的主要情况：认真贯彻落实中央八项规定精神和厉行节约的要求，从严控制“三公”经费开支，全年实际支出比预算有所节约。 </w:t>
      </w:r>
    </w:p>
    <w:p w14:paraId="06F73815">
      <w:pPr>
        <w:keepNext w:val="0"/>
        <w:keepLines w:val="0"/>
        <w:widowControl/>
        <w:suppressLineNumbers w:val="0"/>
        <w:ind w:firstLine="600" w:firstLineChars="200"/>
        <w:jc w:val="left"/>
      </w:pPr>
      <w:r>
        <w:rPr>
          <w:rFonts w:ascii="仿宋" w:hAnsi="仿宋" w:eastAsia="仿宋" w:cs="仿宋"/>
          <w:color w:val="000000"/>
          <w:kern w:val="0"/>
          <w:sz w:val="30"/>
          <w:szCs w:val="30"/>
          <w:lang w:val="en-US" w:eastAsia="zh-CN" w:bidi="ar"/>
        </w:rPr>
        <w:t xml:space="preserve">2024年度“三公”经费支出决算小于上年决算数的主要情 </w:t>
      </w:r>
    </w:p>
    <w:p w14:paraId="2CD596E5">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况：今年市财政没有安排购置公务车的预算，没有更新公务车， </w:t>
      </w:r>
    </w:p>
    <w:p w14:paraId="05825DA9">
      <w:pPr>
        <w:keepNext w:val="0"/>
        <w:keepLines w:val="0"/>
        <w:widowControl/>
        <w:suppressLineNumbers w:val="0"/>
        <w:jc w:val="left"/>
      </w:pPr>
      <w:r>
        <w:rPr>
          <w:rFonts w:hint="eastAsia" w:ascii="仿宋" w:hAnsi="仿宋" w:eastAsia="仿宋" w:cs="仿宋"/>
          <w:color w:val="000000"/>
          <w:kern w:val="0"/>
          <w:sz w:val="30"/>
          <w:szCs w:val="30"/>
          <w:lang w:val="en-US" w:eastAsia="zh-CN" w:bidi="ar"/>
        </w:rPr>
        <w:t>公务用车购置支出减少。</w:t>
      </w:r>
      <w:bookmarkStart w:id="1" w:name="_GoBack"/>
      <w:bookmarkEnd w:id="1"/>
    </w:p>
    <w:p w14:paraId="5A4853C5">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 </w:t>
      </w:r>
    </w:p>
    <w:p w14:paraId="025A905A">
      <w:pPr>
        <w:keepNext w:val="0"/>
        <w:keepLines w:val="0"/>
        <w:widowControl/>
        <w:suppressLineNumbers w:val="0"/>
        <w:ind w:firstLine="602" w:firstLineChars="200"/>
        <w:jc w:val="left"/>
      </w:pPr>
      <w:r>
        <w:rPr>
          <w:rFonts w:hint="eastAsia" w:ascii="仿宋" w:hAnsi="仿宋" w:eastAsia="仿宋" w:cs="仿宋"/>
          <w:b/>
          <w:bCs/>
          <w:color w:val="000000"/>
          <w:kern w:val="0"/>
          <w:sz w:val="30"/>
          <w:szCs w:val="30"/>
          <w:lang w:val="en-US" w:eastAsia="zh-CN" w:bidi="ar"/>
        </w:rPr>
        <w:t xml:space="preserve">二、“三公”经费财政拨款支出决算具体情况说明 </w:t>
      </w:r>
    </w:p>
    <w:p w14:paraId="129DE328">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 0 2 4年度“三公”经费财政拨款支出决算中，因公出国 </w:t>
      </w:r>
    </w:p>
    <w:p w14:paraId="1B0DC8B8">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（境）费0万元，占0%；公务用车购置及运行维护费支出64.95万元，占94.6%；公务接待费支出3.72万元，占5.4%。具体情况如下： </w:t>
      </w:r>
    </w:p>
    <w:p w14:paraId="0F661468">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1.因公出国（境）费支出0万元。全年使用财政拨款安排出国（境）团组0个、累计0人次。 </w:t>
      </w:r>
    </w:p>
    <w:p w14:paraId="1ACAD39C">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公务用车购置及运行维护费支出64.95万元，其中：公务用车购置支出为0万元，公务用车购置数0辆。公务用车运行维护费支出64.95万元，公务用车保有量为22辆，主要用于一般公务用车和一般执法执勤用车的加油费用、购买保险费用以及维修费用。 </w:t>
      </w:r>
    </w:p>
    <w:p w14:paraId="5277CA25">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公务用车保有量22辆，与国有资产占有情况中的车辆数35辆不一致，相差13辆的原因是：5辆为摩托车，8辆为待处置车辆等。 </w:t>
      </w:r>
    </w:p>
    <w:p w14:paraId="707AFE2C">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3.公务接待费支出3.72万元，主要用于上级单位检查和相关单位交流工作等方面的接待，共接待国外、境外来访团组0个，来访外宾0人次；发生国内接待31次，接待人数共301人。主要包括上级各项业务检查以及相关单位业务交流学习等产生的接待费用。</w:t>
      </w:r>
    </w:p>
    <w:p w14:paraId="093E62FB">
      <w:pPr>
        <w:ind w:firstLine="640" w:firstLineChars="200"/>
        <w:jc w:val="left"/>
        <w:rPr>
          <w:rFonts w:hint="eastAsia" w:ascii="仿宋_GB2312" w:hAnsi="宋体" w:eastAsia="仿宋_GB2312" w:cs="宋体"/>
          <w:sz w:val="32"/>
          <w:szCs w:val="32"/>
        </w:rPr>
        <w:sectPr>
          <w:pgSz w:w="11906" w:h="16838"/>
          <w:pgMar w:top="1440" w:right="1800" w:bottom="1440" w:left="1800" w:header="851" w:footer="992" w:gutter="0"/>
          <w:cols w:space="425" w:num="1"/>
          <w:docGrid w:type="lines" w:linePitch="312" w:charSpace="0"/>
        </w:sectPr>
      </w:pPr>
    </w:p>
    <w:p w14:paraId="77ED96DE">
      <w:pPr>
        <w:spacing w:line="288" w:lineRule="auto"/>
        <w:rPr>
          <w:rFonts w:hint="eastAsia" w:ascii="宋体" w:hAnsi="宋体" w:cs="宋体"/>
        </w:rPr>
      </w:pPr>
      <w:bookmarkStart w:id="0" w:name="PO_part2Table9"/>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155E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14:paraId="284A1878">
            <w:pPr>
              <w:jc w:val="right"/>
              <w:rPr>
                <w:rFonts w:hint="eastAsia" w:ascii="宋体" w:hAnsi="宋体" w:cs="宋体"/>
              </w:rPr>
            </w:pPr>
            <w:r>
              <w:rPr>
                <w:rFonts w:hint="eastAsia" w:ascii="宋体" w:hAnsi="宋体" w:cs="宋体"/>
                <w:kern w:val="0"/>
                <w:sz w:val="20"/>
                <w:szCs w:val="20"/>
              </w:rPr>
              <w:t>表9</w:t>
            </w:r>
          </w:p>
        </w:tc>
      </w:tr>
      <w:tr w14:paraId="54D0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14:paraId="74AE53EF">
            <w:pPr>
              <w:jc w:val="center"/>
              <w:rPr>
                <w:rFonts w:hint="eastAsia" w:ascii="宋体" w:hAnsi="宋体" w:cs="宋体"/>
                <w:b/>
              </w:rPr>
            </w:pPr>
            <w:r>
              <w:rPr>
                <w:rFonts w:hint="eastAsia" w:ascii="宋体" w:hAnsi="宋体" w:cs="宋体"/>
                <w:b/>
                <w:kern w:val="0"/>
                <w:sz w:val="32"/>
                <w:szCs w:val="32"/>
              </w:rPr>
              <w:t>财政拨款“三公”经费支出决算表</w:t>
            </w:r>
          </w:p>
        </w:tc>
      </w:tr>
      <w:tr w14:paraId="6AE8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14:paraId="5DAB8167">
            <w:pPr>
              <w:spacing w:line="288" w:lineRule="auto"/>
              <w:jc w:val="left"/>
              <w:rPr>
                <w:rFonts w:hint="eastAsia" w:ascii="宋体" w:hAnsi="宋体" w:cs="宋体"/>
                <w:sz w:val="28"/>
                <w:szCs w:val="28"/>
              </w:rPr>
            </w:pPr>
            <w:r>
              <w:rPr>
                <w:rFonts w:hint="eastAsia" w:ascii="宋体" w:hAnsi="宋体" w:cs="宋体"/>
                <w:kern w:val="0"/>
                <w:sz w:val="20"/>
                <w:szCs w:val="20"/>
              </w:rPr>
              <w:t xml:space="preserve"> 单位 ：湛江市交通运输局（本级） </w:t>
            </w:r>
          </w:p>
        </w:tc>
        <w:tc>
          <w:tcPr>
            <w:tcW w:w="3535" w:type="dxa"/>
            <w:gridSpan w:val="3"/>
            <w:tcBorders>
              <w:top w:val="nil"/>
              <w:left w:val="nil"/>
              <w:bottom w:val="single" w:color="auto" w:sz="4" w:space="0"/>
              <w:right w:val="nil"/>
            </w:tcBorders>
            <w:vAlign w:val="center"/>
          </w:tcPr>
          <w:p w14:paraId="7BCB8DB4">
            <w:pPr>
              <w:jc w:val="right"/>
              <w:rPr>
                <w:rFonts w:hint="eastAsia" w:ascii="宋体" w:hAnsi="宋体" w:cs="宋体"/>
              </w:rPr>
            </w:pPr>
            <w:r>
              <w:rPr>
                <w:rFonts w:hint="eastAsia" w:ascii="宋体" w:hAnsi="宋体" w:cs="宋体"/>
                <w:kern w:val="0"/>
                <w:sz w:val="20"/>
                <w:szCs w:val="20"/>
              </w:rPr>
              <w:t>单位：万元</w:t>
            </w:r>
          </w:p>
        </w:tc>
      </w:tr>
      <w:tr w14:paraId="04EB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14:paraId="42F94F46">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14:paraId="1014452F">
            <w:pPr>
              <w:jc w:val="center"/>
              <w:rPr>
                <w:rFonts w:hint="eastAsia" w:ascii="宋体" w:hAnsi="宋体" w:cs="宋体"/>
                <w:szCs w:val="21"/>
              </w:rPr>
            </w:pPr>
            <w:r>
              <w:rPr>
                <w:rFonts w:hint="eastAsia" w:ascii="宋体" w:hAnsi="宋体" w:cs="宋体"/>
                <w:kern w:val="0"/>
                <w:szCs w:val="21"/>
              </w:rPr>
              <w:t>决算数</w:t>
            </w:r>
          </w:p>
        </w:tc>
      </w:tr>
      <w:tr w14:paraId="52DC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14:paraId="761853C6">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14:paraId="52A89CE6">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center"/>
          </w:tcPr>
          <w:p w14:paraId="5D3BF295">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vAlign w:val="center"/>
          </w:tcPr>
          <w:p w14:paraId="21CE62F2">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14:paraId="01D7DA80">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14:paraId="1616E0FB">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center"/>
          </w:tcPr>
          <w:p w14:paraId="768BA985">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vAlign w:val="center"/>
          </w:tcPr>
          <w:p w14:paraId="7D97CA53">
            <w:pPr>
              <w:jc w:val="center"/>
              <w:rPr>
                <w:rFonts w:hint="eastAsia" w:ascii="宋体" w:hAnsi="宋体" w:cs="宋体"/>
                <w:szCs w:val="21"/>
              </w:rPr>
            </w:pPr>
            <w:r>
              <w:rPr>
                <w:rFonts w:hint="eastAsia" w:ascii="宋体" w:hAnsi="宋体" w:cs="宋体"/>
                <w:kern w:val="0"/>
                <w:szCs w:val="21"/>
              </w:rPr>
              <w:t>公务接待费</w:t>
            </w:r>
          </w:p>
        </w:tc>
      </w:tr>
      <w:tr w14:paraId="2EB1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14:paraId="3C94987A">
            <w:pPr>
              <w:spacing w:line="288" w:lineRule="auto"/>
              <w:rPr>
                <w:rFonts w:hint="eastAsia" w:ascii="宋体" w:hAnsi="宋体" w:cs="宋体"/>
                <w:szCs w:val="21"/>
              </w:rPr>
            </w:pPr>
          </w:p>
        </w:tc>
        <w:tc>
          <w:tcPr>
            <w:tcW w:w="1182" w:type="dxa"/>
            <w:vMerge w:val="continue"/>
          </w:tcPr>
          <w:p w14:paraId="5498A51A">
            <w:pPr>
              <w:spacing w:line="288" w:lineRule="auto"/>
              <w:rPr>
                <w:rFonts w:hint="eastAsia" w:ascii="宋体" w:hAnsi="宋体" w:cs="宋体"/>
                <w:szCs w:val="21"/>
              </w:rPr>
            </w:pPr>
          </w:p>
        </w:tc>
        <w:tc>
          <w:tcPr>
            <w:tcW w:w="1182" w:type="dxa"/>
            <w:vAlign w:val="center"/>
          </w:tcPr>
          <w:p w14:paraId="23755743">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14:paraId="49592552">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14:paraId="09CB9B06">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tcPr>
          <w:p w14:paraId="6025F9B6">
            <w:pPr>
              <w:spacing w:line="288" w:lineRule="auto"/>
              <w:rPr>
                <w:rFonts w:hint="eastAsia" w:ascii="宋体" w:hAnsi="宋体" w:cs="宋体"/>
                <w:szCs w:val="21"/>
              </w:rPr>
            </w:pPr>
          </w:p>
        </w:tc>
        <w:tc>
          <w:tcPr>
            <w:tcW w:w="1182" w:type="dxa"/>
            <w:vMerge w:val="continue"/>
          </w:tcPr>
          <w:p w14:paraId="4871C14C">
            <w:pPr>
              <w:spacing w:line="288" w:lineRule="auto"/>
              <w:rPr>
                <w:rFonts w:hint="eastAsia" w:ascii="宋体" w:hAnsi="宋体" w:cs="宋体"/>
                <w:szCs w:val="21"/>
              </w:rPr>
            </w:pPr>
          </w:p>
        </w:tc>
        <w:tc>
          <w:tcPr>
            <w:tcW w:w="1182" w:type="dxa"/>
            <w:vMerge w:val="continue"/>
          </w:tcPr>
          <w:p w14:paraId="0FAE0856">
            <w:pPr>
              <w:spacing w:line="288" w:lineRule="auto"/>
              <w:rPr>
                <w:rFonts w:hint="eastAsia" w:ascii="宋体" w:hAnsi="宋体" w:cs="宋体"/>
                <w:szCs w:val="21"/>
              </w:rPr>
            </w:pPr>
          </w:p>
        </w:tc>
        <w:tc>
          <w:tcPr>
            <w:tcW w:w="1182" w:type="dxa"/>
            <w:vAlign w:val="center"/>
          </w:tcPr>
          <w:p w14:paraId="5D583CE9">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14:paraId="72E43A5C">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14:paraId="00C7B85C">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tcPr>
          <w:p w14:paraId="10C575DF">
            <w:pPr>
              <w:spacing w:line="288" w:lineRule="auto"/>
              <w:rPr>
                <w:rFonts w:hint="eastAsia" w:ascii="宋体" w:hAnsi="宋体" w:cs="宋体"/>
                <w:szCs w:val="21"/>
              </w:rPr>
            </w:pPr>
          </w:p>
        </w:tc>
      </w:tr>
      <w:tr w14:paraId="1EF5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14124ABA">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14:paraId="363B1FE0">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14:paraId="264E6C45">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14:paraId="1A066D85">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14:paraId="6BFD486A">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14:paraId="66FE4812">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14:paraId="35DAE1E2">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14:paraId="28D5BDC9">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14:paraId="10B51820">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14:paraId="12AE7BC3">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14:paraId="5AC5AD0E">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14:paraId="20F2AD57">
            <w:pPr>
              <w:widowControl/>
              <w:jc w:val="center"/>
              <w:rPr>
                <w:rFonts w:hint="eastAsia" w:ascii="宋体" w:hAnsi="宋体" w:cs="宋体"/>
                <w:kern w:val="0"/>
                <w:szCs w:val="21"/>
              </w:rPr>
            </w:pPr>
            <w:r>
              <w:rPr>
                <w:rFonts w:hint="eastAsia" w:ascii="宋体" w:hAnsi="宋体" w:cs="宋体"/>
                <w:kern w:val="0"/>
                <w:szCs w:val="21"/>
              </w:rPr>
              <w:t>12</w:t>
            </w:r>
          </w:p>
        </w:tc>
      </w:tr>
      <w:tr w14:paraId="5A87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42F7B3D4">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eastAsia="宋体" w:cs="宋体"/>
                <w:color w:val="000000"/>
                <w:kern w:val="0"/>
                <w:sz w:val="20"/>
                <w:szCs w:val="20"/>
                <w:lang w:val="en-US" w:eastAsia="zh-CN" w:bidi="ar"/>
              </w:rPr>
              <w:t xml:space="preserve">74.30 </w:t>
            </w:r>
          </w:p>
        </w:tc>
        <w:tc>
          <w:tcPr>
            <w:tcW w:w="1182" w:type="dxa"/>
            <w:vAlign w:val="center"/>
          </w:tcPr>
          <w:p w14:paraId="1E57288C">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0.00</w:t>
            </w:r>
          </w:p>
        </w:tc>
        <w:tc>
          <w:tcPr>
            <w:tcW w:w="1182" w:type="dxa"/>
            <w:vAlign w:val="center"/>
          </w:tcPr>
          <w:p w14:paraId="145C2F43">
            <w:pPr>
              <w:keepNext w:val="0"/>
              <w:keepLines w:val="0"/>
              <w:widowControl/>
              <w:suppressLineNumbers w:val="0"/>
              <w:jc w:val="left"/>
              <w:rPr>
                <w:rFonts w:hint="default" w:ascii="宋体" w:hAnsi="宋体" w:cs="宋体"/>
                <w:kern w:val="0"/>
                <w:szCs w:val="21"/>
                <w:lang w:val="en-US"/>
              </w:rPr>
            </w:pPr>
            <w:r>
              <w:rPr>
                <w:rFonts w:hint="eastAsia" w:ascii="宋体" w:hAnsi="宋体" w:cs="宋体"/>
                <w:color w:val="000000"/>
                <w:kern w:val="0"/>
                <w:sz w:val="20"/>
                <w:szCs w:val="20"/>
                <w:lang w:val="en-US" w:eastAsia="zh-CN" w:bidi="ar"/>
              </w:rPr>
              <w:t>69.20</w:t>
            </w:r>
          </w:p>
        </w:tc>
        <w:tc>
          <w:tcPr>
            <w:tcW w:w="1182" w:type="dxa"/>
            <w:vAlign w:val="center"/>
          </w:tcPr>
          <w:p w14:paraId="1765EABD">
            <w:pPr>
              <w:keepNext w:val="0"/>
              <w:keepLines w:val="0"/>
              <w:widowControl/>
              <w:suppressLineNumbers w:val="0"/>
              <w:jc w:val="left"/>
              <w:rPr>
                <w:rFonts w:hint="eastAsia" w:ascii="宋体" w:hAnsi="宋体" w:cs="宋体"/>
                <w:kern w:val="0"/>
                <w:szCs w:val="21"/>
              </w:rPr>
            </w:pPr>
            <w:r>
              <w:rPr>
                <w:rFonts w:hint="eastAsia" w:ascii="宋体" w:hAnsi="宋体" w:cs="宋体"/>
                <w:color w:val="000000"/>
                <w:kern w:val="0"/>
                <w:sz w:val="20"/>
                <w:szCs w:val="20"/>
                <w:lang w:val="en-US" w:eastAsia="zh-CN" w:bidi="ar"/>
              </w:rPr>
              <w:t>0.00</w:t>
            </w:r>
            <w:r>
              <w:rPr>
                <w:rFonts w:hint="eastAsia" w:ascii="宋体" w:hAnsi="宋体" w:eastAsia="宋体" w:cs="宋体"/>
                <w:color w:val="000000"/>
                <w:kern w:val="0"/>
                <w:sz w:val="20"/>
                <w:szCs w:val="20"/>
                <w:lang w:val="en-US" w:eastAsia="zh-CN" w:bidi="ar"/>
              </w:rPr>
              <w:t xml:space="preserve"> </w:t>
            </w:r>
          </w:p>
        </w:tc>
        <w:tc>
          <w:tcPr>
            <w:tcW w:w="1182" w:type="dxa"/>
            <w:vAlign w:val="center"/>
          </w:tcPr>
          <w:p w14:paraId="1DBCD53A">
            <w:pPr>
              <w:keepNext w:val="0"/>
              <w:keepLines w:val="0"/>
              <w:widowControl/>
              <w:suppressLineNumbers w:val="0"/>
              <w:jc w:val="left"/>
              <w:rPr>
                <w:rFonts w:hint="eastAsia" w:ascii="宋体" w:hAnsi="宋体" w:cs="宋体"/>
                <w:kern w:val="0"/>
                <w:szCs w:val="21"/>
              </w:rPr>
            </w:pPr>
            <w:r>
              <w:rPr>
                <w:rFonts w:hint="eastAsia" w:ascii="宋体" w:hAnsi="宋体" w:cs="宋体"/>
                <w:color w:val="000000"/>
                <w:kern w:val="0"/>
                <w:sz w:val="20"/>
                <w:szCs w:val="20"/>
                <w:lang w:val="en-US" w:eastAsia="zh-CN" w:bidi="ar"/>
              </w:rPr>
              <w:t>69.20</w:t>
            </w:r>
            <w:r>
              <w:rPr>
                <w:rFonts w:hint="eastAsia" w:ascii="宋体" w:hAnsi="宋体" w:eastAsia="宋体" w:cs="宋体"/>
                <w:color w:val="000000"/>
                <w:kern w:val="0"/>
                <w:sz w:val="20"/>
                <w:szCs w:val="20"/>
                <w:lang w:val="en-US" w:eastAsia="zh-CN" w:bidi="ar"/>
              </w:rPr>
              <w:t xml:space="preserve"> </w:t>
            </w:r>
          </w:p>
        </w:tc>
        <w:tc>
          <w:tcPr>
            <w:tcW w:w="1182" w:type="dxa"/>
            <w:vAlign w:val="center"/>
          </w:tcPr>
          <w:p w14:paraId="4D80711F">
            <w:pPr>
              <w:keepNext w:val="0"/>
              <w:keepLines w:val="0"/>
              <w:widowControl/>
              <w:suppressLineNumbers w:val="0"/>
              <w:jc w:val="left"/>
              <w:rPr>
                <w:rFonts w:hint="eastAsia" w:ascii="宋体" w:hAnsi="宋体" w:cs="宋体"/>
                <w:kern w:val="0"/>
                <w:szCs w:val="21"/>
              </w:rPr>
            </w:pPr>
            <w:r>
              <w:rPr>
                <w:rFonts w:hint="eastAsia" w:ascii="宋体" w:hAnsi="宋体" w:cs="宋体"/>
                <w:color w:val="000000"/>
                <w:kern w:val="0"/>
                <w:sz w:val="20"/>
                <w:szCs w:val="20"/>
                <w:lang w:val="en-US" w:eastAsia="zh-CN" w:bidi="ar"/>
              </w:rPr>
              <w:t>5.10</w:t>
            </w:r>
            <w:r>
              <w:rPr>
                <w:rFonts w:hint="eastAsia" w:ascii="宋体" w:hAnsi="宋体" w:eastAsia="宋体" w:cs="宋体"/>
                <w:color w:val="000000"/>
                <w:kern w:val="0"/>
                <w:sz w:val="20"/>
                <w:szCs w:val="20"/>
                <w:lang w:val="en-US" w:eastAsia="zh-CN" w:bidi="ar"/>
              </w:rPr>
              <w:t xml:space="preserve"> </w:t>
            </w:r>
          </w:p>
        </w:tc>
        <w:tc>
          <w:tcPr>
            <w:tcW w:w="1182" w:type="dxa"/>
            <w:vAlign w:val="center"/>
          </w:tcPr>
          <w:p w14:paraId="2D431527">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68.67</w:t>
            </w:r>
            <w:r>
              <w:rPr>
                <w:rFonts w:hint="eastAsia" w:ascii="宋体" w:hAnsi="宋体" w:eastAsia="宋体" w:cs="宋体"/>
                <w:color w:val="000000"/>
                <w:kern w:val="0"/>
                <w:sz w:val="20"/>
                <w:szCs w:val="20"/>
                <w:lang w:val="en-US" w:eastAsia="zh-CN" w:bidi="ar"/>
              </w:rPr>
              <w:t xml:space="preserve"> </w:t>
            </w:r>
          </w:p>
        </w:tc>
        <w:tc>
          <w:tcPr>
            <w:tcW w:w="1182" w:type="dxa"/>
            <w:vAlign w:val="center"/>
          </w:tcPr>
          <w:p w14:paraId="61A25E48">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0.00</w:t>
            </w:r>
            <w:r>
              <w:rPr>
                <w:rFonts w:hint="eastAsia" w:ascii="宋体" w:hAnsi="宋体" w:eastAsia="宋体" w:cs="宋体"/>
                <w:color w:val="000000"/>
                <w:kern w:val="0"/>
                <w:sz w:val="20"/>
                <w:szCs w:val="20"/>
                <w:lang w:val="en-US" w:eastAsia="zh-CN" w:bidi="ar"/>
              </w:rPr>
              <w:t xml:space="preserve"> </w:t>
            </w:r>
          </w:p>
        </w:tc>
        <w:tc>
          <w:tcPr>
            <w:tcW w:w="1182" w:type="dxa"/>
            <w:vAlign w:val="center"/>
          </w:tcPr>
          <w:p w14:paraId="64024673">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64.95</w:t>
            </w:r>
            <w:r>
              <w:rPr>
                <w:rFonts w:hint="eastAsia" w:ascii="宋体" w:hAnsi="宋体" w:eastAsia="宋体" w:cs="宋体"/>
                <w:color w:val="000000"/>
                <w:kern w:val="0"/>
                <w:sz w:val="20"/>
                <w:szCs w:val="20"/>
                <w:lang w:val="en-US" w:eastAsia="zh-CN" w:bidi="ar"/>
              </w:rPr>
              <w:t xml:space="preserve"> </w:t>
            </w:r>
          </w:p>
        </w:tc>
        <w:tc>
          <w:tcPr>
            <w:tcW w:w="1182" w:type="dxa"/>
            <w:vAlign w:val="center"/>
          </w:tcPr>
          <w:p w14:paraId="4C380D90">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0.00</w:t>
            </w:r>
            <w:r>
              <w:rPr>
                <w:rFonts w:hint="eastAsia" w:ascii="宋体" w:hAnsi="宋体" w:eastAsia="宋体" w:cs="宋体"/>
                <w:color w:val="000000"/>
                <w:kern w:val="0"/>
                <w:sz w:val="20"/>
                <w:szCs w:val="20"/>
                <w:lang w:val="en-US" w:eastAsia="zh-CN" w:bidi="ar"/>
              </w:rPr>
              <w:t xml:space="preserve"> </w:t>
            </w:r>
          </w:p>
        </w:tc>
        <w:tc>
          <w:tcPr>
            <w:tcW w:w="1182" w:type="dxa"/>
            <w:vAlign w:val="center"/>
          </w:tcPr>
          <w:p w14:paraId="7324C6C3">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64.95</w:t>
            </w:r>
            <w:r>
              <w:rPr>
                <w:rFonts w:hint="eastAsia" w:ascii="宋体" w:hAnsi="宋体" w:eastAsia="宋体" w:cs="宋体"/>
                <w:color w:val="000000"/>
                <w:kern w:val="0"/>
                <w:sz w:val="20"/>
                <w:szCs w:val="20"/>
                <w:lang w:val="en-US" w:eastAsia="zh-CN" w:bidi="ar"/>
              </w:rPr>
              <w:t xml:space="preserve"> </w:t>
            </w:r>
          </w:p>
        </w:tc>
        <w:tc>
          <w:tcPr>
            <w:tcW w:w="1171" w:type="dxa"/>
            <w:vAlign w:val="center"/>
          </w:tcPr>
          <w:p w14:paraId="5160FF5D">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3.72</w:t>
            </w:r>
            <w:r>
              <w:rPr>
                <w:rFonts w:hint="eastAsia" w:ascii="宋体" w:hAnsi="宋体" w:eastAsia="宋体" w:cs="宋体"/>
                <w:color w:val="000000"/>
                <w:kern w:val="0"/>
                <w:sz w:val="20"/>
                <w:szCs w:val="20"/>
                <w:lang w:val="en-US" w:eastAsia="zh-CN" w:bidi="ar"/>
              </w:rPr>
              <w:t xml:space="preserve"> </w:t>
            </w:r>
          </w:p>
        </w:tc>
      </w:tr>
    </w:tbl>
    <w:p w14:paraId="77C34DB5">
      <w:pPr>
        <w:keepNext w:val="0"/>
        <w:keepLines w:val="0"/>
        <w:widowControl/>
        <w:suppressLineNumbers w:val="0"/>
        <w:jc w:val="left"/>
      </w:pPr>
      <w:r>
        <w:rPr>
          <w:rFonts w:hint="eastAsia" w:ascii="宋体" w:hAnsi="宋体" w:cs="宋体"/>
          <w:szCs w:val="21"/>
        </w:rPr>
        <w:t>注：</w:t>
      </w:r>
      <w:r>
        <w:rPr>
          <w:rFonts w:hint="eastAsia" w:ascii="宋体" w:hAnsi="宋体" w:eastAsia="宋体" w:cs="宋体"/>
          <w:color w:val="000000"/>
          <w:kern w:val="0"/>
          <w:sz w:val="18"/>
          <w:szCs w:val="18"/>
          <w:lang w:val="en-US" w:eastAsia="zh-CN" w:bidi="ar"/>
        </w:rPr>
        <w:t>本表反映单位本年度财政拨款“三公”经费支出预决算情况。其中，预算数为“三公”经费全年预算数，反映按规定程序调整后的预算数；决算数是包括当年财政拨款和以前年度结转资金安排的实际支出。</w:t>
      </w:r>
    </w:p>
    <w:p w14:paraId="4ADB0617">
      <w:pPr>
        <w:spacing w:line="360" w:lineRule="auto"/>
        <w:ind w:firstLine="840" w:firstLineChars="400"/>
        <w:rPr>
          <w:rFonts w:hint="eastAsia" w:ascii="宋体" w:hAnsi="宋体" w:cs="宋体"/>
          <w:szCs w:val="21"/>
        </w:rPr>
      </w:pPr>
      <w:r>
        <w:rPr>
          <w:rFonts w:hint="eastAsia" w:ascii="宋体" w:hAnsi="宋体" w:cs="宋体"/>
          <w:szCs w:val="21"/>
        </w:rPr>
        <w:t xml:space="preserve"> </w:t>
      </w:r>
      <w:r>
        <w:rPr>
          <w:rFonts w:hint="eastAsia" w:ascii="宋体" w:hAnsi="宋体" w:cs="宋体"/>
          <w:sz w:val="28"/>
          <w:szCs w:val="28"/>
        </w:rPr>
        <w:t xml:space="preserve"> </w:t>
      </w:r>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YTY1YWMxYTM1ZmNkNGY0MWE5MzgxMTJlZjQwNmIifQ=="/>
  </w:docVars>
  <w:rsids>
    <w:rsidRoot w:val="77817FC0"/>
    <w:rsid w:val="074731B9"/>
    <w:rsid w:val="0A6A040A"/>
    <w:rsid w:val="0B4A7984"/>
    <w:rsid w:val="26DB60FD"/>
    <w:rsid w:val="305232DD"/>
    <w:rsid w:val="30C94C47"/>
    <w:rsid w:val="432B1D63"/>
    <w:rsid w:val="46CD691B"/>
    <w:rsid w:val="4CB41B97"/>
    <w:rsid w:val="51AD6647"/>
    <w:rsid w:val="5FC24A29"/>
    <w:rsid w:val="68EF79B9"/>
    <w:rsid w:val="71C97C97"/>
    <w:rsid w:val="733E7BB3"/>
    <w:rsid w:val="77817FC0"/>
    <w:rsid w:val="780C2DEC"/>
    <w:rsid w:val="7CE3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1316</Characters>
  <Lines>0</Lines>
  <Paragraphs>0</Paragraphs>
  <TotalTime>9</TotalTime>
  <ScaleCrop>false</ScaleCrop>
  <LinksUpToDate>false</LinksUpToDate>
  <CharactersWithSpaces>1345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2021-09-09T03:34:00Z</dcterms:created>
  <dc:creator>琉璃雪</dc:creator>
  <cp:lastModifiedBy>庄翠花</cp:lastModifiedBy>
  <dcterms:modified xsi:type="dcterms:W3CDTF">2025-09-13T08:52:36Z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2466D42704244845A0422BDCBDEB89A7_13</vt:lpwstr>
  </property>
  <property fmtid="{D5CDD505-2E9C-101B-9397-08002B2CF9AE}" pid="4" name="KSOTemplateDocerSaveRecord">
    <vt:lpwstr>eyJoZGlkIjoiMjcwYTY1YWMxYTM1ZmNkNGY0MWE5MzgxMTJlZjQwNmIiLCJ1c2VySWQiOiI2NjY1NTM4MzEifQ==</vt:lpwstr>
  </property>
</Properties>
</file>