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项目支出绩效自评报告</w:t>
      </w: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项目名称：焚烧发电厂第三方运营监管服务202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评价年度：202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市级预算部门单位（公章）：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一、基本情况</w:t>
      </w:r>
    </w:p>
    <w:p>
      <w:pPr>
        <w:spacing w:line="600" w:lineRule="exact"/>
        <w:ind w:firstLine="600"/>
        <w:rPr>
          <w:rFonts w:hint="eastAsia" w:ascii="仿宋" w:hAnsi="仿宋" w:eastAsia="仿宋" w:cs="仿宋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项目概况。湛江市生活垃圾焚烧发电厂位于湛江市生活垃圾处理场北侧，占地面积约80亩，总投资6.3645亿元，配置3×500t.d机械炉排和2台15MW凝汽式汽轮发电机，由湛江市粤丰环保电力有限公司负责采用BOT模式建设和运营，负责接收市区原生垃圾及填埋场三期的存量垃圾，该项目设计处理规模为1500吨/日，垃圾处理补贴费为81.8元/吨。2016年5月建成投产。依据《关于明确湛江市生活垃圾焚烧电厂项目工作整体移交的请示》（办文编号C17380）。为保障生活垃圾焚烧发电服务项目的正常运营，</w:t>
      </w:r>
      <w:r>
        <w:rPr>
          <w:rFonts w:hint="eastAsia" w:ascii="仿宋" w:hAnsi="仿宋" w:eastAsia="仿宋" w:cs="仿宋"/>
          <w:sz w:val="32"/>
          <w:szCs w:val="32"/>
        </w:rPr>
        <w:t>经政府采购，委托上海环境卫生工程设计院有限公司负责第三方运营监管</w:t>
      </w:r>
      <w:r>
        <w:rPr>
          <w:rFonts w:hint="eastAsia" w:ascii="仿宋" w:hAnsi="仿宋" w:eastAsia="仿宋" w:cs="仿宋"/>
          <w:kern w:val="1"/>
          <w:sz w:val="32"/>
          <w:szCs w:val="32"/>
        </w:rPr>
        <w:t>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（二）评价年度项目绩效目标设定情况。202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年度项目绩效目标为引入专业的第三方监管，按时编制焚烧厂的技术监管报告，现场监督、指导焚烧厂运营工作，保证焚烧厂及时处理进场垃圾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,并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支付给服务公司经费（政府采购服务）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二、绩效自评工作开展情况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前期准备。为保证绩效自评的顺利实施，场成立了以场党支部书记、场长许保敬为组长，副场长李涛为副组长，各股室负责人、财务人员和劳资员为成员的绩效管理工作领导小组，并进一步细化和明确了工作职责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（二）根据《湛江市财政局关于开展202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年市级财政资金绩效自评工作的通知》（湛财绩</w:t>
      </w:r>
      <w:r>
        <w:rPr>
          <w:rFonts w:hint="eastAsia" w:ascii="宋体" w:hAnsi="宋体" w:cs="宋体"/>
          <w:kern w:val="1"/>
          <w:sz w:val="32"/>
          <w:szCs w:val="32"/>
        </w:rPr>
        <w:t>[</w:t>
      </w:r>
      <w:r>
        <w:rPr>
          <w:rFonts w:ascii="仿宋_GB2312" w:hAnsi="仿宋_GB2312" w:eastAsia="仿宋_GB2312"/>
          <w:kern w:val="1"/>
          <w:sz w:val="32"/>
          <w:szCs w:val="32"/>
        </w:rPr>
        <w:t>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ascii="MS Gothic" w:hAnsi="MS Gothic" w:cs="MS Gothic" w:eastAsiaTheme="minorEastAsia"/>
          <w:kern w:val="1"/>
          <w:sz w:val="32"/>
          <w:szCs w:val="32"/>
        </w:rPr>
        <w:t>]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号）文件要求，围绕202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年预算制定该项目绩效目标，对绩效目标有关情况进行梳理、汇总分析，复核相关情况，并完成自评表，形成自评报告。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（三）根据项目实际情况，采用预期值与实现值比较的方法进行评价。本项目绩效评价指标如下：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1.过程——资金管理——资金支出率。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2.过程——事项管理——监管有效性。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3.产出——数量指标——年度完成监督检查次数（次）。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4.产出——数量指标——出动人员数量。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5.产出——质量指标——购买服务验收实施率（%）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6.产出——质量指标——购买服务目标计划完成率（%）。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7.产出——质量指标——购买服务验收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合格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8.产出——质量指标——无害化处理率（%）。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9.产出——质量指标——发现整改及时率（%）。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10.产出——质量指标——项目完成时间。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11.产出——时效指标——项目总投资（万元）。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12.效益——经济效益指标——政府采购节支率（%）。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.效益——社会效益指标——提高工作效率。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.效益——社会效益指标——提升公共服务水平。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.效益——社会效益指标——提高市容环境卫生保洁，提升市民爱护市容意识。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.效益——生态效益指标——城市生活垃圾无害化处理率（%）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.效益——可持续影响指标——提高人居环境质量，保持城市管理业务正常运转，美化城市绿地景观。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.效益——满意度指标——社会公众满意度100%。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三、绩效自评结果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自评分：100分，等级：优</w:t>
      </w:r>
    </w:p>
    <w:p>
      <w:pPr>
        <w:numPr>
          <w:ilvl w:val="0"/>
          <w:numId w:val="1"/>
        </w:num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项目资金使用绩效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（一）资金投入情况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1.资金到位情况：评价年度预期投入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139.53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万元、预算安排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139.53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万元、实际到位资金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48.83585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万元、资金分配方式及预算指标分配下达是市本级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48.83585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2.资金执行情况：资金拨付下达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48.83585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万元、市本级实际支出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48.83585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万元，预算执行率100%。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3.资金管理情况。严格按照财政资金各项管理办法管理使用项目资金，按照年初预算推进，已按照合同约定及时向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局申请支付款项，财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局一直未下达资金，无法发起申请和支付到账。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（二）绩效目标完成情况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1.产出指标完成情况。完成购买服务验收实施率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%，无害化处理率≥90%，项目完成时间为1年，202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年12月31完成，项目总投资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预算139.53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万元，本年度项目投入成本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48.83585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2.效益指标完成情况。提高市容环境卫生保洁，提升市民爱护市容意识，提升了监管水平，城市生活垃圾无害化处理率≥90%，持续提高人居环境质量，确保城市管理业务正常运转，美化了城市绿地景观。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3.满意度指标完成情况。社会公众满意度≧90%。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五、主要经验、存在的问题和偏离绩效目标的原因分析</w:t>
      </w:r>
    </w:p>
    <w:p>
      <w:pPr>
        <w:spacing w:line="600" w:lineRule="exact"/>
        <w:ind w:firstLine="600"/>
        <w:rPr>
          <w:rFonts w:ascii="仿宋_GB2312" w:hAnsi="黑体" w:eastAsia="仿宋_GB2312" w:cs="黑体"/>
          <w:kern w:val="1"/>
          <w:sz w:val="32"/>
          <w:szCs w:val="32"/>
        </w:rPr>
      </w:pPr>
      <w:r>
        <w:rPr>
          <w:rFonts w:hint="eastAsia" w:ascii="仿宋_GB2312" w:hAnsi="黑体" w:eastAsia="仿宋_GB2312" w:cs="黑体"/>
          <w:kern w:val="1"/>
          <w:sz w:val="32"/>
          <w:szCs w:val="32"/>
        </w:rPr>
        <w:t>已按照合同约定向市财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局申请支付款项，财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局一直未支付。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六、改进意见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与市财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局加强沟通，争取尽早完成申请款项的拨付。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七、绩效自评结果拟应用和公开情况</w:t>
      </w:r>
    </w:p>
    <w:p>
      <w:r>
        <w:rPr>
          <w:rFonts w:hint="eastAsia" w:ascii="仿宋_GB2312" w:hAnsi="黑体" w:eastAsia="仿宋_GB2312" w:cs="黑体"/>
          <w:kern w:val="1"/>
          <w:sz w:val="32"/>
          <w:szCs w:val="32"/>
        </w:rPr>
        <w:t>自评结果按规定时间于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湛江市城市管理和综合执法局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网站进行公开。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BE44D"/>
    <w:multiLevelType w:val="singleLevel"/>
    <w:tmpl w:val="5F0BE44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2NTM5OTg5MzhhZDc4N2VlMDcxZmUyYjUzMDFiMWEifQ=="/>
  </w:docVars>
  <w:rsids>
    <w:rsidRoot w:val="1A062D53"/>
    <w:rsid w:val="08C330EF"/>
    <w:rsid w:val="0A6B49B7"/>
    <w:rsid w:val="0D3E1A8C"/>
    <w:rsid w:val="16371982"/>
    <w:rsid w:val="1A062D53"/>
    <w:rsid w:val="1EDE338D"/>
    <w:rsid w:val="3C6F0515"/>
    <w:rsid w:val="46D1622F"/>
    <w:rsid w:val="4880201F"/>
    <w:rsid w:val="51E67A6C"/>
    <w:rsid w:val="61C77185"/>
    <w:rsid w:val="6892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2024-07-24T07:08:00Z</dcterms:created>
  <dc:creator>Administrator</dc:creator>
  <cp:lastModifiedBy>Administrator</cp:lastModifiedBy>
  <dcterms:modified xsi:type="dcterms:W3CDTF">2025-04-27T08:13:14Z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E3B7B4FA42AE498BA00AA961180B803F</vt:lpwstr>
  </property>
</Properties>
</file>