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wmf" ContentType="image/x-wmf"/>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3E0C98D">
      <w:pPr>
        <w:jc w:val="both"/>
      </w:pPr>
      <w:r>
        <w:drawing>
          <wp:anchor distT="0" distB="0" distL="114300" distR="114300" simplePos="0" relativeHeight="251662336" behindDoc="0" locked="0" layoutInCell="1" allowOverlap="1">
            <wp:simplePos x="0" y="0"/>
            <wp:positionH relativeFrom="page">
              <wp:posOffset>4854575</wp:posOffset>
            </wp:positionH>
            <wp:positionV relativeFrom="page">
              <wp:posOffset>631825</wp:posOffset>
            </wp:positionV>
            <wp:extent cx="1720215" cy="800100"/>
            <wp:effectExtent l="0" t="0" r="13335" b="0"/>
            <wp:wrapNone/>
            <wp:docPr id="13" name="图片 13" descr="说明: 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说明: G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1720215" cy="800100"/>
                    </a:xfrm>
                    <a:prstGeom prst="rect">
                      <a:avLst/>
                    </a:prstGeom>
                    <a:noFill/>
                    <a:ln>
                      <a:noFill/>
                    </a:ln>
                  </pic:spPr>
                </pic:pic>
              </a:graphicData>
            </a:graphic>
          </wp:anchor>
        </w:drawing>
      </w:r>
      <w:r>
        <w:t xml:space="preserve"> </w:t>
      </w:r>
      <w:r>
        <w:rPr>
          <w:rFonts w:hint="eastAsia"/>
          <w:lang w:val="en-US" w:eastAsia="zh-CN"/>
        </w:rPr>
        <w:t xml:space="preserve">           </w:t>
      </w:r>
      <w:r>
        <w:rPr>
          <w:rFonts w:ascii="黑体" w:hAnsi="黑体" w:eastAsia="黑体"/>
          <w:sz w:val="48"/>
          <w:szCs w:val="48"/>
        </w:rPr>
        <w:t xml:space="preserve">广东省标准            </w:t>
      </w:r>
      <w:r>
        <w:rPr>
          <w:rFonts w:hint="eastAsia" w:ascii="黑体" w:hAnsi="黑体" w:eastAsia="黑体"/>
          <w:sz w:val="48"/>
          <w:szCs w:val="48"/>
        </w:rPr>
        <w:t xml:space="preserve">   </w:t>
      </w:r>
      <w:bookmarkStart w:id="0" w:name="_Toc337542810"/>
      <w:r>
        <w:rPr>
          <w:rFonts w:hint="eastAsia"/>
        </w:rPr>
        <w:t xml:space="preserve">      </w:t>
      </w:r>
    </w:p>
    <w:p w14:paraId="6EAED1D7">
      <w:pPr>
        <w:jc w:val="left"/>
        <w:rPr>
          <w:sz w:val="30"/>
          <w:szCs w:val="30"/>
        </w:rPr>
      </w:pPr>
      <w:r>
        <w:rPr>
          <w:rFonts w:hint="eastAsia"/>
        </w:rPr>
        <w:t xml:space="preserve">                                        </w:t>
      </w:r>
      <w:r>
        <w:rPr>
          <w:rFonts w:hint="eastAsia"/>
          <w:sz w:val="30"/>
          <w:szCs w:val="30"/>
        </w:rPr>
        <w:t xml:space="preserve">           </w:t>
      </w:r>
      <w:r>
        <w:rPr>
          <w:rFonts w:hint="eastAsia"/>
          <w:sz w:val="30"/>
          <w:szCs w:val="30"/>
          <w:lang w:val="en-US" w:eastAsia="zh-CN"/>
        </w:rPr>
        <w:t xml:space="preserve">     </w:t>
      </w:r>
      <w:r>
        <w:rPr>
          <w:sz w:val="30"/>
          <w:szCs w:val="30"/>
        </w:rPr>
        <w:t>DBJ</w:t>
      </w:r>
      <w:r>
        <w:rPr>
          <w:rFonts w:hint="eastAsia"/>
          <w:sz w:val="30"/>
          <w:szCs w:val="30"/>
        </w:rPr>
        <w:t xml:space="preserve"> </w:t>
      </w:r>
      <w:r>
        <w:rPr>
          <w:sz w:val="30"/>
          <w:szCs w:val="30"/>
        </w:rPr>
        <w:t>**-**-</w:t>
      </w:r>
      <w:bookmarkEnd w:id="0"/>
      <w:r>
        <w:rPr>
          <w:sz w:val="30"/>
          <w:szCs w:val="30"/>
        </w:rPr>
        <w:t>20</w:t>
      </w:r>
      <w:r>
        <w:rPr>
          <w:rFonts w:hint="eastAsia"/>
          <w:sz w:val="30"/>
          <w:szCs w:val="30"/>
        </w:rPr>
        <w:t>2</w:t>
      </w:r>
      <w:r>
        <w:rPr>
          <w:sz w:val="30"/>
          <w:szCs w:val="30"/>
        </w:rPr>
        <w:t>*</w:t>
      </w:r>
    </w:p>
    <w:p w14:paraId="456C42D1">
      <w:pPr>
        <w:jc w:val="center"/>
        <w:rPr>
          <w:sz w:val="30"/>
          <w:szCs w:val="30"/>
        </w:rPr>
      </w:pPr>
      <w:r>
        <w:rPr>
          <w:rFonts w:hint="eastAsia"/>
          <w:sz w:val="30"/>
          <w:szCs w:val="30"/>
        </w:rPr>
        <w:t xml:space="preserve">                              </w:t>
      </w:r>
      <w:r>
        <w:rPr>
          <w:rFonts w:hint="eastAsia"/>
          <w:sz w:val="30"/>
          <w:szCs w:val="30"/>
          <w:lang w:val="en-US" w:eastAsia="zh-CN"/>
        </w:rPr>
        <w:t xml:space="preserve">         </w:t>
      </w:r>
      <w:r>
        <w:rPr>
          <w:rFonts w:hint="eastAsia"/>
          <w:sz w:val="30"/>
          <w:szCs w:val="30"/>
        </w:rPr>
        <w:t>备案号 J XXXXX-202</w:t>
      </w:r>
      <w:r>
        <w:rPr>
          <w:sz w:val="30"/>
          <w:szCs w:val="30"/>
        </w:rPr>
        <w:t>*</w:t>
      </w:r>
    </w:p>
    <w:p w14:paraId="0A420341">
      <w:pPr>
        <w:jc w:val="center"/>
      </w:pPr>
      <w:r>
        <w:rPr>
          <w:sz w:val="30"/>
          <w:szCs w:val="30"/>
        </w:rPr>
        <mc:AlternateContent>
          <mc:Choice Requires="wps">
            <w:drawing>
              <wp:anchor distT="0" distB="0" distL="114300" distR="114300" simplePos="0" relativeHeight="251659264" behindDoc="0" locked="0" layoutInCell="1" allowOverlap="1">
                <wp:simplePos x="0" y="0"/>
                <wp:positionH relativeFrom="column">
                  <wp:posOffset>445135</wp:posOffset>
                </wp:positionH>
                <wp:positionV relativeFrom="paragraph">
                  <wp:posOffset>8255</wp:posOffset>
                </wp:positionV>
                <wp:extent cx="5486400" cy="41910"/>
                <wp:effectExtent l="0" t="4445" r="0" b="10795"/>
                <wp:wrapNone/>
                <wp:docPr id="14" name="直接连接符 14"/>
                <wp:cNvGraphicFramePr/>
                <a:graphic xmlns:a="http://schemas.openxmlformats.org/drawingml/2006/main">
                  <a:graphicData uri="http://schemas.microsoft.com/office/word/2010/wordprocessingShape">
                    <wps:wsp>
                      <wps:cNvCnPr>
                        <a:cxnSpLocks noChangeShapeType="1"/>
                      </wps:cNvCnPr>
                      <wps:spPr bwMode="auto">
                        <a:xfrm flipV="1">
                          <a:off x="0" y="0"/>
                          <a:ext cx="5486400" cy="41910"/>
                        </a:xfrm>
                        <a:prstGeom prst="line">
                          <a:avLst/>
                        </a:prstGeom>
                        <a:noFill/>
                        <a:ln w="9525" cmpd="sng">
                          <a:solidFill>
                            <a:srgbClr val="000000"/>
                          </a:solidFill>
                          <a:round/>
                        </a:ln>
                      </wps:spPr>
                      <wps:bodyPr/>
                    </wps:wsp>
                  </a:graphicData>
                </a:graphic>
              </wp:anchor>
            </w:drawing>
          </mc:Choice>
          <mc:Fallback>
            <w:pict>
              <v:line id="_x0000_s1026" o:spid="_x0000_s1026" o:spt="20" style="position:absolute;left:0pt;flip:y;margin-left:35.05pt;margin-top:0.65pt;height:3.3pt;width:432pt;z-index:251659264;mso-width-relative:page;mso-height-relative:page;" filled="f" stroked="t" coordsize="21600,21600" o:gfxdata="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WKweZ0gAAAAYBAAAPAAAAAAAAAAEAIAAAACIAAABkcnMvZG93bnJldi54bWxQSwECFAAU&#10;AAAACACHTuJAEIPJr/cBAADFAwAADgAAAAAAAAABACAAAAAhAQAAZHJzL2Uyb0RvYy54bWxQSwUG&#10;AAAAAAYABgBZAQAAigUAAAAA&#10;">
                <v:fill on="f" focussize="0,0"/>
                <v:stroke color="#000000" joinstyle="round"/>
                <v:imagedata o:title=""/>
                <o:lock v:ext="edit" aspectratio="f"/>
              </v:line>
            </w:pict>
          </mc:Fallback>
        </mc:AlternateContent>
      </w:r>
    </w:p>
    <w:p w14:paraId="416CDEDA">
      <w:pPr>
        <w:jc w:val="center"/>
        <w:rPr>
          <w:b/>
          <w:bCs/>
          <w:sz w:val="52"/>
          <w:szCs w:val="52"/>
        </w:rPr>
      </w:pPr>
      <w:r>
        <w:rPr>
          <w:rFonts w:hint="eastAsia"/>
          <w:b/>
          <w:bCs/>
          <w:sz w:val="52"/>
          <w:szCs w:val="52"/>
        </w:rPr>
        <w:t>矩形顶管工程技术规程</w:t>
      </w:r>
    </w:p>
    <w:p w14:paraId="55311D0D">
      <w:pPr>
        <w:snapToGrid w:val="0"/>
        <w:jc w:val="center"/>
        <w:rPr>
          <w:b/>
          <w:sz w:val="28"/>
          <w:szCs w:val="22"/>
        </w:rPr>
      </w:pPr>
      <w:r>
        <w:rPr>
          <w:rFonts w:hint="eastAsia"/>
          <w:b/>
          <w:sz w:val="28"/>
          <w:szCs w:val="22"/>
        </w:rPr>
        <w:t xml:space="preserve">Technical </w:t>
      </w:r>
      <w:r>
        <w:rPr>
          <w:b/>
          <w:sz w:val="28"/>
          <w:szCs w:val="22"/>
        </w:rPr>
        <w:t>S</w:t>
      </w:r>
      <w:r>
        <w:rPr>
          <w:rFonts w:hint="eastAsia"/>
          <w:b/>
          <w:sz w:val="28"/>
          <w:szCs w:val="22"/>
        </w:rPr>
        <w:t xml:space="preserve">pecification for </w:t>
      </w:r>
      <w:r>
        <w:rPr>
          <w:b/>
          <w:sz w:val="28"/>
          <w:szCs w:val="22"/>
        </w:rPr>
        <w:t>Pipe Jacking Engineering</w:t>
      </w:r>
      <w:r>
        <w:rPr>
          <w:rFonts w:hint="eastAsia"/>
          <w:b/>
          <w:sz w:val="28"/>
          <w:szCs w:val="22"/>
        </w:rPr>
        <w:t xml:space="preserve"> with</w:t>
      </w:r>
    </w:p>
    <w:p w14:paraId="4786B62E">
      <w:pPr>
        <w:snapToGrid w:val="0"/>
        <w:jc w:val="center"/>
        <w:rPr>
          <w:b/>
          <w:sz w:val="28"/>
          <w:szCs w:val="22"/>
        </w:rPr>
      </w:pPr>
      <w:r>
        <w:rPr>
          <w:b/>
          <w:sz w:val="28"/>
          <w:szCs w:val="22"/>
        </w:rPr>
        <w:t>Rectangular Cross Section</w:t>
      </w:r>
    </w:p>
    <w:p w14:paraId="54E16330">
      <w:pPr>
        <w:snapToGrid w:val="0"/>
        <w:jc w:val="center"/>
        <w:rPr>
          <w:b/>
        </w:rPr>
      </w:pPr>
    </w:p>
    <w:p w14:paraId="24E60DA8">
      <w:pPr>
        <w:snapToGrid w:val="0"/>
        <w:jc w:val="center"/>
        <w:rPr>
          <w:b/>
        </w:rPr>
      </w:pPr>
    </w:p>
    <w:p w14:paraId="07ADEAD3">
      <w:pPr>
        <w:snapToGrid w:val="0"/>
        <w:jc w:val="center"/>
        <w:rPr>
          <w:b/>
        </w:rPr>
      </w:pPr>
    </w:p>
    <w:p w14:paraId="2D64645F">
      <w:pPr>
        <w:snapToGrid w:val="0"/>
        <w:jc w:val="center"/>
        <w:rPr>
          <w:b/>
        </w:rPr>
      </w:pPr>
    </w:p>
    <w:p w14:paraId="16A98BC6">
      <w:pPr>
        <w:snapToGrid w:val="0"/>
        <w:jc w:val="center"/>
        <w:rPr>
          <w:b/>
          <w:bCs/>
          <w:sz w:val="32"/>
          <w:szCs w:val="22"/>
        </w:rPr>
      </w:pPr>
      <w:r>
        <w:rPr>
          <w:rFonts w:hint="eastAsia"/>
          <w:b/>
          <w:bCs/>
          <w:sz w:val="40"/>
          <w:szCs w:val="40"/>
        </w:rPr>
        <w:t>（征求</w:t>
      </w:r>
      <w:r>
        <w:rPr>
          <w:b/>
          <w:bCs/>
          <w:sz w:val="40"/>
          <w:szCs w:val="40"/>
        </w:rPr>
        <w:t>意见稿</w:t>
      </w:r>
      <w:r>
        <w:rPr>
          <w:rFonts w:hint="eastAsia"/>
          <w:b/>
          <w:bCs/>
          <w:sz w:val="40"/>
          <w:szCs w:val="40"/>
        </w:rPr>
        <w:t>）</w:t>
      </w:r>
    </w:p>
    <w:p w14:paraId="582A2AF2">
      <w:pPr>
        <w:snapToGrid w:val="0"/>
        <w:jc w:val="center"/>
        <w:rPr>
          <w:b/>
        </w:rPr>
      </w:pPr>
    </w:p>
    <w:p w14:paraId="6A5BF3AE">
      <w:pPr>
        <w:snapToGrid w:val="0"/>
        <w:jc w:val="center"/>
        <w:rPr>
          <w:b/>
        </w:rPr>
      </w:pPr>
    </w:p>
    <w:p w14:paraId="766174E9">
      <w:pPr>
        <w:snapToGrid w:val="0"/>
        <w:jc w:val="center"/>
        <w:rPr>
          <w:b/>
        </w:rPr>
      </w:pPr>
    </w:p>
    <w:p w14:paraId="24913EE6">
      <w:pPr>
        <w:snapToGrid w:val="0"/>
        <w:jc w:val="center"/>
        <w:rPr>
          <w:b/>
        </w:rPr>
      </w:pPr>
    </w:p>
    <w:p w14:paraId="792D13EB">
      <w:pPr>
        <w:snapToGrid w:val="0"/>
        <w:jc w:val="center"/>
        <w:rPr>
          <w:b/>
        </w:rPr>
      </w:pPr>
    </w:p>
    <w:p w14:paraId="528A58AB">
      <w:pPr>
        <w:snapToGrid w:val="0"/>
        <w:jc w:val="center"/>
        <w:rPr>
          <w:b/>
        </w:rPr>
      </w:pPr>
    </w:p>
    <w:p w14:paraId="2121D2B8"/>
    <w:p w14:paraId="261945D6"/>
    <w:p w14:paraId="73AB6B4F"/>
    <w:p w14:paraId="00300DCE"/>
    <w:p w14:paraId="71B126C3"/>
    <w:p w14:paraId="3793B6A2">
      <w:pPr>
        <w:ind w:firstLine="321" w:firstLineChars="100"/>
        <w:rPr>
          <w:rFonts w:eastAsia="黑体"/>
          <w:sz w:val="28"/>
          <w:szCs w:val="28"/>
        </w:rPr>
      </w:pPr>
      <w:r>
        <w:rPr>
          <w:b/>
          <w:bCs/>
          <w:sz w:val="32"/>
        </w:rPr>
        <w:t xml:space="preserve">  </w:t>
      </w:r>
      <w:r>
        <w:rPr>
          <w:rFonts w:eastAsia="黑体"/>
          <w:sz w:val="28"/>
          <w:szCs w:val="28"/>
        </w:rPr>
        <w:t>20</w:t>
      </w:r>
      <w:r>
        <w:rPr>
          <w:rFonts w:hint="eastAsia" w:eastAsia="黑体"/>
          <w:sz w:val="28"/>
          <w:szCs w:val="28"/>
        </w:rPr>
        <w:t>2X</w:t>
      </w:r>
      <w:r>
        <w:rPr>
          <w:rFonts w:eastAsia="黑体"/>
          <w:sz w:val="28"/>
          <w:szCs w:val="28"/>
        </w:rPr>
        <w:t>-</w:t>
      </w:r>
      <w:r>
        <w:rPr>
          <w:rFonts w:hint="eastAsia" w:eastAsia="黑体"/>
          <w:sz w:val="28"/>
          <w:szCs w:val="28"/>
        </w:rPr>
        <w:t>XX</w:t>
      </w:r>
      <w:r>
        <w:rPr>
          <w:rFonts w:eastAsia="黑体"/>
          <w:sz w:val="28"/>
          <w:szCs w:val="28"/>
        </w:rPr>
        <w:t>-</w:t>
      </w:r>
      <w:r>
        <w:rPr>
          <w:rFonts w:hint="eastAsia" w:eastAsia="黑体"/>
          <w:sz w:val="28"/>
          <w:szCs w:val="28"/>
        </w:rPr>
        <w:t>XX</w:t>
      </w:r>
      <w:r>
        <w:rPr>
          <w:rFonts w:eastAsia="黑体"/>
          <w:sz w:val="28"/>
          <w:szCs w:val="28"/>
        </w:rPr>
        <w:t xml:space="preserve">  发布                   201</w:t>
      </w:r>
      <w:r>
        <w:rPr>
          <w:rFonts w:hint="eastAsia" w:eastAsia="黑体"/>
          <w:sz w:val="28"/>
          <w:szCs w:val="28"/>
        </w:rPr>
        <w:t>X</w:t>
      </w:r>
      <w:r>
        <w:rPr>
          <w:rFonts w:eastAsia="黑体"/>
          <w:sz w:val="28"/>
          <w:szCs w:val="28"/>
        </w:rPr>
        <w:t>-</w:t>
      </w:r>
      <w:r>
        <w:rPr>
          <w:rFonts w:hint="eastAsia" w:eastAsia="黑体"/>
          <w:sz w:val="28"/>
          <w:szCs w:val="28"/>
        </w:rPr>
        <w:t>XX</w:t>
      </w:r>
      <w:r>
        <w:rPr>
          <w:rFonts w:eastAsia="黑体"/>
          <w:sz w:val="28"/>
          <w:szCs w:val="28"/>
        </w:rPr>
        <w:t>-</w:t>
      </w:r>
      <w:r>
        <w:rPr>
          <w:rFonts w:hint="eastAsia" w:eastAsia="黑体"/>
          <w:sz w:val="28"/>
          <w:szCs w:val="28"/>
        </w:rPr>
        <w:t xml:space="preserve">XX  </w:t>
      </w:r>
      <w:r>
        <w:rPr>
          <w:rFonts w:eastAsia="黑体"/>
          <w:sz w:val="28"/>
          <w:szCs w:val="28"/>
        </w:rPr>
        <w:t>实施</w:t>
      </w:r>
    </w:p>
    <w:p w14:paraId="50AF7B1E">
      <w:pPr>
        <w:tabs>
          <w:tab w:val="left" w:pos="8235"/>
        </w:tabs>
        <w:rPr>
          <w:rFonts w:eastAsia="黑体"/>
          <w:b/>
          <w:sz w:val="28"/>
          <w:szCs w:val="28"/>
        </w:rPr>
      </w:pPr>
      <w:r>
        <w:rPr>
          <w:rFonts w:eastAsia="黑体"/>
          <w:b/>
          <w:sz w:val="28"/>
          <w:szCs w:val="28"/>
        </w:rPr>
        <mc:AlternateContent>
          <mc:Choice Requires="wps">
            <w:drawing>
              <wp:anchor distT="0" distB="0" distL="114300" distR="114300" simplePos="0" relativeHeight="251664384" behindDoc="0" locked="0" layoutInCell="1" allowOverlap="1">
                <wp:simplePos x="0" y="0"/>
                <wp:positionH relativeFrom="column">
                  <wp:posOffset>400050</wp:posOffset>
                </wp:positionH>
                <wp:positionV relativeFrom="paragraph">
                  <wp:posOffset>55880</wp:posOffset>
                </wp:positionV>
                <wp:extent cx="5600700" cy="26670"/>
                <wp:effectExtent l="0" t="4445" r="0" b="6985"/>
                <wp:wrapNone/>
                <wp:docPr id="15" name="直接连接符 15"/>
                <wp:cNvGraphicFramePr/>
                <a:graphic xmlns:a="http://schemas.openxmlformats.org/drawingml/2006/main">
                  <a:graphicData uri="http://schemas.microsoft.com/office/word/2010/wordprocessingShape">
                    <wps:wsp>
                      <wps:cNvCnPr/>
                      <wps:spPr>
                        <a:xfrm>
                          <a:off x="0" y="0"/>
                          <a:ext cx="5600700" cy="26670"/>
                        </a:xfrm>
                        <a:prstGeom prst="line">
                          <a:avLst/>
                        </a:prstGeom>
                        <a:ln w="9525" cap="flat" cmpd="sng">
                          <a:solidFill>
                            <a:srgbClr val="000000"/>
                          </a:solidFill>
                          <a:prstDash val="solid"/>
                          <a:headEnd type="none" w="med" len="med"/>
                          <a:tailEnd type="none" w="med" len="med"/>
                        </a:ln>
                      </wps:spPr>
                      <wps:bodyPr/>
                    </wps:wsp>
                  </a:graphicData>
                </a:graphic>
              </wp:anchor>
            </w:drawing>
          </mc:Choice>
          <mc:Fallback>
            <w:pict>
              <v:line id="_x0000_s1026" o:spid="_x0000_s1026" o:spt="20" style="position:absolute;left:0pt;margin-left:31.5pt;margin-top:4.4pt;height:2.1pt;width:441pt;z-index:251664384;mso-width-relative:page;mso-height-relative:page;" filled="f" stroked="t" coordsize="21600,21600" o:gfxdata="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a1rl+tUAAAAHAQAADwAAAAAAAAABACAAAAAiAAAAZHJzL2Rvd25yZXYueG1sUEsBAhQAFAAA&#10;AAgAh07iQNjbxTLyAQAA3gMAAA4AAAAAAAAAAQAgAAAAJAEAAGRycy9lMm9Eb2MueG1sUEsFBgAA&#10;AAAGAAYAWQEAAIgFAAAAAA==&#10;">
                <v:fill on="f" focussize="0,0"/>
                <v:stroke color="#000000" joinstyle="round"/>
                <v:imagedata o:title=""/>
                <o:lock v:ext="edit" aspectratio="f"/>
              </v:line>
            </w:pict>
          </mc:Fallback>
        </mc:AlternateContent>
      </w:r>
      <w:r>
        <w:rPr>
          <w:rFonts w:eastAsia="黑体"/>
          <w:b/>
          <w:sz w:val="28"/>
          <w:szCs w:val="28"/>
        </w:rPr>
        <w:tab/>
      </w:r>
    </w:p>
    <w:tbl>
      <w:tblPr>
        <w:tblStyle w:val="35"/>
        <w:tblpPr w:leftFromText="180" w:rightFromText="180" w:vertAnchor="text" w:horzAnchor="page" w:tblpX="8236" w:tblpY="758"/>
        <w:tblOverlap w:val="never"/>
        <w:tblW w:w="240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05"/>
      </w:tblGrid>
      <w:tr w14:paraId="411652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trPr>
        <w:tc>
          <w:tcPr>
            <w:tcW w:w="2405" w:type="dxa"/>
            <w:vAlign w:val="center"/>
          </w:tcPr>
          <w:p w14:paraId="4823CA4E">
            <w:pPr>
              <w:ind w:left="0" w:leftChars="0" w:right="-3084" w:rightChars="-1285" w:firstLine="0" w:firstLineChars="0"/>
            </w:pPr>
            <w:r>
              <w:t>本标准不涉及专利</w:t>
            </w:r>
          </w:p>
        </w:tc>
      </w:tr>
    </w:tbl>
    <w:p w14:paraId="4AFE081E">
      <w:pPr>
        <w:jc w:val="center"/>
        <w:rPr>
          <w:rFonts w:ascii="黑体" w:hAnsi="黑体" w:eastAsia="黑体"/>
          <w:b/>
          <w:sz w:val="28"/>
          <w:szCs w:val="28"/>
        </w:rPr>
      </w:pPr>
      <w:r>
        <w:rPr>
          <w:rFonts w:eastAsia="黑体"/>
          <w:sz w:val="32"/>
          <w:szCs w:val="32"/>
        </w:rPr>
        <w:t>广东省住房和城乡建设厅</w:t>
      </w:r>
      <w:r>
        <w:rPr>
          <w:rFonts w:eastAsia="黑体"/>
          <w:spacing w:val="20"/>
          <w:sz w:val="28"/>
          <w:szCs w:val="28"/>
        </w:rPr>
        <w:t xml:space="preserve">  </w:t>
      </w:r>
      <w:r>
        <w:rPr>
          <w:rFonts w:eastAsia="黑体"/>
          <w:spacing w:val="20"/>
          <w:sz w:val="32"/>
          <w:szCs w:val="32"/>
        </w:rPr>
        <w:t>发布</w:t>
      </w:r>
    </w:p>
    <w:p w14:paraId="391DACEC">
      <w:pPr>
        <w:jc w:val="center"/>
        <w:rPr>
          <w:rFonts w:ascii="黑体" w:hAnsi="黑体" w:eastAsia="黑体"/>
          <w:b/>
          <w:sz w:val="28"/>
          <w:szCs w:val="28"/>
        </w:rPr>
        <w:sectPr>
          <w:footerReference r:id="rId5" w:type="default"/>
          <w:pgSz w:w="11909" w:h="16834"/>
          <w:pgMar w:top="1440" w:right="1080" w:bottom="1440" w:left="1080" w:header="0" w:footer="3" w:gutter="0"/>
          <w:pgNumType w:start="1"/>
          <w:cols w:space="720" w:num="1"/>
          <w:docGrid w:linePitch="360" w:charSpace="0"/>
        </w:sectPr>
      </w:pPr>
    </w:p>
    <w:p w14:paraId="7B28FDDF">
      <w:pPr>
        <w:jc w:val="center"/>
        <w:rPr>
          <w:rFonts w:eastAsia="仿宋"/>
          <w:b/>
          <w:bCs/>
          <w:sz w:val="28"/>
          <w:szCs w:val="24"/>
        </w:rPr>
      </w:pPr>
    </w:p>
    <w:p w14:paraId="23BC27F7">
      <w:pPr>
        <w:jc w:val="center"/>
        <w:rPr>
          <w:rFonts w:eastAsia="仿宋"/>
          <w:b/>
          <w:bCs/>
          <w:sz w:val="28"/>
          <w:szCs w:val="24"/>
        </w:rPr>
      </w:pPr>
    </w:p>
    <w:p w14:paraId="12D4751F">
      <w:pPr>
        <w:jc w:val="center"/>
        <w:rPr>
          <w:rFonts w:ascii="宋体" w:hAnsi="宋体" w:cs="黑体"/>
          <w:b/>
          <w:bCs/>
          <w:sz w:val="40"/>
          <w:szCs w:val="44"/>
        </w:rPr>
      </w:pPr>
      <w:r>
        <w:rPr>
          <w:rFonts w:hint="eastAsia" w:ascii="宋体" w:hAnsi="宋体" w:cs="黑体"/>
          <w:b/>
          <w:bCs/>
          <w:sz w:val="40"/>
          <w:szCs w:val="44"/>
        </w:rPr>
        <w:t>广东省住房和城乡建设厅关于发布广东省标准《矩形顶管工程技术规程》的公告</w:t>
      </w:r>
    </w:p>
    <w:p w14:paraId="476F45C6">
      <w:pPr>
        <w:jc w:val="center"/>
        <w:rPr>
          <w:rFonts w:asciiTheme="majorEastAsia" w:hAnsiTheme="majorEastAsia" w:eastAsiaTheme="majorEastAsia" w:cstheme="majorEastAsia"/>
          <w:sz w:val="28"/>
          <w:szCs w:val="24"/>
        </w:rPr>
      </w:pPr>
      <w:r>
        <w:rPr>
          <w:rFonts w:hint="eastAsia" w:asciiTheme="majorEastAsia" w:hAnsiTheme="majorEastAsia" w:eastAsiaTheme="majorEastAsia" w:cstheme="majorEastAsia"/>
          <w:sz w:val="28"/>
          <w:szCs w:val="24"/>
        </w:rPr>
        <w:t>粤建公告</w:t>
      </w:r>
      <w:r>
        <w:rPr>
          <w:rFonts w:eastAsiaTheme="majorEastAsia"/>
          <w:sz w:val="28"/>
          <w:szCs w:val="24"/>
        </w:rPr>
        <w:t>〔20</w:t>
      </w:r>
      <w:r>
        <w:rPr>
          <w:rFonts w:hint="eastAsia" w:eastAsiaTheme="majorEastAsia"/>
          <w:sz w:val="28"/>
          <w:szCs w:val="24"/>
        </w:rPr>
        <w:t>2</w:t>
      </w:r>
      <w:r>
        <w:rPr>
          <w:rFonts w:hint="eastAsia"/>
          <w:sz w:val="28"/>
        </w:rPr>
        <w:t>X</w:t>
      </w:r>
      <w:r>
        <w:rPr>
          <w:rFonts w:eastAsiaTheme="majorEastAsia"/>
          <w:sz w:val="28"/>
          <w:szCs w:val="24"/>
        </w:rPr>
        <w:t>〕</w:t>
      </w:r>
      <w:r>
        <w:rPr>
          <w:rFonts w:hint="eastAsia" w:eastAsiaTheme="majorEastAsia"/>
          <w:sz w:val="28"/>
          <w:szCs w:val="24"/>
        </w:rPr>
        <w:t xml:space="preserve">   </w:t>
      </w:r>
      <w:r>
        <w:rPr>
          <w:rFonts w:hint="eastAsia" w:asciiTheme="majorEastAsia" w:hAnsiTheme="majorEastAsia" w:eastAsiaTheme="majorEastAsia" w:cstheme="majorEastAsia"/>
          <w:sz w:val="28"/>
          <w:szCs w:val="24"/>
        </w:rPr>
        <w:t>号</w:t>
      </w:r>
    </w:p>
    <w:p w14:paraId="49F635FF">
      <w:pPr>
        <w:jc w:val="center"/>
        <w:rPr>
          <w:rFonts w:asciiTheme="majorEastAsia" w:hAnsiTheme="majorEastAsia" w:eastAsiaTheme="majorEastAsia" w:cstheme="majorEastAsia"/>
          <w:szCs w:val="24"/>
        </w:rPr>
      </w:pPr>
    </w:p>
    <w:p w14:paraId="3E921215">
      <w:pPr>
        <w:ind w:firstLine="560" w:firstLineChars="200"/>
        <w:rPr>
          <w:sz w:val="28"/>
          <w:szCs w:val="28"/>
        </w:rPr>
      </w:pPr>
      <w:r>
        <w:rPr>
          <w:rFonts w:hint="eastAsia"/>
          <w:sz w:val="28"/>
          <w:szCs w:val="28"/>
        </w:rPr>
        <w:t>经组织专家委员会审查，现批准《矩形顶管工程技术规程》为广东省地方标准，编号为DBJ/T 15-</w:t>
      </w:r>
      <w:r>
        <w:rPr>
          <w:sz w:val="28"/>
          <w:szCs w:val="28"/>
        </w:rPr>
        <w:t>XXX</w:t>
      </w:r>
      <w:r>
        <w:rPr>
          <w:rFonts w:hint="eastAsia"/>
          <w:sz w:val="28"/>
          <w:szCs w:val="28"/>
        </w:rPr>
        <w:t xml:space="preserve">-202X。本标准自202X年  月 </w:t>
      </w:r>
      <w:r>
        <w:rPr>
          <w:sz w:val="28"/>
          <w:szCs w:val="28"/>
        </w:rPr>
        <w:t xml:space="preserve"> </w:t>
      </w:r>
      <w:r>
        <w:rPr>
          <w:rFonts w:hint="eastAsia"/>
          <w:sz w:val="28"/>
          <w:szCs w:val="28"/>
        </w:rPr>
        <w:t>日起实施。</w:t>
      </w:r>
    </w:p>
    <w:p w14:paraId="5D040390">
      <w:pPr>
        <w:ind w:firstLine="560" w:firstLineChars="200"/>
        <w:rPr>
          <w:sz w:val="28"/>
          <w:szCs w:val="28"/>
        </w:rPr>
      </w:pPr>
      <w:r>
        <w:rPr>
          <w:rFonts w:hint="eastAsia"/>
          <w:sz w:val="28"/>
          <w:szCs w:val="28"/>
        </w:rPr>
        <w:t>本标准由广东省住房和城乡建设厅负责管理，</w:t>
      </w:r>
      <w:r>
        <w:rPr>
          <w:sz w:val="28"/>
          <w:szCs w:val="28"/>
        </w:rPr>
        <w:t>由主编单位</w:t>
      </w:r>
      <w:r>
        <w:rPr>
          <w:rFonts w:hint="eastAsia"/>
          <w:sz w:val="28"/>
          <w:szCs w:val="28"/>
        </w:rPr>
        <w:t>广州市市政集团有限公司、</w:t>
      </w:r>
      <w:r>
        <w:rPr>
          <w:sz w:val="28"/>
          <w:szCs w:val="28"/>
        </w:rPr>
        <w:t>广州市市政工程协会</w:t>
      </w:r>
      <w:r>
        <w:rPr>
          <w:rFonts w:hint="eastAsia"/>
          <w:sz w:val="28"/>
          <w:szCs w:val="28"/>
        </w:rPr>
        <w:t>负责具体技术内容的解释，</w:t>
      </w:r>
      <w:r>
        <w:rPr>
          <w:sz w:val="28"/>
          <w:szCs w:val="28"/>
        </w:rPr>
        <w:t>并在广东省住房和</w:t>
      </w:r>
      <w:r>
        <w:rPr>
          <w:rFonts w:hint="eastAsia"/>
          <w:sz w:val="28"/>
          <w:szCs w:val="28"/>
        </w:rPr>
        <w:t>城乡</w:t>
      </w:r>
      <w:r>
        <w:rPr>
          <w:sz w:val="28"/>
          <w:szCs w:val="28"/>
        </w:rPr>
        <w:t>建设厅门户网站</w:t>
      </w:r>
      <w:r>
        <w:rPr>
          <w:rFonts w:hint="eastAsia"/>
          <w:sz w:val="28"/>
          <w:szCs w:val="28"/>
        </w:rPr>
        <w:t>站（http://zfcxjst.gd.gov.cn）</w:t>
      </w:r>
      <w:r>
        <w:rPr>
          <w:sz w:val="28"/>
          <w:szCs w:val="28"/>
        </w:rPr>
        <w:t>公</w:t>
      </w:r>
      <w:r>
        <w:rPr>
          <w:rFonts w:hint="eastAsia"/>
          <w:sz w:val="28"/>
          <w:szCs w:val="28"/>
        </w:rPr>
        <w:t>开。</w:t>
      </w:r>
    </w:p>
    <w:p w14:paraId="743ADEA8">
      <w:pPr>
        <w:ind w:firstLine="560" w:firstLineChars="200"/>
        <w:rPr>
          <w:sz w:val="28"/>
          <w:szCs w:val="28"/>
        </w:rPr>
      </w:pPr>
    </w:p>
    <w:p w14:paraId="6734AFF3">
      <w:pPr>
        <w:ind w:firstLine="560" w:firstLineChars="200"/>
        <w:jc w:val="right"/>
        <w:rPr>
          <w:sz w:val="28"/>
          <w:szCs w:val="28"/>
        </w:rPr>
      </w:pPr>
      <w:r>
        <w:rPr>
          <w:rFonts w:hint="eastAsia"/>
          <w:sz w:val="28"/>
          <w:szCs w:val="28"/>
        </w:rPr>
        <w:t xml:space="preserve">                                 广东省住房和城乡建设厅</w:t>
      </w:r>
    </w:p>
    <w:p w14:paraId="18675B76">
      <w:pPr>
        <w:ind w:firstLine="560" w:firstLineChars="200"/>
        <w:jc w:val="right"/>
        <w:rPr>
          <w:sz w:val="28"/>
          <w:szCs w:val="28"/>
        </w:rPr>
      </w:pPr>
      <w:r>
        <w:rPr>
          <w:rFonts w:hint="eastAsia"/>
          <w:sz w:val="28"/>
          <w:szCs w:val="28"/>
        </w:rPr>
        <w:t xml:space="preserve">                                           年   月   日</w:t>
      </w:r>
    </w:p>
    <w:p w14:paraId="1C28C54D">
      <w:pPr>
        <w:jc w:val="center"/>
        <w:rPr>
          <w:rFonts w:eastAsia="仿宋"/>
          <w:b/>
          <w:bCs/>
          <w:sz w:val="28"/>
          <w:szCs w:val="24"/>
        </w:rPr>
      </w:pPr>
    </w:p>
    <w:p w14:paraId="7A37FCC3">
      <w:pPr>
        <w:widowControl/>
        <w:spacing w:line="240" w:lineRule="auto"/>
        <w:jc w:val="left"/>
        <w:rPr>
          <w:rFonts w:eastAsiaTheme="minorEastAsia"/>
          <w:szCs w:val="22"/>
        </w:rPr>
      </w:pPr>
      <w:r>
        <w:rPr>
          <w:rFonts w:eastAsiaTheme="minorEastAsia"/>
          <w:szCs w:val="22"/>
        </w:rPr>
        <w:br w:type="page"/>
      </w:r>
    </w:p>
    <w:p w14:paraId="000EF2D1">
      <w:pPr>
        <w:pStyle w:val="15"/>
        <w:rPr>
          <w:rFonts w:ascii="Times New Roman" w:hAnsi="Times New Roman" w:eastAsia="黑体"/>
          <w:sz w:val="32"/>
        </w:rPr>
      </w:pPr>
      <w:bookmarkStart w:id="1" w:name="_Toc27100"/>
      <w:bookmarkStart w:id="2" w:name="_Toc5529"/>
      <w:bookmarkStart w:id="3" w:name="_Toc3497"/>
      <w:bookmarkStart w:id="4" w:name="_Toc4260"/>
      <w:bookmarkStart w:id="5" w:name="_Toc24060"/>
      <w:bookmarkStart w:id="6" w:name="_Toc16270615"/>
      <w:bookmarkStart w:id="7" w:name="_Toc32112"/>
      <w:bookmarkStart w:id="8" w:name="_Toc17364142"/>
      <w:bookmarkStart w:id="9" w:name="_Toc1762"/>
      <w:bookmarkStart w:id="10" w:name="_Toc14064"/>
      <w:bookmarkStart w:id="11" w:name="_Toc22402"/>
      <w:bookmarkStart w:id="12" w:name="_Toc22892"/>
      <w:bookmarkStart w:id="13" w:name="_Toc18057020"/>
      <w:bookmarkStart w:id="14" w:name="_Toc8200"/>
      <w:bookmarkStart w:id="15" w:name="_Toc14148"/>
      <w:bookmarkStart w:id="16" w:name="_Toc455393069"/>
      <w:r>
        <w:rPr>
          <w:rFonts w:ascii="Times New Roman" w:hAnsi="Times New Roman" w:eastAsia="黑体"/>
          <w:sz w:val="32"/>
        </w:rPr>
        <w:t>前    言</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p>
    <w:p w14:paraId="6E4E0515">
      <w:pPr>
        <w:ind w:firstLine="480"/>
      </w:pPr>
      <w:r>
        <w:t>根据</w:t>
      </w:r>
      <w:r>
        <w:rPr>
          <w:rFonts w:hint="eastAsia"/>
        </w:rPr>
        <w:t>《广东省住房和城乡建设厅关于发布&lt;2019年广东省工程建设标准制定、修订计划&gt;的通知》（粤建科函</w:t>
      </w:r>
      <w:r>
        <w:t>〔201</w:t>
      </w:r>
      <w:r>
        <w:rPr>
          <w:rFonts w:hint="eastAsia"/>
        </w:rPr>
        <w:t>9</w:t>
      </w:r>
      <w:r>
        <w:t>〕</w:t>
      </w:r>
      <w:r>
        <w:rPr>
          <w:rFonts w:hint="eastAsia"/>
        </w:rPr>
        <w:t>1118号）</w:t>
      </w:r>
      <w:r>
        <w:t>的要求，规程编制组经过深入调查研究，认真总结实践经验，参考有关国内外标准，并在广泛征求意见的基础上</w:t>
      </w:r>
      <w:r>
        <w:rPr>
          <w:rFonts w:hint="eastAsia"/>
        </w:rPr>
        <w:t>，</w:t>
      </w:r>
      <w:r>
        <w:t>制定本规程。</w:t>
      </w:r>
    </w:p>
    <w:p w14:paraId="73167422">
      <w:pPr>
        <w:ind w:firstLine="480"/>
      </w:pPr>
      <w:r>
        <w:rPr>
          <w:rFonts w:hint="eastAsia"/>
        </w:rPr>
        <w:t>本规程不涉及专利。</w:t>
      </w:r>
    </w:p>
    <w:p w14:paraId="1BF3CED4">
      <w:pPr>
        <w:ind w:firstLine="480"/>
      </w:pPr>
      <w:r>
        <w:t>本规程共分10章和2个附录，主要技术内容</w:t>
      </w:r>
      <w:r>
        <w:rPr>
          <w:rFonts w:hint="eastAsia"/>
        </w:rPr>
        <w:t>是</w:t>
      </w:r>
      <w:r>
        <w:t>：</w:t>
      </w:r>
      <w:r>
        <w:rPr>
          <w:rFonts w:hint="eastAsia"/>
        </w:rPr>
        <w:t>1</w:t>
      </w:r>
      <w:r>
        <w:t>总则</w:t>
      </w:r>
      <w:r>
        <w:rPr>
          <w:rFonts w:hint="eastAsia"/>
        </w:rPr>
        <w:t>；2</w:t>
      </w:r>
      <w:r>
        <w:t>术语和符号</w:t>
      </w:r>
      <w:r>
        <w:rPr>
          <w:rFonts w:hint="eastAsia"/>
        </w:rPr>
        <w:t>；3</w:t>
      </w:r>
      <w:r>
        <w:t>基本规定</w:t>
      </w:r>
      <w:r>
        <w:rPr>
          <w:rFonts w:hint="eastAsia"/>
        </w:rPr>
        <w:t>；4</w:t>
      </w:r>
      <w:r>
        <w:t>工程勘察</w:t>
      </w:r>
      <w:r>
        <w:rPr>
          <w:rFonts w:hint="eastAsia"/>
        </w:rPr>
        <w:t>；5</w:t>
      </w:r>
      <w:r>
        <w:t>顶管设计</w:t>
      </w:r>
      <w:r>
        <w:rPr>
          <w:rFonts w:hint="eastAsia"/>
        </w:rPr>
        <w:t>；6</w:t>
      </w:r>
      <w:r>
        <w:t>管节制作</w:t>
      </w:r>
      <w:r>
        <w:rPr>
          <w:rFonts w:hint="eastAsia"/>
        </w:rPr>
        <w:t>；7</w:t>
      </w:r>
      <w:r>
        <w:t>工作井施工</w:t>
      </w:r>
      <w:r>
        <w:rPr>
          <w:rFonts w:hint="eastAsia"/>
        </w:rPr>
        <w:t>；8</w:t>
      </w:r>
      <w:r>
        <w:t>顶管设备及安装</w:t>
      </w:r>
      <w:r>
        <w:rPr>
          <w:rFonts w:hint="eastAsia"/>
        </w:rPr>
        <w:t>；9</w:t>
      </w:r>
      <w:r>
        <w:t>顶进施工</w:t>
      </w:r>
      <w:r>
        <w:rPr>
          <w:rFonts w:hint="eastAsia"/>
        </w:rPr>
        <w:t>；10</w:t>
      </w:r>
      <w:r>
        <w:t>工程验收。</w:t>
      </w:r>
    </w:p>
    <w:p w14:paraId="6AACD030">
      <w:pPr>
        <w:ind w:firstLine="480"/>
      </w:pPr>
      <w:r>
        <w:t>本规程由</w:t>
      </w:r>
      <w:r>
        <w:rPr>
          <w:rFonts w:hint="eastAsia"/>
        </w:rPr>
        <w:t>广东省住房和城乡建设厅负责</w:t>
      </w:r>
      <w:r>
        <w:t>管理，由广州市市政集团有限公司</w:t>
      </w:r>
      <w:r>
        <w:rPr>
          <w:rFonts w:hint="eastAsia"/>
        </w:rPr>
        <w:t>和广州市市政工程协会</w:t>
      </w:r>
      <w:r>
        <w:t>负责具体技术内容的解释。本规程在执行过程中如有需要修改或补充之处，请将有关资料和建议寄送解释单位（地址：广州市越秀区环市东路338号，邮政编码：510060；电子邮箱：1271535624@qq.com），以供修订时参考。</w:t>
      </w:r>
    </w:p>
    <w:p w14:paraId="4A9D396A">
      <w:pPr>
        <w:ind w:firstLine="480"/>
      </w:pPr>
      <w:r>
        <w:rPr>
          <w:rFonts w:eastAsia="黑体"/>
          <w:bCs/>
          <w:spacing w:val="20"/>
        </w:rPr>
        <w:t>主编单位：</w:t>
      </w:r>
      <w:r>
        <w:t>广州市市政集团有限公司</w:t>
      </w:r>
    </w:p>
    <w:p w14:paraId="7D404778">
      <w:pPr>
        <w:ind w:firstLine="1920" w:firstLineChars="800"/>
      </w:pPr>
      <w:r>
        <w:t>广州市市政工程协会</w:t>
      </w:r>
    </w:p>
    <w:p w14:paraId="3C02B989">
      <w:pPr>
        <w:ind w:firstLine="560" w:firstLineChars="200"/>
        <w:rPr>
          <w:b w:val="0"/>
          <w:bCs/>
        </w:rPr>
      </w:pPr>
      <w:r>
        <w:rPr>
          <w:rFonts w:eastAsia="黑体"/>
          <w:bCs/>
          <w:spacing w:val="20"/>
        </w:rPr>
        <w:t>参编单位：</w:t>
      </w:r>
      <w:r>
        <w:rPr>
          <w:rFonts w:hint="eastAsia"/>
          <w:b w:val="0"/>
          <w:bCs/>
        </w:rPr>
        <w:t>广州地铁设计研究院股份有限公司</w:t>
      </w:r>
    </w:p>
    <w:p w14:paraId="52AA8506">
      <w:pPr>
        <w:ind w:left="1440" w:leftChars="600" w:firstLine="480"/>
        <w:rPr>
          <w:b w:val="0"/>
          <w:bCs/>
        </w:rPr>
      </w:pPr>
      <w:r>
        <w:rPr>
          <w:rFonts w:hint="eastAsia"/>
          <w:b w:val="0"/>
          <w:bCs/>
        </w:rPr>
        <w:t>广州金土岩土工程技术有限公司</w:t>
      </w:r>
    </w:p>
    <w:p w14:paraId="13CE2583">
      <w:pPr>
        <w:ind w:left="1440" w:leftChars="600" w:firstLine="480"/>
        <w:rPr>
          <w:b w:val="0"/>
          <w:bCs/>
        </w:rPr>
      </w:pPr>
      <w:r>
        <w:rPr>
          <w:rFonts w:hint="eastAsia"/>
          <w:b w:val="0"/>
          <w:bCs/>
        </w:rPr>
        <w:t>广州市市政工程设计研究总院有限公司</w:t>
      </w:r>
    </w:p>
    <w:p w14:paraId="2787918F">
      <w:pPr>
        <w:ind w:firstLine="1920" w:firstLineChars="800"/>
        <w:rPr>
          <w:b w:val="0"/>
          <w:bCs/>
        </w:rPr>
      </w:pPr>
      <w:r>
        <w:rPr>
          <w:rFonts w:hint="eastAsia"/>
          <w:b w:val="0"/>
          <w:bCs/>
        </w:rPr>
        <w:t>广东鑫隆管业有限公司</w:t>
      </w:r>
    </w:p>
    <w:p w14:paraId="1BD0DAEA">
      <w:pPr>
        <w:ind w:left="1440" w:leftChars="600" w:firstLine="480"/>
        <w:rPr>
          <w:b w:val="0"/>
          <w:bCs/>
        </w:rPr>
      </w:pPr>
      <w:r>
        <w:rPr>
          <w:rFonts w:hint="eastAsia"/>
          <w:b w:val="0"/>
          <w:bCs/>
        </w:rPr>
        <w:t>广州市第三市政工程有限公司</w:t>
      </w:r>
    </w:p>
    <w:p w14:paraId="3E6F8E12">
      <w:pPr>
        <w:ind w:left="1440" w:leftChars="600" w:firstLine="480"/>
        <w:rPr>
          <w:b w:val="0"/>
          <w:bCs/>
        </w:rPr>
      </w:pPr>
      <w:r>
        <w:rPr>
          <w:rFonts w:hint="eastAsia"/>
          <w:b w:val="0"/>
          <w:bCs/>
        </w:rPr>
        <w:t>中铁工程装备集团有限公司</w:t>
      </w:r>
    </w:p>
    <w:p w14:paraId="0828CBCA">
      <w:pPr>
        <w:ind w:left="1440" w:leftChars="600" w:firstLine="480"/>
        <w:rPr>
          <w:b w:val="0"/>
          <w:bCs/>
        </w:rPr>
      </w:pPr>
      <w:r>
        <w:rPr>
          <w:rFonts w:hint="eastAsia"/>
          <w:b w:val="0"/>
          <w:bCs/>
        </w:rPr>
        <w:t>广州市市政集团设计院有限公司</w:t>
      </w:r>
    </w:p>
    <w:p w14:paraId="3D819EA2">
      <w:pPr>
        <w:ind w:firstLine="1920" w:firstLineChars="800"/>
        <w:rPr>
          <w:rFonts w:hint="eastAsia" w:eastAsia="宋体"/>
          <w:b w:val="0"/>
          <w:bCs/>
          <w:lang w:eastAsia="zh-CN"/>
        </w:rPr>
      </w:pPr>
      <w:r>
        <w:rPr>
          <w:rFonts w:hint="eastAsia"/>
          <w:b w:val="0"/>
          <w:bCs/>
        </w:rPr>
        <w:t>广东省建筑设计研究院</w:t>
      </w:r>
      <w:r>
        <w:rPr>
          <w:rFonts w:hint="eastAsia"/>
          <w:b w:val="0"/>
          <w:bCs/>
          <w:lang w:eastAsia="zh-CN"/>
        </w:rPr>
        <w:t>有限公司</w:t>
      </w:r>
    </w:p>
    <w:p w14:paraId="231AC7FD">
      <w:pPr>
        <w:ind w:left="1440" w:leftChars="600" w:firstLine="480"/>
        <w:rPr>
          <w:b w:val="0"/>
          <w:bCs/>
        </w:rPr>
      </w:pPr>
      <w:r>
        <w:rPr>
          <w:rFonts w:hint="eastAsia"/>
          <w:b w:val="0"/>
          <w:bCs/>
        </w:rPr>
        <w:t>广州市第二市政工程有限公司</w:t>
      </w:r>
    </w:p>
    <w:p w14:paraId="768556A6">
      <w:pPr>
        <w:ind w:left="1440" w:leftChars="600" w:firstLine="480"/>
        <w:rPr>
          <w:b w:val="0"/>
          <w:bCs/>
        </w:rPr>
      </w:pPr>
      <w:r>
        <w:rPr>
          <w:rFonts w:hint="eastAsia"/>
          <w:b w:val="0"/>
          <w:bCs/>
        </w:rPr>
        <w:t>中国地质大学（武汉）</w:t>
      </w:r>
    </w:p>
    <w:p w14:paraId="4A5F45D5">
      <w:pPr>
        <w:ind w:left="1440" w:leftChars="600" w:firstLine="480"/>
        <w:rPr>
          <w:bCs/>
        </w:rPr>
      </w:pPr>
      <w:r>
        <w:rPr>
          <w:rFonts w:hint="eastAsia"/>
          <w:bCs/>
        </w:rPr>
        <w:t>中铁一局集团有限公司</w:t>
      </w:r>
    </w:p>
    <w:p w14:paraId="4DE39FE1">
      <w:pPr>
        <w:ind w:left="1440" w:leftChars="600" w:firstLine="480"/>
        <w:rPr>
          <w:bCs/>
        </w:rPr>
      </w:pPr>
      <w:r>
        <w:rPr>
          <w:rFonts w:hint="eastAsia"/>
          <w:bCs/>
        </w:rPr>
        <w:t>广东水电二局股份有限公司</w:t>
      </w:r>
    </w:p>
    <w:p w14:paraId="13001FB9">
      <w:pPr>
        <w:ind w:left="1440" w:leftChars="600" w:firstLine="480"/>
        <w:rPr>
          <w:bCs/>
        </w:rPr>
      </w:pPr>
      <w:r>
        <w:rPr>
          <w:rFonts w:hint="eastAsia"/>
          <w:bCs/>
        </w:rPr>
        <w:t>广州市城市规划勘测设计研究院</w:t>
      </w:r>
    </w:p>
    <w:p w14:paraId="7B29EEB6">
      <w:pPr>
        <w:keepNext w:val="0"/>
        <w:keepLines w:val="0"/>
        <w:pageBreakBefore w:val="0"/>
        <w:widowControl w:val="0"/>
        <w:kinsoku/>
        <w:wordWrap/>
        <w:overflowPunct/>
        <w:topLinePunct w:val="0"/>
        <w:autoSpaceDE/>
        <w:autoSpaceDN/>
        <w:bidi w:val="0"/>
        <w:adjustRightInd/>
        <w:snapToGrid/>
        <w:ind w:left="34" w:leftChars="14" w:firstLine="480" w:firstLineChars="200"/>
        <w:jc w:val="left"/>
        <w:textAlignment w:val="auto"/>
        <w:rPr>
          <w:rFonts w:hint="eastAsia"/>
          <w:b w:val="0"/>
          <w:bCs w:val="0"/>
        </w:rPr>
      </w:pPr>
      <w:r>
        <w:rPr>
          <w:rFonts w:hint="eastAsia" w:eastAsia="黑体"/>
          <w:bCs/>
        </w:rPr>
        <w:t>本规范</w:t>
      </w:r>
      <w:r>
        <w:rPr>
          <w:rFonts w:eastAsia="黑体"/>
          <w:bCs/>
        </w:rPr>
        <w:t>主要起草人</w:t>
      </w:r>
      <w:r>
        <w:rPr>
          <w:rFonts w:hint="eastAsia" w:eastAsia="黑体"/>
          <w:bCs/>
        </w:rPr>
        <w:t>员</w:t>
      </w:r>
      <w:r>
        <w:rPr>
          <w:b/>
          <w:bCs/>
        </w:rPr>
        <w:t>：</w:t>
      </w:r>
      <w:r>
        <w:rPr>
          <w:rFonts w:hint="eastAsia"/>
          <w:b w:val="0"/>
          <w:bCs w:val="0"/>
        </w:rPr>
        <w:t xml:space="preserve">安关峰  陈雪华  农兴中 </w:t>
      </w:r>
      <w:r>
        <w:rPr>
          <w:rFonts w:hint="eastAsia"/>
          <w:b w:val="0"/>
          <w:bCs w:val="0"/>
          <w:lang w:val="en-US" w:eastAsia="zh-CN"/>
        </w:rPr>
        <w:t xml:space="preserve"> </w:t>
      </w:r>
      <w:r>
        <w:rPr>
          <w:rFonts w:hint="eastAsia"/>
          <w:b w:val="0"/>
          <w:bCs w:val="0"/>
        </w:rPr>
        <w:t xml:space="preserve">肖 </w:t>
      </w:r>
      <w:r>
        <w:rPr>
          <w:rFonts w:hint="eastAsia"/>
          <w:b w:val="0"/>
          <w:bCs w:val="0"/>
          <w:lang w:val="en-US" w:eastAsia="zh-CN"/>
        </w:rPr>
        <w:t xml:space="preserve"> </w:t>
      </w:r>
      <w:r>
        <w:rPr>
          <w:rFonts w:hint="eastAsia"/>
          <w:b w:val="0"/>
          <w:bCs w:val="0"/>
        </w:rPr>
        <w:t xml:space="preserve">煜  谭顺辉  </w:t>
      </w:r>
    </w:p>
    <w:p w14:paraId="0365E02D">
      <w:pPr>
        <w:keepNext w:val="0"/>
        <w:keepLines w:val="0"/>
        <w:pageBreakBefore w:val="0"/>
        <w:widowControl w:val="0"/>
        <w:kinsoku/>
        <w:wordWrap/>
        <w:overflowPunct/>
        <w:topLinePunct w:val="0"/>
        <w:autoSpaceDE/>
        <w:autoSpaceDN/>
        <w:bidi w:val="0"/>
        <w:adjustRightInd/>
        <w:snapToGrid/>
        <w:ind w:left="2434" w:leftChars="1014" w:firstLine="480" w:firstLineChars="200"/>
        <w:jc w:val="left"/>
        <w:textAlignment w:val="auto"/>
        <w:rPr>
          <w:rFonts w:hint="eastAsia"/>
          <w:b w:val="0"/>
          <w:bCs w:val="0"/>
        </w:rPr>
      </w:pPr>
      <w:r>
        <w:rPr>
          <w:rFonts w:hint="eastAsia"/>
          <w:b w:val="0"/>
          <w:bCs w:val="0"/>
        </w:rPr>
        <w:t>杨先华</w:t>
      </w:r>
      <w:r>
        <w:rPr>
          <w:rFonts w:hint="eastAsia"/>
          <w:b w:val="0"/>
          <w:bCs w:val="0"/>
          <w:lang w:val="en-US" w:eastAsia="zh-CN"/>
        </w:rPr>
        <w:t xml:space="preserve"> </w:t>
      </w:r>
      <w:r>
        <w:rPr>
          <w:rFonts w:hint="eastAsia"/>
          <w:b w:val="0"/>
          <w:bCs w:val="0"/>
        </w:rPr>
        <w:t xml:space="preserve"> 李红宝  张</w:t>
      </w:r>
      <w:r>
        <w:rPr>
          <w:rFonts w:hint="eastAsia"/>
          <w:b w:val="0"/>
          <w:bCs w:val="0"/>
          <w:lang w:val="en-US" w:eastAsia="zh-CN"/>
        </w:rPr>
        <w:t xml:space="preserve"> </w:t>
      </w:r>
      <w:r>
        <w:rPr>
          <w:rFonts w:hint="eastAsia"/>
          <w:b w:val="0"/>
          <w:bCs w:val="0"/>
        </w:rPr>
        <w:t xml:space="preserve"> 蓉 </w:t>
      </w:r>
      <w:r>
        <w:rPr>
          <w:rFonts w:hint="eastAsia"/>
          <w:b w:val="0"/>
          <w:bCs w:val="0"/>
          <w:lang w:val="en-US" w:eastAsia="zh-CN"/>
        </w:rPr>
        <w:t xml:space="preserve"> </w:t>
      </w:r>
      <w:r>
        <w:rPr>
          <w:rFonts w:hint="eastAsia"/>
          <w:b w:val="0"/>
          <w:bCs w:val="0"/>
        </w:rPr>
        <w:t>翟利华</w:t>
      </w:r>
      <w:r>
        <w:rPr>
          <w:rFonts w:hint="eastAsia"/>
          <w:b w:val="0"/>
          <w:bCs w:val="0"/>
          <w:lang w:val="en-US" w:eastAsia="zh-CN"/>
        </w:rPr>
        <w:t xml:space="preserve"> </w:t>
      </w:r>
      <w:r>
        <w:rPr>
          <w:rFonts w:hint="eastAsia"/>
          <w:b w:val="0"/>
          <w:bCs w:val="0"/>
        </w:rPr>
        <w:t xml:space="preserve"> 薛广记 </w:t>
      </w:r>
    </w:p>
    <w:p w14:paraId="12B8A9B5">
      <w:pPr>
        <w:keepNext w:val="0"/>
        <w:keepLines w:val="0"/>
        <w:pageBreakBefore w:val="0"/>
        <w:widowControl w:val="0"/>
        <w:kinsoku/>
        <w:wordWrap/>
        <w:overflowPunct/>
        <w:topLinePunct w:val="0"/>
        <w:autoSpaceDE/>
        <w:autoSpaceDN/>
        <w:bidi w:val="0"/>
        <w:adjustRightInd/>
        <w:snapToGrid/>
        <w:ind w:left="2434" w:leftChars="1014" w:firstLine="480" w:firstLineChars="200"/>
        <w:jc w:val="left"/>
        <w:textAlignment w:val="auto"/>
        <w:rPr>
          <w:rFonts w:hint="eastAsia"/>
          <w:b w:val="0"/>
          <w:bCs w:val="0"/>
        </w:rPr>
      </w:pPr>
      <w:r>
        <w:rPr>
          <w:rFonts w:hint="eastAsia"/>
          <w:b w:val="0"/>
          <w:bCs w:val="0"/>
        </w:rPr>
        <w:t>马保松</w:t>
      </w:r>
      <w:r>
        <w:rPr>
          <w:rFonts w:hint="eastAsia"/>
          <w:b w:val="0"/>
          <w:bCs w:val="0"/>
          <w:lang w:val="en-US" w:eastAsia="zh-CN"/>
        </w:rPr>
        <w:t xml:space="preserve">  </w:t>
      </w:r>
      <w:r>
        <w:rPr>
          <w:rFonts w:hint="eastAsia"/>
          <w:b w:val="0"/>
          <w:bCs w:val="0"/>
        </w:rPr>
        <w:t>陈建宁</w:t>
      </w:r>
      <w:r>
        <w:rPr>
          <w:rFonts w:hint="eastAsia"/>
          <w:b w:val="0"/>
          <w:bCs w:val="0"/>
          <w:lang w:val="en-US" w:eastAsia="zh-CN"/>
        </w:rPr>
        <w:t xml:space="preserve"> </w:t>
      </w:r>
      <w:r>
        <w:rPr>
          <w:rFonts w:hint="eastAsia"/>
          <w:b w:val="0"/>
          <w:bCs w:val="0"/>
        </w:rPr>
        <w:t xml:space="preserve"> 周丽红 </w:t>
      </w:r>
      <w:r>
        <w:rPr>
          <w:rFonts w:hint="eastAsia"/>
          <w:b w:val="0"/>
          <w:bCs w:val="0"/>
          <w:lang w:val="en-US" w:eastAsia="zh-CN"/>
        </w:rPr>
        <w:t xml:space="preserve"> </w:t>
      </w:r>
      <w:r>
        <w:rPr>
          <w:rFonts w:hint="eastAsia"/>
          <w:b w:val="0"/>
          <w:bCs w:val="0"/>
        </w:rPr>
        <w:t xml:space="preserve">胡继生 </w:t>
      </w:r>
      <w:r>
        <w:rPr>
          <w:rFonts w:hint="eastAsia"/>
          <w:b w:val="0"/>
          <w:bCs w:val="0"/>
          <w:lang w:val="en-US" w:eastAsia="zh-CN"/>
        </w:rPr>
        <w:t xml:space="preserve"> </w:t>
      </w:r>
      <w:r>
        <w:rPr>
          <w:rFonts w:hint="eastAsia"/>
          <w:b w:val="0"/>
          <w:bCs w:val="0"/>
        </w:rPr>
        <w:t xml:space="preserve">周炜峙  </w:t>
      </w:r>
    </w:p>
    <w:p w14:paraId="01BF5227">
      <w:pPr>
        <w:keepNext w:val="0"/>
        <w:keepLines w:val="0"/>
        <w:pageBreakBefore w:val="0"/>
        <w:widowControl w:val="0"/>
        <w:kinsoku/>
        <w:wordWrap/>
        <w:overflowPunct/>
        <w:topLinePunct w:val="0"/>
        <w:autoSpaceDE/>
        <w:autoSpaceDN/>
        <w:bidi w:val="0"/>
        <w:adjustRightInd/>
        <w:snapToGrid/>
        <w:ind w:left="2434" w:leftChars="1014" w:firstLine="480" w:firstLineChars="200"/>
        <w:jc w:val="left"/>
        <w:textAlignment w:val="auto"/>
        <w:rPr>
          <w:rFonts w:hint="eastAsia" w:eastAsia="宋体"/>
          <w:b w:val="0"/>
          <w:bCs w:val="0"/>
          <w:lang w:eastAsia="zh-CN"/>
        </w:rPr>
      </w:pPr>
      <w:r>
        <w:rPr>
          <w:rFonts w:hint="eastAsia"/>
          <w:b w:val="0"/>
          <w:bCs w:val="0"/>
        </w:rPr>
        <w:t>陈晓飞</w:t>
      </w:r>
      <w:r>
        <w:rPr>
          <w:rFonts w:hint="eastAsia"/>
          <w:b w:val="0"/>
          <w:bCs w:val="0"/>
          <w:lang w:val="en-US" w:eastAsia="zh-CN"/>
        </w:rPr>
        <w:t xml:space="preserve"> </w:t>
      </w:r>
      <w:r>
        <w:rPr>
          <w:rFonts w:hint="eastAsia"/>
          <w:b w:val="0"/>
          <w:bCs w:val="0"/>
        </w:rPr>
        <w:t xml:space="preserve"> 王 </w:t>
      </w:r>
      <w:r>
        <w:rPr>
          <w:rFonts w:hint="eastAsia"/>
          <w:b w:val="0"/>
          <w:bCs w:val="0"/>
          <w:lang w:val="en-US" w:eastAsia="zh-CN"/>
        </w:rPr>
        <w:t xml:space="preserve"> </w:t>
      </w:r>
      <w:r>
        <w:rPr>
          <w:rFonts w:hint="eastAsia"/>
          <w:b w:val="0"/>
          <w:bCs w:val="0"/>
        </w:rPr>
        <w:t>谭</w:t>
      </w:r>
      <w:r>
        <w:rPr>
          <w:rFonts w:hint="eastAsia"/>
          <w:b w:val="0"/>
          <w:bCs w:val="0"/>
          <w:lang w:val="en-US" w:eastAsia="zh-CN"/>
        </w:rPr>
        <w:t xml:space="preserve">  </w:t>
      </w:r>
      <w:r>
        <w:rPr>
          <w:rFonts w:hint="eastAsia"/>
          <w:b w:val="0"/>
          <w:bCs w:val="0"/>
        </w:rPr>
        <w:t xml:space="preserve">何修义 </w:t>
      </w:r>
      <w:r>
        <w:rPr>
          <w:rFonts w:hint="eastAsia"/>
          <w:b w:val="0"/>
          <w:bCs w:val="0"/>
          <w:lang w:val="en-US" w:eastAsia="zh-CN"/>
        </w:rPr>
        <w:t xml:space="preserve"> </w:t>
      </w:r>
      <w:r>
        <w:rPr>
          <w:rFonts w:hint="eastAsia"/>
          <w:b w:val="0"/>
          <w:bCs w:val="0"/>
        </w:rPr>
        <w:t>谢祥明</w:t>
      </w:r>
      <w:r>
        <w:rPr>
          <w:rFonts w:hint="eastAsia"/>
          <w:b w:val="0"/>
          <w:bCs w:val="0"/>
          <w:lang w:val="en-US" w:eastAsia="zh-CN"/>
        </w:rPr>
        <w:t xml:space="preserve"> </w:t>
      </w:r>
      <w:r>
        <w:rPr>
          <w:rFonts w:hint="eastAsia"/>
          <w:b w:val="0"/>
          <w:bCs w:val="0"/>
        </w:rPr>
        <w:t xml:space="preserve"> </w:t>
      </w:r>
      <w:r>
        <w:rPr>
          <w:rFonts w:hint="eastAsia"/>
          <w:b w:val="0"/>
          <w:bCs w:val="0"/>
          <w:lang w:eastAsia="zh-CN"/>
        </w:rPr>
        <w:t>汪永剑</w:t>
      </w:r>
    </w:p>
    <w:p w14:paraId="38461B58">
      <w:pPr>
        <w:keepNext w:val="0"/>
        <w:keepLines w:val="0"/>
        <w:pageBreakBefore w:val="0"/>
        <w:widowControl w:val="0"/>
        <w:kinsoku/>
        <w:wordWrap/>
        <w:overflowPunct/>
        <w:topLinePunct w:val="0"/>
        <w:autoSpaceDE/>
        <w:autoSpaceDN/>
        <w:bidi w:val="0"/>
        <w:adjustRightInd/>
        <w:snapToGrid/>
        <w:ind w:left="2434" w:leftChars="1014" w:firstLine="480" w:firstLineChars="200"/>
        <w:jc w:val="left"/>
        <w:textAlignment w:val="auto"/>
        <w:rPr>
          <w:rFonts w:hint="eastAsia"/>
          <w:b w:val="0"/>
          <w:bCs w:val="0"/>
        </w:rPr>
      </w:pPr>
      <w:r>
        <w:rPr>
          <w:rFonts w:hint="eastAsia"/>
          <w:b w:val="0"/>
          <w:bCs w:val="0"/>
        </w:rPr>
        <w:t>熊</w:t>
      </w:r>
      <w:r>
        <w:rPr>
          <w:rFonts w:hint="eastAsia"/>
          <w:b w:val="0"/>
          <w:bCs w:val="0"/>
          <w:lang w:val="en-US" w:eastAsia="zh-CN"/>
        </w:rPr>
        <w:t xml:space="preserve">  </w:t>
      </w:r>
      <w:r>
        <w:rPr>
          <w:rFonts w:hint="eastAsia"/>
          <w:b w:val="0"/>
          <w:bCs w:val="0"/>
        </w:rPr>
        <w:t>振</w:t>
      </w:r>
      <w:r>
        <w:rPr>
          <w:rFonts w:hint="eastAsia"/>
          <w:b w:val="0"/>
          <w:bCs w:val="0"/>
          <w:lang w:val="en-US" w:eastAsia="zh-CN"/>
        </w:rPr>
        <w:t xml:space="preserve">  </w:t>
      </w:r>
      <w:r>
        <w:rPr>
          <w:rFonts w:hint="eastAsia"/>
          <w:b w:val="0"/>
          <w:bCs w:val="0"/>
        </w:rPr>
        <w:t xml:space="preserve">刘添俊 </w:t>
      </w:r>
      <w:r>
        <w:rPr>
          <w:rFonts w:hint="eastAsia"/>
          <w:b w:val="0"/>
          <w:bCs w:val="0"/>
          <w:lang w:val="en-US" w:eastAsia="zh-CN"/>
        </w:rPr>
        <w:t xml:space="preserve"> </w:t>
      </w:r>
      <w:r>
        <w:rPr>
          <w:rFonts w:hint="eastAsia"/>
          <w:b w:val="0"/>
          <w:bCs w:val="0"/>
        </w:rPr>
        <w:t xml:space="preserve">杨春山 </w:t>
      </w:r>
      <w:r>
        <w:rPr>
          <w:rFonts w:hint="eastAsia"/>
          <w:b w:val="0"/>
          <w:bCs w:val="0"/>
          <w:lang w:val="en-US" w:eastAsia="zh-CN"/>
        </w:rPr>
        <w:t xml:space="preserve"> </w:t>
      </w:r>
      <w:r>
        <w:rPr>
          <w:rFonts w:hint="eastAsia"/>
          <w:b w:val="0"/>
          <w:bCs w:val="0"/>
        </w:rPr>
        <w:t>谭小颜</w:t>
      </w:r>
    </w:p>
    <w:p w14:paraId="23F2F0CA">
      <w:pPr>
        <w:keepNext w:val="0"/>
        <w:keepLines w:val="0"/>
        <w:pageBreakBefore w:val="0"/>
        <w:widowControl w:val="0"/>
        <w:kinsoku/>
        <w:wordWrap/>
        <w:overflowPunct/>
        <w:topLinePunct w:val="0"/>
        <w:autoSpaceDE/>
        <w:autoSpaceDN/>
        <w:bidi w:val="0"/>
        <w:adjustRightInd/>
        <w:snapToGrid/>
        <w:ind w:left="34" w:leftChars="14" w:firstLine="480" w:firstLineChars="200"/>
        <w:jc w:val="left"/>
        <w:textAlignment w:val="auto"/>
      </w:pPr>
    </w:p>
    <w:p w14:paraId="384F28A1">
      <w:pPr>
        <w:ind w:left="34" w:leftChars="14" w:firstLine="480" w:firstLineChars="200"/>
        <w:rPr>
          <w:szCs w:val="24"/>
        </w:rPr>
      </w:pPr>
    </w:p>
    <w:p w14:paraId="50B62DF2">
      <w:pPr>
        <w:ind w:firstLine="480" w:firstLineChars="200"/>
        <w:rPr>
          <w:kern w:val="0"/>
        </w:rPr>
      </w:pPr>
      <w:r>
        <w:rPr>
          <w:rFonts w:hint="eastAsia" w:eastAsia="黑体"/>
          <w:bCs/>
        </w:rPr>
        <w:t>本规范</w:t>
      </w:r>
      <w:r>
        <w:rPr>
          <w:rFonts w:eastAsia="黑体"/>
          <w:bCs/>
        </w:rPr>
        <w:t>主要审查人</w:t>
      </w:r>
      <w:r>
        <w:rPr>
          <w:rFonts w:hint="eastAsia" w:eastAsia="黑体"/>
          <w:bCs/>
        </w:rPr>
        <w:t>员</w:t>
      </w:r>
      <w:r>
        <w:rPr>
          <w:b/>
          <w:bCs/>
        </w:rPr>
        <w:t>：</w:t>
      </w:r>
    </w:p>
    <w:p w14:paraId="67AAC767">
      <w:pPr>
        <w:jc w:val="center"/>
        <w:rPr>
          <w:rFonts w:eastAsia="仿宋"/>
          <w:b/>
          <w:bCs/>
          <w:sz w:val="28"/>
          <w:szCs w:val="24"/>
        </w:rPr>
      </w:pPr>
    </w:p>
    <w:p w14:paraId="0A279720">
      <w:pPr>
        <w:jc w:val="center"/>
        <w:rPr>
          <w:rFonts w:eastAsia="仿宋"/>
          <w:b/>
          <w:bCs/>
          <w:sz w:val="28"/>
          <w:szCs w:val="24"/>
        </w:rPr>
        <w:sectPr>
          <w:headerReference r:id="rId6" w:type="default"/>
          <w:footerReference r:id="rId7" w:type="default"/>
          <w:pgSz w:w="11906" w:h="16838"/>
          <w:pgMar w:top="1440" w:right="1800" w:bottom="1440" w:left="1800" w:header="851" w:footer="992" w:gutter="0"/>
          <w:pgNumType w:start="1"/>
          <w:cols w:space="425" w:num="1"/>
          <w:docGrid w:type="lines" w:linePitch="312" w:charSpace="0"/>
        </w:sectPr>
      </w:pPr>
    </w:p>
    <w:p w14:paraId="073A95FC">
      <w:pPr>
        <w:jc w:val="center"/>
        <w:rPr>
          <w:rFonts w:eastAsia="仿宋"/>
          <w:b/>
          <w:bCs/>
          <w:sz w:val="28"/>
          <w:szCs w:val="24"/>
        </w:rPr>
      </w:pPr>
      <w:r>
        <w:rPr>
          <w:rFonts w:eastAsia="仿宋"/>
          <w:b/>
          <w:bCs/>
          <w:sz w:val="28"/>
          <w:szCs w:val="24"/>
        </w:rPr>
        <w:t>目  次</w:t>
      </w:r>
    </w:p>
    <w:p w14:paraId="70A8D434">
      <w:pPr>
        <w:pStyle w:val="26"/>
        <w:tabs>
          <w:tab w:val="right" w:leader="dot" w:pos="8296"/>
        </w:tabs>
        <w:rPr>
          <w:rFonts w:ascii="Times New Roman" w:hAnsi="Times New Roman" w:cs="Times New Roman" w:eastAsiaTheme="minorEastAsia"/>
          <w:b w:val="0"/>
          <w:bCs w:val="0"/>
          <w:caps w:val="0"/>
          <w:sz w:val="21"/>
          <w:szCs w:val="22"/>
        </w:rPr>
      </w:pPr>
      <w:r>
        <w:rPr>
          <w:rFonts w:ascii="Times New Roman" w:hAnsi="Times New Roman" w:cs="Times New Roman"/>
          <w:szCs w:val="24"/>
        </w:rPr>
        <w:fldChar w:fldCharType="begin"/>
      </w:r>
      <w:r>
        <w:rPr>
          <w:rFonts w:ascii="Times New Roman" w:hAnsi="Times New Roman" w:cs="Times New Roman"/>
          <w:szCs w:val="24"/>
        </w:rPr>
        <w:instrText xml:space="preserve"> TOC \o "1-2" \h \z \u </w:instrText>
      </w:r>
      <w:r>
        <w:rPr>
          <w:rFonts w:ascii="Times New Roman" w:hAnsi="Times New Roman" w:cs="Times New Roman"/>
          <w:szCs w:val="24"/>
        </w:rPr>
        <w:fldChar w:fldCharType="separate"/>
      </w:r>
      <w:r>
        <w:fldChar w:fldCharType="begin"/>
      </w:r>
      <w:r>
        <w:instrText xml:space="preserve"> HYPERLINK \l "_Toc60173770" </w:instrText>
      </w:r>
      <w:r>
        <w:fldChar w:fldCharType="separate"/>
      </w:r>
      <w:r>
        <w:rPr>
          <w:rStyle w:val="45"/>
          <w:rFonts w:ascii="Times New Roman" w:hAnsi="Times New Roman" w:cs="Times New Roman"/>
        </w:rPr>
        <w:t>1  总    则</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_Toc60173770 \h </w:instrText>
      </w:r>
      <w:r>
        <w:rPr>
          <w:rFonts w:ascii="Times New Roman" w:hAnsi="Times New Roman" w:cs="Times New Roman"/>
        </w:rPr>
        <w:fldChar w:fldCharType="separate"/>
      </w:r>
      <w:r>
        <w:rPr>
          <w:rFonts w:ascii="Times New Roman" w:hAnsi="Times New Roman" w:cs="Times New Roman"/>
        </w:rPr>
        <w:t>1</w:t>
      </w:r>
      <w:r>
        <w:rPr>
          <w:rFonts w:ascii="Times New Roman" w:hAnsi="Times New Roman" w:cs="Times New Roman"/>
        </w:rPr>
        <w:fldChar w:fldCharType="end"/>
      </w:r>
      <w:r>
        <w:rPr>
          <w:rFonts w:ascii="Times New Roman" w:hAnsi="Times New Roman" w:cs="Times New Roman"/>
        </w:rPr>
        <w:fldChar w:fldCharType="end"/>
      </w:r>
    </w:p>
    <w:p w14:paraId="0776B793">
      <w:pPr>
        <w:pStyle w:val="26"/>
        <w:tabs>
          <w:tab w:val="right" w:leader="dot" w:pos="8296"/>
        </w:tabs>
        <w:rPr>
          <w:rFonts w:ascii="Times New Roman" w:hAnsi="Times New Roman" w:cs="Times New Roman" w:eastAsiaTheme="minorEastAsia"/>
          <w:b w:val="0"/>
          <w:bCs w:val="0"/>
          <w:caps w:val="0"/>
          <w:sz w:val="21"/>
          <w:szCs w:val="22"/>
        </w:rPr>
      </w:pPr>
      <w:r>
        <w:fldChar w:fldCharType="begin"/>
      </w:r>
      <w:r>
        <w:instrText xml:space="preserve"> HYPERLINK \l "_Toc60173771" </w:instrText>
      </w:r>
      <w:r>
        <w:fldChar w:fldCharType="separate"/>
      </w:r>
      <w:r>
        <w:rPr>
          <w:rStyle w:val="45"/>
          <w:rFonts w:ascii="Times New Roman" w:hAnsi="Times New Roman" w:eastAsia="Times New Roman" w:cs="Times New Roman"/>
          <w:kern w:val="44"/>
        </w:rPr>
        <w:t xml:space="preserve">2  </w:t>
      </w:r>
      <w:r>
        <w:rPr>
          <w:rStyle w:val="45"/>
          <w:rFonts w:ascii="Times New Roman" w:hAnsi="Times New Roman" w:cs="Times New Roman"/>
          <w:kern w:val="44"/>
        </w:rPr>
        <w:t>术语和符号</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_Toc60173771 \h </w:instrText>
      </w:r>
      <w:r>
        <w:rPr>
          <w:rFonts w:ascii="Times New Roman" w:hAnsi="Times New Roman" w:cs="Times New Roman"/>
        </w:rPr>
        <w:fldChar w:fldCharType="separate"/>
      </w:r>
      <w:r>
        <w:rPr>
          <w:rFonts w:ascii="Times New Roman" w:hAnsi="Times New Roman" w:cs="Times New Roman"/>
        </w:rPr>
        <w:t>2</w:t>
      </w:r>
      <w:r>
        <w:rPr>
          <w:rFonts w:ascii="Times New Roman" w:hAnsi="Times New Roman" w:cs="Times New Roman"/>
        </w:rPr>
        <w:fldChar w:fldCharType="end"/>
      </w:r>
      <w:r>
        <w:rPr>
          <w:rFonts w:ascii="Times New Roman" w:hAnsi="Times New Roman" w:cs="Times New Roman"/>
        </w:rPr>
        <w:fldChar w:fldCharType="end"/>
      </w:r>
    </w:p>
    <w:p w14:paraId="7BC92D00">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"_Toc60173772" </w:instrText>
      </w:r>
      <w:r>
        <w:fldChar w:fldCharType="separate"/>
      </w:r>
      <w:r>
        <w:rPr>
          <w:rStyle w:val="45"/>
          <w:rFonts w:ascii="Times New Roman" w:hAnsi="Times New Roman" w:eastAsia="黑体" w:cs="Times New Roman"/>
        </w:rPr>
        <w:t>2.1  术语</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_Toc60173772 \h </w:instrText>
      </w:r>
      <w:r>
        <w:rPr>
          <w:rFonts w:ascii="Times New Roman" w:hAnsi="Times New Roman" w:cs="Times New Roman"/>
        </w:rPr>
        <w:fldChar w:fldCharType="separate"/>
      </w:r>
      <w:r>
        <w:rPr>
          <w:rFonts w:ascii="Times New Roman" w:hAnsi="Times New Roman" w:cs="Times New Roman"/>
        </w:rPr>
        <w:t>2</w:t>
      </w:r>
      <w:r>
        <w:rPr>
          <w:rFonts w:ascii="Times New Roman" w:hAnsi="Times New Roman" w:cs="Times New Roman"/>
        </w:rPr>
        <w:fldChar w:fldCharType="end"/>
      </w:r>
      <w:r>
        <w:rPr>
          <w:rFonts w:ascii="Times New Roman" w:hAnsi="Times New Roman" w:cs="Times New Roman"/>
        </w:rPr>
        <w:fldChar w:fldCharType="end"/>
      </w:r>
    </w:p>
    <w:p w14:paraId="26DA1870">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"_Toc60173773" </w:instrText>
      </w:r>
      <w:r>
        <w:fldChar w:fldCharType="separate"/>
      </w:r>
      <w:r>
        <w:rPr>
          <w:rStyle w:val="45"/>
          <w:rFonts w:ascii="Times New Roman" w:hAnsi="Times New Roman" w:eastAsia="黑体" w:cs="Times New Roman"/>
        </w:rPr>
        <w:t>2.2  符号</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_Toc60173773 \h </w:instrText>
      </w:r>
      <w:r>
        <w:rPr>
          <w:rFonts w:ascii="Times New Roman" w:hAnsi="Times New Roman" w:cs="Times New Roman"/>
        </w:rPr>
        <w:fldChar w:fldCharType="separate"/>
      </w:r>
      <w:r>
        <w:rPr>
          <w:rFonts w:ascii="Times New Roman" w:hAnsi="Times New Roman" w:cs="Times New Roman"/>
        </w:rPr>
        <w:t>3</w:t>
      </w:r>
      <w:r>
        <w:rPr>
          <w:rFonts w:ascii="Times New Roman" w:hAnsi="Times New Roman" w:cs="Times New Roman"/>
        </w:rPr>
        <w:fldChar w:fldCharType="end"/>
      </w:r>
      <w:r>
        <w:rPr>
          <w:rFonts w:ascii="Times New Roman" w:hAnsi="Times New Roman" w:cs="Times New Roman"/>
        </w:rPr>
        <w:fldChar w:fldCharType="end"/>
      </w:r>
    </w:p>
    <w:p w14:paraId="4AE33E36">
      <w:pPr>
        <w:pStyle w:val="26"/>
        <w:tabs>
          <w:tab w:val="right" w:leader="dot" w:pos="8296"/>
        </w:tabs>
        <w:rPr>
          <w:rFonts w:ascii="Times New Roman" w:hAnsi="Times New Roman" w:cs="Times New Roman" w:eastAsiaTheme="minorEastAsia"/>
          <w:b w:val="0"/>
          <w:bCs w:val="0"/>
          <w:caps w:val="0"/>
          <w:sz w:val="21"/>
          <w:szCs w:val="22"/>
        </w:rPr>
      </w:pPr>
      <w:r>
        <w:fldChar w:fldCharType="begin"/>
      </w:r>
      <w:r>
        <w:instrText xml:space="preserve"> HYPERLINK \l "_Toc60173774" </w:instrText>
      </w:r>
      <w:r>
        <w:fldChar w:fldCharType="separate"/>
      </w:r>
      <w:r>
        <w:rPr>
          <w:rStyle w:val="45"/>
          <w:rFonts w:ascii="Times New Roman" w:hAnsi="Times New Roman" w:cs="Times New Roman"/>
        </w:rPr>
        <w:t>3  基本规定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_Toc60173774 \h </w:instrText>
      </w:r>
      <w:r>
        <w:rPr>
          <w:rFonts w:ascii="Times New Roman" w:hAnsi="Times New Roman" w:cs="Times New Roman"/>
        </w:rPr>
        <w:fldChar w:fldCharType="separate"/>
      </w:r>
      <w:r>
        <w:rPr>
          <w:rFonts w:ascii="Times New Roman" w:hAnsi="Times New Roman" w:cs="Times New Roman"/>
        </w:rPr>
        <w:t>6</w:t>
      </w:r>
      <w:r>
        <w:rPr>
          <w:rFonts w:ascii="Times New Roman" w:hAnsi="Times New Roman" w:cs="Times New Roman"/>
        </w:rPr>
        <w:fldChar w:fldCharType="end"/>
      </w:r>
      <w:r>
        <w:rPr>
          <w:rFonts w:ascii="Times New Roman" w:hAnsi="Times New Roman" w:cs="Times New Roman"/>
        </w:rPr>
        <w:fldChar w:fldCharType="end"/>
      </w:r>
    </w:p>
    <w:p w14:paraId="247D27DD">
      <w:pPr>
        <w:pStyle w:val="26"/>
        <w:tabs>
          <w:tab w:val="right" w:leader="dot" w:pos="8296"/>
        </w:tabs>
        <w:rPr>
          <w:rFonts w:ascii="Times New Roman" w:hAnsi="Times New Roman" w:cs="Times New Roman" w:eastAsiaTheme="minorEastAsia"/>
          <w:b w:val="0"/>
          <w:bCs w:val="0"/>
          <w:caps w:val="0"/>
          <w:sz w:val="21"/>
          <w:szCs w:val="22"/>
        </w:rPr>
      </w:pPr>
      <w:r>
        <w:fldChar w:fldCharType="begin"/>
      </w:r>
      <w:r>
        <w:instrText xml:space="preserve"> HYPERLINK \l "_Toc60173775" </w:instrText>
      </w:r>
      <w:r>
        <w:fldChar w:fldCharType="separate"/>
      </w:r>
      <w:r>
        <w:rPr>
          <w:rStyle w:val="45"/>
          <w:rFonts w:ascii="Times New Roman" w:hAnsi="Times New Roman" w:cs="Times New Roman"/>
        </w:rPr>
        <w:t>4  工程勘察</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_Toc60173775 \h </w:instrText>
      </w:r>
      <w:r>
        <w:rPr>
          <w:rFonts w:ascii="Times New Roman" w:hAnsi="Times New Roman" w:cs="Times New Roman"/>
        </w:rPr>
        <w:fldChar w:fldCharType="separate"/>
      </w:r>
      <w:r>
        <w:rPr>
          <w:rFonts w:ascii="Times New Roman" w:hAnsi="Times New Roman" w:cs="Times New Roman"/>
        </w:rPr>
        <w:t>7</w:t>
      </w:r>
      <w:r>
        <w:rPr>
          <w:rFonts w:ascii="Times New Roman" w:hAnsi="Times New Roman" w:cs="Times New Roman"/>
        </w:rPr>
        <w:fldChar w:fldCharType="end"/>
      </w:r>
      <w:r>
        <w:rPr>
          <w:rFonts w:ascii="Times New Roman" w:hAnsi="Times New Roman" w:cs="Times New Roman"/>
        </w:rPr>
        <w:fldChar w:fldCharType="end"/>
      </w:r>
    </w:p>
    <w:p w14:paraId="5182F738">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"_Toc60173776" </w:instrText>
      </w:r>
      <w:r>
        <w:fldChar w:fldCharType="separate"/>
      </w:r>
      <w:r>
        <w:rPr>
          <w:rStyle w:val="45"/>
          <w:rFonts w:ascii="Times New Roman" w:hAnsi="Times New Roman" w:eastAsia="黑体" w:cs="Times New Roman"/>
        </w:rPr>
        <w:t>4.1  一般规定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_Toc60173776 \h </w:instrText>
      </w:r>
      <w:r>
        <w:rPr>
          <w:rFonts w:ascii="Times New Roman" w:hAnsi="Times New Roman" w:cs="Times New Roman"/>
        </w:rPr>
        <w:fldChar w:fldCharType="separate"/>
      </w:r>
      <w:r>
        <w:rPr>
          <w:rFonts w:ascii="Times New Roman" w:hAnsi="Times New Roman" w:cs="Times New Roman"/>
        </w:rPr>
        <w:t>7</w:t>
      </w:r>
      <w:r>
        <w:rPr>
          <w:rFonts w:ascii="Times New Roman" w:hAnsi="Times New Roman" w:cs="Times New Roman"/>
        </w:rPr>
        <w:fldChar w:fldCharType="end"/>
      </w:r>
      <w:r>
        <w:rPr>
          <w:rFonts w:ascii="Times New Roman" w:hAnsi="Times New Roman" w:cs="Times New Roman"/>
        </w:rPr>
        <w:fldChar w:fldCharType="end"/>
      </w:r>
    </w:p>
    <w:p w14:paraId="4512BF5E">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"_Toc60173777" </w:instrText>
      </w:r>
      <w:r>
        <w:fldChar w:fldCharType="separate"/>
      </w:r>
      <w:r>
        <w:rPr>
          <w:rStyle w:val="45"/>
          <w:rFonts w:ascii="Times New Roman" w:hAnsi="Times New Roman" w:eastAsia="黑体" w:cs="Times New Roman"/>
        </w:rPr>
        <w:t>4.2  勘察布孔</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_Toc60173777 \h </w:instrText>
      </w:r>
      <w:r>
        <w:rPr>
          <w:rFonts w:ascii="Times New Roman" w:hAnsi="Times New Roman" w:cs="Times New Roman"/>
        </w:rPr>
        <w:fldChar w:fldCharType="separate"/>
      </w:r>
      <w:r>
        <w:rPr>
          <w:rFonts w:ascii="Times New Roman" w:hAnsi="Times New Roman" w:cs="Times New Roman"/>
        </w:rPr>
        <w:t>7</w:t>
      </w:r>
      <w:r>
        <w:rPr>
          <w:rFonts w:ascii="Times New Roman" w:hAnsi="Times New Roman" w:cs="Times New Roman"/>
        </w:rPr>
        <w:fldChar w:fldCharType="end"/>
      </w:r>
      <w:r>
        <w:rPr>
          <w:rFonts w:ascii="Times New Roman" w:hAnsi="Times New Roman" w:cs="Times New Roman"/>
        </w:rPr>
        <w:fldChar w:fldCharType="end"/>
      </w:r>
    </w:p>
    <w:p w14:paraId="77DE63CA">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"_Toc60173778" </w:instrText>
      </w:r>
      <w:r>
        <w:fldChar w:fldCharType="separate"/>
      </w:r>
      <w:r>
        <w:rPr>
          <w:rStyle w:val="45"/>
          <w:rFonts w:ascii="Times New Roman" w:hAnsi="Times New Roman" w:eastAsia="黑体" w:cs="Times New Roman"/>
        </w:rPr>
        <w:t>4.3  地下水勘察</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_Toc60173778 \h </w:instrText>
      </w:r>
      <w:r>
        <w:rPr>
          <w:rFonts w:ascii="Times New Roman" w:hAnsi="Times New Roman" w:cs="Times New Roman"/>
        </w:rPr>
        <w:fldChar w:fldCharType="separate"/>
      </w:r>
      <w:r>
        <w:rPr>
          <w:rFonts w:ascii="Times New Roman" w:hAnsi="Times New Roman" w:cs="Times New Roman"/>
        </w:rPr>
        <w:t>8</w:t>
      </w:r>
      <w:r>
        <w:rPr>
          <w:rFonts w:ascii="Times New Roman" w:hAnsi="Times New Roman" w:cs="Times New Roman"/>
        </w:rPr>
        <w:fldChar w:fldCharType="end"/>
      </w:r>
      <w:r>
        <w:rPr>
          <w:rFonts w:ascii="Times New Roman" w:hAnsi="Times New Roman" w:cs="Times New Roman"/>
        </w:rPr>
        <w:fldChar w:fldCharType="end"/>
      </w:r>
    </w:p>
    <w:p w14:paraId="1D5CFF27">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"_Toc60173779" </w:instrText>
      </w:r>
      <w:r>
        <w:fldChar w:fldCharType="separate"/>
      </w:r>
      <w:r>
        <w:rPr>
          <w:rStyle w:val="45"/>
          <w:rFonts w:ascii="Times New Roman" w:hAnsi="Times New Roman" w:eastAsia="黑体" w:cs="Times New Roman"/>
        </w:rPr>
        <w:t>4.4  勘察报告</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_Toc60173779 \h </w:instrText>
      </w:r>
      <w:r>
        <w:rPr>
          <w:rFonts w:ascii="Times New Roman" w:hAnsi="Times New Roman" w:cs="Times New Roman"/>
        </w:rPr>
        <w:fldChar w:fldCharType="separate"/>
      </w:r>
      <w:r>
        <w:rPr>
          <w:rFonts w:ascii="Times New Roman" w:hAnsi="Times New Roman" w:cs="Times New Roman"/>
        </w:rPr>
        <w:t>9</w:t>
      </w:r>
      <w:r>
        <w:rPr>
          <w:rFonts w:ascii="Times New Roman" w:hAnsi="Times New Roman" w:cs="Times New Roman"/>
        </w:rPr>
        <w:fldChar w:fldCharType="end"/>
      </w:r>
      <w:r>
        <w:rPr>
          <w:rFonts w:ascii="Times New Roman" w:hAnsi="Times New Roman" w:cs="Times New Roman"/>
        </w:rPr>
        <w:fldChar w:fldCharType="end"/>
      </w:r>
    </w:p>
    <w:p w14:paraId="456D0DBB">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"_Toc60173780" </w:instrText>
      </w:r>
      <w:r>
        <w:fldChar w:fldCharType="separate"/>
      </w:r>
      <w:r>
        <w:rPr>
          <w:rStyle w:val="45"/>
          <w:rFonts w:ascii="Times New Roman" w:hAnsi="Times New Roman" w:eastAsia="黑体" w:cs="Times New Roman"/>
        </w:rPr>
        <w:t>4.5  地下管线和障碍物的探测</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_Toc60173780 \h </w:instrText>
      </w:r>
      <w:r>
        <w:rPr>
          <w:rFonts w:ascii="Times New Roman" w:hAnsi="Times New Roman" w:cs="Times New Roman"/>
        </w:rPr>
        <w:fldChar w:fldCharType="separate"/>
      </w:r>
      <w:r>
        <w:rPr>
          <w:rFonts w:ascii="Times New Roman" w:hAnsi="Times New Roman" w:cs="Times New Roman"/>
        </w:rPr>
        <w:t>10</w:t>
      </w:r>
      <w:r>
        <w:rPr>
          <w:rFonts w:ascii="Times New Roman" w:hAnsi="Times New Roman" w:cs="Times New Roman"/>
        </w:rPr>
        <w:fldChar w:fldCharType="end"/>
      </w:r>
      <w:r>
        <w:rPr>
          <w:rFonts w:ascii="Times New Roman" w:hAnsi="Times New Roman" w:cs="Times New Roman"/>
        </w:rPr>
        <w:fldChar w:fldCharType="end"/>
      </w:r>
    </w:p>
    <w:p w14:paraId="34DF97AF">
      <w:pPr>
        <w:pStyle w:val="26"/>
        <w:tabs>
          <w:tab w:val="right" w:leader="dot" w:pos="8296"/>
        </w:tabs>
        <w:rPr>
          <w:rFonts w:ascii="Times New Roman" w:hAnsi="Times New Roman" w:cs="Times New Roman" w:eastAsiaTheme="minorEastAsia"/>
          <w:b w:val="0"/>
          <w:bCs w:val="0"/>
          <w:caps w:val="0"/>
          <w:sz w:val="21"/>
          <w:szCs w:val="22"/>
        </w:rPr>
      </w:pPr>
      <w:r>
        <w:fldChar w:fldCharType="begin"/>
      </w:r>
      <w:r>
        <w:instrText xml:space="preserve"> HYPERLINK \l "_Toc60173781" </w:instrText>
      </w:r>
      <w:r>
        <w:fldChar w:fldCharType="separate"/>
      </w:r>
      <w:r>
        <w:rPr>
          <w:rStyle w:val="45"/>
          <w:rFonts w:ascii="Times New Roman" w:hAnsi="Times New Roman" w:cs="Times New Roman"/>
          <w:kern w:val="44"/>
        </w:rPr>
        <w:t>5  顶管设计</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_Toc60173781 \h </w:instrText>
      </w:r>
      <w:r>
        <w:rPr>
          <w:rFonts w:ascii="Times New Roman" w:hAnsi="Times New Roman" w:cs="Times New Roman"/>
        </w:rPr>
        <w:fldChar w:fldCharType="separate"/>
      </w:r>
      <w:r>
        <w:rPr>
          <w:rFonts w:ascii="Times New Roman" w:hAnsi="Times New Roman" w:cs="Times New Roman"/>
        </w:rPr>
        <w:t>12</w:t>
      </w:r>
      <w:r>
        <w:rPr>
          <w:rFonts w:ascii="Times New Roman" w:hAnsi="Times New Roman" w:cs="Times New Roman"/>
        </w:rPr>
        <w:fldChar w:fldCharType="end"/>
      </w:r>
      <w:r>
        <w:rPr>
          <w:rFonts w:ascii="Times New Roman" w:hAnsi="Times New Roman" w:cs="Times New Roman"/>
        </w:rPr>
        <w:fldChar w:fldCharType="end"/>
      </w:r>
    </w:p>
    <w:p w14:paraId="5D39EACD">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"_Toc60173782" </w:instrText>
      </w:r>
      <w:r>
        <w:fldChar w:fldCharType="separate"/>
      </w:r>
      <w:r>
        <w:rPr>
          <w:rStyle w:val="45"/>
          <w:rFonts w:ascii="Times New Roman" w:hAnsi="Times New Roman" w:eastAsia="黑体" w:cs="Times New Roman"/>
          <w:b/>
          <w:bCs/>
        </w:rPr>
        <w:t>5.1</w:t>
      </w:r>
      <w:r>
        <w:rPr>
          <w:rStyle w:val="45"/>
          <w:rFonts w:ascii="Times New Roman" w:hAnsi="Times New Roman" w:eastAsia="黑体" w:cs="Times New Roman"/>
          <w:bCs/>
        </w:rPr>
        <w:t xml:space="preserve">  一般规定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_Toc60173782 \h </w:instrText>
      </w:r>
      <w:r>
        <w:rPr>
          <w:rFonts w:ascii="Times New Roman" w:hAnsi="Times New Roman" w:cs="Times New Roman"/>
        </w:rPr>
        <w:fldChar w:fldCharType="separate"/>
      </w:r>
      <w:r>
        <w:rPr>
          <w:rFonts w:ascii="Times New Roman" w:hAnsi="Times New Roman" w:cs="Times New Roman"/>
        </w:rPr>
        <w:t>12</w:t>
      </w:r>
      <w:r>
        <w:rPr>
          <w:rFonts w:ascii="Times New Roman" w:hAnsi="Times New Roman" w:cs="Times New Roman"/>
        </w:rPr>
        <w:fldChar w:fldCharType="end"/>
      </w:r>
      <w:r>
        <w:rPr>
          <w:rFonts w:ascii="Times New Roman" w:hAnsi="Times New Roman" w:cs="Times New Roman"/>
        </w:rPr>
        <w:fldChar w:fldCharType="end"/>
      </w:r>
    </w:p>
    <w:p w14:paraId="322607AF">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"_Toc60173783" </w:instrText>
      </w:r>
      <w:r>
        <w:fldChar w:fldCharType="separate"/>
      </w:r>
      <w:r>
        <w:rPr>
          <w:rStyle w:val="45"/>
          <w:rFonts w:ascii="Times New Roman" w:hAnsi="Times New Roman" w:eastAsia="黑体" w:cs="Times New Roman"/>
          <w:b/>
          <w:bCs/>
        </w:rPr>
        <w:t>5.2</w:t>
      </w:r>
      <w:r>
        <w:rPr>
          <w:rStyle w:val="45"/>
          <w:rFonts w:ascii="Times New Roman" w:hAnsi="Times New Roman" w:eastAsia="黑体" w:cs="Times New Roman"/>
          <w:bCs/>
        </w:rPr>
        <w:t xml:space="preserve">  顶管管位设计</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_Toc60173783 \h </w:instrText>
      </w:r>
      <w:r>
        <w:rPr>
          <w:rFonts w:ascii="Times New Roman" w:hAnsi="Times New Roman" w:cs="Times New Roman"/>
        </w:rPr>
        <w:fldChar w:fldCharType="separate"/>
      </w:r>
      <w:r>
        <w:rPr>
          <w:rFonts w:ascii="Times New Roman" w:hAnsi="Times New Roman" w:cs="Times New Roman"/>
        </w:rPr>
        <w:t>13</w:t>
      </w:r>
      <w:r>
        <w:rPr>
          <w:rFonts w:ascii="Times New Roman" w:hAnsi="Times New Roman" w:cs="Times New Roman"/>
        </w:rPr>
        <w:fldChar w:fldCharType="end"/>
      </w:r>
      <w:r>
        <w:rPr>
          <w:rFonts w:ascii="Times New Roman" w:hAnsi="Times New Roman" w:cs="Times New Roman"/>
        </w:rPr>
        <w:fldChar w:fldCharType="end"/>
      </w:r>
    </w:p>
    <w:p w14:paraId="0E66DACB">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"_Toc60173784" </w:instrText>
      </w:r>
      <w:r>
        <w:fldChar w:fldCharType="separate"/>
      </w:r>
      <w:r>
        <w:rPr>
          <w:rStyle w:val="45"/>
          <w:rFonts w:ascii="Times New Roman" w:hAnsi="Times New Roman" w:eastAsia="黑体" w:cs="Times New Roman"/>
          <w:b/>
          <w:bCs/>
        </w:rPr>
        <w:t>5.3</w:t>
      </w:r>
      <w:r>
        <w:rPr>
          <w:rStyle w:val="45"/>
          <w:rFonts w:ascii="Times New Roman" w:hAnsi="Times New Roman" w:eastAsia="黑体" w:cs="Times New Roman"/>
          <w:bCs/>
        </w:rPr>
        <w:t xml:space="preserve">  作用</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_Toc60173784 \h </w:instrText>
      </w:r>
      <w:r>
        <w:rPr>
          <w:rFonts w:ascii="Times New Roman" w:hAnsi="Times New Roman" w:cs="Times New Roman"/>
        </w:rPr>
        <w:fldChar w:fldCharType="separate"/>
      </w:r>
      <w:r>
        <w:rPr>
          <w:rFonts w:ascii="Times New Roman" w:hAnsi="Times New Roman" w:cs="Times New Roman"/>
        </w:rPr>
        <w:t>13</w:t>
      </w:r>
      <w:r>
        <w:rPr>
          <w:rFonts w:ascii="Times New Roman" w:hAnsi="Times New Roman" w:cs="Times New Roman"/>
        </w:rPr>
        <w:fldChar w:fldCharType="end"/>
      </w:r>
      <w:r>
        <w:rPr>
          <w:rFonts w:ascii="Times New Roman" w:hAnsi="Times New Roman" w:cs="Times New Roman"/>
        </w:rPr>
        <w:fldChar w:fldCharType="end"/>
      </w:r>
    </w:p>
    <w:p w14:paraId="7C0B5090">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"_Toc60173785" </w:instrText>
      </w:r>
      <w:r>
        <w:fldChar w:fldCharType="separate"/>
      </w:r>
      <w:r>
        <w:rPr>
          <w:rStyle w:val="45"/>
          <w:rFonts w:ascii="Times New Roman" w:hAnsi="Times New Roman" w:eastAsia="黑体" w:cs="Times New Roman"/>
          <w:b/>
          <w:bCs/>
        </w:rPr>
        <w:t>5.4</w:t>
      </w:r>
      <w:r>
        <w:rPr>
          <w:rStyle w:val="45"/>
          <w:rFonts w:ascii="Times New Roman" w:hAnsi="Times New Roman" w:eastAsia="黑体" w:cs="Times New Roman"/>
          <w:bCs/>
        </w:rPr>
        <w:t xml:space="preserve">  管节结构设计</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_Toc60173785 \h </w:instrText>
      </w:r>
      <w:r>
        <w:rPr>
          <w:rFonts w:ascii="Times New Roman" w:hAnsi="Times New Roman" w:cs="Times New Roman"/>
        </w:rPr>
        <w:fldChar w:fldCharType="separate"/>
      </w:r>
      <w:r>
        <w:rPr>
          <w:rFonts w:ascii="Times New Roman" w:hAnsi="Times New Roman" w:cs="Times New Roman"/>
        </w:rPr>
        <w:t>15</w:t>
      </w:r>
      <w:r>
        <w:rPr>
          <w:rFonts w:ascii="Times New Roman" w:hAnsi="Times New Roman" w:cs="Times New Roman"/>
        </w:rPr>
        <w:fldChar w:fldCharType="end"/>
      </w:r>
      <w:r>
        <w:rPr>
          <w:rFonts w:ascii="Times New Roman" w:hAnsi="Times New Roman" w:cs="Times New Roman"/>
        </w:rPr>
        <w:fldChar w:fldCharType="end"/>
      </w:r>
    </w:p>
    <w:p w14:paraId="79232B8F">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"_Toc60173786" </w:instrText>
      </w:r>
      <w:r>
        <w:fldChar w:fldCharType="separate"/>
      </w:r>
      <w:r>
        <w:rPr>
          <w:rStyle w:val="45"/>
          <w:rFonts w:ascii="Times New Roman" w:hAnsi="Times New Roman" w:eastAsia="黑体" w:cs="Times New Roman"/>
          <w:b/>
          <w:bCs/>
        </w:rPr>
        <w:t>5.5</w:t>
      </w:r>
      <w:r>
        <w:rPr>
          <w:rStyle w:val="45"/>
          <w:rFonts w:ascii="Times New Roman" w:hAnsi="Times New Roman" w:eastAsia="黑体" w:cs="Times New Roman"/>
          <w:bCs/>
        </w:rPr>
        <w:t xml:space="preserve">  管节构造设计</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_Toc60173786 \h </w:instrText>
      </w:r>
      <w:r>
        <w:rPr>
          <w:rFonts w:ascii="Times New Roman" w:hAnsi="Times New Roman" w:cs="Times New Roman"/>
        </w:rPr>
        <w:fldChar w:fldCharType="separate"/>
      </w:r>
      <w:r>
        <w:rPr>
          <w:rFonts w:ascii="Times New Roman" w:hAnsi="Times New Roman" w:cs="Times New Roman"/>
        </w:rPr>
        <w:t>17</w:t>
      </w:r>
      <w:r>
        <w:rPr>
          <w:rFonts w:ascii="Times New Roman" w:hAnsi="Times New Roman" w:cs="Times New Roman"/>
        </w:rPr>
        <w:fldChar w:fldCharType="end"/>
      </w:r>
      <w:r>
        <w:rPr>
          <w:rFonts w:ascii="Times New Roman" w:hAnsi="Times New Roman" w:cs="Times New Roman"/>
        </w:rPr>
        <w:fldChar w:fldCharType="end"/>
      </w:r>
    </w:p>
    <w:p w14:paraId="297B00E4">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"_Toc60173787" </w:instrText>
      </w:r>
      <w:r>
        <w:fldChar w:fldCharType="separate"/>
      </w:r>
      <w:r>
        <w:rPr>
          <w:rStyle w:val="45"/>
          <w:rFonts w:ascii="Times New Roman" w:hAnsi="Times New Roman" w:eastAsia="黑体" w:cs="Times New Roman"/>
          <w:b/>
          <w:bCs/>
        </w:rPr>
        <w:t>5.6</w:t>
      </w:r>
      <w:r>
        <w:rPr>
          <w:rStyle w:val="45"/>
          <w:rFonts w:ascii="Times New Roman" w:hAnsi="Times New Roman" w:eastAsia="黑体" w:cs="Times New Roman"/>
          <w:bCs/>
        </w:rPr>
        <w:t xml:space="preserve">  顶管总顶力计算与中继间设置原则</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_Toc60173787 \h </w:instrText>
      </w:r>
      <w:r>
        <w:rPr>
          <w:rFonts w:ascii="Times New Roman" w:hAnsi="Times New Roman" w:cs="Times New Roman"/>
        </w:rPr>
        <w:fldChar w:fldCharType="separate"/>
      </w:r>
      <w:r>
        <w:rPr>
          <w:rFonts w:ascii="Times New Roman" w:hAnsi="Times New Roman" w:cs="Times New Roman"/>
        </w:rPr>
        <w:t>18</w:t>
      </w:r>
      <w:r>
        <w:rPr>
          <w:rFonts w:ascii="Times New Roman" w:hAnsi="Times New Roman" w:cs="Times New Roman"/>
        </w:rPr>
        <w:fldChar w:fldCharType="end"/>
      </w:r>
      <w:r>
        <w:rPr>
          <w:rFonts w:ascii="Times New Roman" w:hAnsi="Times New Roman" w:cs="Times New Roman"/>
        </w:rPr>
        <w:fldChar w:fldCharType="end"/>
      </w:r>
    </w:p>
    <w:p w14:paraId="03B347CB">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"_Toc60173788" </w:instrText>
      </w:r>
      <w:r>
        <w:fldChar w:fldCharType="separate"/>
      </w:r>
      <w:r>
        <w:rPr>
          <w:rStyle w:val="45"/>
          <w:rFonts w:ascii="Times New Roman" w:hAnsi="Times New Roman" w:eastAsia="黑体" w:cs="Times New Roman"/>
          <w:b/>
          <w:bCs/>
        </w:rPr>
        <w:t>5.7</w:t>
      </w:r>
      <w:r>
        <w:rPr>
          <w:rStyle w:val="45"/>
          <w:rFonts w:ascii="Times New Roman" w:hAnsi="Times New Roman" w:eastAsia="黑体" w:cs="Times New Roman"/>
          <w:bCs/>
        </w:rPr>
        <w:t xml:space="preserve">  工作井设计</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_Toc60173788 \h </w:instrText>
      </w:r>
      <w:r>
        <w:rPr>
          <w:rFonts w:ascii="Times New Roman" w:hAnsi="Times New Roman" w:cs="Times New Roman"/>
        </w:rPr>
        <w:fldChar w:fldCharType="separate"/>
      </w:r>
      <w:r>
        <w:rPr>
          <w:rFonts w:ascii="Times New Roman" w:hAnsi="Times New Roman" w:cs="Times New Roman"/>
        </w:rPr>
        <w:t>20</w:t>
      </w:r>
      <w:r>
        <w:rPr>
          <w:rFonts w:ascii="Times New Roman" w:hAnsi="Times New Roman" w:cs="Times New Roman"/>
        </w:rPr>
        <w:fldChar w:fldCharType="end"/>
      </w:r>
      <w:r>
        <w:rPr>
          <w:rFonts w:ascii="Times New Roman" w:hAnsi="Times New Roman" w:cs="Times New Roman"/>
        </w:rPr>
        <w:fldChar w:fldCharType="end"/>
      </w:r>
    </w:p>
    <w:p w14:paraId="195891CD">
      <w:pPr>
        <w:pStyle w:val="26"/>
        <w:tabs>
          <w:tab w:val="right" w:leader="dot" w:pos="8296"/>
        </w:tabs>
        <w:rPr>
          <w:rFonts w:ascii="Times New Roman" w:hAnsi="Times New Roman" w:cs="Times New Roman" w:eastAsiaTheme="minorEastAsia"/>
          <w:b w:val="0"/>
          <w:bCs w:val="0"/>
          <w:caps w:val="0"/>
          <w:sz w:val="21"/>
          <w:szCs w:val="22"/>
        </w:rPr>
      </w:pPr>
      <w:r>
        <w:fldChar w:fldCharType="begin"/>
      </w:r>
      <w:r>
        <w:instrText xml:space="preserve"> HYPERLINK \l "_Toc60173789" </w:instrText>
      </w:r>
      <w:r>
        <w:fldChar w:fldCharType="separate"/>
      </w:r>
      <w:r>
        <w:rPr>
          <w:rStyle w:val="45"/>
          <w:rFonts w:ascii="Times New Roman" w:hAnsi="Times New Roman" w:cs="Times New Roman"/>
          <w:kern w:val="44"/>
        </w:rPr>
        <w:t>6  管节制作</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_Toc60173789 \h </w:instrText>
      </w:r>
      <w:r>
        <w:rPr>
          <w:rFonts w:ascii="Times New Roman" w:hAnsi="Times New Roman" w:cs="Times New Roman"/>
        </w:rPr>
        <w:fldChar w:fldCharType="separate"/>
      </w:r>
      <w:r>
        <w:rPr>
          <w:rFonts w:ascii="Times New Roman" w:hAnsi="Times New Roman" w:cs="Times New Roman"/>
        </w:rPr>
        <w:t>25</w:t>
      </w:r>
      <w:r>
        <w:rPr>
          <w:rFonts w:ascii="Times New Roman" w:hAnsi="Times New Roman" w:cs="Times New Roman"/>
        </w:rPr>
        <w:fldChar w:fldCharType="end"/>
      </w:r>
      <w:r>
        <w:rPr>
          <w:rFonts w:ascii="Times New Roman" w:hAnsi="Times New Roman" w:cs="Times New Roman"/>
        </w:rPr>
        <w:fldChar w:fldCharType="end"/>
      </w:r>
    </w:p>
    <w:p w14:paraId="4E7A04BD">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"_Toc60173790" </w:instrText>
      </w:r>
      <w:r>
        <w:fldChar w:fldCharType="separate"/>
      </w:r>
      <w:r>
        <w:rPr>
          <w:rStyle w:val="45"/>
          <w:rFonts w:ascii="Times New Roman" w:hAnsi="Times New Roman" w:eastAsia="黑体" w:cs="Times New Roman"/>
          <w:b/>
          <w:bCs/>
        </w:rPr>
        <w:t>6.1</w:t>
      </w:r>
      <w:r>
        <w:rPr>
          <w:rStyle w:val="45"/>
          <w:rFonts w:ascii="Times New Roman" w:hAnsi="Times New Roman" w:eastAsia="黑体" w:cs="Times New Roman"/>
          <w:bCs/>
        </w:rPr>
        <w:t xml:space="preserve">  一般规定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_Toc60173790 \h </w:instrText>
      </w:r>
      <w:r>
        <w:rPr>
          <w:rFonts w:ascii="Times New Roman" w:hAnsi="Times New Roman" w:cs="Times New Roman"/>
        </w:rPr>
        <w:fldChar w:fldCharType="separate"/>
      </w:r>
      <w:r>
        <w:rPr>
          <w:rFonts w:ascii="Times New Roman" w:hAnsi="Times New Roman" w:cs="Times New Roman"/>
        </w:rPr>
        <w:t>25</w:t>
      </w:r>
      <w:r>
        <w:rPr>
          <w:rFonts w:ascii="Times New Roman" w:hAnsi="Times New Roman" w:cs="Times New Roman"/>
        </w:rPr>
        <w:fldChar w:fldCharType="end"/>
      </w:r>
      <w:r>
        <w:rPr>
          <w:rFonts w:ascii="Times New Roman" w:hAnsi="Times New Roman" w:cs="Times New Roman"/>
        </w:rPr>
        <w:fldChar w:fldCharType="end"/>
      </w:r>
    </w:p>
    <w:p w14:paraId="4E9939C2">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"_Toc60173791" </w:instrText>
      </w:r>
      <w:r>
        <w:fldChar w:fldCharType="separate"/>
      </w:r>
      <w:r>
        <w:rPr>
          <w:rStyle w:val="45"/>
          <w:rFonts w:ascii="Times New Roman" w:hAnsi="Times New Roman" w:eastAsia="黑体" w:cs="Times New Roman"/>
          <w:b/>
          <w:bCs/>
        </w:rPr>
        <w:t>6.2</w:t>
      </w:r>
      <w:r>
        <w:rPr>
          <w:rStyle w:val="45"/>
          <w:rFonts w:ascii="Times New Roman" w:hAnsi="Times New Roman" w:eastAsia="黑体" w:cs="Times New Roman"/>
          <w:bCs/>
        </w:rPr>
        <w:t xml:space="preserve">  材料性能</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_Toc60173791 \h </w:instrText>
      </w:r>
      <w:r>
        <w:rPr>
          <w:rFonts w:ascii="Times New Roman" w:hAnsi="Times New Roman" w:cs="Times New Roman"/>
        </w:rPr>
        <w:fldChar w:fldCharType="separate"/>
      </w:r>
      <w:r>
        <w:rPr>
          <w:rFonts w:ascii="Times New Roman" w:hAnsi="Times New Roman" w:cs="Times New Roman"/>
        </w:rPr>
        <w:t>25</w:t>
      </w:r>
      <w:r>
        <w:rPr>
          <w:rFonts w:ascii="Times New Roman" w:hAnsi="Times New Roman" w:cs="Times New Roman"/>
        </w:rPr>
        <w:fldChar w:fldCharType="end"/>
      </w:r>
      <w:r>
        <w:rPr>
          <w:rFonts w:ascii="Times New Roman" w:hAnsi="Times New Roman" w:cs="Times New Roman"/>
        </w:rPr>
        <w:fldChar w:fldCharType="end"/>
      </w:r>
    </w:p>
    <w:p w14:paraId="62C9503C">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"_Toc60173792" </w:instrText>
      </w:r>
      <w:r>
        <w:fldChar w:fldCharType="separate"/>
      </w:r>
      <w:r>
        <w:rPr>
          <w:rStyle w:val="45"/>
          <w:rFonts w:ascii="Times New Roman" w:hAnsi="Times New Roman" w:eastAsia="黑体" w:cs="Times New Roman"/>
          <w:b/>
          <w:bCs/>
        </w:rPr>
        <w:t>6.3</w:t>
      </w:r>
      <w:r>
        <w:rPr>
          <w:rStyle w:val="45"/>
          <w:rFonts w:ascii="Times New Roman" w:hAnsi="Times New Roman" w:eastAsia="黑体" w:cs="Times New Roman"/>
          <w:bCs/>
        </w:rPr>
        <w:t xml:space="preserve">  接头构造</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_Toc60173792 \h </w:instrText>
      </w:r>
      <w:r>
        <w:rPr>
          <w:rFonts w:ascii="Times New Roman" w:hAnsi="Times New Roman" w:cs="Times New Roman"/>
        </w:rPr>
        <w:fldChar w:fldCharType="separate"/>
      </w:r>
      <w:r>
        <w:rPr>
          <w:rFonts w:ascii="Times New Roman" w:hAnsi="Times New Roman" w:cs="Times New Roman"/>
        </w:rPr>
        <w:t>28</w:t>
      </w:r>
      <w:r>
        <w:rPr>
          <w:rFonts w:ascii="Times New Roman" w:hAnsi="Times New Roman" w:cs="Times New Roman"/>
        </w:rPr>
        <w:fldChar w:fldCharType="end"/>
      </w:r>
      <w:r>
        <w:rPr>
          <w:rFonts w:ascii="Times New Roman" w:hAnsi="Times New Roman" w:cs="Times New Roman"/>
        </w:rPr>
        <w:fldChar w:fldCharType="end"/>
      </w:r>
    </w:p>
    <w:p w14:paraId="7C1BC0B9">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"_Toc60173793" </w:instrText>
      </w:r>
      <w:r>
        <w:fldChar w:fldCharType="separate"/>
      </w:r>
      <w:r>
        <w:rPr>
          <w:rStyle w:val="45"/>
          <w:rFonts w:ascii="Times New Roman" w:hAnsi="Times New Roman" w:eastAsia="黑体" w:cs="Times New Roman"/>
          <w:b/>
          <w:bCs/>
        </w:rPr>
        <w:t>6.4</w:t>
      </w:r>
      <w:r>
        <w:rPr>
          <w:rStyle w:val="45"/>
          <w:rFonts w:ascii="Times New Roman" w:hAnsi="Times New Roman" w:eastAsia="黑体" w:cs="Times New Roman"/>
          <w:bCs/>
        </w:rPr>
        <w:t xml:space="preserve">  管节防腐</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_Toc60173793 \h </w:instrText>
      </w:r>
      <w:r>
        <w:rPr>
          <w:rFonts w:ascii="Times New Roman" w:hAnsi="Times New Roman" w:cs="Times New Roman"/>
        </w:rPr>
        <w:fldChar w:fldCharType="separate"/>
      </w:r>
      <w:r>
        <w:rPr>
          <w:rFonts w:ascii="Times New Roman" w:hAnsi="Times New Roman" w:cs="Times New Roman"/>
        </w:rPr>
        <w:t>33</w:t>
      </w:r>
      <w:r>
        <w:rPr>
          <w:rFonts w:ascii="Times New Roman" w:hAnsi="Times New Roman" w:cs="Times New Roman"/>
        </w:rPr>
        <w:fldChar w:fldCharType="end"/>
      </w:r>
      <w:r>
        <w:rPr>
          <w:rFonts w:ascii="Times New Roman" w:hAnsi="Times New Roman" w:cs="Times New Roman"/>
        </w:rPr>
        <w:fldChar w:fldCharType="end"/>
      </w:r>
    </w:p>
    <w:p w14:paraId="456FC961">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"_Toc60173794" </w:instrText>
      </w:r>
      <w:r>
        <w:fldChar w:fldCharType="separate"/>
      </w:r>
      <w:r>
        <w:rPr>
          <w:rStyle w:val="45"/>
          <w:rFonts w:ascii="Times New Roman" w:hAnsi="Times New Roman" w:eastAsia="黑体" w:cs="Times New Roman"/>
          <w:b/>
          <w:bCs/>
        </w:rPr>
        <w:t>6.5</w:t>
      </w:r>
      <w:r>
        <w:rPr>
          <w:rStyle w:val="45"/>
          <w:rFonts w:ascii="Times New Roman" w:hAnsi="Times New Roman" w:eastAsia="黑体" w:cs="Times New Roman"/>
          <w:bCs/>
        </w:rPr>
        <w:t xml:space="preserve">  管节预制</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_Toc60173794 \h </w:instrText>
      </w:r>
      <w:r>
        <w:rPr>
          <w:rFonts w:ascii="Times New Roman" w:hAnsi="Times New Roman" w:cs="Times New Roman"/>
        </w:rPr>
        <w:fldChar w:fldCharType="separate"/>
      </w:r>
      <w:r>
        <w:rPr>
          <w:rFonts w:ascii="Times New Roman" w:hAnsi="Times New Roman" w:cs="Times New Roman"/>
        </w:rPr>
        <w:t>34</w:t>
      </w:r>
      <w:r>
        <w:rPr>
          <w:rFonts w:ascii="Times New Roman" w:hAnsi="Times New Roman" w:cs="Times New Roman"/>
        </w:rPr>
        <w:fldChar w:fldCharType="end"/>
      </w:r>
      <w:r>
        <w:rPr>
          <w:rFonts w:ascii="Times New Roman" w:hAnsi="Times New Roman" w:cs="Times New Roman"/>
        </w:rPr>
        <w:fldChar w:fldCharType="end"/>
      </w:r>
    </w:p>
    <w:p w14:paraId="71C5DA0A">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"_Toc60173795" </w:instrText>
      </w:r>
      <w:r>
        <w:fldChar w:fldCharType="separate"/>
      </w:r>
      <w:r>
        <w:rPr>
          <w:rStyle w:val="45"/>
          <w:rFonts w:ascii="Times New Roman" w:hAnsi="Times New Roman" w:eastAsia="黑体" w:cs="Times New Roman"/>
          <w:b/>
          <w:bCs/>
        </w:rPr>
        <w:t>6.6</w:t>
      </w:r>
      <w:r>
        <w:rPr>
          <w:rStyle w:val="45"/>
          <w:rFonts w:ascii="Times New Roman" w:hAnsi="Times New Roman" w:eastAsia="黑体" w:cs="Times New Roman"/>
          <w:bCs/>
        </w:rPr>
        <w:t xml:space="preserve">  管节标识、堆放、吊装和运输</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_Toc60173795 \h </w:instrText>
      </w:r>
      <w:r>
        <w:rPr>
          <w:rFonts w:ascii="Times New Roman" w:hAnsi="Times New Roman" w:cs="Times New Roman"/>
        </w:rPr>
        <w:fldChar w:fldCharType="separate"/>
      </w:r>
      <w:r>
        <w:rPr>
          <w:rFonts w:ascii="Times New Roman" w:hAnsi="Times New Roman" w:cs="Times New Roman"/>
        </w:rPr>
        <w:t>35</w:t>
      </w:r>
      <w:r>
        <w:rPr>
          <w:rFonts w:ascii="Times New Roman" w:hAnsi="Times New Roman" w:cs="Times New Roman"/>
        </w:rPr>
        <w:fldChar w:fldCharType="end"/>
      </w:r>
      <w:r>
        <w:rPr>
          <w:rFonts w:ascii="Times New Roman" w:hAnsi="Times New Roman" w:cs="Times New Roman"/>
        </w:rPr>
        <w:fldChar w:fldCharType="end"/>
      </w:r>
    </w:p>
    <w:p w14:paraId="2EE045B8">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"_Toc60173796" </w:instrText>
      </w:r>
      <w:r>
        <w:fldChar w:fldCharType="separate"/>
      </w:r>
      <w:r>
        <w:rPr>
          <w:rStyle w:val="45"/>
          <w:rFonts w:ascii="Times New Roman" w:hAnsi="Times New Roman" w:eastAsia="黑体" w:cs="Times New Roman"/>
          <w:b/>
          <w:bCs/>
        </w:rPr>
        <w:t>6.7</w:t>
      </w:r>
      <w:r>
        <w:rPr>
          <w:rStyle w:val="45"/>
          <w:rFonts w:ascii="Times New Roman" w:hAnsi="Times New Roman" w:eastAsia="黑体" w:cs="Times New Roman"/>
          <w:bCs/>
        </w:rPr>
        <w:t xml:space="preserve">  管节质量控制</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_Toc60173796 \h </w:instrText>
      </w:r>
      <w:r>
        <w:rPr>
          <w:rFonts w:ascii="Times New Roman" w:hAnsi="Times New Roman" w:cs="Times New Roman"/>
        </w:rPr>
        <w:fldChar w:fldCharType="separate"/>
      </w:r>
      <w:r>
        <w:rPr>
          <w:rFonts w:ascii="Times New Roman" w:hAnsi="Times New Roman" w:cs="Times New Roman"/>
        </w:rPr>
        <w:t>36</w:t>
      </w:r>
      <w:r>
        <w:rPr>
          <w:rFonts w:ascii="Times New Roman" w:hAnsi="Times New Roman" w:cs="Times New Roman"/>
        </w:rPr>
        <w:fldChar w:fldCharType="end"/>
      </w:r>
      <w:r>
        <w:rPr>
          <w:rFonts w:ascii="Times New Roman" w:hAnsi="Times New Roman" w:cs="Times New Roman"/>
        </w:rPr>
        <w:fldChar w:fldCharType="end"/>
      </w:r>
    </w:p>
    <w:p w14:paraId="1006DE89">
      <w:pPr>
        <w:pStyle w:val="26"/>
        <w:tabs>
          <w:tab w:val="right" w:leader="dot" w:pos="8296"/>
        </w:tabs>
        <w:rPr>
          <w:rFonts w:ascii="Times New Roman" w:hAnsi="Times New Roman" w:cs="Times New Roman" w:eastAsiaTheme="minorEastAsia"/>
          <w:b w:val="0"/>
          <w:bCs w:val="0"/>
          <w:caps w:val="0"/>
          <w:sz w:val="21"/>
          <w:szCs w:val="22"/>
        </w:rPr>
      </w:pPr>
      <w:r>
        <w:fldChar w:fldCharType="begin"/>
      </w:r>
      <w:r>
        <w:instrText xml:space="preserve"> HYPERLINK \l "_Toc60173797" </w:instrText>
      </w:r>
      <w:r>
        <w:fldChar w:fldCharType="separate"/>
      </w:r>
      <w:r>
        <w:rPr>
          <w:rStyle w:val="45"/>
          <w:rFonts w:ascii="Times New Roman" w:hAnsi="Times New Roman" w:cs="Times New Roman"/>
        </w:rPr>
        <w:t>7  工作井施工</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_Toc60173797 \h </w:instrText>
      </w:r>
      <w:r>
        <w:rPr>
          <w:rFonts w:ascii="Times New Roman" w:hAnsi="Times New Roman" w:cs="Times New Roman"/>
        </w:rPr>
        <w:fldChar w:fldCharType="separate"/>
      </w:r>
      <w:r>
        <w:rPr>
          <w:rFonts w:ascii="Times New Roman" w:hAnsi="Times New Roman" w:cs="Times New Roman"/>
        </w:rPr>
        <w:t>40</w:t>
      </w:r>
      <w:r>
        <w:rPr>
          <w:rFonts w:ascii="Times New Roman" w:hAnsi="Times New Roman" w:cs="Times New Roman"/>
        </w:rPr>
        <w:fldChar w:fldCharType="end"/>
      </w:r>
      <w:r>
        <w:rPr>
          <w:rFonts w:ascii="Times New Roman" w:hAnsi="Times New Roman" w:cs="Times New Roman"/>
        </w:rPr>
        <w:fldChar w:fldCharType="end"/>
      </w:r>
    </w:p>
    <w:p w14:paraId="4ADEE54D">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"_Toc60173798" </w:instrText>
      </w:r>
      <w:r>
        <w:fldChar w:fldCharType="separate"/>
      </w:r>
      <w:r>
        <w:rPr>
          <w:rStyle w:val="45"/>
          <w:rFonts w:ascii="Times New Roman" w:hAnsi="Times New Roman" w:eastAsia="黑体" w:cs="Times New Roman"/>
        </w:rPr>
        <w:t>7.1  一般规定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_Toc60173798 \h </w:instrText>
      </w:r>
      <w:r>
        <w:rPr>
          <w:rFonts w:ascii="Times New Roman" w:hAnsi="Times New Roman" w:cs="Times New Roman"/>
        </w:rPr>
        <w:fldChar w:fldCharType="separate"/>
      </w:r>
      <w:r>
        <w:rPr>
          <w:rFonts w:ascii="Times New Roman" w:hAnsi="Times New Roman" w:cs="Times New Roman"/>
        </w:rPr>
        <w:t>40</w:t>
      </w:r>
      <w:r>
        <w:rPr>
          <w:rFonts w:ascii="Times New Roman" w:hAnsi="Times New Roman" w:cs="Times New Roman"/>
        </w:rPr>
        <w:fldChar w:fldCharType="end"/>
      </w:r>
      <w:r>
        <w:rPr>
          <w:rFonts w:ascii="Times New Roman" w:hAnsi="Times New Roman" w:cs="Times New Roman"/>
        </w:rPr>
        <w:fldChar w:fldCharType="end"/>
      </w:r>
    </w:p>
    <w:p w14:paraId="79A5729A">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"_Toc60173799" </w:instrText>
      </w:r>
      <w:r>
        <w:fldChar w:fldCharType="separate"/>
      </w:r>
      <w:r>
        <w:rPr>
          <w:rStyle w:val="45"/>
          <w:rFonts w:ascii="Times New Roman" w:hAnsi="Times New Roman" w:eastAsia="黑体" w:cs="Times New Roman"/>
        </w:rPr>
        <w:t>7.2  土体加固</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_Toc60173799 \h </w:instrText>
      </w:r>
      <w:r>
        <w:rPr>
          <w:rFonts w:ascii="Times New Roman" w:hAnsi="Times New Roman" w:cs="Times New Roman"/>
        </w:rPr>
        <w:fldChar w:fldCharType="separate"/>
      </w:r>
      <w:r>
        <w:rPr>
          <w:rFonts w:ascii="Times New Roman" w:hAnsi="Times New Roman" w:cs="Times New Roman"/>
        </w:rPr>
        <w:t>40</w:t>
      </w:r>
      <w:r>
        <w:rPr>
          <w:rFonts w:ascii="Times New Roman" w:hAnsi="Times New Roman" w:cs="Times New Roman"/>
        </w:rPr>
        <w:fldChar w:fldCharType="end"/>
      </w:r>
      <w:r>
        <w:rPr>
          <w:rFonts w:ascii="Times New Roman" w:hAnsi="Times New Roman" w:cs="Times New Roman"/>
        </w:rPr>
        <w:fldChar w:fldCharType="end"/>
      </w:r>
    </w:p>
    <w:p w14:paraId="00EEDDB5">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"_Toc60173800" </w:instrText>
      </w:r>
      <w:r>
        <w:fldChar w:fldCharType="separate"/>
      </w:r>
      <w:r>
        <w:rPr>
          <w:rStyle w:val="45"/>
          <w:rFonts w:ascii="Times New Roman" w:hAnsi="Times New Roman" w:eastAsia="黑体" w:cs="Times New Roman"/>
        </w:rPr>
        <w:t>7.3  工作井质量控制</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_Toc60173800 \h </w:instrText>
      </w:r>
      <w:r>
        <w:rPr>
          <w:rFonts w:ascii="Times New Roman" w:hAnsi="Times New Roman" w:cs="Times New Roman"/>
        </w:rPr>
        <w:fldChar w:fldCharType="separate"/>
      </w:r>
      <w:r>
        <w:rPr>
          <w:rFonts w:ascii="Times New Roman" w:hAnsi="Times New Roman" w:cs="Times New Roman"/>
        </w:rPr>
        <w:t>41</w:t>
      </w:r>
      <w:r>
        <w:rPr>
          <w:rFonts w:ascii="Times New Roman" w:hAnsi="Times New Roman" w:cs="Times New Roman"/>
        </w:rPr>
        <w:fldChar w:fldCharType="end"/>
      </w:r>
      <w:r>
        <w:rPr>
          <w:rFonts w:ascii="Times New Roman" w:hAnsi="Times New Roman" w:cs="Times New Roman"/>
        </w:rPr>
        <w:fldChar w:fldCharType="end"/>
      </w:r>
    </w:p>
    <w:p w14:paraId="4843D42A">
      <w:pPr>
        <w:pStyle w:val="26"/>
        <w:tabs>
          <w:tab w:val="right" w:leader="dot" w:pos="8296"/>
        </w:tabs>
        <w:rPr>
          <w:rFonts w:ascii="Times New Roman" w:hAnsi="Times New Roman" w:cs="Times New Roman" w:eastAsiaTheme="minorEastAsia"/>
          <w:b w:val="0"/>
          <w:bCs w:val="0"/>
          <w:caps w:val="0"/>
          <w:sz w:val="21"/>
          <w:szCs w:val="22"/>
        </w:rPr>
      </w:pPr>
      <w:r>
        <w:fldChar w:fldCharType="begin"/>
      </w:r>
      <w:r>
        <w:instrText xml:space="preserve"> HYPERLINK \l "_Toc60173801" </w:instrText>
      </w:r>
      <w:r>
        <w:fldChar w:fldCharType="separate"/>
      </w:r>
      <w:r>
        <w:rPr>
          <w:rStyle w:val="45"/>
          <w:rFonts w:ascii="Times New Roman" w:hAnsi="Times New Roman" w:cs="Times New Roman"/>
        </w:rPr>
        <w:t>8  顶管设备及安装</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_Toc60173801 \h </w:instrText>
      </w:r>
      <w:r>
        <w:rPr>
          <w:rFonts w:ascii="Times New Roman" w:hAnsi="Times New Roman" w:cs="Times New Roman"/>
        </w:rPr>
        <w:fldChar w:fldCharType="separate"/>
      </w:r>
      <w:r>
        <w:rPr>
          <w:rFonts w:ascii="Times New Roman" w:hAnsi="Times New Roman" w:cs="Times New Roman"/>
        </w:rPr>
        <w:t>44</w:t>
      </w:r>
      <w:r>
        <w:rPr>
          <w:rFonts w:ascii="Times New Roman" w:hAnsi="Times New Roman" w:cs="Times New Roman"/>
        </w:rPr>
        <w:fldChar w:fldCharType="end"/>
      </w:r>
      <w:r>
        <w:rPr>
          <w:rFonts w:ascii="Times New Roman" w:hAnsi="Times New Roman" w:cs="Times New Roman"/>
        </w:rPr>
        <w:fldChar w:fldCharType="end"/>
      </w:r>
    </w:p>
    <w:p w14:paraId="365E505B">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"_Toc60173802" </w:instrText>
      </w:r>
      <w:r>
        <w:fldChar w:fldCharType="separate"/>
      </w:r>
      <w:r>
        <w:rPr>
          <w:rStyle w:val="45"/>
          <w:rFonts w:ascii="Times New Roman" w:hAnsi="Times New Roman" w:eastAsia="黑体" w:cs="Times New Roman"/>
        </w:rPr>
        <w:t>8.1  一般规定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_Toc60173802 \h </w:instrText>
      </w:r>
      <w:r>
        <w:rPr>
          <w:rFonts w:ascii="Times New Roman" w:hAnsi="Times New Roman" w:cs="Times New Roman"/>
        </w:rPr>
        <w:fldChar w:fldCharType="separate"/>
      </w:r>
      <w:r>
        <w:rPr>
          <w:rFonts w:ascii="Times New Roman" w:hAnsi="Times New Roman" w:cs="Times New Roman"/>
        </w:rPr>
        <w:t>44</w:t>
      </w:r>
      <w:r>
        <w:rPr>
          <w:rFonts w:ascii="Times New Roman" w:hAnsi="Times New Roman" w:cs="Times New Roman"/>
        </w:rPr>
        <w:fldChar w:fldCharType="end"/>
      </w:r>
      <w:r>
        <w:rPr>
          <w:rFonts w:ascii="Times New Roman" w:hAnsi="Times New Roman" w:cs="Times New Roman"/>
        </w:rPr>
        <w:fldChar w:fldCharType="end"/>
      </w:r>
    </w:p>
    <w:p w14:paraId="2553C131">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"_Toc60173803" </w:instrText>
      </w:r>
      <w:r>
        <w:fldChar w:fldCharType="separate"/>
      </w:r>
      <w:r>
        <w:rPr>
          <w:rStyle w:val="45"/>
          <w:rFonts w:ascii="Times New Roman" w:hAnsi="Times New Roman" w:eastAsia="黑体" w:cs="Times New Roman"/>
        </w:rPr>
        <w:t>8.2  矩形顶管机设计原则与选型</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_Toc60173803 \h </w:instrText>
      </w:r>
      <w:r>
        <w:rPr>
          <w:rFonts w:ascii="Times New Roman" w:hAnsi="Times New Roman" w:cs="Times New Roman"/>
        </w:rPr>
        <w:fldChar w:fldCharType="separate"/>
      </w:r>
      <w:r>
        <w:rPr>
          <w:rFonts w:ascii="Times New Roman" w:hAnsi="Times New Roman" w:cs="Times New Roman"/>
        </w:rPr>
        <w:t>44</w:t>
      </w:r>
      <w:r>
        <w:rPr>
          <w:rFonts w:ascii="Times New Roman" w:hAnsi="Times New Roman" w:cs="Times New Roman"/>
        </w:rPr>
        <w:fldChar w:fldCharType="end"/>
      </w:r>
      <w:r>
        <w:rPr>
          <w:rFonts w:ascii="Times New Roman" w:hAnsi="Times New Roman" w:cs="Times New Roman"/>
        </w:rPr>
        <w:fldChar w:fldCharType="end"/>
      </w:r>
    </w:p>
    <w:p w14:paraId="706C40DC">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"_Toc60173804" </w:instrText>
      </w:r>
      <w:r>
        <w:fldChar w:fldCharType="separate"/>
      </w:r>
      <w:r>
        <w:rPr>
          <w:rStyle w:val="45"/>
          <w:rFonts w:ascii="Times New Roman" w:hAnsi="Times New Roman" w:eastAsia="黑体" w:cs="Times New Roman"/>
        </w:rPr>
        <w:t>8.3  顶推系统及安装</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_Toc60173804 \h </w:instrText>
      </w:r>
      <w:r>
        <w:rPr>
          <w:rFonts w:ascii="Times New Roman" w:hAnsi="Times New Roman" w:cs="Times New Roman"/>
        </w:rPr>
        <w:fldChar w:fldCharType="separate"/>
      </w:r>
      <w:r>
        <w:rPr>
          <w:rFonts w:ascii="Times New Roman" w:hAnsi="Times New Roman" w:cs="Times New Roman"/>
        </w:rPr>
        <w:t>46</w:t>
      </w:r>
      <w:r>
        <w:rPr>
          <w:rFonts w:ascii="Times New Roman" w:hAnsi="Times New Roman" w:cs="Times New Roman"/>
        </w:rPr>
        <w:fldChar w:fldCharType="end"/>
      </w:r>
      <w:r>
        <w:rPr>
          <w:rFonts w:ascii="Times New Roman" w:hAnsi="Times New Roman" w:cs="Times New Roman"/>
        </w:rPr>
        <w:fldChar w:fldCharType="end"/>
      </w:r>
    </w:p>
    <w:p w14:paraId="458409EF">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"_Toc60173805" </w:instrText>
      </w:r>
      <w:r>
        <w:fldChar w:fldCharType="separate"/>
      </w:r>
      <w:r>
        <w:rPr>
          <w:rStyle w:val="45"/>
          <w:rFonts w:ascii="Times New Roman" w:hAnsi="Times New Roman" w:eastAsia="黑体" w:cs="Times New Roman"/>
        </w:rPr>
        <w:t>8.4  导轨选择与安装</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_Toc60173805 \h </w:instrText>
      </w:r>
      <w:r>
        <w:rPr>
          <w:rFonts w:ascii="Times New Roman" w:hAnsi="Times New Roman" w:cs="Times New Roman"/>
        </w:rPr>
        <w:fldChar w:fldCharType="separate"/>
      </w:r>
      <w:r>
        <w:rPr>
          <w:rFonts w:ascii="Times New Roman" w:hAnsi="Times New Roman" w:cs="Times New Roman"/>
        </w:rPr>
        <w:t>47</w:t>
      </w:r>
      <w:r>
        <w:rPr>
          <w:rFonts w:ascii="Times New Roman" w:hAnsi="Times New Roman" w:cs="Times New Roman"/>
        </w:rPr>
        <w:fldChar w:fldCharType="end"/>
      </w:r>
      <w:r>
        <w:rPr>
          <w:rFonts w:ascii="Times New Roman" w:hAnsi="Times New Roman" w:cs="Times New Roman"/>
        </w:rPr>
        <w:fldChar w:fldCharType="end"/>
      </w:r>
    </w:p>
    <w:p w14:paraId="3E6884EE">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"_Toc60173806" </w:instrText>
      </w:r>
      <w:r>
        <w:fldChar w:fldCharType="separate"/>
      </w:r>
      <w:r>
        <w:rPr>
          <w:rStyle w:val="45"/>
          <w:rFonts w:ascii="Times New Roman" w:hAnsi="Times New Roman" w:eastAsia="黑体" w:cs="Times New Roman"/>
        </w:rPr>
        <w:t>8.5  顶管机安装和调试</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_Toc60173806 \h </w:instrText>
      </w:r>
      <w:r>
        <w:rPr>
          <w:rFonts w:ascii="Times New Roman" w:hAnsi="Times New Roman" w:cs="Times New Roman"/>
        </w:rPr>
        <w:fldChar w:fldCharType="separate"/>
      </w:r>
      <w:r>
        <w:rPr>
          <w:rFonts w:ascii="Times New Roman" w:hAnsi="Times New Roman" w:cs="Times New Roman"/>
        </w:rPr>
        <w:t>48</w:t>
      </w:r>
      <w:r>
        <w:rPr>
          <w:rFonts w:ascii="Times New Roman" w:hAnsi="Times New Roman" w:cs="Times New Roman"/>
        </w:rPr>
        <w:fldChar w:fldCharType="end"/>
      </w:r>
      <w:r>
        <w:rPr>
          <w:rFonts w:ascii="Times New Roman" w:hAnsi="Times New Roman" w:cs="Times New Roman"/>
        </w:rPr>
        <w:fldChar w:fldCharType="end"/>
      </w:r>
    </w:p>
    <w:p w14:paraId="3F5680BA">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"_Toc60173807" </w:instrText>
      </w:r>
      <w:r>
        <w:fldChar w:fldCharType="separate"/>
      </w:r>
      <w:r>
        <w:rPr>
          <w:rStyle w:val="45"/>
          <w:rFonts w:ascii="Times New Roman" w:hAnsi="Times New Roman" w:eastAsia="黑体" w:cs="Times New Roman"/>
        </w:rPr>
        <w:t>8.6  土压平衡出渣系统的安装</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_Toc60173807 \h </w:instrText>
      </w:r>
      <w:r>
        <w:rPr>
          <w:rFonts w:ascii="Times New Roman" w:hAnsi="Times New Roman" w:cs="Times New Roman"/>
        </w:rPr>
        <w:fldChar w:fldCharType="separate"/>
      </w:r>
      <w:r>
        <w:rPr>
          <w:rFonts w:ascii="Times New Roman" w:hAnsi="Times New Roman" w:cs="Times New Roman"/>
        </w:rPr>
        <w:t>49</w:t>
      </w:r>
      <w:r>
        <w:rPr>
          <w:rFonts w:ascii="Times New Roman" w:hAnsi="Times New Roman" w:cs="Times New Roman"/>
        </w:rPr>
        <w:fldChar w:fldCharType="end"/>
      </w:r>
      <w:r>
        <w:rPr>
          <w:rFonts w:ascii="Times New Roman" w:hAnsi="Times New Roman" w:cs="Times New Roman"/>
        </w:rPr>
        <w:fldChar w:fldCharType="end"/>
      </w:r>
    </w:p>
    <w:p w14:paraId="669D383D">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"_Toc60173808" </w:instrText>
      </w:r>
      <w:r>
        <w:fldChar w:fldCharType="separate"/>
      </w:r>
      <w:r>
        <w:rPr>
          <w:rStyle w:val="45"/>
          <w:rFonts w:ascii="Times New Roman" w:hAnsi="Times New Roman" w:eastAsia="黑体" w:cs="Times New Roman"/>
        </w:rPr>
        <w:t>8.7  泥水循环系统的安装</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_Toc60173808 \h </w:instrText>
      </w:r>
      <w:r>
        <w:rPr>
          <w:rFonts w:ascii="Times New Roman" w:hAnsi="Times New Roman" w:cs="Times New Roman"/>
        </w:rPr>
        <w:fldChar w:fldCharType="separate"/>
      </w:r>
      <w:r>
        <w:rPr>
          <w:rFonts w:ascii="Times New Roman" w:hAnsi="Times New Roman" w:cs="Times New Roman"/>
        </w:rPr>
        <w:t>49</w:t>
      </w:r>
      <w:r>
        <w:rPr>
          <w:rFonts w:ascii="Times New Roman" w:hAnsi="Times New Roman" w:cs="Times New Roman"/>
        </w:rPr>
        <w:fldChar w:fldCharType="end"/>
      </w:r>
      <w:r>
        <w:rPr>
          <w:rFonts w:ascii="Times New Roman" w:hAnsi="Times New Roman" w:cs="Times New Roman"/>
        </w:rPr>
        <w:fldChar w:fldCharType="end"/>
      </w:r>
    </w:p>
    <w:p w14:paraId="4EDB0C38">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"_Toc60173809" </w:instrText>
      </w:r>
      <w:r>
        <w:fldChar w:fldCharType="separate"/>
      </w:r>
      <w:r>
        <w:rPr>
          <w:rStyle w:val="45"/>
          <w:rFonts w:ascii="Times New Roman" w:hAnsi="Times New Roman" w:eastAsia="黑体" w:cs="Times New Roman"/>
        </w:rPr>
        <w:t>8.8  中继间安装</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_Toc60173809 \h </w:instrText>
      </w:r>
      <w:r>
        <w:rPr>
          <w:rFonts w:ascii="Times New Roman" w:hAnsi="Times New Roman" w:cs="Times New Roman"/>
        </w:rPr>
        <w:fldChar w:fldCharType="separate"/>
      </w:r>
      <w:r>
        <w:rPr>
          <w:rFonts w:ascii="Times New Roman" w:hAnsi="Times New Roman" w:cs="Times New Roman"/>
        </w:rPr>
        <w:t>50</w:t>
      </w:r>
      <w:r>
        <w:rPr>
          <w:rFonts w:ascii="Times New Roman" w:hAnsi="Times New Roman" w:cs="Times New Roman"/>
        </w:rPr>
        <w:fldChar w:fldCharType="end"/>
      </w:r>
      <w:r>
        <w:rPr>
          <w:rFonts w:ascii="Times New Roman" w:hAnsi="Times New Roman" w:cs="Times New Roman"/>
        </w:rPr>
        <w:fldChar w:fldCharType="end"/>
      </w:r>
    </w:p>
    <w:p w14:paraId="54118673">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"_Toc60173810" </w:instrText>
      </w:r>
      <w:r>
        <w:fldChar w:fldCharType="separate"/>
      </w:r>
      <w:r>
        <w:rPr>
          <w:rStyle w:val="45"/>
          <w:rFonts w:ascii="Times New Roman" w:hAnsi="Times New Roman" w:eastAsia="黑体" w:cs="Times New Roman"/>
        </w:rPr>
        <w:t>8.9  顶管辅助施工与设备</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_Toc60173810 \h </w:instrText>
      </w:r>
      <w:r>
        <w:rPr>
          <w:rFonts w:ascii="Times New Roman" w:hAnsi="Times New Roman" w:cs="Times New Roman"/>
        </w:rPr>
        <w:fldChar w:fldCharType="separate"/>
      </w:r>
      <w:r>
        <w:rPr>
          <w:rFonts w:ascii="Times New Roman" w:hAnsi="Times New Roman" w:cs="Times New Roman"/>
        </w:rPr>
        <w:t>51</w:t>
      </w:r>
      <w:r>
        <w:rPr>
          <w:rFonts w:ascii="Times New Roman" w:hAnsi="Times New Roman" w:cs="Times New Roman"/>
        </w:rPr>
        <w:fldChar w:fldCharType="end"/>
      </w:r>
      <w:r>
        <w:rPr>
          <w:rFonts w:ascii="Times New Roman" w:hAnsi="Times New Roman" w:cs="Times New Roman"/>
        </w:rPr>
        <w:fldChar w:fldCharType="end"/>
      </w:r>
    </w:p>
    <w:p w14:paraId="49AFD5E1">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"_Toc60173811" </w:instrText>
      </w:r>
      <w:r>
        <w:fldChar w:fldCharType="separate"/>
      </w:r>
      <w:r>
        <w:rPr>
          <w:rStyle w:val="45"/>
          <w:rFonts w:ascii="Times New Roman" w:hAnsi="Times New Roman" w:eastAsia="黑体" w:cs="Times New Roman"/>
        </w:rPr>
        <w:t>8.10  质量控制</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_Toc60173811 \h </w:instrText>
      </w:r>
      <w:r>
        <w:rPr>
          <w:rFonts w:ascii="Times New Roman" w:hAnsi="Times New Roman" w:cs="Times New Roman"/>
        </w:rPr>
        <w:fldChar w:fldCharType="separate"/>
      </w:r>
      <w:r>
        <w:rPr>
          <w:rFonts w:ascii="Times New Roman" w:hAnsi="Times New Roman" w:cs="Times New Roman"/>
        </w:rPr>
        <w:t>52</w:t>
      </w:r>
      <w:r>
        <w:rPr>
          <w:rFonts w:ascii="Times New Roman" w:hAnsi="Times New Roman" w:cs="Times New Roman"/>
        </w:rPr>
        <w:fldChar w:fldCharType="end"/>
      </w:r>
      <w:r>
        <w:rPr>
          <w:rFonts w:ascii="Times New Roman" w:hAnsi="Times New Roman" w:cs="Times New Roman"/>
        </w:rPr>
        <w:fldChar w:fldCharType="end"/>
      </w:r>
    </w:p>
    <w:p w14:paraId="709DA3FE">
      <w:pPr>
        <w:pStyle w:val="26"/>
        <w:tabs>
          <w:tab w:val="right" w:leader="dot" w:pos="8296"/>
        </w:tabs>
        <w:rPr>
          <w:rFonts w:ascii="Times New Roman" w:hAnsi="Times New Roman" w:cs="Times New Roman" w:eastAsiaTheme="minorEastAsia"/>
          <w:b w:val="0"/>
          <w:bCs w:val="0"/>
          <w:caps w:val="0"/>
          <w:sz w:val="21"/>
          <w:szCs w:val="22"/>
        </w:rPr>
      </w:pPr>
      <w:r>
        <w:fldChar w:fldCharType="begin"/>
      </w:r>
      <w:r>
        <w:instrText xml:space="preserve"> HYPERLINK \l "_Toc60173812" </w:instrText>
      </w:r>
      <w:r>
        <w:fldChar w:fldCharType="separate"/>
      </w:r>
      <w:r>
        <w:rPr>
          <w:rStyle w:val="45"/>
          <w:rFonts w:ascii="Times New Roman" w:hAnsi="Times New Roman" w:cs="Times New Roman"/>
        </w:rPr>
        <w:t>9  顶进施工</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_Toc60173812 \h </w:instrText>
      </w:r>
      <w:r>
        <w:rPr>
          <w:rFonts w:ascii="Times New Roman" w:hAnsi="Times New Roman" w:cs="Times New Roman"/>
        </w:rPr>
        <w:fldChar w:fldCharType="separate"/>
      </w:r>
      <w:r>
        <w:rPr>
          <w:rFonts w:ascii="Times New Roman" w:hAnsi="Times New Roman" w:cs="Times New Roman"/>
        </w:rPr>
        <w:t>53</w:t>
      </w:r>
      <w:r>
        <w:rPr>
          <w:rFonts w:ascii="Times New Roman" w:hAnsi="Times New Roman" w:cs="Times New Roman"/>
        </w:rPr>
        <w:fldChar w:fldCharType="end"/>
      </w:r>
      <w:r>
        <w:rPr>
          <w:rFonts w:ascii="Times New Roman" w:hAnsi="Times New Roman" w:cs="Times New Roman"/>
        </w:rPr>
        <w:fldChar w:fldCharType="end"/>
      </w:r>
    </w:p>
    <w:p w14:paraId="6651E947">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"_Toc60173813" </w:instrText>
      </w:r>
      <w:r>
        <w:fldChar w:fldCharType="separate"/>
      </w:r>
      <w:r>
        <w:rPr>
          <w:rStyle w:val="45"/>
          <w:rFonts w:ascii="Times New Roman" w:hAnsi="Times New Roman" w:eastAsia="黑体" w:cs="Times New Roman"/>
        </w:rPr>
        <w:t>9.1  一般规定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_Toc60173813 \h </w:instrText>
      </w:r>
      <w:r>
        <w:rPr>
          <w:rFonts w:ascii="Times New Roman" w:hAnsi="Times New Roman" w:cs="Times New Roman"/>
        </w:rPr>
        <w:fldChar w:fldCharType="separate"/>
      </w:r>
      <w:r>
        <w:rPr>
          <w:rFonts w:ascii="Times New Roman" w:hAnsi="Times New Roman" w:cs="Times New Roman"/>
        </w:rPr>
        <w:t>53</w:t>
      </w:r>
      <w:r>
        <w:rPr>
          <w:rFonts w:ascii="Times New Roman" w:hAnsi="Times New Roman" w:cs="Times New Roman"/>
        </w:rPr>
        <w:fldChar w:fldCharType="end"/>
      </w:r>
      <w:r>
        <w:rPr>
          <w:rFonts w:ascii="Times New Roman" w:hAnsi="Times New Roman" w:cs="Times New Roman"/>
        </w:rPr>
        <w:fldChar w:fldCharType="end"/>
      </w:r>
    </w:p>
    <w:p w14:paraId="51A4EAC3">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"_Toc60173814" </w:instrText>
      </w:r>
      <w:r>
        <w:fldChar w:fldCharType="separate"/>
      </w:r>
      <w:r>
        <w:rPr>
          <w:rStyle w:val="45"/>
          <w:rFonts w:ascii="Times New Roman" w:hAnsi="Times New Roman" w:eastAsia="黑体" w:cs="Times New Roman"/>
        </w:rPr>
        <w:t>9.2施工组织设计</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_Toc60173814 \h </w:instrText>
      </w:r>
      <w:r>
        <w:rPr>
          <w:rFonts w:ascii="Times New Roman" w:hAnsi="Times New Roman" w:cs="Times New Roman"/>
        </w:rPr>
        <w:fldChar w:fldCharType="separate"/>
      </w:r>
      <w:r>
        <w:rPr>
          <w:rFonts w:ascii="Times New Roman" w:hAnsi="Times New Roman" w:cs="Times New Roman"/>
        </w:rPr>
        <w:t>54</w:t>
      </w:r>
      <w:r>
        <w:rPr>
          <w:rFonts w:ascii="Times New Roman" w:hAnsi="Times New Roman" w:cs="Times New Roman"/>
        </w:rPr>
        <w:fldChar w:fldCharType="end"/>
      </w:r>
      <w:r>
        <w:rPr>
          <w:rFonts w:ascii="Times New Roman" w:hAnsi="Times New Roman" w:cs="Times New Roman"/>
        </w:rPr>
        <w:fldChar w:fldCharType="end"/>
      </w:r>
    </w:p>
    <w:p w14:paraId="6A1342CA">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"_Toc60173815" </w:instrText>
      </w:r>
      <w:r>
        <w:fldChar w:fldCharType="separate"/>
      </w:r>
      <w:r>
        <w:rPr>
          <w:rStyle w:val="45"/>
          <w:rFonts w:ascii="Times New Roman" w:hAnsi="Times New Roman" w:eastAsia="黑体" w:cs="Times New Roman"/>
        </w:rPr>
        <w:t>9.3  顶管始发与接收</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_Toc60173815 \h </w:instrText>
      </w:r>
      <w:r>
        <w:rPr>
          <w:rFonts w:ascii="Times New Roman" w:hAnsi="Times New Roman" w:cs="Times New Roman"/>
        </w:rPr>
        <w:fldChar w:fldCharType="separate"/>
      </w:r>
      <w:r>
        <w:rPr>
          <w:rFonts w:ascii="Times New Roman" w:hAnsi="Times New Roman" w:cs="Times New Roman"/>
        </w:rPr>
        <w:t>56</w:t>
      </w:r>
      <w:r>
        <w:rPr>
          <w:rFonts w:ascii="Times New Roman" w:hAnsi="Times New Roman" w:cs="Times New Roman"/>
        </w:rPr>
        <w:fldChar w:fldCharType="end"/>
      </w:r>
      <w:r>
        <w:rPr>
          <w:rFonts w:ascii="Times New Roman" w:hAnsi="Times New Roman" w:cs="Times New Roman"/>
        </w:rPr>
        <w:fldChar w:fldCharType="end"/>
      </w:r>
    </w:p>
    <w:p w14:paraId="242CFC3A">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"_Toc60173816" </w:instrText>
      </w:r>
      <w:r>
        <w:fldChar w:fldCharType="separate"/>
      </w:r>
      <w:r>
        <w:rPr>
          <w:rStyle w:val="45"/>
          <w:rFonts w:ascii="Times New Roman" w:hAnsi="Times New Roman" w:eastAsia="黑体" w:cs="Times New Roman"/>
        </w:rPr>
        <w:t>9.4顶管掘进</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_Toc60173816 \h </w:instrText>
      </w:r>
      <w:r>
        <w:rPr>
          <w:rFonts w:ascii="Times New Roman" w:hAnsi="Times New Roman" w:cs="Times New Roman"/>
        </w:rPr>
        <w:fldChar w:fldCharType="separate"/>
      </w:r>
      <w:r>
        <w:rPr>
          <w:rFonts w:ascii="Times New Roman" w:hAnsi="Times New Roman" w:cs="Times New Roman"/>
        </w:rPr>
        <w:t>57</w:t>
      </w:r>
      <w:r>
        <w:rPr>
          <w:rFonts w:ascii="Times New Roman" w:hAnsi="Times New Roman" w:cs="Times New Roman"/>
        </w:rPr>
        <w:fldChar w:fldCharType="end"/>
      </w:r>
      <w:r>
        <w:rPr>
          <w:rFonts w:ascii="Times New Roman" w:hAnsi="Times New Roman" w:cs="Times New Roman"/>
        </w:rPr>
        <w:fldChar w:fldCharType="end"/>
      </w:r>
    </w:p>
    <w:p w14:paraId="1164CD2F">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"_Toc60173817" </w:instrText>
      </w:r>
      <w:r>
        <w:fldChar w:fldCharType="separate"/>
      </w:r>
      <w:r>
        <w:rPr>
          <w:rStyle w:val="45"/>
          <w:rFonts w:ascii="Times New Roman" w:hAnsi="Times New Roman" w:eastAsia="黑体" w:cs="Times New Roman"/>
        </w:rPr>
        <w:t>9.5注浆减阻</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_Toc60173817 \h </w:instrText>
      </w:r>
      <w:r>
        <w:rPr>
          <w:rFonts w:ascii="Times New Roman" w:hAnsi="Times New Roman" w:cs="Times New Roman"/>
        </w:rPr>
        <w:fldChar w:fldCharType="separate"/>
      </w:r>
      <w:r>
        <w:rPr>
          <w:rFonts w:ascii="Times New Roman" w:hAnsi="Times New Roman" w:cs="Times New Roman"/>
        </w:rPr>
        <w:t>60</w:t>
      </w:r>
      <w:r>
        <w:rPr>
          <w:rFonts w:ascii="Times New Roman" w:hAnsi="Times New Roman" w:cs="Times New Roman"/>
        </w:rPr>
        <w:fldChar w:fldCharType="end"/>
      </w:r>
      <w:r>
        <w:rPr>
          <w:rFonts w:ascii="Times New Roman" w:hAnsi="Times New Roman" w:cs="Times New Roman"/>
        </w:rPr>
        <w:fldChar w:fldCharType="end"/>
      </w:r>
    </w:p>
    <w:p w14:paraId="068639F7">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"_Toc60173818" </w:instrText>
      </w:r>
      <w:r>
        <w:fldChar w:fldCharType="separate"/>
      </w:r>
      <w:r>
        <w:rPr>
          <w:rStyle w:val="45"/>
          <w:rFonts w:ascii="Times New Roman" w:hAnsi="Times New Roman" w:eastAsia="黑体" w:cs="Times New Roman"/>
        </w:rPr>
        <w:t>9.6 渣土改良</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_Toc60173818 \h </w:instrText>
      </w:r>
      <w:r>
        <w:rPr>
          <w:rFonts w:ascii="Times New Roman" w:hAnsi="Times New Roman" w:cs="Times New Roman"/>
        </w:rPr>
        <w:fldChar w:fldCharType="separate"/>
      </w:r>
      <w:r>
        <w:rPr>
          <w:rFonts w:ascii="Times New Roman" w:hAnsi="Times New Roman" w:cs="Times New Roman"/>
        </w:rPr>
        <w:t>62</w:t>
      </w:r>
      <w:r>
        <w:rPr>
          <w:rFonts w:ascii="Times New Roman" w:hAnsi="Times New Roman" w:cs="Times New Roman"/>
        </w:rPr>
        <w:fldChar w:fldCharType="end"/>
      </w:r>
      <w:r>
        <w:rPr>
          <w:rFonts w:ascii="Times New Roman" w:hAnsi="Times New Roman" w:cs="Times New Roman"/>
        </w:rPr>
        <w:fldChar w:fldCharType="end"/>
      </w:r>
    </w:p>
    <w:p w14:paraId="4BA71C07">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"_Toc60173819" </w:instrText>
      </w:r>
      <w:r>
        <w:fldChar w:fldCharType="separate"/>
      </w:r>
      <w:r>
        <w:rPr>
          <w:rStyle w:val="45"/>
          <w:rFonts w:ascii="Times New Roman" w:hAnsi="Times New Roman" w:eastAsia="黑体" w:cs="Times New Roman"/>
        </w:rPr>
        <w:t>9.7测量和姿态控制</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_Toc60173819 \h </w:instrText>
      </w:r>
      <w:r>
        <w:rPr>
          <w:rFonts w:ascii="Times New Roman" w:hAnsi="Times New Roman" w:cs="Times New Roman"/>
        </w:rPr>
        <w:fldChar w:fldCharType="separate"/>
      </w:r>
      <w:r>
        <w:rPr>
          <w:rFonts w:ascii="Times New Roman" w:hAnsi="Times New Roman" w:cs="Times New Roman"/>
        </w:rPr>
        <w:t>64</w:t>
      </w:r>
      <w:r>
        <w:rPr>
          <w:rFonts w:ascii="Times New Roman" w:hAnsi="Times New Roman" w:cs="Times New Roman"/>
        </w:rPr>
        <w:fldChar w:fldCharType="end"/>
      </w:r>
      <w:r>
        <w:rPr>
          <w:rFonts w:ascii="Times New Roman" w:hAnsi="Times New Roman" w:cs="Times New Roman"/>
        </w:rPr>
        <w:fldChar w:fldCharType="end"/>
      </w:r>
    </w:p>
    <w:p w14:paraId="0420F97E">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"_Toc60173820" </w:instrText>
      </w:r>
      <w:r>
        <w:fldChar w:fldCharType="separate"/>
      </w:r>
      <w:r>
        <w:rPr>
          <w:rStyle w:val="45"/>
          <w:rFonts w:ascii="Times New Roman" w:hAnsi="Times New Roman" w:eastAsia="黑体" w:cs="Times New Roman"/>
        </w:rPr>
        <w:t>9.8监测与变形控制</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_Toc60173820 \h </w:instrText>
      </w:r>
      <w:r>
        <w:rPr>
          <w:rFonts w:ascii="Times New Roman" w:hAnsi="Times New Roman" w:cs="Times New Roman"/>
        </w:rPr>
        <w:fldChar w:fldCharType="separate"/>
      </w:r>
      <w:r>
        <w:rPr>
          <w:rFonts w:ascii="Times New Roman" w:hAnsi="Times New Roman" w:cs="Times New Roman"/>
        </w:rPr>
        <w:t>66</w:t>
      </w:r>
      <w:r>
        <w:rPr>
          <w:rFonts w:ascii="Times New Roman" w:hAnsi="Times New Roman" w:cs="Times New Roman"/>
        </w:rPr>
        <w:fldChar w:fldCharType="end"/>
      </w:r>
      <w:r>
        <w:rPr>
          <w:rFonts w:ascii="Times New Roman" w:hAnsi="Times New Roman" w:cs="Times New Roman"/>
        </w:rPr>
        <w:fldChar w:fldCharType="end"/>
      </w:r>
    </w:p>
    <w:p w14:paraId="23AD9BC0">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"_Toc60173821" </w:instrText>
      </w:r>
      <w:r>
        <w:fldChar w:fldCharType="separate"/>
      </w:r>
      <w:r>
        <w:rPr>
          <w:rStyle w:val="45"/>
          <w:rFonts w:ascii="Times New Roman" w:hAnsi="Times New Roman" w:eastAsia="黑体" w:cs="Times New Roman"/>
        </w:rPr>
        <w:t>9.9 顶管机拆解与吊出</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_Toc60173821 \h </w:instrText>
      </w:r>
      <w:r>
        <w:rPr>
          <w:rFonts w:ascii="Times New Roman" w:hAnsi="Times New Roman" w:cs="Times New Roman"/>
        </w:rPr>
        <w:fldChar w:fldCharType="separate"/>
      </w:r>
      <w:r>
        <w:rPr>
          <w:rFonts w:ascii="Times New Roman" w:hAnsi="Times New Roman" w:cs="Times New Roman"/>
        </w:rPr>
        <w:t>69</w:t>
      </w:r>
      <w:r>
        <w:rPr>
          <w:rFonts w:ascii="Times New Roman" w:hAnsi="Times New Roman" w:cs="Times New Roman"/>
        </w:rPr>
        <w:fldChar w:fldCharType="end"/>
      </w:r>
      <w:r>
        <w:rPr>
          <w:rFonts w:ascii="Times New Roman" w:hAnsi="Times New Roman" w:cs="Times New Roman"/>
        </w:rPr>
        <w:fldChar w:fldCharType="end"/>
      </w:r>
    </w:p>
    <w:p w14:paraId="6646F02E">
      <w:pPr>
        <w:pStyle w:val="30"/>
        <w:tabs>
          <w:tab w:val="right" w:leader="dot" w:pos="8296"/>
        </w:tabs>
        <w:rPr>
          <w:rFonts w:ascii="Times New Roman" w:hAnsi="Times New Roman" w:cs="Times New Roman" w:eastAsiaTheme="minorEastAsia"/>
          <w:smallCaps w:val="0"/>
          <w:sz w:val="21"/>
          <w:szCs w:val="22"/>
        </w:rPr>
      </w:pPr>
      <w:r>
        <w:fldChar w:fldCharType="begin"/>
      </w:r>
      <w:r>
        <w:instrText xml:space="preserve"> HYPERLINK \l "_Toc60173822" </w:instrText>
      </w:r>
      <w:r>
        <w:fldChar w:fldCharType="separate"/>
      </w:r>
      <w:r>
        <w:rPr>
          <w:rStyle w:val="45"/>
          <w:rFonts w:ascii="Times New Roman" w:hAnsi="Times New Roman" w:eastAsia="黑体" w:cs="Times New Roman"/>
        </w:rPr>
        <w:t>9.10质量控制</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_Toc60173822 \h </w:instrText>
      </w:r>
      <w:r>
        <w:rPr>
          <w:rFonts w:ascii="Times New Roman" w:hAnsi="Times New Roman" w:cs="Times New Roman"/>
        </w:rPr>
        <w:fldChar w:fldCharType="separate"/>
      </w:r>
      <w:r>
        <w:rPr>
          <w:rFonts w:ascii="Times New Roman" w:hAnsi="Times New Roman" w:cs="Times New Roman"/>
        </w:rPr>
        <w:t>70</w:t>
      </w:r>
      <w:r>
        <w:rPr>
          <w:rFonts w:ascii="Times New Roman" w:hAnsi="Times New Roman" w:cs="Times New Roman"/>
        </w:rPr>
        <w:fldChar w:fldCharType="end"/>
      </w:r>
      <w:r>
        <w:rPr>
          <w:rFonts w:ascii="Times New Roman" w:hAnsi="Times New Roman" w:cs="Times New Roman"/>
        </w:rPr>
        <w:fldChar w:fldCharType="end"/>
      </w:r>
    </w:p>
    <w:p w14:paraId="6118B7E0">
      <w:pPr>
        <w:pStyle w:val="26"/>
        <w:tabs>
          <w:tab w:val="right" w:leader="dot" w:pos="8296"/>
        </w:tabs>
        <w:rPr>
          <w:rFonts w:ascii="Times New Roman" w:hAnsi="Times New Roman" w:cs="Times New Roman" w:eastAsiaTheme="minorEastAsia"/>
          <w:b w:val="0"/>
          <w:bCs w:val="0"/>
          <w:caps w:val="0"/>
          <w:sz w:val="21"/>
          <w:szCs w:val="22"/>
        </w:rPr>
      </w:pPr>
      <w:r>
        <w:fldChar w:fldCharType="begin"/>
      </w:r>
      <w:r>
        <w:instrText xml:space="preserve"> HYPERLINK \l "_Toc60173823" </w:instrText>
      </w:r>
      <w:r>
        <w:fldChar w:fldCharType="separate"/>
      </w:r>
      <w:r>
        <w:rPr>
          <w:rStyle w:val="45"/>
          <w:rFonts w:ascii="Times New Roman" w:hAnsi="Times New Roman" w:cs="Times New Roman"/>
        </w:rPr>
        <w:t>10  工程验收</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_Toc60173823 \h </w:instrText>
      </w:r>
      <w:r>
        <w:rPr>
          <w:rFonts w:ascii="Times New Roman" w:hAnsi="Times New Roman" w:cs="Times New Roman"/>
        </w:rPr>
        <w:fldChar w:fldCharType="separate"/>
      </w:r>
      <w:r>
        <w:rPr>
          <w:rFonts w:ascii="Times New Roman" w:hAnsi="Times New Roman" w:cs="Times New Roman"/>
        </w:rPr>
        <w:t>73</w:t>
      </w:r>
      <w:r>
        <w:rPr>
          <w:rFonts w:ascii="Times New Roman" w:hAnsi="Times New Roman" w:cs="Times New Roman"/>
        </w:rPr>
        <w:fldChar w:fldCharType="end"/>
      </w:r>
      <w:r>
        <w:rPr>
          <w:rFonts w:ascii="Times New Roman" w:hAnsi="Times New Roman" w:cs="Times New Roman"/>
        </w:rPr>
        <w:fldChar w:fldCharType="end"/>
      </w:r>
    </w:p>
    <w:p w14:paraId="5620729D">
      <w:pPr>
        <w:pStyle w:val="26"/>
        <w:tabs>
          <w:tab w:val="right" w:leader="dot" w:pos="8296"/>
        </w:tabs>
        <w:rPr>
          <w:rFonts w:ascii="Times New Roman" w:hAnsi="Times New Roman" w:cs="Times New Roman" w:eastAsiaTheme="minorEastAsia"/>
          <w:b w:val="0"/>
          <w:bCs w:val="0"/>
          <w:caps w:val="0"/>
          <w:sz w:val="21"/>
          <w:szCs w:val="22"/>
        </w:rPr>
      </w:pPr>
      <w:r>
        <w:fldChar w:fldCharType="begin"/>
      </w:r>
      <w:r>
        <w:instrText xml:space="preserve"> HYPERLINK \l "_Toc60173824" </w:instrText>
      </w:r>
      <w:r>
        <w:fldChar w:fldCharType="separate"/>
      </w:r>
      <w:r>
        <w:rPr>
          <w:rStyle w:val="45"/>
          <w:rFonts w:ascii="Times New Roman" w:hAnsi="Times New Roman" w:cs="Times New Roman"/>
        </w:rPr>
        <w:t>附录A  矩形顶管分部、分项工程和检验批划分表</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_Toc60173824 \h </w:instrText>
      </w:r>
      <w:r>
        <w:rPr>
          <w:rFonts w:ascii="Times New Roman" w:hAnsi="Times New Roman" w:cs="Times New Roman"/>
        </w:rPr>
        <w:fldChar w:fldCharType="separate"/>
      </w:r>
      <w:r>
        <w:rPr>
          <w:rFonts w:ascii="Times New Roman" w:hAnsi="Times New Roman" w:cs="Times New Roman"/>
        </w:rPr>
        <w:t>76</w:t>
      </w:r>
      <w:r>
        <w:rPr>
          <w:rFonts w:ascii="Times New Roman" w:hAnsi="Times New Roman" w:cs="Times New Roman"/>
        </w:rPr>
        <w:fldChar w:fldCharType="end"/>
      </w:r>
      <w:r>
        <w:rPr>
          <w:rFonts w:ascii="Times New Roman" w:hAnsi="Times New Roman" w:cs="Times New Roman"/>
        </w:rPr>
        <w:fldChar w:fldCharType="end"/>
      </w:r>
    </w:p>
    <w:p w14:paraId="3F716368">
      <w:pPr>
        <w:pStyle w:val="26"/>
        <w:tabs>
          <w:tab w:val="right" w:leader="dot" w:pos="8296"/>
        </w:tabs>
        <w:rPr>
          <w:rFonts w:ascii="Times New Roman" w:hAnsi="Times New Roman" w:cs="Times New Roman" w:eastAsiaTheme="minorEastAsia"/>
          <w:b w:val="0"/>
          <w:bCs w:val="0"/>
          <w:caps w:val="0"/>
          <w:sz w:val="21"/>
          <w:szCs w:val="22"/>
        </w:rPr>
      </w:pPr>
      <w:r>
        <w:fldChar w:fldCharType="begin"/>
      </w:r>
      <w:r>
        <w:instrText xml:space="preserve"> HYPERLINK \l "_Toc60173825" </w:instrText>
      </w:r>
      <w:r>
        <w:fldChar w:fldCharType="separate"/>
      </w:r>
      <w:r>
        <w:rPr>
          <w:rStyle w:val="45"/>
          <w:rFonts w:ascii="Times New Roman" w:hAnsi="Times New Roman" w:cs="Times New Roman"/>
        </w:rPr>
        <w:t>附录B  质量验收记录</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_Toc60173825 \h </w:instrText>
      </w:r>
      <w:r>
        <w:rPr>
          <w:rFonts w:ascii="Times New Roman" w:hAnsi="Times New Roman" w:cs="Times New Roman"/>
        </w:rPr>
        <w:fldChar w:fldCharType="separate"/>
      </w:r>
      <w:r>
        <w:rPr>
          <w:rFonts w:ascii="Times New Roman" w:hAnsi="Times New Roman" w:cs="Times New Roman"/>
        </w:rPr>
        <w:t>77</w:t>
      </w:r>
      <w:r>
        <w:rPr>
          <w:rFonts w:ascii="Times New Roman" w:hAnsi="Times New Roman" w:cs="Times New Roman"/>
        </w:rPr>
        <w:fldChar w:fldCharType="end"/>
      </w:r>
      <w:r>
        <w:rPr>
          <w:rFonts w:ascii="Times New Roman" w:hAnsi="Times New Roman" w:cs="Times New Roman"/>
        </w:rPr>
        <w:fldChar w:fldCharType="end"/>
      </w:r>
    </w:p>
    <w:p w14:paraId="66D35442">
      <w:pPr>
        <w:pStyle w:val="26"/>
        <w:tabs>
          <w:tab w:val="right" w:leader="dot" w:pos="8296"/>
        </w:tabs>
        <w:rPr>
          <w:rFonts w:ascii="Times New Roman" w:hAnsi="Times New Roman" w:cs="Times New Roman" w:eastAsiaTheme="minorEastAsia"/>
          <w:b w:val="0"/>
          <w:bCs w:val="0"/>
          <w:caps w:val="0"/>
          <w:sz w:val="21"/>
          <w:szCs w:val="22"/>
        </w:rPr>
      </w:pPr>
      <w:r>
        <w:fldChar w:fldCharType="begin"/>
      </w:r>
      <w:r>
        <w:instrText xml:space="preserve"> HYPERLINK \l "_Toc60173826" </w:instrText>
      </w:r>
      <w:r>
        <w:fldChar w:fldCharType="separate"/>
      </w:r>
      <w:r>
        <w:rPr>
          <w:rStyle w:val="45"/>
          <w:rFonts w:ascii="Times New Roman" w:hAnsi="Times New Roman" w:cs="Times New Roman"/>
          <w:kern w:val="44"/>
        </w:rPr>
        <w:t>本规程用词说明</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_Toc60173826 \h </w:instrText>
      </w:r>
      <w:r>
        <w:rPr>
          <w:rFonts w:ascii="Times New Roman" w:hAnsi="Times New Roman" w:cs="Times New Roman"/>
        </w:rPr>
        <w:fldChar w:fldCharType="separate"/>
      </w:r>
      <w:r>
        <w:rPr>
          <w:rFonts w:ascii="Times New Roman" w:hAnsi="Times New Roman" w:cs="Times New Roman"/>
        </w:rPr>
        <w:t>80</w:t>
      </w:r>
      <w:r>
        <w:rPr>
          <w:rFonts w:ascii="Times New Roman" w:hAnsi="Times New Roman" w:cs="Times New Roman"/>
        </w:rPr>
        <w:fldChar w:fldCharType="end"/>
      </w:r>
      <w:r>
        <w:rPr>
          <w:rFonts w:ascii="Times New Roman" w:hAnsi="Times New Roman" w:cs="Times New Roman"/>
        </w:rPr>
        <w:fldChar w:fldCharType="end"/>
      </w:r>
    </w:p>
    <w:p w14:paraId="1ECDE97E">
      <w:pPr>
        <w:pStyle w:val="26"/>
        <w:tabs>
          <w:tab w:val="right" w:leader="dot" w:pos="8296"/>
        </w:tabs>
        <w:rPr>
          <w:rFonts w:ascii="Times New Roman" w:hAnsi="Times New Roman" w:cs="Times New Roman" w:eastAsiaTheme="minorEastAsia"/>
          <w:b w:val="0"/>
          <w:bCs w:val="0"/>
          <w:caps w:val="0"/>
          <w:sz w:val="21"/>
          <w:szCs w:val="22"/>
        </w:rPr>
      </w:pPr>
      <w:r>
        <w:fldChar w:fldCharType="begin"/>
      </w:r>
      <w:r>
        <w:instrText xml:space="preserve"> HYPERLINK \l "_Toc60173827" </w:instrText>
      </w:r>
      <w:r>
        <w:fldChar w:fldCharType="separate"/>
      </w:r>
      <w:r>
        <w:rPr>
          <w:rStyle w:val="45"/>
          <w:rFonts w:ascii="Times New Roman" w:hAnsi="Times New Roman" w:cs="Times New Roman"/>
          <w:kern w:val="44"/>
        </w:rPr>
        <w:t>引用标准名录</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_Toc60173827 \h </w:instrText>
      </w:r>
      <w:r>
        <w:rPr>
          <w:rFonts w:ascii="Times New Roman" w:hAnsi="Times New Roman" w:cs="Times New Roman"/>
        </w:rPr>
        <w:fldChar w:fldCharType="separate"/>
      </w:r>
      <w:r>
        <w:rPr>
          <w:rFonts w:ascii="Times New Roman" w:hAnsi="Times New Roman" w:cs="Times New Roman"/>
        </w:rPr>
        <w:t>81</w:t>
      </w:r>
      <w:r>
        <w:rPr>
          <w:rFonts w:ascii="Times New Roman" w:hAnsi="Times New Roman" w:cs="Times New Roman"/>
        </w:rPr>
        <w:fldChar w:fldCharType="end"/>
      </w:r>
      <w:r>
        <w:rPr>
          <w:rFonts w:ascii="Times New Roman" w:hAnsi="Times New Roman" w:cs="Times New Roman"/>
        </w:rPr>
        <w:fldChar w:fldCharType="end"/>
      </w:r>
    </w:p>
    <w:p w14:paraId="03AC1D59">
      <w:pPr>
        <w:pStyle w:val="26"/>
        <w:tabs>
          <w:tab w:val="right" w:leader="dot" w:pos="8296"/>
        </w:tabs>
        <w:rPr>
          <w:rFonts w:ascii="Times New Roman" w:hAnsi="Times New Roman" w:cs="Times New Roman" w:eastAsiaTheme="minorEastAsia"/>
          <w:b w:val="0"/>
          <w:bCs w:val="0"/>
          <w:caps w:val="0"/>
          <w:sz w:val="21"/>
          <w:szCs w:val="22"/>
        </w:rPr>
      </w:pPr>
      <w:r>
        <w:fldChar w:fldCharType="begin"/>
      </w:r>
      <w:r>
        <w:instrText xml:space="preserve"> HYPERLINK \l "_Toc60173828" </w:instrText>
      </w:r>
      <w:r>
        <w:fldChar w:fldCharType="separate"/>
      </w:r>
      <w:r>
        <w:rPr>
          <w:rStyle w:val="45"/>
          <w:rFonts w:ascii="Times New Roman" w:hAnsi="Times New Roman" w:cs="Times New Roman"/>
        </w:rPr>
        <w:t>条文说明</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_Toc60173828 \h </w:instrText>
      </w:r>
      <w:r>
        <w:rPr>
          <w:rFonts w:ascii="Times New Roman" w:hAnsi="Times New Roman" w:cs="Times New Roman"/>
        </w:rPr>
        <w:fldChar w:fldCharType="separate"/>
      </w:r>
      <w:r>
        <w:rPr>
          <w:rFonts w:ascii="Times New Roman" w:hAnsi="Times New Roman" w:cs="Times New Roman"/>
        </w:rPr>
        <w:t>83</w:t>
      </w:r>
      <w:r>
        <w:rPr>
          <w:rFonts w:ascii="Times New Roman" w:hAnsi="Times New Roman" w:cs="Times New Roman"/>
        </w:rPr>
        <w:fldChar w:fldCharType="end"/>
      </w:r>
      <w:r>
        <w:rPr>
          <w:rFonts w:ascii="Times New Roman" w:hAnsi="Times New Roman" w:cs="Times New Roman"/>
        </w:rPr>
        <w:fldChar w:fldCharType="end"/>
      </w:r>
    </w:p>
    <w:p w14:paraId="7CBADD1C">
      <w:r>
        <w:rPr>
          <w:szCs w:val="24"/>
        </w:rPr>
        <w:fldChar w:fldCharType="end"/>
      </w:r>
      <w:r>
        <w:br w:type="page"/>
      </w:r>
    </w:p>
    <w:p w14:paraId="143FAA70">
      <w:pPr>
        <w:jc w:val="center"/>
        <w:rPr>
          <w:b/>
          <w:bCs/>
          <w:sz w:val="28"/>
          <w:szCs w:val="28"/>
        </w:rPr>
      </w:pPr>
      <w:r>
        <w:rPr>
          <w:b/>
          <w:bCs/>
          <w:sz w:val="28"/>
          <w:szCs w:val="28"/>
        </w:rPr>
        <w:t>Contents</w:t>
      </w:r>
    </w:p>
    <w:p w14:paraId="6CDD0988">
      <w:pPr>
        <w:pStyle w:val="26"/>
        <w:tabs>
          <w:tab w:val="right" w:leader="dot" w:pos="8306"/>
        </w:tabs>
        <w:rPr>
          <w:rFonts w:ascii="Times New Roman" w:hAnsi="Times New Roman" w:cs="Times New Roman"/>
          <w:szCs w:val="24"/>
        </w:rPr>
      </w:pPr>
      <w:r>
        <w:rPr>
          <w:rFonts w:ascii="Times New Roman" w:hAnsi="Times New Roman" w:cs="Times New Roman"/>
          <w:szCs w:val="24"/>
        </w:rPr>
        <w:fldChar w:fldCharType="begin"/>
      </w:r>
      <w:r>
        <w:rPr>
          <w:rFonts w:ascii="Times New Roman" w:hAnsi="Times New Roman" w:cs="Times New Roman"/>
          <w:szCs w:val="24"/>
        </w:rPr>
        <w:instrText xml:space="preserve"> TOC \o "1-2" \h \z \u </w:instrText>
      </w:r>
      <w:r>
        <w:rPr>
          <w:rFonts w:ascii="Times New Roman" w:hAnsi="Times New Roman" w:cs="Times New Roman"/>
          <w:szCs w:val="24"/>
        </w:rPr>
        <w:fldChar w:fldCharType="separate"/>
      </w:r>
      <w:r>
        <w:fldChar w:fldCharType="begin"/>
      </w:r>
      <w:r>
        <w:instrText xml:space="preserve"> HYPERLINK \l "_Toc9811" </w:instrText>
      </w:r>
      <w:r>
        <w:fldChar w:fldCharType="separate"/>
      </w:r>
      <w:r>
        <w:rPr>
          <w:rFonts w:ascii="Times New Roman" w:hAnsi="Times New Roman" w:cs="Times New Roman"/>
          <w:szCs w:val="24"/>
        </w:rPr>
        <w:t xml:space="preserve">1  </w:t>
      </w:r>
      <w:r>
        <w:rPr>
          <w:rFonts w:ascii="Times New Roman" w:hAnsi="Times New Roman" w:cs="Times New Roman"/>
          <w:caps w:val="0"/>
          <w:szCs w:val="24"/>
        </w:rPr>
        <w:t>General provisions</w:t>
      </w:r>
      <w:r>
        <w:rPr>
          <w:rFonts w:ascii="Times New Roman" w:hAnsi="Times New Roman" w:cs="Times New Roman"/>
          <w:szCs w:val="24"/>
        </w:rPr>
        <w:tab/>
      </w:r>
      <w:r>
        <w:rPr>
          <w:rFonts w:ascii="Times New Roman" w:hAnsi="Times New Roman" w:cs="Times New Roman"/>
          <w:szCs w:val="24"/>
        </w:rPr>
        <w:t>1</w:t>
      </w:r>
      <w:r>
        <w:rPr>
          <w:rFonts w:ascii="Times New Roman" w:hAnsi="Times New Roman" w:cs="Times New Roman"/>
          <w:szCs w:val="24"/>
        </w:rPr>
        <w:fldChar w:fldCharType="end"/>
      </w:r>
    </w:p>
    <w:p w14:paraId="4BA64D1D">
      <w:pPr>
        <w:pStyle w:val="26"/>
        <w:tabs>
          <w:tab w:val="right" w:leader="dot" w:pos="8306"/>
        </w:tabs>
        <w:rPr>
          <w:rFonts w:ascii="Times New Roman" w:hAnsi="Times New Roman" w:cs="Times New Roman"/>
          <w:szCs w:val="24"/>
        </w:rPr>
      </w:pPr>
      <w:r>
        <w:fldChar w:fldCharType="begin"/>
      </w:r>
      <w:r>
        <w:instrText xml:space="preserve"> HYPERLINK \l "_Toc17044" </w:instrText>
      </w:r>
      <w:r>
        <w:fldChar w:fldCharType="separate"/>
      </w:r>
      <w:r>
        <w:rPr>
          <w:rFonts w:ascii="Times New Roman" w:hAnsi="Times New Roman" w:eastAsia="Times New Roman" w:cs="Times New Roman"/>
          <w:kern w:val="44"/>
          <w:szCs w:val="24"/>
        </w:rPr>
        <w:t xml:space="preserve">2  </w:t>
      </w:r>
      <w:r>
        <w:rPr>
          <w:rFonts w:ascii="Times New Roman" w:hAnsi="Times New Roman" w:cs="Times New Roman"/>
          <w:kern w:val="44"/>
          <w:szCs w:val="24"/>
        </w:rPr>
        <w:t>T</w:t>
      </w:r>
      <w:r>
        <w:rPr>
          <w:rFonts w:ascii="Times New Roman" w:hAnsi="Times New Roman" w:cs="Times New Roman"/>
          <w:caps w:val="0"/>
          <w:szCs w:val="24"/>
        </w:rPr>
        <w:t>erms and symbols</w:t>
      </w:r>
      <w:r>
        <w:rPr>
          <w:rFonts w:ascii="Times New Roman" w:hAnsi="Times New Roman" w:cs="Times New Roman"/>
          <w:szCs w:val="24"/>
        </w:rPr>
        <w:tab/>
      </w:r>
      <w:r>
        <w:rPr>
          <w:rFonts w:ascii="Times New Roman" w:hAnsi="Times New Roman" w:cs="Times New Roman"/>
          <w:szCs w:val="24"/>
        </w:rPr>
        <w:t>2</w:t>
      </w:r>
      <w:r>
        <w:rPr>
          <w:rFonts w:ascii="Times New Roman" w:hAnsi="Times New Roman" w:cs="Times New Roman"/>
          <w:szCs w:val="24"/>
        </w:rPr>
        <w:fldChar w:fldCharType="end"/>
      </w:r>
    </w:p>
    <w:p w14:paraId="15201E3F">
      <w:pPr>
        <w:pStyle w:val="30"/>
        <w:tabs>
          <w:tab w:val="right" w:leader="dot" w:pos="8306"/>
        </w:tabs>
        <w:rPr>
          <w:rFonts w:ascii="Times New Roman" w:hAnsi="Times New Roman" w:cs="Times New Roman"/>
          <w:szCs w:val="24"/>
        </w:rPr>
      </w:pPr>
      <w:r>
        <w:fldChar w:fldCharType="begin"/>
      </w:r>
      <w:r>
        <w:instrText xml:space="preserve"> HYPERLINK \l "_Toc21524" </w:instrText>
      </w:r>
      <w:r>
        <w:fldChar w:fldCharType="separate"/>
      </w:r>
      <w:r>
        <w:rPr>
          <w:rFonts w:ascii="Times New Roman" w:hAnsi="Times New Roman" w:cs="Times New Roman"/>
          <w:szCs w:val="24"/>
        </w:rPr>
        <w:t xml:space="preserve">2.1  </w:t>
      </w:r>
      <w:r>
        <w:rPr>
          <w:rFonts w:ascii="Times New Roman" w:hAnsi="Times New Roman" w:cs="Times New Roman"/>
          <w:caps/>
          <w:smallCaps w:val="0"/>
          <w:kern w:val="44"/>
          <w:szCs w:val="24"/>
        </w:rPr>
        <w:t>T</w:t>
      </w:r>
      <w:r>
        <w:rPr>
          <w:rFonts w:ascii="Times New Roman" w:hAnsi="Times New Roman" w:cs="Times New Roman"/>
          <w:smallCaps w:val="0"/>
          <w:szCs w:val="24"/>
        </w:rPr>
        <w:t>erms</w:t>
      </w:r>
      <w:r>
        <w:rPr>
          <w:rFonts w:ascii="Times New Roman" w:hAnsi="Times New Roman" w:cs="Times New Roman"/>
          <w:szCs w:val="24"/>
        </w:rPr>
        <w:tab/>
      </w:r>
      <w:r>
        <w:rPr>
          <w:rFonts w:ascii="Times New Roman" w:hAnsi="Times New Roman" w:cs="Times New Roman"/>
          <w:szCs w:val="24"/>
        </w:rPr>
        <w:t>2</w:t>
      </w:r>
      <w:r>
        <w:rPr>
          <w:rFonts w:ascii="Times New Roman" w:hAnsi="Times New Roman" w:cs="Times New Roman"/>
          <w:szCs w:val="24"/>
        </w:rPr>
        <w:fldChar w:fldCharType="end"/>
      </w:r>
    </w:p>
    <w:p w14:paraId="2169A9FB">
      <w:pPr>
        <w:pStyle w:val="30"/>
        <w:tabs>
          <w:tab w:val="right" w:leader="dot" w:pos="8306"/>
        </w:tabs>
        <w:rPr>
          <w:rFonts w:ascii="Times New Roman" w:hAnsi="Times New Roman" w:cs="Times New Roman"/>
          <w:szCs w:val="24"/>
        </w:rPr>
      </w:pPr>
      <w:r>
        <w:fldChar w:fldCharType="begin"/>
      </w:r>
      <w:r>
        <w:instrText xml:space="preserve"> HYPERLINK \l "_Toc8507" </w:instrText>
      </w:r>
      <w:r>
        <w:fldChar w:fldCharType="separate"/>
      </w:r>
      <w:r>
        <w:rPr>
          <w:rFonts w:ascii="Times New Roman" w:hAnsi="Times New Roman" w:cs="Times New Roman"/>
          <w:szCs w:val="24"/>
        </w:rPr>
        <w:t xml:space="preserve">2.2  </w:t>
      </w:r>
      <w:r>
        <w:rPr>
          <w:rFonts w:ascii="Times New Roman" w:hAnsi="Times New Roman" w:cs="Times New Roman"/>
          <w:caps/>
          <w:smallCaps w:val="0"/>
          <w:kern w:val="44"/>
          <w:szCs w:val="24"/>
        </w:rPr>
        <w:t>S</w:t>
      </w:r>
      <w:r>
        <w:rPr>
          <w:rFonts w:ascii="Times New Roman" w:hAnsi="Times New Roman" w:cs="Times New Roman"/>
          <w:smallCaps w:val="0"/>
          <w:szCs w:val="24"/>
        </w:rPr>
        <w:t>ymbols</w:t>
      </w:r>
      <w:r>
        <w:rPr>
          <w:rFonts w:ascii="Times New Roman" w:hAnsi="Times New Roman" w:cs="Times New Roman"/>
          <w:szCs w:val="24"/>
        </w:rPr>
        <w:tab/>
      </w:r>
      <w:r>
        <w:rPr>
          <w:rFonts w:ascii="Times New Roman" w:hAnsi="Times New Roman" w:cs="Times New Roman"/>
          <w:szCs w:val="24"/>
        </w:rPr>
        <w:fldChar w:fldCharType="end"/>
      </w:r>
      <w:r>
        <w:rPr>
          <w:rFonts w:ascii="Times New Roman" w:hAnsi="Times New Roman" w:cs="Times New Roman"/>
          <w:szCs w:val="24"/>
        </w:rPr>
        <w:t>3</w:t>
      </w:r>
    </w:p>
    <w:p w14:paraId="1151CFF1">
      <w:pPr>
        <w:pStyle w:val="26"/>
        <w:tabs>
          <w:tab w:val="right" w:leader="dot" w:pos="8306"/>
        </w:tabs>
        <w:rPr>
          <w:rFonts w:ascii="Times New Roman" w:hAnsi="Times New Roman" w:cs="Times New Roman"/>
          <w:caps w:val="0"/>
          <w:szCs w:val="24"/>
        </w:rPr>
      </w:pPr>
      <w:r>
        <w:fldChar w:fldCharType="begin"/>
      </w:r>
      <w:r>
        <w:instrText xml:space="preserve"> HYPERLINK \l "_Toc22395" </w:instrText>
      </w:r>
      <w:r>
        <w:fldChar w:fldCharType="separate"/>
      </w:r>
      <w:r>
        <w:rPr>
          <w:rFonts w:ascii="Times New Roman" w:hAnsi="Times New Roman" w:cs="Times New Roman"/>
          <w:caps w:val="0"/>
          <w:szCs w:val="24"/>
        </w:rPr>
        <w:t>3  Basic requirements</w:t>
      </w:r>
      <w:r>
        <w:rPr>
          <w:rFonts w:ascii="Times New Roman" w:hAnsi="Times New Roman" w:cs="Times New Roman"/>
          <w:caps w:val="0"/>
          <w:szCs w:val="24"/>
        </w:rPr>
        <w:tab/>
      </w:r>
      <w:r>
        <w:rPr>
          <w:rFonts w:ascii="Times New Roman" w:hAnsi="Times New Roman" w:cs="Times New Roman"/>
          <w:caps w:val="0"/>
          <w:szCs w:val="24"/>
        </w:rPr>
        <w:t>6</w:t>
      </w:r>
      <w:r>
        <w:rPr>
          <w:rFonts w:ascii="Times New Roman" w:hAnsi="Times New Roman" w:cs="Times New Roman"/>
          <w:caps w:val="0"/>
          <w:szCs w:val="24"/>
        </w:rPr>
        <w:fldChar w:fldCharType="end"/>
      </w:r>
    </w:p>
    <w:p w14:paraId="1328EC93">
      <w:pPr>
        <w:pStyle w:val="26"/>
        <w:tabs>
          <w:tab w:val="right" w:leader="dot" w:pos="8306"/>
        </w:tabs>
        <w:rPr>
          <w:rFonts w:ascii="Times New Roman" w:hAnsi="Times New Roman" w:cs="Times New Roman"/>
          <w:szCs w:val="24"/>
        </w:rPr>
      </w:pPr>
      <w:r>
        <w:fldChar w:fldCharType="begin"/>
      </w:r>
      <w:r>
        <w:instrText xml:space="preserve"> HYPERLINK \l "_Toc13196" </w:instrText>
      </w:r>
      <w:r>
        <w:fldChar w:fldCharType="separate"/>
      </w:r>
      <w:r>
        <w:rPr>
          <w:rFonts w:ascii="Times New Roman" w:hAnsi="Times New Roman" w:cs="Times New Roman"/>
          <w:caps w:val="0"/>
          <w:szCs w:val="24"/>
        </w:rPr>
        <w:t>4  Engineering investigation</w:t>
      </w:r>
      <w:r>
        <w:rPr>
          <w:rFonts w:ascii="Times New Roman" w:hAnsi="Times New Roman" w:cs="Times New Roman"/>
          <w:caps w:val="0"/>
          <w:szCs w:val="24"/>
        </w:rPr>
        <w:tab/>
      </w:r>
      <w:r>
        <w:rPr>
          <w:rFonts w:ascii="Times New Roman" w:hAnsi="Times New Roman" w:cs="Times New Roman"/>
          <w:caps w:val="0"/>
          <w:szCs w:val="24"/>
        </w:rPr>
        <w:t>7</w:t>
      </w:r>
      <w:r>
        <w:rPr>
          <w:rFonts w:ascii="Times New Roman" w:hAnsi="Times New Roman" w:cs="Times New Roman"/>
          <w:caps w:val="0"/>
          <w:szCs w:val="24"/>
        </w:rPr>
        <w:fldChar w:fldCharType="end"/>
      </w:r>
    </w:p>
    <w:p w14:paraId="7BF024D8">
      <w:pPr>
        <w:pStyle w:val="30"/>
        <w:tabs>
          <w:tab w:val="right" w:leader="dot" w:pos="8306"/>
        </w:tabs>
        <w:rPr>
          <w:rFonts w:ascii="Times New Roman" w:hAnsi="Times New Roman" w:cs="Times New Roman"/>
          <w:szCs w:val="24"/>
        </w:rPr>
      </w:pPr>
      <w:r>
        <w:fldChar w:fldCharType="begin"/>
      </w:r>
      <w:r>
        <w:instrText xml:space="preserve"> HYPERLINK \l "_Toc23322" </w:instrText>
      </w:r>
      <w:r>
        <w:fldChar w:fldCharType="separate"/>
      </w:r>
      <w:r>
        <w:rPr>
          <w:rFonts w:ascii="Times New Roman" w:hAnsi="Times New Roman" w:cs="Times New Roman"/>
          <w:szCs w:val="24"/>
        </w:rPr>
        <w:t>4.1  G</w:t>
      </w:r>
      <w:r>
        <w:rPr>
          <w:rFonts w:ascii="Times New Roman" w:hAnsi="Times New Roman" w:cs="Times New Roman"/>
          <w:smallCaps w:val="0"/>
          <w:szCs w:val="24"/>
        </w:rPr>
        <w:t>eneral requirements</w:t>
      </w:r>
      <w:r>
        <w:rPr>
          <w:rFonts w:ascii="Times New Roman" w:hAnsi="Times New Roman" w:cs="Times New Roman"/>
          <w:szCs w:val="24"/>
        </w:rPr>
        <w:tab/>
      </w:r>
      <w:r>
        <w:rPr>
          <w:rFonts w:ascii="Times New Roman" w:hAnsi="Times New Roman" w:cs="Times New Roman"/>
          <w:szCs w:val="24"/>
        </w:rPr>
        <w:fldChar w:fldCharType="end"/>
      </w:r>
      <w:r>
        <w:rPr>
          <w:rFonts w:ascii="Times New Roman" w:hAnsi="Times New Roman" w:cs="Times New Roman"/>
          <w:szCs w:val="24"/>
        </w:rPr>
        <w:t>7</w:t>
      </w:r>
    </w:p>
    <w:p w14:paraId="6A61BD11">
      <w:pPr>
        <w:pStyle w:val="30"/>
        <w:tabs>
          <w:tab w:val="right" w:leader="dot" w:pos="8306"/>
        </w:tabs>
        <w:rPr>
          <w:rFonts w:ascii="Times New Roman" w:hAnsi="Times New Roman" w:cs="Times New Roman"/>
          <w:szCs w:val="24"/>
        </w:rPr>
      </w:pPr>
      <w:r>
        <w:fldChar w:fldCharType="begin"/>
      </w:r>
      <w:r>
        <w:instrText xml:space="preserve"> HYPERLINK \l "_Toc18594" </w:instrText>
      </w:r>
      <w:r>
        <w:fldChar w:fldCharType="separate"/>
      </w:r>
      <w:r>
        <w:rPr>
          <w:rFonts w:ascii="Times New Roman" w:hAnsi="Times New Roman" w:cs="Times New Roman"/>
          <w:szCs w:val="24"/>
        </w:rPr>
        <w:t>4.2  P</w:t>
      </w:r>
      <w:r>
        <w:rPr>
          <w:rFonts w:ascii="Times New Roman" w:hAnsi="Times New Roman" w:cs="Times New Roman"/>
          <w:smallCaps w:val="0"/>
          <w:szCs w:val="24"/>
        </w:rPr>
        <w:t>rospecting hole</w:t>
      </w:r>
      <w:r>
        <w:rPr>
          <w:rFonts w:ascii="Times New Roman" w:hAnsi="Times New Roman" w:cs="Times New Roman"/>
          <w:szCs w:val="24"/>
        </w:rPr>
        <w:tab/>
      </w:r>
      <w:r>
        <w:rPr>
          <w:rFonts w:ascii="Times New Roman" w:hAnsi="Times New Roman" w:cs="Times New Roman"/>
          <w:szCs w:val="24"/>
        </w:rPr>
        <w:fldChar w:fldCharType="end"/>
      </w:r>
      <w:r>
        <w:rPr>
          <w:rFonts w:ascii="Times New Roman" w:hAnsi="Times New Roman" w:cs="Times New Roman"/>
          <w:szCs w:val="24"/>
        </w:rPr>
        <w:t>7</w:t>
      </w:r>
    </w:p>
    <w:p w14:paraId="0D808D07">
      <w:pPr>
        <w:pStyle w:val="30"/>
        <w:tabs>
          <w:tab w:val="right" w:leader="dot" w:pos="8306"/>
        </w:tabs>
        <w:rPr>
          <w:rFonts w:ascii="Times New Roman" w:hAnsi="Times New Roman" w:cs="Times New Roman"/>
          <w:szCs w:val="24"/>
        </w:rPr>
      </w:pPr>
      <w:r>
        <w:fldChar w:fldCharType="begin"/>
      </w:r>
      <w:r>
        <w:instrText xml:space="preserve"> HYPERLINK \l "_Toc19746" </w:instrText>
      </w:r>
      <w:r>
        <w:fldChar w:fldCharType="separate"/>
      </w:r>
      <w:r>
        <w:rPr>
          <w:rFonts w:ascii="Times New Roman" w:hAnsi="Times New Roman" w:cs="Times New Roman"/>
          <w:szCs w:val="24"/>
        </w:rPr>
        <w:t>4.3  G</w:t>
      </w:r>
      <w:r>
        <w:rPr>
          <w:rFonts w:ascii="Times New Roman" w:hAnsi="Times New Roman" w:cs="Times New Roman"/>
          <w:smallCaps w:val="0"/>
          <w:szCs w:val="24"/>
        </w:rPr>
        <w:t>roundwater investigation</w:t>
      </w:r>
      <w:r>
        <w:rPr>
          <w:rFonts w:ascii="Times New Roman" w:hAnsi="Times New Roman" w:cs="Times New Roman"/>
          <w:szCs w:val="24"/>
        </w:rPr>
        <w:tab/>
      </w:r>
      <w:r>
        <w:rPr>
          <w:rFonts w:ascii="Times New Roman" w:hAnsi="Times New Roman" w:cs="Times New Roman"/>
          <w:szCs w:val="24"/>
        </w:rPr>
        <w:fldChar w:fldCharType="end"/>
      </w:r>
      <w:r>
        <w:rPr>
          <w:rFonts w:ascii="Times New Roman" w:hAnsi="Times New Roman" w:cs="Times New Roman"/>
          <w:szCs w:val="24"/>
        </w:rPr>
        <w:t>8</w:t>
      </w:r>
    </w:p>
    <w:p w14:paraId="65D083F6">
      <w:pPr>
        <w:pStyle w:val="30"/>
        <w:tabs>
          <w:tab w:val="right" w:leader="dot" w:pos="8306"/>
        </w:tabs>
        <w:rPr>
          <w:rFonts w:ascii="Times New Roman" w:hAnsi="Times New Roman" w:cs="Times New Roman"/>
          <w:szCs w:val="24"/>
        </w:rPr>
      </w:pPr>
      <w:r>
        <w:fldChar w:fldCharType="begin"/>
      </w:r>
      <w:r>
        <w:instrText xml:space="preserve"> HYPERLINK \l "_Toc11082" </w:instrText>
      </w:r>
      <w:r>
        <w:fldChar w:fldCharType="separate"/>
      </w:r>
      <w:r>
        <w:rPr>
          <w:rFonts w:ascii="Times New Roman" w:hAnsi="Times New Roman" w:cs="Times New Roman"/>
          <w:szCs w:val="24"/>
        </w:rPr>
        <w:t>4.4  G</w:t>
      </w:r>
      <w:r>
        <w:rPr>
          <w:rFonts w:ascii="Times New Roman" w:hAnsi="Times New Roman" w:cs="Times New Roman"/>
          <w:smallCaps w:val="0"/>
          <w:szCs w:val="24"/>
        </w:rPr>
        <w:t>eological survey report</w:t>
      </w:r>
      <w:r>
        <w:rPr>
          <w:rFonts w:ascii="Times New Roman" w:hAnsi="Times New Roman" w:cs="Times New Roman"/>
          <w:szCs w:val="24"/>
        </w:rPr>
        <w:tab/>
      </w:r>
      <w:r>
        <w:rPr>
          <w:rFonts w:ascii="Times New Roman" w:hAnsi="Times New Roman" w:cs="Times New Roman"/>
          <w:szCs w:val="24"/>
        </w:rPr>
        <w:fldChar w:fldCharType="end"/>
      </w:r>
      <w:r>
        <w:rPr>
          <w:rFonts w:ascii="Times New Roman" w:hAnsi="Times New Roman" w:cs="Times New Roman"/>
          <w:szCs w:val="24"/>
        </w:rPr>
        <w:t>9</w:t>
      </w:r>
    </w:p>
    <w:p w14:paraId="186678DC">
      <w:pPr>
        <w:pStyle w:val="30"/>
        <w:tabs>
          <w:tab w:val="right" w:leader="dot" w:pos="8306"/>
        </w:tabs>
        <w:rPr>
          <w:rFonts w:ascii="Times New Roman" w:hAnsi="Times New Roman" w:cs="Times New Roman"/>
          <w:szCs w:val="24"/>
        </w:rPr>
      </w:pPr>
      <w:r>
        <w:fldChar w:fldCharType="begin"/>
      </w:r>
      <w:r>
        <w:instrText xml:space="preserve"> HYPERLINK \l "_Toc5385" </w:instrText>
      </w:r>
      <w:r>
        <w:fldChar w:fldCharType="separate"/>
      </w:r>
      <w:r>
        <w:rPr>
          <w:rFonts w:ascii="Times New Roman" w:hAnsi="Times New Roman" w:cs="Times New Roman"/>
          <w:szCs w:val="24"/>
        </w:rPr>
        <w:t xml:space="preserve">4.5  </w:t>
      </w:r>
      <w:r>
        <w:rPr>
          <w:rFonts w:ascii="Times New Roman" w:hAnsi="Times New Roman" w:cs="Times New Roman"/>
          <w:smallCaps w:val="0"/>
          <w:szCs w:val="24"/>
        </w:rPr>
        <w:t>Detection of underground pipelines and obstacles</w:t>
      </w:r>
      <w:r>
        <w:rPr>
          <w:rFonts w:ascii="Times New Roman" w:hAnsi="Times New Roman" w:cs="Times New Roman"/>
          <w:szCs w:val="24"/>
        </w:rPr>
        <w:tab/>
      </w:r>
      <w:r>
        <w:rPr>
          <w:rFonts w:ascii="Times New Roman" w:hAnsi="Times New Roman" w:cs="Times New Roman"/>
          <w:szCs w:val="24"/>
        </w:rPr>
        <w:t>1</w:t>
      </w:r>
      <w:r>
        <w:rPr>
          <w:rFonts w:ascii="Times New Roman" w:hAnsi="Times New Roman" w:cs="Times New Roman"/>
          <w:szCs w:val="24"/>
        </w:rPr>
        <w:fldChar w:fldCharType="end"/>
      </w:r>
      <w:r>
        <w:rPr>
          <w:rFonts w:ascii="Times New Roman" w:hAnsi="Times New Roman" w:cs="Times New Roman"/>
          <w:szCs w:val="24"/>
        </w:rPr>
        <w:t>0</w:t>
      </w:r>
    </w:p>
    <w:p w14:paraId="2A113D16">
      <w:pPr>
        <w:pStyle w:val="26"/>
        <w:tabs>
          <w:tab w:val="right" w:leader="dot" w:pos="8306"/>
        </w:tabs>
        <w:rPr>
          <w:rFonts w:ascii="Times New Roman" w:hAnsi="Times New Roman" w:cs="Times New Roman"/>
          <w:szCs w:val="24"/>
        </w:rPr>
      </w:pPr>
      <w:r>
        <w:fldChar w:fldCharType="begin"/>
      </w:r>
      <w:r>
        <w:instrText xml:space="preserve"> HYPERLINK \l "_Toc13719" </w:instrText>
      </w:r>
      <w:r>
        <w:fldChar w:fldCharType="separate"/>
      </w:r>
      <w:r>
        <w:rPr>
          <w:rFonts w:ascii="Times New Roman" w:hAnsi="Times New Roman" w:cs="Times New Roman" w:eastAsiaTheme="minorEastAsia"/>
          <w:szCs w:val="24"/>
        </w:rPr>
        <w:t>5  P</w:t>
      </w:r>
      <w:r>
        <w:rPr>
          <w:rFonts w:ascii="Times New Roman" w:hAnsi="Times New Roman" w:cs="Times New Roman"/>
          <w:caps w:val="0"/>
          <w:szCs w:val="24"/>
        </w:rPr>
        <w:t>ipe jacking design</w:t>
      </w:r>
      <w:r>
        <w:rPr>
          <w:rFonts w:ascii="Times New Roman" w:hAnsi="Times New Roman" w:cs="Times New Roman"/>
          <w:szCs w:val="24"/>
        </w:rPr>
        <w:tab/>
      </w:r>
      <w:r>
        <w:rPr>
          <w:rFonts w:ascii="Times New Roman" w:hAnsi="Times New Roman" w:cs="Times New Roman"/>
          <w:szCs w:val="24"/>
        </w:rPr>
        <w:t>1</w:t>
      </w:r>
      <w:r>
        <w:rPr>
          <w:rFonts w:ascii="Times New Roman" w:hAnsi="Times New Roman" w:cs="Times New Roman"/>
          <w:szCs w:val="24"/>
        </w:rPr>
        <w:fldChar w:fldCharType="end"/>
      </w:r>
      <w:r>
        <w:rPr>
          <w:rFonts w:ascii="Times New Roman" w:hAnsi="Times New Roman" w:cs="Times New Roman"/>
          <w:szCs w:val="24"/>
        </w:rPr>
        <w:t>2</w:t>
      </w:r>
    </w:p>
    <w:p w14:paraId="2CCDF711">
      <w:pPr>
        <w:pStyle w:val="30"/>
        <w:tabs>
          <w:tab w:val="right" w:leader="dot" w:pos="8306"/>
        </w:tabs>
        <w:rPr>
          <w:rFonts w:ascii="Times New Roman" w:hAnsi="Times New Roman" w:cs="Times New Roman"/>
          <w:szCs w:val="24"/>
        </w:rPr>
      </w:pPr>
      <w:r>
        <w:fldChar w:fldCharType="begin"/>
      </w:r>
      <w:r>
        <w:instrText xml:space="preserve"> HYPERLINK \l "_Toc15171" </w:instrText>
      </w:r>
      <w:r>
        <w:fldChar w:fldCharType="separate"/>
      </w:r>
      <w:r>
        <w:rPr>
          <w:rFonts w:ascii="Times New Roman" w:hAnsi="Times New Roman" w:cs="Times New Roman"/>
          <w:szCs w:val="24"/>
        </w:rPr>
        <w:t>5.1  G</w:t>
      </w:r>
      <w:r>
        <w:rPr>
          <w:rFonts w:ascii="Times New Roman" w:hAnsi="Times New Roman" w:cs="Times New Roman"/>
          <w:smallCaps w:val="0"/>
          <w:szCs w:val="24"/>
        </w:rPr>
        <w:t>eneral requirements</w:t>
      </w:r>
      <w:r>
        <w:rPr>
          <w:rFonts w:ascii="Times New Roman" w:hAnsi="Times New Roman" w:cs="Times New Roman"/>
          <w:szCs w:val="24"/>
        </w:rPr>
        <w:tab/>
      </w:r>
      <w:r>
        <w:rPr>
          <w:rFonts w:ascii="Times New Roman" w:hAnsi="Times New Roman" w:cs="Times New Roman"/>
          <w:szCs w:val="24"/>
        </w:rPr>
        <w:fldChar w:fldCharType="end"/>
      </w:r>
      <w:r>
        <w:rPr>
          <w:rFonts w:ascii="Times New Roman" w:hAnsi="Times New Roman" w:cs="Times New Roman"/>
          <w:szCs w:val="24"/>
        </w:rPr>
        <w:t>12</w:t>
      </w:r>
    </w:p>
    <w:p w14:paraId="0DA35481">
      <w:pPr>
        <w:pStyle w:val="30"/>
        <w:tabs>
          <w:tab w:val="right" w:leader="dot" w:pos="8306"/>
        </w:tabs>
        <w:rPr>
          <w:rFonts w:ascii="Times New Roman" w:hAnsi="Times New Roman" w:cs="Times New Roman"/>
          <w:szCs w:val="24"/>
        </w:rPr>
      </w:pPr>
      <w:r>
        <w:fldChar w:fldCharType="begin"/>
      </w:r>
      <w:r>
        <w:instrText xml:space="preserve"> HYPERLINK \l "_Toc12841" </w:instrText>
      </w:r>
      <w:r>
        <w:fldChar w:fldCharType="separate"/>
      </w:r>
      <w:r>
        <w:rPr>
          <w:rFonts w:ascii="Times New Roman" w:hAnsi="Times New Roman" w:cs="Times New Roman"/>
          <w:szCs w:val="24"/>
        </w:rPr>
        <w:t>5.2  P</w:t>
      </w:r>
      <w:r>
        <w:rPr>
          <w:rFonts w:ascii="Times New Roman" w:hAnsi="Times New Roman" w:cs="Times New Roman"/>
          <w:smallCaps w:val="0"/>
          <w:szCs w:val="24"/>
        </w:rPr>
        <w:t>ipe jacking position design</w:t>
      </w:r>
      <w:r>
        <w:rPr>
          <w:rFonts w:ascii="Times New Roman" w:hAnsi="Times New Roman" w:cs="Times New Roman"/>
          <w:szCs w:val="24"/>
        </w:rPr>
        <w:tab/>
      </w:r>
      <w:r>
        <w:rPr>
          <w:rFonts w:ascii="Times New Roman" w:hAnsi="Times New Roman" w:cs="Times New Roman"/>
          <w:szCs w:val="24"/>
        </w:rPr>
        <w:t>1</w:t>
      </w:r>
      <w:r>
        <w:rPr>
          <w:rFonts w:ascii="Times New Roman" w:hAnsi="Times New Roman" w:cs="Times New Roman"/>
          <w:szCs w:val="24"/>
        </w:rPr>
        <w:fldChar w:fldCharType="end"/>
      </w:r>
      <w:r>
        <w:rPr>
          <w:rFonts w:ascii="Times New Roman" w:hAnsi="Times New Roman" w:cs="Times New Roman"/>
          <w:szCs w:val="24"/>
        </w:rPr>
        <w:t>3</w:t>
      </w:r>
    </w:p>
    <w:p w14:paraId="3452006F">
      <w:pPr>
        <w:pStyle w:val="30"/>
        <w:tabs>
          <w:tab w:val="right" w:leader="dot" w:pos="8306"/>
        </w:tabs>
        <w:rPr>
          <w:rFonts w:ascii="Times New Roman" w:hAnsi="Times New Roman" w:cs="Times New Roman"/>
          <w:szCs w:val="24"/>
        </w:rPr>
      </w:pPr>
      <w:r>
        <w:fldChar w:fldCharType="begin"/>
      </w:r>
      <w:r>
        <w:instrText xml:space="preserve"> HYPERLINK \l "_Toc15332" </w:instrText>
      </w:r>
      <w:r>
        <w:fldChar w:fldCharType="separate"/>
      </w:r>
      <w:r>
        <w:rPr>
          <w:rFonts w:ascii="Times New Roman" w:hAnsi="Times New Roman" w:cs="Times New Roman"/>
          <w:szCs w:val="24"/>
        </w:rPr>
        <w:t xml:space="preserve">5.3  </w:t>
      </w:r>
      <w:r>
        <w:rPr>
          <w:rFonts w:hint="eastAsia" w:ascii="Times New Roman" w:hAnsi="Times New Roman" w:cs="Times New Roman"/>
          <w:szCs w:val="24"/>
        </w:rPr>
        <w:t>a</w:t>
      </w:r>
      <w:r>
        <w:rPr>
          <w:rFonts w:hint="eastAsia" w:ascii="Times New Roman" w:hAnsi="Times New Roman" w:cs="Times New Roman"/>
          <w:smallCaps w:val="0"/>
          <w:szCs w:val="24"/>
        </w:rPr>
        <w:t>ction</w:t>
      </w:r>
      <w:r>
        <w:rPr>
          <w:rFonts w:ascii="Times New Roman" w:hAnsi="Times New Roman" w:cs="Times New Roman"/>
          <w:szCs w:val="24"/>
        </w:rPr>
        <w:tab/>
      </w:r>
      <w:r>
        <w:rPr>
          <w:rFonts w:ascii="Times New Roman" w:hAnsi="Times New Roman" w:cs="Times New Roman"/>
          <w:szCs w:val="24"/>
        </w:rPr>
        <w:t>1</w:t>
      </w:r>
      <w:r>
        <w:rPr>
          <w:rFonts w:ascii="Times New Roman" w:hAnsi="Times New Roman" w:cs="Times New Roman"/>
          <w:szCs w:val="24"/>
        </w:rPr>
        <w:fldChar w:fldCharType="end"/>
      </w:r>
      <w:r>
        <w:rPr>
          <w:rFonts w:ascii="Times New Roman" w:hAnsi="Times New Roman" w:cs="Times New Roman"/>
          <w:szCs w:val="24"/>
        </w:rPr>
        <w:t>3</w:t>
      </w:r>
    </w:p>
    <w:p w14:paraId="094A330D">
      <w:pPr>
        <w:pStyle w:val="30"/>
        <w:tabs>
          <w:tab w:val="right" w:leader="dot" w:pos="8306"/>
        </w:tabs>
        <w:rPr>
          <w:rFonts w:ascii="Times New Roman" w:hAnsi="Times New Roman" w:cs="Times New Roman"/>
          <w:szCs w:val="24"/>
        </w:rPr>
      </w:pPr>
      <w:r>
        <w:fldChar w:fldCharType="begin"/>
      </w:r>
      <w:r>
        <w:instrText xml:space="preserve"> HYPERLINK \l "_Toc223" </w:instrText>
      </w:r>
      <w:r>
        <w:fldChar w:fldCharType="separate"/>
      </w:r>
      <w:r>
        <w:rPr>
          <w:rFonts w:ascii="Times New Roman" w:hAnsi="Times New Roman" w:cs="Times New Roman"/>
          <w:szCs w:val="24"/>
        </w:rPr>
        <w:t>5.4  S</w:t>
      </w:r>
      <w:r>
        <w:rPr>
          <w:rFonts w:ascii="Times New Roman" w:hAnsi="Times New Roman" w:cs="Times New Roman"/>
          <w:smallCaps w:val="0"/>
          <w:szCs w:val="24"/>
        </w:rPr>
        <w:t>egment structural design</w:t>
      </w:r>
      <w:r>
        <w:rPr>
          <w:rFonts w:ascii="Times New Roman" w:hAnsi="Times New Roman" w:cs="Times New Roman"/>
          <w:szCs w:val="24"/>
        </w:rPr>
        <w:tab/>
      </w:r>
      <w:r>
        <w:rPr>
          <w:rFonts w:ascii="Times New Roman" w:hAnsi="Times New Roman" w:cs="Times New Roman"/>
          <w:szCs w:val="24"/>
        </w:rPr>
        <w:t>1</w:t>
      </w:r>
      <w:r>
        <w:rPr>
          <w:rFonts w:ascii="Times New Roman" w:hAnsi="Times New Roman" w:cs="Times New Roman"/>
          <w:szCs w:val="24"/>
        </w:rPr>
        <w:fldChar w:fldCharType="end"/>
      </w:r>
      <w:r>
        <w:rPr>
          <w:rFonts w:ascii="Times New Roman" w:hAnsi="Times New Roman" w:cs="Times New Roman"/>
          <w:szCs w:val="24"/>
        </w:rPr>
        <w:t>5</w:t>
      </w:r>
    </w:p>
    <w:p w14:paraId="34A58A43">
      <w:pPr>
        <w:pStyle w:val="30"/>
        <w:tabs>
          <w:tab w:val="right" w:leader="dot" w:pos="8306"/>
        </w:tabs>
        <w:rPr>
          <w:rFonts w:ascii="Times New Roman" w:hAnsi="Times New Roman" w:cs="Times New Roman"/>
          <w:szCs w:val="24"/>
        </w:rPr>
      </w:pPr>
      <w:r>
        <w:fldChar w:fldCharType="begin"/>
      </w:r>
      <w:r>
        <w:instrText xml:space="preserve"> HYPERLINK \l "_Toc17182" </w:instrText>
      </w:r>
      <w:r>
        <w:fldChar w:fldCharType="separate"/>
      </w:r>
      <w:r>
        <w:rPr>
          <w:rFonts w:ascii="Times New Roman" w:hAnsi="Times New Roman" w:cs="Times New Roman"/>
          <w:szCs w:val="24"/>
        </w:rPr>
        <w:t>5.5  S</w:t>
      </w:r>
      <w:r>
        <w:rPr>
          <w:rFonts w:ascii="Times New Roman" w:hAnsi="Times New Roman" w:cs="Times New Roman"/>
          <w:smallCaps w:val="0"/>
          <w:szCs w:val="24"/>
        </w:rPr>
        <w:t>egment construction design</w:t>
      </w:r>
      <w:r>
        <w:rPr>
          <w:rFonts w:ascii="Times New Roman" w:hAnsi="Times New Roman" w:cs="Times New Roman"/>
          <w:szCs w:val="24"/>
        </w:rPr>
        <w:tab/>
      </w:r>
      <w:r>
        <w:rPr>
          <w:rFonts w:ascii="Times New Roman" w:hAnsi="Times New Roman" w:cs="Times New Roman"/>
          <w:szCs w:val="24"/>
        </w:rPr>
        <w:t>17</w:t>
      </w:r>
      <w:r>
        <w:rPr>
          <w:rFonts w:ascii="Times New Roman" w:hAnsi="Times New Roman" w:cs="Times New Roman"/>
          <w:szCs w:val="24"/>
        </w:rPr>
        <w:fldChar w:fldCharType="end"/>
      </w:r>
    </w:p>
    <w:p w14:paraId="2C454E5A">
      <w:pPr>
        <w:pStyle w:val="30"/>
        <w:tabs>
          <w:tab w:val="right" w:leader="dot" w:pos="8306"/>
        </w:tabs>
        <w:rPr>
          <w:rFonts w:ascii="Times New Roman" w:hAnsi="Times New Roman" w:cs="Times New Roman"/>
          <w:szCs w:val="24"/>
        </w:rPr>
      </w:pPr>
      <w:r>
        <w:fldChar w:fldCharType="begin"/>
      </w:r>
      <w:r>
        <w:instrText xml:space="preserve"> HYPERLINK \l "_Toc19203" </w:instrText>
      </w:r>
      <w:r>
        <w:fldChar w:fldCharType="separate"/>
      </w:r>
      <w:r>
        <w:rPr>
          <w:rFonts w:ascii="Times New Roman" w:hAnsi="Times New Roman" w:cs="Times New Roman"/>
          <w:szCs w:val="24"/>
        </w:rPr>
        <w:t>5.6  C</w:t>
      </w:r>
      <w:r>
        <w:rPr>
          <w:rFonts w:ascii="Times New Roman" w:hAnsi="Times New Roman" w:cs="Times New Roman"/>
          <w:smallCaps w:val="0"/>
          <w:szCs w:val="24"/>
        </w:rPr>
        <w:t xml:space="preserve">alculation of total jacking force </w:t>
      </w:r>
      <w:r>
        <w:rPr>
          <w:rFonts w:hint="eastAsia" w:ascii="Times New Roman" w:hAnsi="Times New Roman" w:cs="Times New Roman"/>
          <w:smallCaps w:val="0"/>
          <w:szCs w:val="24"/>
        </w:rPr>
        <w:t>and</w:t>
      </w:r>
      <w:r>
        <w:rPr>
          <w:rFonts w:ascii="Times New Roman" w:hAnsi="Times New Roman" w:cs="Times New Roman"/>
          <w:smallCaps w:val="0"/>
          <w:szCs w:val="24"/>
        </w:rPr>
        <w:t xml:space="preserve"> intermediate jacking station design-rule</w:t>
      </w:r>
      <w:r>
        <w:rPr>
          <w:rFonts w:ascii="Times New Roman" w:hAnsi="Times New Roman" w:cs="Times New Roman"/>
          <w:szCs w:val="24"/>
        </w:rPr>
        <w:tab/>
      </w:r>
      <w:r>
        <w:rPr>
          <w:rFonts w:ascii="Times New Roman" w:hAnsi="Times New Roman" w:cs="Times New Roman"/>
          <w:szCs w:val="24"/>
        </w:rPr>
        <w:t>18</w:t>
      </w:r>
      <w:r>
        <w:rPr>
          <w:rFonts w:ascii="Times New Roman" w:hAnsi="Times New Roman" w:cs="Times New Roman"/>
          <w:szCs w:val="24"/>
        </w:rPr>
        <w:fldChar w:fldCharType="end"/>
      </w:r>
    </w:p>
    <w:p w14:paraId="00E7603D">
      <w:pPr>
        <w:pStyle w:val="30"/>
        <w:tabs>
          <w:tab w:val="right" w:leader="dot" w:pos="8306"/>
        </w:tabs>
        <w:rPr>
          <w:rFonts w:ascii="Times New Roman" w:hAnsi="Times New Roman" w:cs="Times New Roman"/>
          <w:szCs w:val="24"/>
        </w:rPr>
      </w:pPr>
      <w:r>
        <w:fldChar w:fldCharType="begin"/>
      </w:r>
      <w:r>
        <w:instrText xml:space="preserve"> HYPERLINK \l "_Toc8260" </w:instrText>
      </w:r>
      <w:r>
        <w:fldChar w:fldCharType="separate"/>
      </w:r>
      <w:r>
        <w:rPr>
          <w:rFonts w:ascii="Times New Roman" w:hAnsi="Times New Roman" w:cs="Times New Roman"/>
          <w:szCs w:val="24"/>
        </w:rPr>
        <w:t>5.7  W</w:t>
      </w:r>
      <w:r>
        <w:rPr>
          <w:rFonts w:ascii="Times New Roman" w:hAnsi="Times New Roman" w:cs="Times New Roman"/>
          <w:smallCaps w:val="0"/>
          <w:szCs w:val="24"/>
        </w:rPr>
        <w:t>orking shaft design</w:t>
      </w:r>
      <w:r>
        <w:rPr>
          <w:rFonts w:ascii="Times New Roman" w:hAnsi="Times New Roman" w:cs="Times New Roman"/>
          <w:szCs w:val="24"/>
        </w:rPr>
        <w:tab/>
      </w:r>
      <w:r>
        <w:rPr>
          <w:rFonts w:ascii="Times New Roman" w:hAnsi="Times New Roman" w:cs="Times New Roman"/>
          <w:szCs w:val="24"/>
        </w:rPr>
        <w:fldChar w:fldCharType="end"/>
      </w:r>
      <w:r>
        <w:rPr>
          <w:rFonts w:ascii="Times New Roman" w:hAnsi="Times New Roman" w:cs="Times New Roman"/>
          <w:szCs w:val="24"/>
        </w:rPr>
        <w:t>20</w:t>
      </w:r>
    </w:p>
    <w:p w14:paraId="32C73975">
      <w:pPr>
        <w:pStyle w:val="26"/>
        <w:tabs>
          <w:tab w:val="right" w:leader="dot" w:pos="8306"/>
        </w:tabs>
        <w:rPr>
          <w:rFonts w:ascii="Times New Roman" w:hAnsi="Times New Roman" w:cs="Times New Roman"/>
          <w:szCs w:val="24"/>
        </w:rPr>
      </w:pPr>
      <w:r>
        <w:fldChar w:fldCharType="begin"/>
      </w:r>
      <w:r>
        <w:instrText xml:space="preserve"> HYPERLINK \l "_Toc32102" </w:instrText>
      </w:r>
      <w:r>
        <w:fldChar w:fldCharType="separate"/>
      </w:r>
      <w:r>
        <w:rPr>
          <w:rFonts w:ascii="Times New Roman" w:hAnsi="Times New Roman" w:cs="Times New Roman" w:eastAsiaTheme="minorEastAsia"/>
          <w:szCs w:val="24"/>
        </w:rPr>
        <w:t>6  S</w:t>
      </w:r>
      <w:r>
        <w:rPr>
          <w:rFonts w:ascii="Times New Roman" w:hAnsi="Times New Roman" w:cs="Times New Roman"/>
          <w:caps w:val="0"/>
          <w:szCs w:val="24"/>
        </w:rPr>
        <w:t>egmental making</w:t>
      </w:r>
      <w:r>
        <w:rPr>
          <w:rFonts w:ascii="Times New Roman" w:hAnsi="Times New Roman" w:cs="Times New Roman"/>
          <w:szCs w:val="24"/>
        </w:rPr>
        <w:tab/>
      </w:r>
      <w:r>
        <w:rPr>
          <w:rFonts w:ascii="Times New Roman" w:hAnsi="Times New Roman" w:cs="Times New Roman"/>
          <w:szCs w:val="24"/>
        </w:rPr>
        <w:fldChar w:fldCharType="end"/>
      </w:r>
      <w:r>
        <w:rPr>
          <w:rFonts w:ascii="Times New Roman" w:hAnsi="Times New Roman" w:cs="Times New Roman"/>
          <w:szCs w:val="24"/>
        </w:rPr>
        <w:t>25</w:t>
      </w:r>
    </w:p>
    <w:p w14:paraId="46DC9E5E">
      <w:pPr>
        <w:pStyle w:val="30"/>
        <w:tabs>
          <w:tab w:val="right" w:leader="dot" w:pos="8306"/>
        </w:tabs>
        <w:rPr>
          <w:rFonts w:ascii="Times New Roman" w:hAnsi="Times New Roman" w:cs="Times New Roman"/>
          <w:szCs w:val="24"/>
        </w:rPr>
      </w:pPr>
      <w:r>
        <w:fldChar w:fldCharType="begin"/>
      </w:r>
      <w:r>
        <w:instrText xml:space="preserve"> HYPERLINK \l "_Toc15253" </w:instrText>
      </w:r>
      <w:r>
        <w:fldChar w:fldCharType="separate"/>
      </w:r>
      <w:r>
        <w:rPr>
          <w:rFonts w:ascii="Times New Roman" w:hAnsi="Times New Roman" w:cs="Times New Roman"/>
          <w:szCs w:val="24"/>
        </w:rPr>
        <w:t>6.1  G</w:t>
      </w:r>
      <w:r>
        <w:rPr>
          <w:rFonts w:ascii="Times New Roman" w:hAnsi="Times New Roman" w:cs="Times New Roman"/>
          <w:smallCaps w:val="0"/>
          <w:szCs w:val="24"/>
        </w:rPr>
        <w:t>eneral requirements</w:t>
      </w:r>
      <w:r>
        <w:rPr>
          <w:rFonts w:ascii="Times New Roman" w:hAnsi="Times New Roman" w:cs="Times New Roman"/>
          <w:szCs w:val="24"/>
        </w:rPr>
        <w:tab/>
      </w:r>
      <w:r>
        <w:rPr>
          <w:rFonts w:ascii="Times New Roman" w:hAnsi="Times New Roman" w:cs="Times New Roman"/>
          <w:szCs w:val="24"/>
        </w:rPr>
        <w:fldChar w:fldCharType="end"/>
      </w:r>
      <w:r>
        <w:rPr>
          <w:rFonts w:ascii="Times New Roman" w:hAnsi="Times New Roman" w:cs="Times New Roman"/>
          <w:szCs w:val="24"/>
        </w:rPr>
        <w:t>25</w:t>
      </w:r>
    </w:p>
    <w:p w14:paraId="536DD958">
      <w:pPr>
        <w:pStyle w:val="30"/>
        <w:tabs>
          <w:tab w:val="right" w:leader="dot" w:pos="8306"/>
        </w:tabs>
        <w:rPr>
          <w:rFonts w:ascii="Times New Roman" w:hAnsi="Times New Roman" w:cs="Times New Roman"/>
          <w:szCs w:val="24"/>
        </w:rPr>
      </w:pPr>
      <w:r>
        <w:fldChar w:fldCharType="begin"/>
      </w:r>
      <w:r>
        <w:instrText xml:space="preserve"> HYPERLINK \l "_Toc21443" </w:instrText>
      </w:r>
      <w:r>
        <w:fldChar w:fldCharType="separate"/>
      </w:r>
      <w:r>
        <w:rPr>
          <w:rFonts w:ascii="Times New Roman" w:hAnsi="Times New Roman" w:cs="Times New Roman"/>
          <w:szCs w:val="24"/>
        </w:rPr>
        <w:t xml:space="preserve">6.2  </w:t>
      </w:r>
      <w:r>
        <w:rPr>
          <w:rFonts w:ascii="Times New Roman" w:hAnsi="Times New Roman" w:cs="Times New Roman"/>
          <w:smallCaps w:val="0"/>
          <w:szCs w:val="24"/>
        </w:rPr>
        <w:t>Material performance</w:t>
      </w:r>
      <w:r>
        <w:rPr>
          <w:rFonts w:ascii="Times New Roman" w:hAnsi="Times New Roman" w:cs="Times New Roman"/>
          <w:szCs w:val="24"/>
        </w:rPr>
        <w:tab/>
      </w:r>
      <w:r>
        <w:rPr>
          <w:rFonts w:ascii="Times New Roman" w:hAnsi="Times New Roman" w:cs="Times New Roman"/>
          <w:szCs w:val="24"/>
        </w:rPr>
        <w:t>25</w:t>
      </w:r>
      <w:r>
        <w:rPr>
          <w:rFonts w:ascii="Times New Roman" w:hAnsi="Times New Roman" w:cs="Times New Roman"/>
          <w:szCs w:val="24"/>
        </w:rPr>
        <w:fldChar w:fldCharType="end"/>
      </w:r>
    </w:p>
    <w:p w14:paraId="5F3B478D">
      <w:pPr>
        <w:pStyle w:val="30"/>
        <w:tabs>
          <w:tab w:val="right" w:leader="dot" w:pos="8306"/>
        </w:tabs>
        <w:rPr>
          <w:rFonts w:ascii="Times New Roman" w:hAnsi="Times New Roman" w:cs="Times New Roman"/>
          <w:szCs w:val="24"/>
        </w:rPr>
      </w:pPr>
      <w:r>
        <w:fldChar w:fldCharType="begin"/>
      </w:r>
      <w:r>
        <w:instrText xml:space="preserve"> HYPERLINK \l "_Toc12793" </w:instrText>
      </w:r>
      <w:r>
        <w:fldChar w:fldCharType="separate"/>
      </w:r>
      <w:r>
        <w:rPr>
          <w:rFonts w:ascii="Times New Roman" w:hAnsi="Times New Roman" w:cs="Times New Roman"/>
          <w:szCs w:val="24"/>
        </w:rPr>
        <w:t xml:space="preserve">6.3  </w:t>
      </w:r>
      <w:r>
        <w:rPr>
          <w:rFonts w:ascii="Times New Roman" w:hAnsi="Times New Roman" w:cs="Times New Roman"/>
          <w:smallCaps w:val="0"/>
          <w:szCs w:val="24"/>
        </w:rPr>
        <w:t>Joint structure</w:t>
      </w:r>
      <w:r>
        <w:rPr>
          <w:rFonts w:ascii="Times New Roman" w:hAnsi="Times New Roman" w:cs="Times New Roman"/>
          <w:szCs w:val="24"/>
        </w:rPr>
        <w:tab/>
      </w:r>
      <w:r>
        <w:rPr>
          <w:rFonts w:ascii="Times New Roman" w:hAnsi="Times New Roman" w:cs="Times New Roman"/>
          <w:szCs w:val="24"/>
        </w:rPr>
        <w:t>28</w:t>
      </w:r>
      <w:r>
        <w:rPr>
          <w:rFonts w:ascii="Times New Roman" w:hAnsi="Times New Roman" w:cs="Times New Roman"/>
          <w:szCs w:val="24"/>
        </w:rPr>
        <w:fldChar w:fldCharType="end"/>
      </w:r>
    </w:p>
    <w:p w14:paraId="5AF3D9C3">
      <w:pPr>
        <w:pStyle w:val="30"/>
        <w:tabs>
          <w:tab w:val="right" w:leader="dot" w:pos="8306"/>
        </w:tabs>
        <w:rPr>
          <w:rFonts w:ascii="Times New Roman" w:hAnsi="Times New Roman" w:cs="Times New Roman"/>
          <w:szCs w:val="24"/>
        </w:rPr>
      </w:pPr>
      <w:r>
        <w:fldChar w:fldCharType="begin"/>
      </w:r>
      <w:r>
        <w:instrText xml:space="preserve"> HYPERLINK \l "_Toc1610" </w:instrText>
      </w:r>
      <w:r>
        <w:fldChar w:fldCharType="separate"/>
      </w:r>
      <w:r>
        <w:rPr>
          <w:rFonts w:ascii="Times New Roman" w:hAnsi="Times New Roman" w:cs="Times New Roman"/>
          <w:szCs w:val="24"/>
        </w:rPr>
        <w:t>6.4  S</w:t>
      </w:r>
      <w:r>
        <w:rPr>
          <w:rFonts w:ascii="Times New Roman" w:hAnsi="Times New Roman" w:cs="Times New Roman"/>
          <w:smallCaps w:val="0"/>
          <w:szCs w:val="24"/>
        </w:rPr>
        <w:t>egment anticorrosion</w:t>
      </w:r>
      <w:r>
        <w:rPr>
          <w:rFonts w:ascii="Times New Roman" w:hAnsi="Times New Roman" w:cs="Times New Roman"/>
          <w:szCs w:val="24"/>
        </w:rPr>
        <w:tab/>
      </w:r>
      <w:r>
        <w:rPr>
          <w:rFonts w:hint="eastAsia" w:ascii="Times New Roman" w:hAnsi="Times New Roman" w:cs="Times New Roman"/>
          <w:szCs w:val="24"/>
        </w:rPr>
        <w:t>3</w:t>
      </w:r>
      <w:r>
        <w:rPr>
          <w:rFonts w:hint="eastAsia" w:ascii="Times New Roman" w:hAnsi="Times New Roman" w:cs="Times New Roman"/>
          <w:szCs w:val="24"/>
        </w:rPr>
        <w:fldChar w:fldCharType="end"/>
      </w:r>
      <w:r>
        <w:rPr>
          <w:rFonts w:ascii="Times New Roman" w:hAnsi="Times New Roman" w:cs="Times New Roman"/>
          <w:szCs w:val="24"/>
        </w:rPr>
        <w:t>3</w:t>
      </w:r>
    </w:p>
    <w:p w14:paraId="206CDC48">
      <w:pPr>
        <w:pStyle w:val="30"/>
        <w:tabs>
          <w:tab w:val="right" w:leader="dot" w:pos="8306"/>
        </w:tabs>
        <w:rPr>
          <w:rFonts w:ascii="Times New Roman" w:hAnsi="Times New Roman" w:cs="Times New Roman"/>
          <w:szCs w:val="24"/>
        </w:rPr>
      </w:pPr>
      <w:r>
        <w:fldChar w:fldCharType="begin"/>
      </w:r>
      <w:r>
        <w:instrText xml:space="preserve"> HYPERLINK \l "_Toc21231" </w:instrText>
      </w:r>
      <w:r>
        <w:fldChar w:fldCharType="separate"/>
      </w:r>
      <w:r>
        <w:rPr>
          <w:rFonts w:ascii="Times New Roman" w:hAnsi="Times New Roman" w:cs="Times New Roman"/>
          <w:szCs w:val="24"/>
        </w:rPr>
        <w:t>6.5  S</w:t>
      </w:r>
      <w:r>
        <w:rPr>
          <w:rFonts w:ascii="Times New Roman" w:hAnsi="Times New Roman" w:cs="Times New Roman"/>
          <w:smallCaps w:val="0"/>
          <w:szCs w:val="24"/>
        </w:rPr>
        <w:t>egmental precasting</w:t>
      </w:r>
      <w:r>
        <w:rPr>
          <w:rFonts w:ascii="Times New Roman" w:hAnsi="Times New Roman" w:cs="Times New Roman"/>
          <w:szCs w:val="24"/>
        </w:rPr>
        <w:tab/>
      </w:r>
      <w:r>
        <w:rPr>
          <w:rFonts w:ascii="Times New Roman" w:hAnsi="Times New Roman" w:cs="Times New Roman"/>
          <w:szCs w:val="24"/>
        </w:rPr>
        <w:fldChar w:fldCharType="end"/>
      </w:r>
      <w:r>
        <w:rPr>
          <w:rFonts w:hint="eastAsia" w:ascii="Times New Roman" w:hAnsi="Times New Roman" w:cs="Times New Roman"/>
          <w:szCs w:val="24"/>
        </w:rPr>
        <w:t>3</w:t>
      </w:r>
      <w:r>
        <w:rPr>
          <w:rFonts w:ascii="Times New Roman" w:hAnsi="Times New Roman" w:cs="Times New Roman"/>
          <w:szCs w:val="24"/>
        </w:rPr>
        <w:t>4</w:t>
      </w:r>
    </w:p>
    <w:p w14:paraId="41C363C7">
      <w:pPr>
        <w:pStyle w:val="30"/>
        <w:tabs>
          <w:tab w:val="right" w:leader="dot" w:pos="8306"/>
        </w:tabs>
        <w:rPr>
          <w:rFonts w:ascii="Times New Roman" w:hAnsi="Times New Roman" w:cs="Times New Roman"/>
          <w:szCs w:val="24"/>
        </w:rPr>
      </w:pPr>
      <w:r>
        <w:fldChar w:fldCharType="begin"/>
      </w:r>
      <w:r>
        <w:instrText xml:space="preserve"> HYPERLINK \l "_Toc3305" </w:instrText>
      </w:r>
      <w:r>
        <w:fldChar w:fldCharType="separate"/>
      </w:r>
      <w:r>
        <w:rPr>
          <w:rFonts w:ascii="Times New Roman" w:hAnsi="Times New Roman" w:cs="Times New Roman"/>
          <w:szCs w:val="24"/>
        </w:rPr>
        <w:t>6.6  S</w:t>
      </w:r>
      <w:r>
        <w:rPr>
          <w:rFonts w:ascii="Times New Roman" w:hAnsi="Times New Roman" w:cs="Times New Roman"/>
          <w:smallCaps w:val="0"/>
          <w:szCs w:val="24"/>
        </w:rPr>
        <w:t>egment</w:t>
      </w:r>
      <w:r>
        <w:rPr>
          <w:rFonts w:ascii="Times New Roman" w:hAnsi="Times New Roman" w:cs="Times New Roman"/>
          <w:szCs w:val="24"/>
        </w:rPr>
        <w:t xml:space="preserve"> </w:t>
      </w:r>
      <w:r>
        <w:rPr>
          <w:rFonts w:ascii="Times New Roman" w:hAnsi="Times New Roman" w:cs="Times New Roman"/>
          <w:smallCaps w:val="0"/>
          <w:szCs w:val="24"/>
        </w:rPr>
        <w:t>identification、stacking、hoisting and transportation</w:t>
      </w:r>
      <w:r>
        <w:rPr>
          <w:rFonts w:ascii="Times New Roman" w:hAnsi="Times New Roman" w:cs="Times New Roman"/>
          <w:szCs w:val="24"/>
        </w:rPr>
        <w:tab/>
      </w:r>
      <w:r>
        <w:rPr>
          <w:rFonts w:ascii="Times New Roman" w:hAnsi="Times New Roman" w:cs="Times New Roman"/>
          <w:szCs w:val="24"/>
        </w:rPr>
        <w:t>35</w:t>
      </w:r>
      <w:r>
        <w:rPr>
          <w:rFonts w:ascii="Times New Roman" w:hAnsi="Times New Roman" w:cs="Times New Roman"/>
          <w:szCs w:val="24"/>
        </w:rPr>
        <w:fldChar w:fldCharType="end"/>
      </w:r>
    </w:p>
    <w:p w14:paraId="6097F5EF">
      <w:pPr>
        <w:pStyle w:val="30"/>
        <w:tabs>
          <w:tab w:val="right" w:leader="dot" w:pos="8306"/>
        </w:tabs>
        <w:rPr>
          <w:rFonts w:ascii="Times New Roman" w:hAnsi="Times New Roman" w:cs="Times New Roman"/>
          <w:szCs w:val="24"/>
        </w:rPr>
      </w:pPr>
      <w:r>
        <w:fldChar w:fldCharType="begin"/>
      </w:r>
      <w:r>
        <w:instrText xml:space="preserve"> HYPERLINK \l "_Toc18733" </w:instrText>
      </w:r>
      <w:r>
        <w:fldChar w:fldCharType="separate"/>
      </w:r>
      <w:r>
        <w:rPr>
          <w:rFonts w:ascii="Times New Roman" w:hAnsi="Times New Roman" w:cs="Times New Roman"/>
          <w:szCs w:val="24"/>
        </w:rPr>
        <w:t>6.7  Q</w:t>
      </w:r>
      <w:r>
        <w:rPr>
          <w:rFonts w:ascii="Times New Roman" w:hAnsi="Times New Roman" w:cs="Times New Roman"/>
          <w:smallCaps w:val="0"/>
          <w:szCs w:val="24"/>
        </w:rPr>
        <w:t>uality control of segment</w:t>
      </w:r>
      <w:r>
        <w:rPr>
          <w:rFonts w:ascii="Times New Roman" w:hAnsi="Times New Roman" w:cs="Times New Roman"/>
          <w:szCs w:val="24"/>
        </w:rPr>
        <w:tab/>
      </w:r>
      <w:r>
        <w:rPr>
          <w:rFonts w:ascii="Times New Roman" w:hAnsi="Times New Roman" w:cs="Times New Roman"/>
          <w:szCs w:val="24"/>
        </w:rPr>
        <w:t>36</w:t>
      </w:r>
      <w:r>
        <w:rPr>
          <w:rFonts w:ascii="Times New Roman" w:hAnsi="Times New Roman" w:cs="Times New Roman"/>
          <w:szCs w:val="24"/>
        </w:rPr>
        <w:fldChar w:fldCharType="end"/>
      </w:r>
    </w:p>
    <w:p w14:paraId="24243EBE">
      <w:pPr>
        <w:pStyle w:val="26"/>
        <w:tabs>
          <w:tab w:val="right" w:leader="dot" w:pos="8306"/>
        </w:tabs>
        <w:rPr>
          <w:rFonts w:ascii="Times New Roman" w:hAnsi="Times New Roman" w:cs="Times New Roman"/>
          <w:szCs w:val="24"/>
        </w:rPr>
      </w:pPr>
      <w:r>
        <w:fldChar w:fldCharType="begin"/>
      </w:r>
      <w:r>
        <w:instrText xml:space="preserve"> HYPERLINK \l "_Toc14330" </w:instrText>
      </w:r>
      <w:r>
        <w:fldChar w:fldCharType="separate"/>
      </w:r>
      <w:r>
        <w:rPr>
          <w:rFonts w:ascii="Times New Roman" w:hAnsi="Times New Roman" w:cs="Times New Roman" w:eastAsiaTheme="minorEastAsia"/>
          <w:szCs w:val="24"/>
        </w:rPr>
        <w:t>7  W</w:t>
      </w:r>
      <w:r>
        <w:rPr>
          <w:rFonts w:ascii="Times New Roman" w:hAnsi="Times New Roman" w:cs="Times New Roman"/>
          <w:caps w:val="0"/>
          <w:szCs w:val="24"/>
        </w:rPr>
        <w:t>orking shaft construction</w:t>
      </w:r>
      <w:r>
        <w:rPr>
          <w:rFonts w:ascii="Times New Roman" w:hAnsi="Times New Roman" w:cs="Times New Roman"/>
          <w:szCs w:val="24"/>
        </w:rPr>
        <w:tab/>
      </w:r>
      <w:r>
        <w:rPr>
          <w:rFonts w:ascii="Times New Roman" w:hAnsi="Times New Roman" w:cs="Times New Roman"/>
          <w:szCs w:val="24"/>
        </w:rPr>
        <w:fldChar w:fldCharType="end"/>
      </w:r>
      <w:r>
        <w:rPr>
          <w:rFonts w:ascii="Times New Roman" w:hAnsi="Times New Roman" w:cs="Times New Roman"/>
          <w:szCs w:val="24"/>
        </w:rPr>
        <w:t>40</w:t>
      </w:r>
    </w:p>
    <w:p w14:paraId="01CEE062">
      <w:pPr>
        <w:pStyle w:val="30"/>
        <w:tabs>
          <w:tab w:val="right" w:leader="dot" w:pos="8306"/>
        </w:tabs>
        <w:rPr>
          <w:rFonts w:ascii="Times New Roman" w:hAnsi="Times New Roman" w:cs="Times New Roman"/>
          <w:szCs w:val="24"/>
        </w:rPr>
      </w:pPr>
      <w:r>
        <w:fldChar w:fldCharType="begin"/>
      </w:r>
      <w:r>
        <w:instrText xml:space="preserve"> HYPERLINK \l "_Toc6715" </w:instrText>
      </w:r>
      <w:r>
        <w:fldChar w:fldCharType="separate"/>
      </w:r>
      <w:r>
        <w:rPr>
          <w:rFonts w:ascii="Times New Roman" w:hAnsi="Times New Roman" w:cs="Times New Roman"/>
          <w:szCs w:val="24"/>
        </w:rPr>
        <w:t>7.1  G</w:t>
      </w:r>
      <w:r>
        <w:rPr>
          <w:rFonts w:ascii="Times New Roman" w:hAnsi="Times New Roman" w:cs="Times New Roman"/>
          <w:smallCaps w:val="0"/>
          <w:szCs w:val="24"/>
        </w:rPr>
        <w:t>eneral requirements</w:t>
      </w:r>
      <w:r>
        <w:rPr>
          <w:rFonts w:ascii="Times New Roman" w:hAnsi="Times New Roman" w:cs="Times New Roman"/>
          <w:szCs w:val="24"/>
        </w:rPr>
        <w:tab/>
      </w:r>
      <w:r>
        <w:rPr>
          <w:rFonts w:ascii="Times New Roman" w:hAnsi="Times New Roman" w:cs="Times New Roman"/>
          <w:szCs w:val="24"/>
        </w:rPr>
        <w:t>4</w:t>
      </w:r>
      <w:r>
        <w:rPr>
          <w:rFonts w:ascii="Times New Roman" w:hAnsi="Times New Roman" w:cs="Times New Roman"/>
          <w:szCs w:val="24"/>
        </w:rPr>
        <w:fldChar w:fldCharType="end"/>
      </w:r>
      <w:r>
        <w:rPr>
          <w:rFonts w:ascii="Times New Roman" w:hAnsi="Times New Roman" w:cs="Times New Roman"/>
          <w:szCs w:val="24"/>
        </w:rPr>
        <w:t>0</w:t>
      </w:r>
    </w:p>
    <w:p w14:paraId="5C13D777">
      <w:pPr>
        <w:pStyle w:val="30"/>
        <w:tabs>
          <w:tab w:val="right" w:leader="dot" w:pos="8306"/>
        </w:tabs>
        <w:rPr>
          <w:rFonts w:ascii="Times New Roman" w:hAnsi="Times New Roman" w:cs="Times New Roman"/>
          <w:szCs w:val="24"/>
        </w:rPr>
      </w:pPr>
      <w:r>
        <w:fldChar w:fldCharType="begin"/>
      </w:r>
      <w:r>
        <w:instrText xml:space="preserve"> HYPERLINK \l "_Toc15873" </w:instrText>
      </w:r>
      <w:r>
        <w:fldChar w:fldCharType="separate"/>
      </w:r>
      <w:r>
        <w:rPr>
          <w:rFonts w:ascii="Times New Roman" w:hAnsi="Times New Roman" w:cs="Times New Roman"/>
          <w:szCs w:val="24"/>
        </w:rPr>
        <w:t>7.2  S</w:t>
      </w:r>
      <w:r>
        <w:rPr>
          <w:rFonts w:ascii="Times New Roman" w:hAnsi="Times New Roman" w:cs="Times New Roman"/>
          <w:smallCaps w:val="0"/>
          <w:szCs w:val="24"/>
        </w:rPr>
        <w:t>oil reinforcement</w:t>
      </w:r>
      <w:r>
        <w:rPr>
          <w:rFonts w:ascii="Times New Roman" w:hAnsi="Times New Roman" w:cs="Times New Roman"/>
          <w:szCs w:val="24"/>
        </w:rPr>
        <w:tab/>
      </w:r>
      <w:r>
        <w:rPr>
          <w:rFonts w:ascii="Times New Roman" w:hAnsi="Times New Roman" w:cs="Times New Roman"/>
          <w:szCs w:val="24"/>
        </w:rPr>
        <w:fldChar w:fldCharType="end"/>
      </w:r>
      <w:r>
        <w:rPr>
          <w:rFonts w:ascii="Times New Roman" w:hAnsi="Times New Roman" w:cs="Times New Roman"/>
          <w:szCs w:val="24"/>
        </w:rPr>
        <w:t>40</w:t>
      </w:r>
    </w:p>
    <w:p w14:paraId="6333E0E8">
      <w:pPr>
        <w:pStyle w:val="30"/>
        <w:tabs>
          <w:tab w:val="right" w:leader="dot" w:pos="8306"/>
        </w:tabs>
        <w:rPr>
          <w:rFonts w:ascii="Times New Roman" w:hAnsi="Times New Roman" w:cs="Times New Roman"/>
          <w:szCs w:val="24"/>
        </w:rPr>
      </w:pPr>
      <w:r>
        <w:fldChar w:fldCharType="begin"/>
      </w:r>
      <w:r>
        <w:instrText xml:space="preserve"> HYPERLINK \l "_Toc18172" </w:instrText>
      </w:r>
      <w:r>
        <w:fldChar w:fldCharType="separate"/>
      </w:r>
      <w:r>
        <w:rPr>
          <w:rFonts w:ascii="Times New Roman" w:hAnsi="Times New Roman" w:cs="Times New Roman"/>
          <w:szCs w:val="24"/>
        </w:rPr>
        <w:t>7.3  Q</w:t>
      </w:r>
      <w:r>
        <w:rPr>
          <w:rFonts w:ascii="Times New Roman" w:hAnsi="Times New Roman" w:cs="Times New Roman"/>
          <w:smallCaps w:val="0"/>
          <w:szCs w:val="24"/>
        </w:rPr>
        <w:t>uality control of working shaft</w:t>
      </w:r>
      <w:r>
        <w:rPr>
          <w:rFonts w:ascii="Times New Roman" w:hAnsi="Times New Roman" w:cs="Times New Roman"/>
          <w:szCs w:val="24"/>
        </w:rPr>
        <w:tab/>
      </w:r>
      <w:r>
        <w:rPr>
          <w:rFonts w:ascii="Times New Roman" w:hAnsi="Times New Roman" w:cs="Times New Roman"/>
          <w:szCs w:val="24"/>
        </w:rPr>
        <w:t>4</w:t>
      </w:r>
      <w:r>
        <w:rPr>
          <w:rFonts w:ascii="Times New Roman" w:hAnsi="Times New Roman" w:cs="Times New Roman"/>
          <w:szCs w:val="24"/>
        </w:rPr>
        <w:fldChar w:fldCharType="end"/>
      </w:r>
      <w:r>
        <w:rPr>
          <w:rFonts w:ascii="Times New Roman" w:hAnsi="Times New Roman" w:cs="Times New Roman"/>
          <w:szCs w:val="24"/>
        </w:rPr>
        <w:t>1</w:t>
      </w:r>
    </w:p>
    <w:p w14:paraId="0BD5AA3C">
      <w:pPr>
        <w:pStyle w:val="26"/>
        <w:tabs>
          <w:tab w:val="right" w:leader="dot" w:pos="8306"/>
        </w:tabs>
        <w:rPr>
          <w:rFonts w:ascii="Times New Roman" w:hAnsi="Times New Roman" w:cs="Times New Roman"/>
          <w:szCs w:val="24"/>
        </w:rPr>
      </w:pPr>
      <w:r>
        <w:fldChar w:fldCharType="begin"/>
      </w:r>
      <w:r>
        <w:instrText xml:space="preserve"> HYPERLINK \l "_Toc1339" </w:instrText>
      </w:r>
      <w:r>
        <w:fldChar w:fldCharType="separate"/>
      </w:r>
      <w:r>
        <w:rPr>
          <w:rFonts w:ascii="Times New Roman" w:hAnsi="Times New Roman" w:cs="Times New Roman"/>
          <w:szCs w:val="24"/>
        </w:rPr>
        <w:t>8  P</w:t>
      </w:r>
      <w:r>
        <w:rPr>
          <w:rFonts w:ascii="Times New Roman" w:hAnsi="Times New Roman" w:cs="Times New Roman"/>
          <w:caps w:val="0"/>
          <w:szCs w:val="24"/>
        </w:rPr>
        <w:t>ipe jacking equipment and installation</w:t>
      </w:r>
      <w:r>
        <w:rPr>
          <w:rFonts w:ascii="Times New Roman" w:hAnsi="Times New Roman" w:cs="Times New Roman"/>
          <w:szCs w:val="24"/>
        </w:rPr>
        <w:tab/>
      </w:r>
      <w:r>
        <w:rPr>
          <w:rFonts w:hint="eastAsia" w:ascii="Times New Roman" w:hAnsi="Times New Roman" w:cs="Times New Roman"/>
          <w:szCs w:val="24"/>
        </w:rPr>
        <w:t>4</w:t>
      </w:r>
      <w:r>
        <w:rPr>
          <w:rFonts w:hint="eastAsia" w:ascii="Times New Roman" w:hAnsi="Times New Roman" w:cs="Times New Roman"/>
          <w:szCs w:val="24"/>
        </w:rPr>
        <w:fldChar w:fldCharType="end"/>
      </w:r>
      <w:r>
        <w:rPr>
          <w:rFonts w:ascii="Times New Roman" w:hAnsi="Times New Roman" w:cs="Times New Roman"/>
          <w:szCs w:val="24"/>
        </w:rPr>
        <w:t>4</w:t>
      </w:r>
    </w:p>
    <w:p w14:paraId="0C70347F">
      <w:pPr>
        <w:pStyle w:val="30"/>
        <w:tabs>
          <w:tab w:val="right" w:leader="dot" w:pos="8306"/>
        </w:tabs>
        <w:rPr>
          <w:rFonts w:ascii="Times New Roman" w:hAnsi="Times New Roman" w:cs="Times New Roman"/>
          <w:szCs w:val="24"/>
        </w:rPr>
      </w:pPr>
      <w:r>
        <w:fldChar w:fldCharType="begin"/>
      </w:r>
      <w:r>
        <w:instrText xml:space="preserve"> HYPERLINK \l "_Toc12445" </w:instrText>
      </w:r>
      <w:r>
        <w:fldChar w:fldCharType="separate"/>
      </w:r>
      <w:r>
        <w:rPr>
          <w:rFonts w:ascii="Times New Roman" w:hAnsi="Times New Roman" w:cs="Times New Roman"/>
          <w:szCs w:val="24"/>
        </w:rPr>
        <w:t>8.1  G</w:t>
      </w:r>
      <w:r>
        <w:rPr>
          <w:rFonts w:ascii="Times New Roman" w:hAnsi="Times New Roman" w:cs="Times New Roman"/>
          <w:smallCaps w:val="0"/>
          <w:szCs w:val="24"/>
        </w:rPr>
        <w:t>eneral requirements</w:t>
      </w:r>
      <w:r>
        <w:rPr>
          <w:rFonts w:ascii="Times New Roman" w:hAnsi="Times New Roman" w:cs="Times New Roman"/>
          <w:szCs w:val="24"/>
        </w:rPr>
        <w:tab/>
      </w:r>
      <w:r>
        <w:rPr>
          <w:rFonts w:ascii="Times New Roman" w:hAnsi="Times New Roman" w:cs="Times New Roman"/>
          <w:szCs w:val="24"/>
        </w:rPr>
        <w:fldChar w:fldCharType="end"/>
      </w:r>
      <w:r>
        <w:rPr>
          <w:rFonts w:hint="eastAsia" w:ascii="Times New Roman" w:hAnsi="Times New Roman" w:cs="Times New Roman"/>
          <w:szCs w:val="24"/>
        </w:rPr>
        <w:t>4</w:t>
      </w:r>
      <w:r>
        <w:rPr>
          <w:rFonts w:ascii="Times New Roman" w:hAnsi="Times New Roman" w:cs="Times New Roman"/>
          <w:szCs w:val="24"/>
        </w:rPr>
        <w:t>4</w:t>
      </w:r>
    </w:p>
    <w:p w14:paraId="5CFB2003">
      <w:pPr>
        <w:pStyle w:val="30"/>
        <w:tabs>
          <w:tab w:val="right" w:leader="dot" w:pos="8306"/>
        </w:tabs>
        <w:rPr>
          <w:rFonts w:ascii="Times New Roman" w:hAnsi="Times New Roman" w:cs="Times New Roman"/>
          <w:szCs w:val="24"/>
        </w:rPr>
      </w:pPr>
      <w:r>
        <w:fldChar w:fldCharType="begin"/>
      </w:r>
      <w:r>
        <w:instrText xml:space="preserve"> HYPERLINK \l "_Toc26380" </w:instrText>
      </w:r>
      <w:r>
        <w:fldChar w:fldCharType="separate"/>
      </w:r>
      <w:r>
        <w:rPr>
          <w:rFonts w:ascii="Times New Roman" w:hAnsi="Times New Roman" w:cs="Times New Roman"/>
          <w:szCs w:val="24"/>
        </w:rPr>
        <w:t>8.2  D</w:t>
      </w:r>
      <w:r>
        <w:rPr>
          <w:rFonts w:ascii="Times New Roman" w:hAnsi="Times New Roman" w:cs="Times New Roman"/>
          <w:smallCaps w:val="0"/>
          <w:szCs w:val="24"/>
        </w:rPr>
        <w:t>esign and selection of rectangular pipe jacking machine</w:t>
      </w:r>
      <w:r>
        <w:rPr>
          <w:rFonts w:ascii="Times New Roman" w:hAnsi="Times New Roman" w:cs="Times New Roman"/>
          <w:szCs w:val="24"/>
        </w:rPr>
        <w:tab/>
      </w:r>
      <w:r>
        <w:rPr>
          <w:rFonts w:hint="eastAsia" w:ascii="Times New Roman" w:hAnsi="Times New Roman" w:cs="Times New Roman"/>
          <w:szCs w:val="24"/>
        </w:rPr>
        <w:t>4</w:t>
      </w:r>
      <w:r>
        <w:rPr>
          <w:rFonts w:hint="eastAsia" w:ascii="Times New Roman" w:hAnsi="Times New Roman" w:cs="Times New Roman"/>
          <w:szCs w:val="24"/>
        </w:rPr>
        <w:fldChar w:fldCharType="end"/>
      </w:r>
      <w:r>
        <w:rPr>
          <w:rFonts w:ascii="Times New Roman" w:hAnsi="Times New Roman" w:cs="Times New Roman"/>
          <w:szCs w:val="24"/>
        </w:rPr>
        <w:t>4</w:t>
      </w:r>
    </w:p>
    <w:p w14:paraId="12BAE071">
      <w:pPr>
        <w:pStyle w:val="30"/>
        <w:tabs>
          <w:tab w:val="right" w:leader="dot" w:pos="8306"/>
        </w:tabs>
        <w:rPr>
          <w:rFonts w:ascii="Times New Roman" w:hAnsi="Times New Roman" w:cs="Times New Roman"/>
          <w:szCs w:val="24"/>
        </w:rPr>
      </w:pPr>
      <w:r>
        <w:fldChar w:fldCharType="begin"/>
      </w:r>
      <w:r>
        <w:instrText xml:space="preserve"> HYPERLINK \l "_Toc6444" </w:instrText>
      </w:r>
      <w:r>
        <w:fldChar w:fldCharType="separate"/>
      </w:r>
      <w:r>
        <w:rPr>
          <w:rFonts w:ascii="Times New Roman" w:hAnsi="Times New Roman" w:cs="Times New Roman"/>
          <w:szCs w:val="24"/>
        </w:rPr>
        <w:t>8.3  J</w:t>
      </w:r>
      <w:r>
        <w:rPr>
          <w:rFonts w:ascii="Times New Roman" w:hAnsi="Times New Roman" w:cs="Times New Roman"/>
          <w:smallCaps w:val="0"/>
          <w:szCs w:val="24"/>
        </w:rPr>
        <w:t>acking system and installation</w:t>
      </w:r>
      <w:r>
        <w:rPr>
          <w:rFonts w:ascii="Times New Roman" w:hAnsi="Times New Roman" w:cs="Times New Roman"/>
          <w:szCs w:val="24"/>
        </w:rPr>
        <w:tab/>
      </w:r>
      <w:r>
        <w:rPr>
          <w:rFonts w:ascii="Times New Roman" w:hAnsi="Times New Roman" w:cs="Times New Roman"/>
          <w:szCs w:val="24"/>
        </w:rPr>
        <w:t>46</w:t>
      </w:r>
      <w:r>
        <w:rPr>
          <w:rFonts w:ascii="Times New Roman" w:hAnsi="Times New Roman" w:cs="Times New Roman"/>
          <w:szCs w:val="24"/>
        </w:rPr>
        <w:fldChar w:fldCharType="end"/>
      </w:r>
    </w:p>
    <w:p w14:paraId="5D4B0F98">
      <w:pPr>
        <w:pStyle w:val="30"/>
        <w:tabs>
          <w:tab w:val="right" w:leader="dot" w:pos="8306"/>
        </w:tabs>
        <w:rPr>
          <w:rFonts w:ascii="Times New Roman" w:hAnsi="Times New Roman" w:cs="Times New Roman"/>
          <w:szCs w:val="24"/>
        </w:rPr>
      </w:pPr>
      <w:r>
        <w:fldChar w:fldCharType="begin"/>
      </w:r>
      <w:r>
        <w:instrText xml:space="preserve"> HYPERLINK \l "_Toc17651" </w:instrText>
      </w:r>
      <w:r>
        <w:fldChar w:fldCharType="separate"/>
      </w:r>
      <w:r>
        <w:rPr>
          <w:rFonts w:ascii="Times New Roman" w:hAnsi="Times New Roman" w:cs="Times New Roman"/>
          <w:szCs w:val="24"/>
        </w:rPr>
        <w:t>8.4  G</w:t>
      </w:r>
      <w:r>
        <w:rPr>
          <w:rFonts w:ascii="Times New Roman" w:hAnsi="Times New Roman" w:cs="Times New Roman"/>
          <w:smallCaps w:val="0"/>
          <w:szCs w:val="24"/>
        </w:rPr>
        <w:t>uide rail selection and installation</w:t>
      </w:r>
      <w:r>
        <w:rPr>
          <w:rFonts w:ascii="Times New Roman" w:hAnsi="Times New Roman" w:cs="Times New Roman"/>
          <w:szCs w:val="24"/>
        </w:rPr>
        <w:tab/>
      </w:r>
      <w:r>
        <w:rPr>
          <w:rFonts w:ascii="Times New Roman" w:hAnsi="Times New Roman" w:cs="Times New Roman"/>
          <w:szCs w:val="24"/>
        </w:rPr>
        <w:t>47</w:t>
      </w:r>
      <w:r>
        <w:rPr>
          <w:rFonts w:ascii="Times New Roman" w:hAnsi="Times New Roman" w:cs="Times New Roman"/>
          <w:szCs w:val="24"/>
        </w:rPr>
        <w:fldChar w:fldCharType="end"/>
      </w:r>
    </w:p>
    <w:p w14:paraId="2F02556A">
      <w:pPr>
        <w:pStyle w:val="30"/>
        <w:tabs>
          <w:tab w:val="right" w:leader="dot" w:pos="8306"/>
        </w:tabs>
        <w:rPr>
          <w:rFonts w:ascii="Times New Roman" w:hAnsi="Times New Roman" w:cs="Times New Roman"/>
          <w:szCs w:val="24"/>
        </w:rPr>
      </w:pPr>
      <w:r>
        <w:fldChar w:fldCharType="begin"/>
      </w:r>
      <w:r>
        <w:instrText xml:space="preserve"> HYPERLINK \l "_Toc29657" </w:instrText>
      </w:r>
      <w:r>
        <w:fldChar w:fldCharType="separate"/>
      </w:r>
      <w:r>
        <w:rPr>
          <w:rFonts w:ascii="Times New Roman" w:hAnsi="Times New Roman" w:cs="Times New Roman"/>
          <w:szCs w:val="24"/>
        </w:rPr>
        <w:t>8.5  P</w:t>
      </w:r>
      <w:r>
        <w:rPr>
          <w:rFonts w:ascii="Times New Roman" w:hAnsi="Times New Roman" w:cs="Times New Roman"/>
          <w:smallCaps w:val="0"/>
          <w:szCs w:val="24"/>
        </w:rPr>
        <w:t>ipe jacking machine Installation and commissioning</w:t>
      </w:r>
      <w:r>
        <w:rPr>
          <w:rFonts w:ascii="Times New Roman" w:hAnsi="Times New Roman" w:cs="Times New Roman"/>
          <w:szCs w:val="24"/>
        </w:rPr>
        <w:tab/>
      </w:r>
      <w:r>
        <w:rPr>
          <w:rFonts w:ascii="Times New Roman" w:hAnsi="Times New Roman" w:cs="Times New Roman"/>
          <w:szCs w:val="24"/>
        </w:rPr>
        <w:t>48</w:t>
      </w:r>
      <w:r>
        <w:rPr>
          <w:rFonts w:ascii="Times New Roman" w:hAnsi="Times New Roman" w:cs="Times New Roman"/>
          <w:szCs w:val="24"/>
        </w:rPr>
        <w:fldChar w:fldCharType="end"/>
      </w:r>
    </w:p>
    <w:p w14:paraId="469DE82E">
      <w:pPr>
        <w:pStyle w:val="30"/>
        <w:tabs>
          <w:tab w:val="right" w:leader="dot" w:pos="8306"/>
        </w:tabs>
        <w:rPr>
          <w:rFonts w:ascii="Times New Roman" w:hAnsi="Times New Roman" w:cs="Times New Roman"/>
          <w:szCs w:val="24"/>
        </w:rPr>
      </w:pPr>
      <w:r>
        <w:fldChar w:fldCharType="begin"/>
      </w:r>
      <w:r>
        <w:instrText xml:space="preserve"> HYPERLINK \l "_Toc9825" </w:instrText>
      </w:r>
      <w:r>
        <w:fldChar w:fldCharType="separate"/>
      </w:r>
      <w:r>
        <w:rPr>
          <w:rFonts w:ascii="Times New Roman" w:hAnsi="Times New Roman" w:cs="Times New Roman"/>
          <w:szCs w:val="24"/>
        </w:rPr>
        <w:t xml:space="preserve">8.6  </w:t>
      </w:r>
      <w:r>
        <w:rPr>
          <w:rFonts w:ascii="Times New Roman" w:hAnsi="Times New Roman" w:cs="Times New Roman"/>
          <w:smallCaps w:val="0"/>
          <w:szCs w:val="24"/>
        </w:rPr>
        <w:t>Installation of earth pressure balance slag system</w:t>
      </w:r>
      <w:r>
        <w:rPr>
          <w:rFonts w:ascii="Times New Roman" w:hAnsi="Times New Roman" w:cs="Times New Roman"/>
          <w:szCs w:val="24"/>
        </w:rPr>
        <w:tab/>
      </w:r>
      <w:r>
        <w:rPr>
          <w:rFonts w:ascii="Times New Roman" w:hAnsi="Times New Roman" w:cs="Times New Roman"/>
          <w:szCs w:val="24"/>
        </w:rPr>
        <w:t>49</w:t>
      </w:r>
      <w:r>
        <w:rPr>
          <w:rFonts w:ascii="Times New Roman" w:hAnsi="Times New Roman" w:cs="Times New Roman"/>
          <w:szCs w:val="24"/>
        </w:rPr>
        <w:fldChar w:fldCharType="end"/>
      </w:r>
    </w:p>
    <w:p w14:paraId="493BCAD9">
      <w:pPr>
        <w:pStyle w:val="30"/>
        <w:tabs>
          <w:tab w:val="right" w:leader="dot" w:pos="8306"/>
        </w:tabs>
        <w:rPr>
          <w:rFonts w:ascii="Times New Roman" w:hAnsi="Times New Roman" w:cs="Times New Roman"/>
          <w:szCs w:val="24"/>
        </w:rPr>
      </w:pPr>
      <w:r>
        <w:fldChar w:fldCharType="begin"/>
      </w:r>
      <w:r>
        <w:instrText xml:space="preserve"> HYPERLINK \l "_Toc3917" </w:instrText>
      </w:r>
      <w:r>
        <w:fldChar w:fldCharType="separate"/>
      </w:r>
      <w:r>
        <w:rPr>
          <w:rFonts w:ascii="Times New Roman" w:hAnsi="Times New Roman" w:cs="Times New Roman"/>
          <w:szCs w:val="24"/>
        </w:rPr>
        <w:t>8.7  I</w:t>
      </w:r>
      <w:r>
        <w:rPr>
          <w:rFonts w:ascii="Times New Roman" w:hAnsi="Times New Roman" w:cs="Times New Roman"/>
          <w:smallCaps w:val="0"/>
          <w:szCs w:val="24"/>
        </w:rPr>
        <w:t>nstallation of sludge water balance slag system</w:t>
      </w:r>
      <w:r>
        <w:rPr>
          <w:rFonts w:ascii="Times New Roman" w:hAnsi="Times New Roman" w:cs="Times New Roman"/>
          <w:szCs w:val="24"/>
        </w:rPr>
        <w:tab/>
      </w:r>
      <w:r>
        <w:rPr>
          <w:rFonts w:ascii="Times New Roman" w:hAnsi="Times New Roman" w:cs="Times New Roman"/>
          <w:szCs w:val="24"/>
        </w:rPr>
        <w:t>49</w:t>
      </w:r>
      <w:r>
        <w:rPr>
          <w:rFonts w:ascii="Times New Roman" w:hAnsi="Times New Roman" w:cs="Times New Roman"/>
          <w:szCs w:val="24"/>
        </w:rPr>
        <w:fldChar w:fldCharType="end"/>
      </w:r>
    </w:p>
    <w:p w14:paraId="637D6A1A">
      <w:pPr>
        <w:pStyle w:val="30"/>
        <w:tabs>
          <w:tab w:val="right" w:leader="dot" w:pos="8306"/>
        </w:tabs>
        <w:rPr>
          <w:rFonts w:ascii="Times New Roman" w:hAnsi="Times New Roman" w:cs="Times New Roman"/>
          <w:szCs w:val="24"/>
        </w:rPr>
      </w:pPr>
      <w:r>
        <w:fldChar w:fldCharType="begin"/>
      </w:r>
      <w:r>
        <w:instrText xml:space="preserve"> HYPERLINK \l "_Toc22642" </w:instrText>
      </w:r>
      <w:r>
        <w:fldChar w:fldCharType="separate"/>
      </w:r>
      <w:r>
        <w:rPr>
          <w:rFonts w:ascii="Times New Roman" w:hAnsi="Times New Roman" w:cs="Times New Roman"/>
          <w:szCs w:val="24"/>
        </w:rPr>
        <w:t>8.8  I</w:t>
      </w:r>
      <w:r>
        <w:rPr>
          <w:rFonts w:ascii="Times New Roman" w:hAnsi="Times New Roman" w:cs="Times New Roman"/>
          <w:smallCaps w:val="0"/>
          <w:szCs w:val="24"/>
        </w:rPr>
        <w:t>nstallation of intermediate jacking station</w:t>
      </w:r>
      <w:r>
        <w:rPr>
          <w:rFonts w:ascii="Times New Roman" w:hAnsi="Times New Roman" w:cs="Times New Roman"/>
          <w:szCs w:val="24"/>
        </w:rPr>
        <w:tab/>
      </w:r>
      <w:r>
        <w:rPr>
          <w:rFonts w:ascii="Times New Roman" w:hAnsi="Times New Roman" w:cs="Times New Roman"/>
          <w:szCs w:val="24"/>
        </w:rPr>
        <w:t>5</w:t>
      </w:r>
      <w:r>
        <w:rPr>
          <w:rFonts w:ascii="Times New Roman" w:hAnsi="Times New Roman" w:cs="Times New Roman"/>
          <w:szCs w:val="24"/>
        </w:rPr>
        <w:fldChar w:fldCharType="end"/>
      </w:r>
      <w:r>
        <w:rPr>
          <w:rFonts w:ascii="Times New Roman" w:hAnsi="Times New Roman" w:cs="Times New Roman"/>
          <w:szCs w:val="24"/>
        </w:rPr>
        <w:t>0</w:t>
      </w:r>
    </w:p>
    <w:p w14:paraId="72CCC36D">
      <w:pPr>
        <w:pStyle w:val="30"/>
        <w:tabs>
          <w:tab w:val="right" w:leader="dot" w:pos="8306"/>
        </w:tabs>
        <w:rPr>
          <w:rFonts w:ascii="Times New Roman" w:hAnsi="Times New Roman" w:cs="Times New Roman"/>
          <w:szCs w:val="24"/>
        </w:rPr>
      </w:pPr>
      <w:r>
        <w:fldChar w:fldCharType="begin"/>
      </w:r>
      <w:r>
        <w:instrText xml:space="preserve"> HYPERLINK \l "_Toc8442" </w:instrText>
      </w:r>
      <w:r>
        <w:fldChar w:fldCharType="separate"/>
      </w:r>
      <w:r>
        <w:rPr>
          <w:rFonts w:ascii="Times New Roman" w:hAnsi="Times New Roman" w:cs="Times New Roman"/>
          <w:szCs w:val="24"/>
        </w:rPr>
        <w:t>8.9  P</w:t>
      </w:r>
      <w:r>
        <w:rPr>
          <w:rFonts w:ascii="Times New Roman" w:hAnsi="Times New Roman" w:cs="Times New Roman"/>
          <w:smallCaps w:val="0"/>
          <w:szCs w:val="24"/>
        </w:rPr>
        <w:t>ipe jacking auxiliary construction and equipment</w:t>
      </w:r>
      <w:r>
        <w:rPr>
          <w:rFonts w:ascii="Times New Roman" w:hAnsi="Times New Roman" w:cs="Times New Roman"/>
          <w:szCs w:val="24"/>
        </w:rPr>
        <w:tab/>
      </w:r>
      <w:r>
        <w:rPr>
          <w:rFonts w:ascii="Times New Roman" w:hAnsi="Times New Roman" w:cs="Times New Roman"/>
          <w:szCs w:val="24"/>
        </w:rPr>
        <w:t>5</w:t>
      </w:r>
      <w:r>
        <w:rPr>
          <w:rFonts w:ascii="Times New Roman" w:hAnsi="Times New Roman" w:cs="Times New Roman"/>
          <w:szCs w:val="24"/>
        </w:rPr>
        <w:fldChar w:fldCharType="end"/>
      </w:r>
      <w:r>
        <w:rPr>
          <w:rFonts w:ascii="Times New Roman" w:hAnsi="Times New Roman" w:cs="Times New Roman"/>
          <w:szCs w:val="24"/>
        </w:rPr>
        <w:t>1</w:t>
      </w:r>
    </w:p>
    <w:p w14:paraId="7CBC1ACF">
      <w:pPr>
        <w:pStyle w:val="30"/>
        <w:tabs>
          <w:tab w:val="right" w:leader="dot" w:pos="8306"/>
        </w:tabs>
        <w:rPr>
          <w:rFonts w:ascii="Times New Roman" w:hAnsi="Times New Roman" w:cs="Times New Roman"/>
          <w:szCs w:val="24"/>
        </w:rPr>
      </w:pPr>
      <w:r>
        <w:fldChar w:fldCharType="begin"/>
      </w:r>
      <w:r>
        <w:instrText xml:space="preserve"> HYPERLINK \l "_Toc3180" </w:instrText>
      </w:r>
      <w:r>
        <w:fldChar w:fldCharType="separate"/>
      </w:r>
      <w:r>
        <w:rPr>
          <w:rFonts w:ascii="Times New Roman" w:hAnsi="Times New Roman" w:cs="Times New Roman"/>
          <w:szCs w:val="24"/>
        </w:rPr>
        <w:t>8.10  Q</w:t>
      </w:r>
      <w:r>
        <w:rPr>
          <w:rFonts w:ascii="Times New Roman" w:hAnsi="Times New Roman" w:cs="Times New Roman"/>
          <w:smallCaps w:val="0"/>
          <w:szCs w:val="24"/>
        </w:rPr>
        <w:t>uality control</w:t>
      </w:r>
      <w:r>
        <w:rPr>
          <w:rFonts w:ascii="Times New Roman" w:hAnsi="Times New Roman" w:cs="Times New Roman"/>
          <w:szCs w:val="24"/>
        </w:rPr>
        <w:tab/>
      </w:r>
      <w:r>
        <w:rPr>
          <w:rFonts w:ascii="Times New Roman" w:hAnsi="Times New Roman" w:cs="Times New Roman"/>
          <w:szCs w:val="24"/>
        </w:rPr>
        <w:t>5</w:t>
      </w:r>
      <w:r>
        <w:rPr>
          <w:rFonts w:ascii="Times New Roman" w:hAnsi="Times New Roman" w:cs="Times New Roman"/>
          <w:szCs w:val="24"/>
        </w:rPr>
        <w:fldChar w:fldCharType="end"/>
      </w:r>
      <w:r>
        <w:rPr>
          <w:rFonts w:ascii="Times New Roman" w:hAnsi="Times New Roman" w:cs="Times New Roman"/>
          <w:szCs w:val="24"/>
        </w:rPr>
        <w:t>2</w:t>
      </w:r>
    </w:p>
    <w:p w14:paraId="7B1ECC38">
      <w:pPr>
        <w:pStyle w:val="26"/>
        <w:tabs>
          <w:tab w:val="right" w:leader="dot" w:pos="8306"/>
        </w:tabs>
        <w:rPr>
          <w:rFonts w:ascii="Times New Roman" w:hAnsi="Times New Roman" w:cs="Times New Roman"/>
          <w:szCs w:val="24"/>
        </w:rPr>
      </w:pPr>
      <w:r>
        <w:fldChar w:fldCharType="begin"/>
      </w:r>
      <w:r>
        <w:instrText xml:space="preserve"> HYPERLINK \l "_Toc10280" </w:instrText>
      </w:r>
      <w:r>
        <w:fldChar w:fldCharType="separate"/>
      </w:r>
      <w:r>
        <w:rPr>
          <w:rFonts w:ascii="Times New Roman" w:hAnsi="Times New Roman" w:cs="Times New Roman"/>
          <w:szCs w:val="24"/>
        </w:rPr>
        <w:t>9  P</w:t>
      </w:r>
      <w:r>
        <w:rPr>
          <w:rFonts w:ascii="Times New Roman" w:hAnsi="Times New Roman" w:cs="Times New Roman"/>
          <w:caps w:val="0"/>
          <w:szCs w:val="24"/>
        </w:rPr>
        <w:t>ipe jacking construction</w:t>
      </w:r>
      <w:r>
        <w:rPr>
          <w:rFonts w:ascii="Times New Roman" w:hAnsi="Times New Roman" w:cs="Times New Roman"/>
          <w:szCs w:val="24"/>
        </w:rPr>
        <w:tab/>
      </w:r>
      <w:r>
        <w:rPr>
          <w:rFonts w:hint="eastAsia" w:ascii="Times New Roman" w:hAnsi="Times New Roman" w:cs="Times New Roman"/>
          <w:szCs w:val="24"/>
        </w:rPr>
        <w:t>5</w:t>
      </w:r>
      <w:r>
        <w:rPr>
          <w:rFonts w:hint="eastAsia" w:ascii="Times New Roman" w:hAnsi="Times New Roman" w:cs="Times New Roman"/>
          <w:szCs w:val="24"/>
        </w:rPr>
        <w:fldChar w:fldCharType="end"/>
      </w:r>
      <w:r>
        <w:rPr>
          <w:rFonts w:ascii="Times New Roman" w:hAnsi="Times New Roman" w:cs="Times New Roman"/>
          <w:szCs w:val="24"/>
        </w:rPr>
        <w:t>3</w:t>
      </w:r>
    </w:p>
    <w:p w14:paraId="027755E4">
      <w:pPr>
        <w:pStyle w:val="30"/>
        <w:tabs>
          <w:tab w:val="right" w:leader="dot" w:pos="8306"/>
        </w:tabs>
        <w:rPr>
          <w:rFonts w:ascii="Times New Roman" w:hAnsi="Times New Roman" w:cs="Times New Roman"/>
          <w:szCs w:val="24"/>
        </w:rPr>
      </w:pPr>
      <w:r>
        <w:fldChar w:fldCharType="begin"/>
      </w:r>
      <w:r>
        <w:instrText xml:space="preserve"> HYPERLINK \l "_Toc29481" </w:instrText>
      </w:r>
      <w:r>
        <w:fldChar w:fldCharType="separate"/>
      </w:r>
      <w:r>
        <w:rPr>
          <w:rFonts w:ascii="Times New Roman" w:hAnsi="Times New Roman" w:cs="Times New Roman"/>
          <w:szCs w:val="24"/>
        </w:rPr>
        <w:t>9.1  G</w:t>
      </w:r>
      <w:r>
        <w:rPr>
          <w:rFonts w:ascii="Times New Roman" w:hAnsi="Times New Roman" w:cs="Times New Roman"/>
          <w:smallCaps w:val="0"/>
          <w:szCs w:val="24"/>
        </w:rPr>
        <w:t>eneral requirements</w:t>
      </w:r>
      <w:r>
        <w:rPr>
          <w:rFonts w:ascii="Times New Roman" w:hAnsi="Times New Roman" w:cs="Times New Roman"/>
          <w:szCs w:val="24"/>
        </w:rPr>
        <w:tab/>
      </w:r>
      <w:r>
        <w:rPr>
          <w:rFonts w:hint="eastAsia" w:ascii="Times New Roman" w:hAnsi="Times New Roman" w:cs="Times New Roman"/>
          <w:szCs w:val="24"/>
        </w:rPr>
        <w:t>5</w:t>
      </w:r>
      <w:r>
        <w:rPr>
          <w:rFonts w:hint="eastAsia" w:ascii="Times New Roman" w:hAnsi="Times New Roman" w:cs="Times New Roman"/>
          <w:szCs w:val="24"/>
        </w:rPr>
        <w:fldChar w:fldCharType="end"/>
      </w:r>
      <w:r>
        <w:rPr>
          <w:rFonts w:ascii="Times New Roman" w:hAnsi="Times New Roman" w:cs="Times New Roman"/>
          <w:szCs w:val="24"/>
        </w:rPr>
        <w:t>3</w:t>
      </w:r>
    </w:p>
    <w:p w14:paraId="20A1E322">
      <w:pPr>
        <w:pStyle w:val="30"/>
        <w:tabs>
          <w:tab w:val="right" w:leader="dot" w:pos="8306"/>
        </w:tabs>
        <w:rPr>
          <w:rFonts w:ascii="Times New Roman" w:hAnsi="Times New Roman" w:cs="Times New Roman"/>
          <w:szCs w:val="24"/>
        </w:rPr>
      </w:pPr>
      <w:r>
        <w:fldChar w:fldCharType="begin"/>
      </w:r>
      <w:r>
        <w:instrText xml:space="preserve"> HYPERLINK \l "_Toc20021" </w:instrText>
      </w:r>
      <w:r>
        <w:fldChar w:fldCharType="separate"/>
      </w:r>
      <w:r>
        <w:rPr>
          <w:rFonts w:ascii="Times New Roman" w:hAnsi="Times New Roman" w:cs="Times New Roman"/>
          <w:szCs w:val="24"/>
        </w:rPr>
        <w:t>9.2  C</w:t>
      </w:r>
      <w:r>
        <w:rPr>
          <w:rFonts w:ascii="Times New Roman" w:hAnsi="Times New Roman" w:cs="Times New Roman"/>
          <w:smallCaps w:val="0"/>
          <w:szCs w:val="24"/>
        </w:rPr>
        <w:t>onstruction organization design</w:t>
      </w:r>
      <w:r>
        <w:rPr>
          <w:rFonts w:ascii="Times New Roman" w:hAnsi="Times New Roman" w:cs="Times New Roman"/>
          <w:szCs w:val="24"/>
        </w:rPr>
        <w:tab/>
      </w:r>
      <w:r>
        <w:rPr>
          <w:rFonts w:hint="eastAsia" w:ascii="Times New Roman" w:hAnsi="Times New Roman" w:cs="Times New Roman"/>
          <w:szCs w:val="24"/>
        </w:rPr>
        <w:t>5</w:t>
      </w:r>
      <w:r>
        <w:rPr>
          <w:rFonts w:hint="eastAsia" w:ascii="Times New Roman" w:hAnsi="Times New Roman" w:cs="Times New Roman"/>
          <w:szCs w:val="24"/>
        </w:rPr>
        <w:fldChar w:fldCharType="end"/>
      </w:r>
      <w:r>
        <w:rPr>
          <w:rFonts w:ascii="Times New Roman" w:hAnsi="Times New Roman" w:cs="Times New Roman"/>
          <w:szCs w:val="24"/>
        </w:rPr>
        <w:t>4</w:t>
      </w:r>
    </w:p>
    <w:p w14:paraId="2F6FF45C">
      <w:pPr>
        <w:pStyle w:val="30"/>
        <w:tabs>
          <w:tab w:val="right" w:leader="dot" w:pos="8306"/>
        </w:tabs>
        <w:rPr>
          <w:rFonts w:ascii="Times New Roman" w:hAnsi="Times New Roman" w:cs="Times New Roman"/>
          <w:szCs w:val="24"/>
        </w:rPr>
      </w:pPr>
      <w:r>
        <w:fldChar w:fldCharType="begin"/>
      </w:r>
      <w:r>
        <w:instrText xml:space="preserve"> HYPERLINK \l "_Toc1239" </w:instrText>
      </w:r>
      <w:r>
        <w:fldChar w:fldCharType="separate"/>
      </w:r>
      <w:r>
        <w:rPr>
          <w:rFonts w:ascii="Times New Roman" w:hAnsi="Times New Roman" w:cs="Times New Roman"/>
          <w:szCs w:val="24"/>
        </w:rPr>
        <w:t>9.3  P</w:t>
      </w:r>
      <w:r>
        <w:rPr>
          <w:rFonts w:ascii="Times New Roman" w:hAnsi="Times New Roman" w:cs="Times New Roman"/>
          <w:smallCaps w:val="0"/>
          <w:szCs w:val="24"/>
        </w:rPr>
        <w:t>ipe jacking starting and receiving</w:t>
      </w:r>
      <w:r>
        <w:rPr>
          <w:rFonts w:ascii="Times New Roman" w:hAnsi="Times New Roman" w:cs="Times New Roman"/>
          <w:szCs w:val="24"/>
        </w:rPr>
        <w:tab/>
      </w:r>
      <w:r>
        <w:rPr>
          <w:rFonts w:ascii="Times New Roman" w:hAnsi="Times New Roman" w:cs="Times New Roman"/>
          <w:szCs w:val="24"/>
        </w:rPr>
        <w:t>56</w:t>
      </w:r>
      <w:r>
        <w:rPr>
          <w:rFonts w:ascii="Times New Roman" w:hAnsi="Times New Roman" w:cs="Times New Roman"/>
          <w:szCs w:val="24"/>
        </w:rPr>
        <w:fldChar w:fldCharType="end"/>
      </w:r>
    </w:p>
    <w:p w14:paraId="6A7D00EA">
      <w:pPr>
        <w:pStyle w:val="30"/>
        <w:tabs>
          <w:tab w:val="right" w:leader="dot" w:pos="8306"/>
        </w:tabs>
        <w:rPr>
          <w:rFonts w:ascii="Times New Roman" w:hAnsi="Times New Roman" w:cs="Times New Roman"/>
          <w:szCs w:val="24"/>
        </w:rPr>
      </w:pPr>
      <w:r>
        <w:fldChar w:fldCharType="begin"/>
      </w:r>
      <w:r>
        <w:instrText xml:space="preserve"> HYPERLINK \l "_Toc21969" </w:instrText>
      </w:r>
      <w:r>
        <w:fldChar w:fldCharType="separate"/>
      </w:r>
      <w:r>
        <w:rPr>
          <w:rFonts w:ascii="Times New Roman" w:hAnsi="Times New Roman" w:cs="Times New Roman"/>
          <w:szCs w:val="24"/>
        </w:rPr>
        <w:t>9.4  P</w:t>
      </w:r>
      <w:r>
        <w:rPr>
          <w:rFonts w:ascii="Times New Roman" w:hAnsi="Times New Roman" w:cs="Times New Roman"/>
          <w:smallCaps w:val="0"/>
          <w:szCs w:val="24"/>
        </w:rPr>
        <w:t>ipe jacking</w:t>
      </w:r>
      <w:r>
        <w:rPr>
          <w:rFonts w:ascii="Times New Roman" w:hAnsi="Times New Roman" w:cs="Times New Roman"/>
          <w:szCs w:val="24"/>
        </w:rPr>
        <w:tab/>
      </w:r>
      <w:r>
        <w:rPr>
          <w:rFonts w:ascii="Times New Roman" w:hAnsi="Times New Roman" w:cs="Times New Roman"/>
          <w:szCs w:val="24"/>
        </w:rPr>
        <w:t>57</w:t>
      </w:r>
      <w:r>
        <w:rPr>
          <w:rFonts w:ascii="Times New Roman" w:hAnsi="Times New Roman" w:cs="Times New Roman"/>
          <w:szCs w:val="24"/>
        </w:rPr>
        <w:fldChar w:fldCharType="end"/>
      </w:r>
    </w:p>
    <w:p w14:paraId="19FCB2DF">
      <w:pPr>
        <w:pStyle w:val="30"/>
        <w:tabs>
          <w:tab w:val="right" w:leader="dot" w:pos="8306"/>
        </w:tabs>
        <w:rPr>
          <w:rFonts w:ascii="Times New Roman" w:hAnsi="Times New Roman" w:cs="Times New Roman"/>
          <w:szCs w:val="24"/>
        </w:rPr>
      </w:pPr>
      <w:r>
        <w:fldChar w:fldCharType="begin"/>
      </w:r>
      <w:r>
        <w:instrText xml:space="preserve"> HYPERLINK \l "_Toc24499" </w:instrText>
      </w:r>
      <w:r>
        <w:fldChar w:fldCharType="separate"/>
      </w:r>
      <w:r>
        <w:rPr>
          <w:rFonts w:ascii="Times New Roman" w:hAnsi="Times New Roman" w:cs="Times New Roman"/>
          <w:szCs w:val="24"/>
        </w:rPr>
        <w:t>9.5  D</w:t>
      </w:r>
      <w:r>
        <w:rPr>
          <w:rFonts w:ascii="Times New Roman" w:hAnsi="Times New Roman" w:cs="Times New Roman"/>
          <w:smallCaps w:val="0"/>
          <w:szCs w:val="24"/>
        </w:rPr>
        <w:t>rag reduction by grouting</w:t>
      </w:r>
      <w:r>
        <w:rPr>
          <w:rFonts w:ascii="Times New Roman" w:hAnsi="Times New Roman" w:cs="Times New Roman"/>
          <w:szCs w:val="24"/>
        </w:rPr>
        <w:tab/>
      </w:r>
      <w:r>
        <w:rPr>
          <w:rFonts w:ascii="Times New Roman" w:hAnsi="Times New Roman" w:cs="Times New Roman"/>
          <w:szCs w:val="24"/>
        </w:rPr>
        <w:t>60</w:t>
      </w:r>
      <w:r>
        <w:rPr>
          <w:rFonts w:ascii="Times New Roman" w:hAnsi="Times New Roman" w:cs="Times New Roman"/>
          <w:szCs w:val="24"/>
        </w:rPr>
        <w:fldChar w:fldCharType="end"/>
      </w:r>
    </w:p>
    <w:p w14:paraId="500560F5">
      <w:pPr>
        <w:pStyle w:val="30"/>
        <w:tabs>
          <w:tab w:val="right" w:leader="dot" w:pos="8306"/>
        </w:tabs>
        <w:rPr>
          <w:rFonts w:ascii="Times New Roman" w:hAnsi="Times New Roman" w:cs="Times New Roman"/>
          <w:szCs w:val="24"/>
        </w:rPr>
      </w:pPr>
      <w:r>
        <w:fldChar w:fldCharType="begin"/>
      </w:r>
      <w:r>
        <w:instrText xml:space="preserve"> HYPERLINK \l "_Toc31053" </w:instrText>
      </w:r>
      <w:r>
        <w:fldChar w:fldCharType="separate"/>
      </w:r>
      <w:r>
        <w:rPr>
          <w:rFonts w:ascii="Times New Roman" w:hAnsi="Times New Roman" w:cs="Times New Roman"/>
          <w:szCs w:val="24"/>
        </w:rPr>
        <w:t>9.6  S</w:t>
      </w:r>
      <w:r>
        <w:rPr>
          <w:rFonts w:ascii="Times New Roman" w:hAnsi="Times New Roman" w:cs="Times New Roman"/>
          <w:smallCaps w:val="0"/>
          <w:szCs w:val="24"/>
        </w:rPr>
        <w:t>oil improvement</w:t>
      </w:r>
      <w:r>
        <w:rPr>
          <w:rFonts w:ascii="Times New Roman" w:hAnsi="Times New Roman" w:cs="Times New Roman"/>
          <w:szCs w:val="24"/>
        </w:rPr>
        <w:tab/>
      </w:r>
      <w:r>
        <w:rPr>
          <w:rFonts w:ascii="Times New Roman" w:hAnsi="Times New Roman" w:cs="Times New Roman"/>
          <w:szCs w:val="24"/>
        </w:rPr>
        <w:t>62</w:t>
      </w:r>
      <w:r>
        <w:rPr>
          <w:rFonts w:ascii="Times New Roman" w:hAnsi="Times New Roman" w:cs="Times New Roman"/>
          <w:szCs w:val="24"/>
        </w:rPr>
        <w:fldChar w:fldCharType="end"/>
      </w:r>
    </w:p>
    <w:p w14:paraId="10D7D6EA">
      <w:pPr>
        <w:pStyle w:val="30"/>
        <w:tabs>
          <w:tab w:val="right" w:leader="dot" w:pos="8306"/>
        </w:tabs>
        <w:rPr>
          <w:rFonts w:ascii="Times New Roman" w:hAnsi="Times New Roman" w:cs="Times New Roman"/>
          <w:szCs w:val="24"/>
        </w:rPr>
      </w:pPr>
      <w:r>
        <w:fldChar w:fldCharType="begin"/>
      </w:r>
      <w:r>
        <w:instrText xml:space="preserve"> HYPERLINK \l "_Toc15789" </w:instrText>
      </w:r>
      <w:r>
        <w:fldChar w:fldCharType="separate"/>
      </w:r>
      <w:r>
        <w:rPr>
          <w:rFonts w:ascii="Times New Roman" w:hAnsi="Times New Roman" w:cs="Times New Roman"/>
          <w:szCs w:val="24"/>
        </w:rPr>
        <w:t>9.7  M</w:t>
      </w:r>
      <w:r>
        <w:rPr>
          <w:rFonts w:ascii="Times New Roman" w:hAnsi="Times New Roman" w:cs="Times New Roman"/>
          <w:smallCaps w:val="0"/>
          <w:szCs w:val="24"/>
        </w:rPr>
        <w:t>easurement and attitude control</w:t>
      </w:r>
      <w:r>
        <w:rPr>
          <w:rFonts w:ascii="Times New Roman" w:hAnsi="Times New Roman" w:cs="Times New Roman"/>
          <w:szCs w:val="24"/>
        </w:rPr>
        <w:tab/>
      </w:r>
      <w:r>
        <w:rPr>
          <w:rFonts w:ascii="Times New Roman" w:hAnsi="Times New Roman" w:cs="Times New Roman"/>
          <w:szCs w:val="24"/>
        </w:rPr>
        <w:t>64</w:t>
      </w:r>
      <w:r>
        <w:rPr>
          <w:rFonts w:ascii="Times New Roman" w:hAnsi="Times New Roman" w:cs="Times New Roman"/>
          <w:szCs w:val="24"/>
        </w:rPr>
        <w:fldChar w:fldCharType="end"/>
      </w:r>
    </w:p>
    <w:p w14:paraId="0E914CF7">
      <w:pPr>
        <w:pStyle w:val="30"/>
        <w:tabs>
          <w:tab w:val="right" w:leader="dot" w:pos="8306"/>
        </w:tabs>
        <w:rPr>
          <w:rFonts w:ascii="Times New Roman" w:hAnsi="Times New Roman" w:cs="Times New Roman"/>
          <w:szCs w:val="24"/>
        </w:rPr>
      </w:pPr>
      <w:r>
        <w:fldChar w:fldCharType="begin"/>
      </w:r>
      <w:r>
        <w:instrText xml:space="preserve"> HYPERLINK \l "_Toc22580" </w:instrText>
      </w:r>
      <w:r>
        <w:fldChar w:fldCharType="separate"/>
      </w:r>
      <w:r>
        <w:rPr>
          <w:rFonts w:ascii="Times New Roman" w:hAnsi="Times New Roman" w:cs="Times New Roman"/>
          <w:szCs w:val="24"/>
        </w:rPr>
        <w:t>9.8  M</w:t>
      </w:r>
      <w:r>
        <w:rPr>
          <w:rFonts w:ascii="Times New Roman" w:hAnsi="Times New Roman" w:cs="Times New Roman"/>
          <w:smallCaps w:val="0"/>
          <w:szCs w:val="24"/>
        </w:rPr>
        <w:t>onitoring and deformation control</w:t>
      </w:r>
      <w:r>
        <w:rPr>
          <w:rFonts w:ascii="Times New Roman" w:hAnsi="Times New Roman" w:cs="Times New Roman"/>
          <w:szCs w:val="24"/>
        </w:rPr>
        <w:tab/>
      </w:r>
      <w:r>
        <w:rPr>
          <w:rFonts w:ascii="Times New Roman" w:hAnsi="Times New Roman" w:cs="Times New Roman"/>
          <w:szCs w:val="24"/>
        </w:rPr>
        <w:t>66</w:t>
      </w:r>
      <w:r>
        <w:rPr>
          <w:rFonts w:ascii="Times New Roman" w:hAnsi="Times New Roman" w:cs="Times New Roman"/>
          <w:szCs w:val="24"/>
        </w:rPr>
        <w:fldChar w:fldCharType="end"/>
      </w:r>
    </w:p>
    <w:p w14:paraId="096BECEA">
      <w:pPr>
        <w:pStyle w:val="30"/>
        <w:tabs>
          <w:tab w:val="right" w:leader="dot" w:pos="8306"/>
        </w:tabs>
        <w:rPr>
          <w:rFonts w:ascii="Times New Roman" w:hAnsi="Times New Roman" w:cs="Times New Roman"/>
          <w:szCs w:val="24"/>
        </w:rPr>
      </w:pPr>
      <w:r>
        <w:fldChar w:fldCharType="begin"/>
      </w:r>
      <w:r>
        <w:instrText xml:space="preserve"> HYPERLINK \l "_Toc16406" </w:instrText>
      </w:r>
      <w:r>
        <w:fldChar w:fldCharType="separate"/>
      </w:r>
      <w:r>
        <w:rPr>
          <w:rFonts w:ascii="Times New Roman" w:hAnsi="Times New Roman" w:cs="Times New Roman"/>
          <w:szCs w:val="24"/>
        </w:rPr>
        <w:t>9.9  D</w:t>
      </w:r>
      <w:r>
        <w:rPr>
          <w:rFonts w:ascii="Times New Roman" w:hAnsi="Times New Roman" w:cs="Times New Roman"/>
          <w:smallCaps w:val="0"/>
          <w:szCs w:val="24"/>
        </w:rPr>
        <w:t>isassembly and lifting out of pipe jacking machine</w:t>
      </w:r>
      <w:r>
        <w:rPr>
          <w:rFonts w:ascii="Times New Roman" w:hAnsi="Times New Roman" w:cs="Times New Roman"/>
          <w:szCs w:val="24"/>
        </w:rPr>
        <w:tab/>
      </w:r>
      <w:r>
        <w:rPr>
          <w:rFonts w:ascii="Times New Roman" w:hAnsi="Times New Roman" w:cs="Times New Roman"/>
          <w:szCs w:val="24"/>
        </w:rPr>
        <w:t>6</w:t>
      </w:r>
      <w:r>
        <w:rPr>
          <w:rFonts w:ascii="Times New Roman" w:hAnsi="Times New Roman" w:cs="Times New Roman"/>
          <w:szCs w:val="24"/>
        </w:rPr>
        <w:fldChar w:fldCharType="end"/>
      </w:r>
      <w:r>
        <w:rPr>
          <w:rFonts w:ascii="Times New Roman" w:hAnsi="Times New Roman" w:cs="Times New Roman"/>
          <w:szCs w:val="24"/>
        </w:rPr>
        <w:t>9</w:t>
      </w:r>
    </w:p>
    <w:p w14:paraId="34AAB4CA">
      <w:pPr>
        <w:pStyle w:val="30"/>
        <w:tabs>
          <w:tab w:val="right" w:leader="dot" w:pos="8306"/>
        </w:tabs>
        <w:rPr>
          <w:rFonts w:ascii="Times New Roman" w:hAnsi="Times New Roman" w:cs="Times New Roman"/>
          <w:szCs w:val="24"/>
        </w:rPr>
      </w:pPr>
      <w:r>
        <w:fldChar w:fldCharType="begin"/>
      </w:r>
      <w:r>
        <w:instrText xml:space="preserve"> HYPERLINK \l "_Toc22209" </w:instrText>
      </w:r>
      <w:r>
        <w:fldChar w:fldCharType="separate"/>
      </w:r>
      <w:r>
        <w:rPr>
          <w:rFonts w:ascii="Times New Roman" w:hAnsi="Times New Roman" w:cs="Times New Roman"/>
          <w:szCs w:val="24"/>
        </w:rPr>
        <w:t>9.10  Q</w:t>
      </w:r>
      <w:r>
        <w:rPr>
          <w:rFonts w:ascii="Times New Roman" w:hAnsi="Times New Roman" w:cs="Times New Roman"/>
          <w:smallCaps w:val="0"/>
          <w:szCs w:val="24"/>
        </w:rPr>
        <w:t>uality control</w:t>
      </w:r>
      <w:r>
        <w:rPr>
          <w:rFonts w:ascii="Times New Roman" w:hAnsi="Times New Roman" w:cs="Times New Roman"/>
          <w:szCs w:val="24"/>
        </w:rPr>
        <w:tab/>
      </w:r>
      <w:r>
        <w:rPr>
          <w:rFonts w:ascii="Times New Roman" w:hAnsi="Times New Roman" w:cs="Times New Roman"/>
          <w:szCs w:val="24"/>
        </w:rPr>
        <w:t>70</w:t>
      </w:r>
      <w:r>
        <w:rPr>
          <w:rFonts w:ascii="Times New Roman" w:hAnsi="Times New Roman" w:cs="Times New Roman"/>
          <w:szCs w:val="24"/>
        </w:rPr>
        <w:fldChar w:fldCharType="end"/>
      </w:r>
    </w:p>
    <w:p w14:paraId="53F67527">
      <w:pPr>
        <w:pStyle w:val="26"/>
        <w:tabs>
          <w:tab w:val="right" w:leader="dot" w:pos="8306"/>
        </w:tabs>
        <w:rPr>
          <w:rFonts w:ascii="Times New Roman" w:hAnsi="Times New Roman" w:cs="Times New Roman"/>
          <w:szCs w:val="24"/>
        </w:rPr>
      </w:pPr>
      <w:r>
        <w:fldChar w:fldCharType="begin"/>
      </w:r>
      <w:r>
        <w:instrText xml:space="preserve"> HYPERLINK \l "_Toc2496" </w:instrText>
      </w:r>
      <w:r>
        <w:fldChar w:fldCharType="separate"/>
      </w:r>
      <w:r>
        <w:rPr>
          <w:rFonts w:ascii="Times New Roman" w:hAnsi="Times New Roman" w:cs="Times New Roman"/>
          <w:szCs w:val="24"/>
        </w:rPr>
        <w:t>10  E</w:t>
      </w:r>
      <w:r>
        <w:rPr>
          <w:rFonts w:ascii="Times New Roman" w:hAnsi="Times New Roman" w:cs="Times New Roman"/>
          <w:caps w:val="0"/>
          <w:szCs w:val="24"/>
        </w:rPr>
        <w:t>ngineering acceptance</w:t>
      </w:r>
      <w:r>
        <w:rPr>
          <w:rFonts w:ascii="Times New Roman" w:hAnsi="Times New Roman" w:cs="Times New Roman"/>
          <w:szCs w:val="24"/>
        </w:rPr>
        <w:tab/>
      </w:r>
      <w:r>
        <w:rPr>
          <w:rFonts w:hint="eastAsia" w:ascii="Times New Roman" w:hAnsi="Times New Roman" w:cs="Times New Roman"/>
          <w:szCs w:val="24"/>
        </w:rPr>
        <w:t>7</w:t>
      </w:r>
      <w:r>
        <w:rPr>
          <w:rFonts w:hint="eastAsia" w:ascii="Times New Roman" w:hAnsi="Times New Roman" w:cs="Times New Roman"/>
          <w:szCs w:val="24"/>
        </w:rPr>
        <w:fldChar w:fldCharType="end"/>
      </w:r>
      <w:r>
        <w:rPr>
          <w:rFonts w:ascii="Times New Roman" w:hAnsi="Times New Roman" w:cs="Times New Roman"/>
          <w:szCs w:val="24"/>
        </w:rPr>
        <w:t>3</w:t>
      </w:r>
    </w:p>
    <w:p w14:paraId="1A5710FD">
      <w:pPr>
        <w:pStyle w:val="26"/>
        <w:tabs>
          <w:tab w:val="right" w:leader="dot" w:pos="8306"/>
        </w:tabs>
        <w:ind w:left="1928" w:hanging="1928" w:hangingChars="800"/>
        <w:rPr>
          <w:rFonts w:ascii="Times New Roman" w:hAnsi="Times New Roman" w:cs="Times New Roman"/>
          <w:szCs w:val="24"/>
        </w:rPr>
      </w:pPr>
      <w:r>
        <w:fldChar w:fldCharType="begin"/>
      </w:r>
      <w:r>
        <w:instrText xml:space="preserve"> HYPERLINK \l "_Toc9713" </w:instrText>
      </w:r>
      <w:r>
        <w:fldChar w:fldCharType="separate"/>
      </w:r>
      <w:r>
        <w:rPr>
          <w:rFonts w:ascii="Times New Roman" w:hAnsi="Times New Roman" w:cs="Times New Roman"/>
          <w:caps w:val="0"/>
          <w:szCs w:val="24"/>
        </w:rPr>
        <w:t xml:space="preserve">Appendix A  </w:t>
      </w:r>
      <w:r>
        <w:rPr>
          <w:rFonts w:hint="eastAsia" w:ascii="Times New Roman" w:hAnsi="Times New Roman" w:cs="Times New Roman"/>
          <w:caps w:val="0"/>
          <w:szCs w:val="24"/>
        </w:rPr>
        <w:t>D</w:t>
      </w:r>
      <w:r>
        <w:rPr>
          <w:rFonts w:ascii="Times New Roman" w:hAnsi="Times New Roman" w:cs="Times New Roman"/>
          <w:caps w:val="0"/>
          <w:szCs w:val="24"/>
        </w:rPr>
        <w:t>ivision, sub-divisional and inspection batches work table</w:t>
      </w:r>
      <w:r>
        <w:rPr>
          <w:rFonts w:hint="eastAsia" w:ascii="Times New Roman" w:hAnsi="Times New Roman" w:cs="Times New Roman"/>
          <w:caps w:val="0"/>
          <w:szCs w:val="24"/>
        </w:rPr>
        <w:t xml:space="preserve"> of rectangular pipe jacking</w:t>
      </w:r>
      <w:r>
        <w:rPr>
          <w:rFonts w:ascii="Times New Roman" w:hAnsi="Times New Roman" w:cs="Times New Roman"/>
          <w:szCs w:val="24"/>
        </w:rPr>
        <w:tab/>
      </w:r>
      <w:r>
        <w:rPr>
          <w:rFonts w:ascii="Times New Roman" w:hAnsi="Times New Roman" w:cs="Times New Roman"/>
          <w:szCs w:val="24"/>
        </w:rPr>
        <w:t>76</w:t>
      </w:r>
      <w:r>
        <w:rPr>
          <w:rFonts w:ascii="Times New Roman" w:hAnsi="Times New Roman" w:cs="Times New Roman"/>
          <w:szCs w:val="24"/>
        </w:rPr>
        <w:fldChar w:fldCharType="end"/>
      </w:r>
    </w:p>
    <w:p w14:paraId="7ADAE3FC">
      <w:pPr>
        <w:pStyle w:val="26"/>
        <w:tabs>
          <w:tab w:val="right" w:leader="dot" w:pos="8306"/>
        </w:tabs>
        <w:rPr>
          <w:rFonts w:ascii="Times New Roman" w:hAnsi="Times New Roman" w:cs="Times New Roman"/>
          <w:szCs w:val="24"/>
        </w:rPr>
      </w:pPr>
      <w:r>
        <w:fldChar w:fldCharType="begin"/>
      </w:r>
      <w:r>
        <w:instrText xml:space="preserve"> HYPERLINK \l "_Toc9029" </w:instrText>
      </w:r>
      <w:r>
        <w:fldChar w:fldCharType="separate"/>
      </w:r>
      <w:r>
        <w:rPr>
          <w:rFonts w:ascii="Times New Roman" w:hAnsi="Times New Roman" w:cs="Times New Roman"/>
          <w:caps w:val="0"/>
          <w:szCs w:val="24"/>
        </w:rPr>
        <w:t xml:space="preserve">Appendix B  </w:t>
      </w:r>
      <w:r>
        <w:rPr>
          <w:rFonts w:hint="eastAsia" w:ascii="Times New Roman" w:hAnsi="Times New Roman" w:cs="Times New Roman"/>
          <w:caps w:val="0"/>
          <w:szCs w:val="24"/>
        </w:rPr>
        <w:t>Quality acceptance record</w:t>
      </w:r>
      <w:r>
        <w:rPr>
          <w:rFonts w:ascii="Times New Roman" w:hAnsi="Times New Roman" w:cs="Times New Roman"/>
          <w:szCs w:val="24"/>
        </w:rPr>
        <w:tab/>
      </w:r>
      <w:r>
        <w:rPr>
          <w:rFonts w:ascii="Times New Roman" w:hAnsi="Times New Roman" w:cs="Times New Roman"/>
          <w:szCs w:val="24"/>
        </w:rPr>
        <w:t>77</w:t>
      </w:r>
      <w:r>
        <w:rPr>
          <w:rFonts w:ascii="Times New Roman" w:hAnsi="Times New Roman" w:cs="Times New Roman"/>
          <w:szCs w:val="24"/>
        </w:rPr>
        <w:fldChar w:fldCharType="end"/>
      </w:r>
    </w:p>
    <w:p w14:paraId="10DF9AB4">
      <w:pPr>
        <w:pStyle w:val="26"/>
        <w:tabs>
          <w:tab w:val="right" w:leader="dot" w:pos="8306"/>
        </w:tabs>
        <w:rPr>
          <w:rFonts w:ascii="Times New Roman" w:hAnsi="Times New Roman" w:cs="Times New Roman"/>
          <w:szCs w:val="24"/>
        </w:rPr>
      </w:pPr>
      <w:r>
        <w:fldChar w:fldCharType="begin"/>
      </w:r>
      <w:r>
        <w:instrText xml:space="preserve"> HYPERLINK \l "_Toc9713" </w:instrText>
      </w:r>
      <w:r>
        <w:fldChar w:fldCharType="separate"/>
      </w:r>
      <w:r>
        <w:rPr>
          <w:rFonts w:ascii="Times New Roman" w:hAnsi="Times New Roman" w:cs="Times New Roman"/>
          <w:caps w:val="0"/>
          <w:szCs w:val="24"/>
        </w:rPr>
        <w:t>Explanation of wording in this specification</w:t>
      </w:r>
      <w:r>
        <w:rPr>
          <w:rFonts w:ascii="Times New Roman" w:hAnsi="Times New Roman" w:cs="Times New Roman"/>
          <w:szCs w:val="24"/>
        </w:rPr>
        <w:tab/>
      </w:r>
      <w:r>
        <w:rPr>
          <w:rFonts w:ascii="Times New Roman" w:hAnsi="Times New Roman" w:cs="Times New Roman"/>
          <w:szCs w:val="24"/>
        </w:rPr>
        <w:t>80</w:t>
      </w:r>
      <w:r>
        <w:rPr>
          <w:rFonts w:ascii="Times New Roman" w:hAnsi="Times New Roman" w:cs="Times New Roman"/>
          <w:szCs w:val="24"/>
        </w:rPr>
        <w:fldChar w:fldCharType="end"/>
      </w:r>
    </w:p>
    <w:p w14:paraId="70747E89">
      <w:pPr>
        <w:pStyle w:val="26"/>
        <w:tabs>
          <w:tab w:val="right" w:leader="dot" w:pos="8306"/>
        </w:tabs>
        <w:rPr>
          <w:rFonts w:ascii="Times New Roman" w:hAnsi="Times New Roman" w:cs="Times New Roman"/>
          <w:szCs w:val="24"/>
        </w:rPr>
      </w:pPr>
      <w:r>
        <w:fldChar w:fldCharType="begin"/>
      </w:r>
      <w:r>
        <w:instrText xml:space="preserve"> HYPERLINK \l "_Toc9029" </w:instrText>
      </w:r>
      <w:r>
        <w:fldChar w:fldCharType="separate"/>
      </w:r>
      <w:r>
        <w:rPr>
          <w:rFonts w:ascii="Times New Roman" w:hAnsi="Times New Roman" w:cs="Times New Roman"/>
          <w:caps w:val="0"/>
          <w:szCs w:val="24"/>
        </w:rPr>
        <w:t>List of quoted standards</w:t>
      </w:r>
      <w:r>
        <w:rPr>
          <w:rFonts w:ascii="Times New Roman" w:hAnsi="Times New Roman" w:cs="Times New Roman"/>
          <w:szCs w:val="24"/>
        </w:rPr>
        <w:tab/>
      </w:r>
      <w:r>
        <w:rPr>
          <w:rFonts w:ascii="Times New Roman" w:hAnsi="Times New Roman" w:cs="Times New Roman"/>
          <w:szCs w:val="24"/>
        </w:rPr>
        <w:t>81</w:t>
      </w:r>
      <w:r>
        <w:rPr>
          <w:rFonts w:ascii="Times New Roman" w:hAnsi="Times New Roman" w:cs="Times New Roman"/>
          <w:szCs w:val="24"/>
        </w:rPr>
        <w:fldChar w:fldCharType="end"/>
      </w:r>
    </w:p>
    <w:p w14:paraId="5C54D968">
      <w:pPr>
        <w:pStyle w:val="26"/>
        <w:tabs>
          <w:tab w:val="right" w:leader="dot" w:pos="8306"/>
        </w:tabs>
        <w:rPr>
          <w:rFonts w:ascii="Times New Roman" w:hAnsi="Times New Roman" w:cs="Times New Roman"/>
          <w:szCs w:val="24"/>
        </w:rPr>
      </w:pPr>
      <w:r>
        <w:fldChar w:fldCharType="begin"/>
      </w:r>
      <w:r>
        <w:instrText xml:space="preserve"> HYPERLINK \l "_Toc8516" </w:instrText>
      </w:r>
      <w:r>
        <w:fldChar w:fldCharType="separate"/>
      </w:r>
      <w:r>
        <w:rPr>
          <w:rFonts w:ascii="Times New Roman" w:hAnsi="Times New Roman" w:cs="Times New Roman"/>
          <w:caps w:val="0"/>
          <w:szCs w:val="24"/>
        </w:rPr>
        <w:t>Addition：Explanation of provisions</w:t>
      </w:r>
      <w:r>
        <w:rPr>
          <w:rFonts w:ascii="Times New Roman" w:hAnsi="Times New Roman" w:cs="Times New Roman"/>
          <w:szCs w:val="24"/>
        </w:rPr>
        <w:tab/>
      </w:r>
      <w:r>
        <w:rPr>
          <w:rFonts w:ascii="Times New Roman" w:hAnsi="Times New Roman" w:cs="Times New Roman"/>
          <w:szCs w:val="24"/>
        </w:rPr>
        <w:fldChar w:fldCharType="end"/>
      </w:r>
      <w:r>
        <w:rPr>
          <w:rFonts w:hint="eastAsia" w:ascii="Times New Roman" w:hAnsi="Times New Roman" w:cs="Times New Roman"/>
          <w:szCs w:val="24"/>
        </w:rPr>
        <w:t>8</w:t>
      </w:r>
      <w:r>
        <w:rPr>
          <w:rFonts w:ascii="Times New Roman" w:hAnsi="Times New Roman" w:cs="Times New Roman"/>
          <w:szCs w:val="24"/>
        </w:rPr>
        <w:t>3</w:t>
      </w:r>
    </w:p>
    <w:p w14:paraId="0F21767E">
      <w:pPr>
        <w:rPr>
          <w:szCs w:val="24"/>
        </w:rPr>
      </w:pPr>
      <w:r>
        <w:rPr>
          <w:szCs w:val="24"/>
        </w:rPr>
        <w:fldChar w:fldCharType="end"/>
      </w:r>
    </w:p>
    <w:p w14:paraId="6610E4F8">
      <w:pPr>
        <w:spacing w:line="240" w:lineRule="auto"/>
        <w:rPr>
          <w:szCs w:val="24"/>
        </w:rPr>
        <w:sectPr>
          <w:pgSz w:w="11906" w:h="16838"/>
          <w:pgMar w:top="1440" w:right="1800" w:bottom="1440" w:left="1800" w:header="851" w:footer="992" w:gutter="0"/>
          <w:pgNumType w:start="1"/>
          <w:cols w:space="425" w:num="1"/>
          <w:docGrid w:type="lines" w:linePitch="312" w:charSpace="0"/>
        </w:sectPr>
      </w:pPr>
    </w:p>
    <w:p w14:paraId="2D829BFD">
      <w:pPr>
        <w:pStyle w:val="2"/>
        <w:rPr>
          <w:rFonts w:cs="Times New Roman"/>
        </w:rPr>
      </w:pPr>
      <w:bookmarkStart w:id="17" w:name="_Toc31866"/>
      <w:bookmarkStart w:id="18" w:name="_Toc18057021"/>
      <w:bookmarkStart w:id="19" w:name="_Toc463446168"/>
      <w:bookmarkStart w:id="20" w:name="_Toc22840"/>
      <w:bookmarkStart w:id="21" w:name="_Toc12493"/>
      <w:bookmarkStart w:id="22" w:name="_Toc21714"/>
      <w:bookmarkStart w:id="23" w:name="_Toc23974"/>
      <w:bookmarkStart w:id="24" w:name="_Toc60173770"/>
      <w:bookmarkStart w:id="25" w:name="_Toc47692141"/>
      <w:bookmarkStart w:id="26" w:name="_Toc26352"/>
      <w:bookmarkStart w:id="27" w:name="_Toc3781"/>
      <w:bookmarkStart w:id="28" w:name="_Toc60172883"/>
      <w:r>
        <w:rPr>
          <w:rFonts w:cs="Times New Roman"/>
        </w:rPr>
        <w:t>1  总    则</w:t>
      </w:r>
      <w:bookmarkEnd w:id="16"/>
      <w:bookmarkEnd w:id="17"/>
      <w:bookmarkEnd w:id="18"/>
      <w:bookmarkEnd w:id="19"/>
      <w:bookmarkEnd w:id="20"/>
      <w:bookmarkEnd w:id="21"/>
      <w:bookmarkEnd w:id="22"/>
      <w:bookmarkEnd w:id="23"/>
      <w:bookmarkEnd w:id="24"/>
      <w:bookmarkEnd w:id="25"/>
      <w:bookmarkEnd w:id="26"/>
      <w:bookmarkEnd w:id="27"/>
      <w:bookmarkEnd w:id="28"/>
    </w:p>
    <w:p w14:paraId="3538354F">
      <w:r>
        <w:rPr>
          <w:b/>
          <w:bCs/>
        </w:rPr>
        <w:t xml:space="preserve">1.0.1 </w:t>
      </w:r>
      <w:r>
        <w:t xml:space="preserve"> 为规范</w:t>
      </w:r>
      <w:r>
        <w:rPr>
          <w:rFonts w:hint="eastAsia"/>
        </w:rPr>
        <w:t>广东省</w:t>
      </w:r>
      <w:r>
        <w:t>矩形顶管工程的技术要求，做到安全适用、技术先进、经济合理、</w:t>
      </w:r>
      <w:r>
        <w:rPr>
          <w:szCs w:val="24"/>
        </w:rPr>
        <w:t>安全可靠、节能环保</w:t>
      </w:r>
      <w:r>
        <w:t>，制订本规程。</w:t>
      </w:r>
    </w:p>
    <w:p w14:paraId="2AE61146">
      <w:r>
        <w:rPr>
          <w:b/>
        </w:rPr>
        <w:t xml:space="preserve">1.0.2  </w:t>
      </w:r>
      <w:r>
        <w:t>本规程适用于</w:t>
      </w:r>
      <w:r>
        <w:rPr>
          <w:rFonts w:hint="eastAsia"/>
        </w:rPr>
        <w:t>广东省</w:t>
      </w:r>
      <w:r>
        <w:t>矩形</w:t>
      </w:r>
      <w:r>
        <w:rPr>
          <w:rFonts w:hint="eastAsia"/>
        </w:rPr>
        <w:t>（类矩形）</w:t>
      </w:r>
      <w:r>
        <w:t>顶管工程的勘察、设计、施工及验收。</w:t>
      </w:r>
    </w:p>
    <w:p w14:paraId="5F8118A4">
      <w:r>
        <w:rPr>
          <w:b/>
        </w:rPr>
        <w:t xml:space="preserve">1.0.3  </w:t>
      </w:r>
      <w:r>
        <w:t>矩形顶管工程应结合工程地质、水文地质和周边环境等条件，合理选择施工设备与工艺，精心施工，严格监控。</w:t>
      </w:r>
    </w:p>
    <w:p w14:paraId="3BF68DF3">
      <w:r>
        <w:rPr>
          <w:b/>
        </w:rPr>
        <w:t xml:space="preserve">1.0.4  </w:t>
      </w:r>
      <w:r>
        <w:t>矩形顶管工程</w:t>
      </w:r>
      <w:r>
        <w:rPr>
          <w:rFonts w:hint="eastAsia"/>
        </w:rPr>
        <w:t>的</w:t>
      </w:r>
      <w:r>
        <w:t>应用除应执行本规程外，尚应符合国家现行有关标准的规定。</w:t>
      </w:r>
    </w:p>
    <w:p w14:paraId="6D36B1F0"/>
    <w:p w14:paraId="28BD941E">
      <w:pPr>
        <w:rPr>
          <w:rFonts w:eastAsiaTheme="minorEastAsia"/>
          <w:b/>
          <w:szCs w:val="22"/>
        </w:rPr>
        <w:sectPr>
          <w:pgSz w:w="11906" w:h="16838"/>
          <w:pgMar w:top="1440" w:right="1800" w:bottom="1440" w:left="1800" w:header="851" w:footer="992" w:gutter="0"/>
          <w:pgNumType w:start="1"/>
          <w:cols w:space="425" w:num="1"/>
          <w:docGrid w:type="lines" w:linePitch="312" w:charSpace="0"/>
        </w:sectPr>
      </w:pPr>
    </w:p>
    <w:p w14:paraId="2AF23826">
      <w:pPr>
        <w:keepNext/>
        <w:keepLines/>
        <w:spacing w:before="340" w:after="330"/>
        <w:jc w:val="center"/>
        <w:outlineLvl w:val="0"/>
        <w:rPr>
          <w:rFonts w:eastAsia="Times New Roman"/>
          <w:b/>
          <w:bCs/>
          <w:kern w:val="44"/>
          <w:sz w:val="32"/>
          <w:szCs w:val="44"/>
        </w:rPr>
      </w:pPr>
      <w:bookmarkStart w:id="29" w:name="_Toc22664"/>
      <w:bookmarkStart w:id="30" w:name="_Toc12695"/>
      <w:bookmarkStart w:id="31" w:name="_Toc455393070"/>
      <w:bookmarkStart w:id="32" w:name="_Toc47692142"/>
      <w:bookmarkStart w:id="33" w:name="_Toc463446169"/>
      <w:bookmarkStart w:id="34" w:name="_Toc60172884"/>
      <w:bookmarkStart w:id="35" w:name="_Toc26659"/>
      <w:bookmarkStart w:id="36" w:name="_Toc9825"/>
      <w:bookmarkStart w:id="37" w:name="_Toc19247"/>
      <w:bookmarkStart w:id="38" w:name="_Toc18057022"/>
      <w:bookmarkStart w:id="39" w:name="_Toc3650"/>
      <w:bookmarkStart w:id="40" w:name="_Toc60173771"/>
      <w:bookmarkStart w:id="41" w:name="_Toc26032"/>
      <w:r>
        <w:rPr>
          <w:rFonts w:eastAsia="Times New Roman"/>
          <w:b/>
          <w:bCs/>
          <w:kern w:val="44"/>
          <w:sz w:val="32"/>
          <w:szCs w:val="44"/>
        </w:rPr>
        <w:t xml:space="preserve">2  </w:t>
      </w:r>
      <w:r>
        <w:rPr>
          <w:b/>
          <w:bCs/>
          <w:kern w:val="44"/>
          <w:sz w:val="32"/>
          <w:szCs w:val="44"/>
        </w:rPr>
        <w:t>术语和符号</w:t>
      </w:r>
      <w:bookmarkEnd w:id="29"/>
      <w:bookmarkEnd w:id="30"/>
      <w:bookmarkEnd w:id="31"/>
      <w:bookmarkEnd w:id="32"/>
      <w:bookmarkEnd w:id="33"/>
      <w:bookmarkEnd w:id="34"/>
      <w:bookmarkEnd w:id="35"/>
      <w:bookmarkEnd w:id="36"/>
      <w:bookmarkEnd w:id="37"/>
      <w:bookmarkEnd w:id="38"/>
      <w:bookmarkEnd w:id="39"/>
      <w:bookmarkEnd w:id="40"/>
      <w:bookmarkEnd w:id="41"/>
    </w:p>
    <w:p w14:paraId="2621D0E1">
      <w:pPr>
        <w:pStyle w:val="3"/>
        <w:rPr>
          <w:rFonts w:eastAsia="黑体" w:cs="Times New Roman"/>
          <w:b w:val="0"/>
        </w:rPr>
      </w:pPr>
      <w:bookmarkStart w:id="42" w:name="_Toc463446170"/>
      <w:bookmarkStart w:id="43" w:name="_Toc455393071"/>
      <w:bookmarkStart w:id="44" w:name="_Toc15157"/>
      <w:bookmarkStart w:id="45" w:name="_Toc26884"/>
      <w:bookmarkStart w:id="46" w:name="_Toc18772"/>
      <w:bookmarkStart w:id="47" w:name="_Toc422210023"/>
      <w:bookmarkStart w:id="48" w:name="_Toc18057023"/>
      <w:bookmarkStart w:id="49" w:name="_Toc60172885"/>
      <w:bookmarkStart w:id="50" w:name="_Toc1687"/>
      <w:bookmarkStart w:id="51" w:name="_Toc60173772"/>
      <w:bookmarkStart w:id="52" w:name="_Toc9682"/>
      <w:bookmarkStart w:id="53" w:name="_Toc9442"/>
      <w:bookmarkStart w:id="54" w:name="_Toc47692143"/>
      <w:bookmarkStart w:id="55" w:name="_Toc22708"/>
      <w:r>
        <w:rPr>
          <w:rFonts w:eastAsia="黑体" w:cs="Times New Roman"/>
        </w:rPr>
        <w:t>2.1</w:t>
      </w:r>
      <w:r>
        <w:rPr>
          <w:rFonts w:eastAsia="黑体" w:cs="Times New Roman"/>
          <w:b w:val="0"/>
        </w:rPr>
        <w:t xml:space="preserve">  术语</w:t>
      </w:r>
      <w:bookmarkEnd w:id="42"/>
      <w:bookmarkEnd w:id="43"/>
      <w:bookmarkEnd w:id="44"/>
      <w:bookmarkEnd w:id="45"/>
      <w:bookmarkEnd w:id="46"/>
      <w:bookmarkEnd w:id="47"/>
      <w:bookmarkEnd w:id="48"/>
      <w:bookmarkEnd w:id="49"/>
      <w:bookmarkEnd w:id="50"/>
      <w:bookmarkEnd w:id="51"/>
      <w:bookmarkEnd w:id="52"/>
      <w:bookmarkEnd w:id="53"/>
      <w:bookmarkEnd w:id="54"/>
      <w:bookmarkEnd w:id="55"/>
    </w:p>
    <w:p w14:paraId="6DFA746F">
      <w:pPr>
        <w:rPr>
          <w:b/>
          <w:bCs/>
        </w:rPr>
      </w:pPr>
      <w:r>
        <w:rPr>
          <w:rFonts w:hint="eastAsia"/>
          <w:b/>
          <w:bCs/>
        </w:rPr>
        <w:t>2</w:t>
      </w:r>
      <w:r>
        <w:rPr>
          <w:b/>
          <w:bCs/>
        </w:rPr>
        <w:t xml:space="preserve">.1.1  </w:t>
      </w:r>
      <w:r>
        <w:rPr>
          <w:rFonts w:hint="eastAsia"/>
          <w:b/>
          <w:bCs/>
        </w:rPr>
        <w:t xml:space="preserve">矩形顶管 </w:t>
      </w:r>
      <w:r>
        <w:rPr>
          <w:b/>
          <w:bCs/>
        </w:rPr>
        <w:t xml:space="preserve">   rectangular pipe jacking</w:t>
      </w:r>
    </w:p>
    <w:p w14:paraId="78FAFD09">
      <w:pPr>
        <w:pStyle w:val="11"/>
        <w:ind w:firstLine="480"/>
      </w:pPr>
      <w:r>
        <w:rPr>
          <w:rFonts w:hint="eastAsia"/>
        </w:rPr>
        <w:t>采用矩形顶管机边切削、边排土、边顶进，将预制钢筋混凝土管节逐段向前推进形成地下空间的一种绿色、环保、安全、高效的非开挖施工技术。</w:t>
      </w:r>
    </w:p>
    <w:p w14:paraId="536261DF">
      <w:pPr>
        <w:rPr>
          <w:b/>
          <w:bCs/>
          <w:sz w:val="32"/>
          <w:szCs w:val="32"/>
        </w:rPr>
      </w:pPr>
      <w:r>
        <w:rPr>
          <w:b/>
          <w:bCs/>
        </w:rPr>
        <w:t xml:space="preserve">2.1.2  矩形顶管机    rectangular pipe jacking machine </w:t>
      </w:r>
    </w:p>
    <w:p w14:paraId="3329DCFD">
      <w:pPr>
        <w:ind w:firstLine="480" w:firstLineChars="200"/>
        <w:rPr>
          <w:rFonts w:eastAsiaTheme="minorEastAsia"/>
          <w:szCs w:val="22"/>
        </w:rPr>
      </w:pPr>
      <w:r>
        <w:rPr>
          <w:rFonts w:eastAsiaTheme="minorEastAsia"/>
          <w:szCs w:val="22"/>
        </w:rPr>
        <w:t>采用矩形横断面的顶管掘进成套设备，根据平衡开挖面地层压力</w:t>
      </w:r>
      <w:r>
        <w:rPr>
          <w:rFonts w:hint="eastAsia" w:eastAsiaTheme="minorEastAsia"/>
          <w:szCs w:val="22"/>
        </w:rPr>
        <w:t>形式</w:t>
      </w:r>
      <w:r>
        <w:rPr>
          <w:rFonts w:eastAsiaTheme="minorEastAsia"/>
          <w:szCs w:val="22"/>
        </w:rPr>
        <w:t>的不同，可分为土压平衡矩形顶管机和泥水平衡矩形顶管机。</w:t>
      </w:r>
    </w:p>
    <w:p w14:paraId="1A337B73">
      <w:pPr>
        <w:rPr>
          <w:b/>
          <w:bCs/>
        </w:rPr>
      </w:pPr>
      <w:r>
        <w:rPr>
          <w:b/>
          <w:bCs/>
        </w:rPr>
        <w:t>2.1.3  工作井    working shaft</w:t>
      </w:r>
    </w:p>
    <w:p w14:paraId="11EF97DD">
      <w:pPr>
        <w:ind w:firstLine="420"/>
        <w:rPr>
          <w:rFonts w:eastAsiaTheme="minorEastAsia"/>
          <w:szCs w:val="22"/>
        </w:rPr>
      </w:pPr>
      <w:bookmarkStart w:id="56" w:name="_Hlk27831798"/>
      <w:r>
        <w:rPr>
          <w:rFonts w:hint="eastAsia" w:eastAsiaTheme="minorEastAsia"/>
          <w:szCs w:val="22"/>
        </w:rPr>
        <w:t>工作井指用于顶管的</w:t>
      </w:r>
      <w:r>
        <w:rPr>
          <w:rFonts w:eastAsiaTheme="minorEastAsia"/>
          <w:szCs w:val="22"/>
        </w:rPr>
        <w:t>始发</w:t>
      </w:r>
      <w:r>
        <w:rPr>
          <w:rFonts w:hint="eastAsia" w:eastAsiaTheme="minorEastAsia"/>
          <w:szCs w:val="22"/>
        </w:rPr>
        <w:t>与接收的地下作业空间，包括始发井和接收井。</w:t>
      </w:r>
    </w:p>
    <w:p w14:paraId="42DB79F2">
      <w:pPr>
        <w:ind w:firstLine="420"/>
        <w:rPr>
          <w:rFonts w:eastAsiaTheme="minorEastAsia"/>
          <w:szCs w:val="22"/>
        </w:rPr>
      </w:pPr>
      <w:r>
        <w:rPr>
          <w:rFonts w:hint="eastAsia" w:eastAsiaTheme="minorEastAsia"/>
          <w:szCs w:val="22"/>
        </w:rPr>
        <w:t>始发井</w:t>
      </w:r>
      <w:r>
        <w:rPr>
          <w:rFonts w:eastAsiaTheme="minorEastAsia"/>
          <w:szCs w:val="22"/>
        </w:rPr>
        <w:t>用于顶管</w:t>
      </w:r>
      <w:r>
        <w:rPr>
          <w:rFonts w:hint="eastAsia" w:eastAsiaTheme="minorEastAsia"/>
          <w:szCs w:val="22"/>
        </w:rPr>
        <w:t>机始发、</w:t>
      </w:r>
      <w:r>
        <w:rPr>
          <w:rFonts w:eastAsiaTheme="minorEastAsia"/>
          <w:szCs w:val="22"/>
        </w:rPr>
        <w:t>设备安装调试、管节拼装及顶进施工</w:t>
      </w:r>
      <w:r>
        <w:rPr>
          <w:rFonts w:hint="eastAsia" w:eastAsiaTheme="minorEastAsia"/>
          <w:szCs w:val="22"/>
        </w:rPr>
        <w:t>。</w:t>
      </w:r>
    </w:p>
    <w:p w14:paraId="06CD6091">
      <w:pPr>
        <w:ind w:firstLine="420"/>
        <w:rPr>
          <w:rFonts w:eastAsiaTheme="minorEastAsia"/>
          <w:szCs w:val="22"/>
        </w:rPr>
      </w:pPr>
      <w:r>
        <w:rPr>
          <w:rFonts w:hint="eastAsia" w:eastAsiaTheme="minorEastAsia"/>
          <w:szCs w:val="22"/>
        </w:rPr>
        <w:t>接收井用于顶管机接收、</w:t>
      </w:r>
      <w:r>
        <w:rPr>
          <w:rFonts w:eastAsiaTheme="minorEastAsia"/>
          <w:szCs w:val="22"/>
        </w:rPr>
        <w:t>设备拆解和吊出</w:t>
      </w:r>
      <w:bookmarkEnd w:id="56"/>
      <w:r>
        <w:rPr>
          <w:rFonts w:eastAsiaTheme="minorEastAsia"/>
          <w:szCs w:val="22"/>
        </w:rPr>
        <w:t>。</w:t>
      </w:r>
    </w:p>
    <w:p w14:paraId="2562D71E">
      <w:pPr>
        <w:rPr>
          <w:b/>
          <w:bCs/>
        </w:rPr>
      </w:pPr>
      <w:r>
        <w:rPr>
          <w:b/>
          <w:bCs/>
        </w:rPr>
        <w:t>2.1.4  大断面矩形顶管    pipe jacking engineering with large rectangular cross section</w:t>
      </w:r>
    </w:p>
    <w:p w14:paraId="3553E286">
      <w:pPr>
        <w:ind w:firstLine="420"/>
        <w:rPr>
          <w:rFonts w:eastAsiaTheme="minorEastAsia"/>
          <w:szCs w:val="22"/>
        </w:rPr>
      </w:pPr>
      <w:r>
        <w:rPr>
          <w:rFonts w:eastAsiaTheme="minorEastAsia"/>
          <w:szCs w:val="22"/>
        </w:rPr>
        <w:t>横断面面积不小于40m</w:t>
      </w:r>
      <w:r>
        <w:rPr>
          <w:rFonts w:eastAsiaTheme="minorEastAsia"/>
          <w:szCs w:val="22"/>
          <w:vertAlign w:val="superscript"/>
        </w:rPr>
        <w:t>2</w:t>
      </w:r>
      <w:r>
        <w:rPr>
          <w:rFonts w:eastAsiaTheme="minorEastAsia"/>
          <w:szCs w:val="22"/>
        </w:rPr>
        <w:t>的矩形顶管。</w:t>
      </w:r>
    </w:p>
    <w:p w14:paraId="1E913526">
      <w:pPr>
        <w:rPr>
          <w:rFonts w:eastAsiaTheme="minorEastAsia"/>
          <w:szCs w:val="22"/>
        </w:rPr>
      </w:pPr>
      <w:r>
        <w:rPr>
          <w:rFonts w:eastAsiaTheme="minorEastAsia"/>
          <w:b/>
          <w:szCs w:val="22"/>
        </w:rPr>
        <w:t>2.1.5  长距离矩形顶管    long distance pipe jacking with rectangular cross section</w:t>
      </w:r>
    </w:p>
    <w:p w14:paraId="322AB85E">
      <w:pPr>
        <w:ind w:firstLine="420"/>
        <w:rPr>
          <w:rFonts w:eastAsiaTheme="minorEastAsia"/>
          <w:szCs w:val="22"/>
        </w:rPr>
      </w:pPr>
      <w:r>
        <w:rPr>
          <w:rFonts w:eastAsiaTheme="minorEastAsia"/>
          <w:szCs w:val="22"/>
        </w:rPr>
        <w:t>一次顶进长度大于200m的矩形顶管。</w:t>
      </w:r>
    </w:p>
    <w:p w14:paraId="041D2501">
      <w:pPr>
        <w:rPr>
          <w:rFonts w:eastAsiaTheme="minorEastAsia"/>
          <w:b/>
          <w:szCs w:val="22"/>
        </w:rPr>
      </w:pPr>
      <w:r>
        <w:rPr>
          <w:rFonts w:eastAsiaTheme="minorEastAsia"/>
          <w:b/>
          <w:szCs w:val="22"/>
        </w:rPr>
        <w:t>2.1.6</w:t>
      </w:r>
      <w:r>
        <w:rPr>
          <w:rFonts w:eastAsiaTheme="minorEastAsia"/>
          <w:szCs w:val="22"/>
        </w:rPr>
        <w:t xml:space="preserve">  </w:t>
      </w:r>
      <w:r>
        <w:rPr>
          <w:rFonts w:eastAsiaTheme="minorEastAsia"/>
          <w:b/>
          <w:szCs w:val="22"/>
        </w:rPr>
        <w:t xml:space="preserve">穿墙洞   </w:t>
      </w:r>
      <w:r>
        <w:rPr>
          <w:rFonts w:eastAsiaTheme="minorEastAsia"/>
          <w:szCs w:val="22"/>
        </w:rPr>
        <w:t xml:space="preserve"> </w:t>
      </w:r>
      <w:r>
        <w:rPr>
          <w:rFonts w:eastAsiaTheme="minorEastAsia"/>
          <w:b/>
          <w:szCs w:val="22"/>
        </w:rPr>
        <w:t xml:space="preserve">portal for pipe jacking </w:t>
      </w:r>
    </w:p>
    <w:p w14:paraId="38433AB3">
      <w:pPr>
        <w:ind w:firstLine="420"/>
        <w:rPr>
          <w:rFonts w:eastAsiaTheme="minorEastAsia"/>
          <w:szCs w:val="22"/>
        </w:rPr>
      </w:pPr>
      <w:r>
        <w:rPr>
          <w:rFonts w:eastAsiaTheme="minorEastAsia"/>
          <w:szCs w:val="22"/>
        </w:rPr>
        <w:t>顶管机进出始发井和接收井的洞门。</w:t>
      </w:r>
    </w:p>
    <w:p w14:paraId="325CE309">
      <w:pPr>
        <w:rPr>
          <w:rFonts w:eastAsiaTheme="minorEastAsia"/>
          <w:b/>
          <w:szCs w:val="22"/>
        </w:rPr>
      </w:pPr>
      <w:r>
        <w:rPr>
          <w:rFonts w:eastAsiaTheme="minorEastAsia"/>
          <w:b/>
          <w:szCs w:val="22"/>
        </w:rPr>
        <w:t>2.1.7  始发</w:t>
      </w:r>
      <w:r>
        <w:rPr>
          <w:rFonts w:eastAsiaTheme="minorEastAsia"/>
          <w:szCs w:val="22"/>
        </w:rPr>
        <w:t xml:space="preserve">    </w:t>
      </w:r>
      <w:r>
        <w:rPr>
          <w:rFonts w:eastAsiaTheme="minorEastAsia"/>
          <w:b/>
          <w:szCs w:val="22"/>
        </w:rPr>
        <w:t>launching</w:t>
      </w:r>
    </w:p>
    <w:p w14:paraId="28A7D845">
      <w:pPr>
        <w:ind w:firstLine="480" w:firstLineChars="200"/>
        <w:rPr>
          <w:rFonts w:eastAsiaTheme="minorEastAsia"/>
          <w:szCs w:val="22"/>
        </w:rPr>
      </w:pPr>
      <w:r>
        <w:rPr>
          <w:rFonts w:eastAsiaTheme="minorEastAsia"/>
          <w:szCs w:val="22"/>
        </w:rPr>
        <w:t>顶管机由</w:t>
      </w:r>
      <w:r>
        <w:rPr>
          <w:rFonts w:hint="eastAsia" w:eastAsiaTheme="minorEastAsia"/>
          <w:szCs w:val="22"/>
        </w:rPr>
        <w:t>始发</w:t>
      </w:r>
      <w:r>
        <w:rPr>
          <w:rFonts w:eastAsiaTheme="minorEastAsia"/>
          <w:szCs w:val="22"/>
        </w:rPr>
        <w:t>井进入地层开始顶进的过程。</w:t>
      </w:r>
    </w:p>
    <w:p w14:paraId="593F59AD">
      <w:pPr>
        <w:rPr>
          <w:rFonts w:eastAsiaTheme="minorEastAsia"/>
          <w:b/>
          <w:szCs w:val="22"/>
        </w:rPr>
      </w:pPr>
      <w:r>
        <w:rPr>
          <w:rFonts w:eastAsiaTheme="minorEastAsia"/>
          <w:b/>
          <w:szCs w:val="22"/>
        </w:rPr>
        <w:t xml:space="preserve">2.1.8  接收 </w:t>
      </w:r>
      <w:r>
        <w:rPr>
          <w:rFonts w:eastAsiaTheme="minorEastAsia"/>
          <w:szCs w:val="22"/>
        </w:rPr>
        <w:t xml:space="preserve">   </w:t>
      </w:r>
      <w:r>
        <w:rPr>
          <w:rFonts w:eastAsiaTheme="minorEastAsia"/>
          <w:b/>
          <w:szCs w:val="22"/>
        </w:rPr>
        <w:t>receiving</w:t>
      </w:r>
    </w:p>
    <w:p w14:paraId="52B4407B">
      <w:pPr>
        <w:ind w:firstLine="480" w:firstLineChars="200"/>
        <w:rPr>
          <w:rFonts w:eastAsiaTheme="minorEastAsia"/>
          <w:szCs w:val="22"/>
        </w:rPr>
      </w:pPr>
      <w:r>
        <w:rPr>
          <w:rFonts w:eastAsiaTheme="minorEastAsia"/>
          <w:szCs w:val="22"/>
        </w:rPr>
        <w:t>顶管机由地层进入接收井完成顶进的过程。</w:t>
      </w:r>
    </w:p>
    <w:p w14:paraId="67C28954">
      <w:pPr>
        <w:tabs>
          <w:tab w:val="left" w:pos="720"/>
        </w:tabs>
        <w:autoSpaceDE w:val="0"/>
        <w:autoSpaceDN w:val="0"/>
        <w:adjustRightInd w:val="0"/>
        <w:ind w:right="18"/>
        <w:jc w:val="left"/>
        <w:rPr>
          <w:rFonts w:eastAsiaTheme="minorEastAsia"/>
          <w:szCs w:val="22"/>
        </w:rPr>
      </w:pPr>
      <w:r>
        <w:rPr>
          <w:rFonts w:eastAsiaTheme="minorEastAsia"/>
          <w:b/>
          <w:szCs w:val="22"/>
        </w:rPr>
        <w:t>2.1.9  反力墙    reacting-force wall</w:t>
      </w:r>
    </w:p>
    <w:p w14:paraId="6D63EE46">
      <w:pPr>
        <w:ind w:firstLine="480" w:firstLineChars="200"/>
        <w:rPr>
          <w:rFonts w:eastAsiaTheme="minorEastAsia"/>
          <w:szCs w:val="22"/>
        </w:rPr>
      </w:pPr>
      <w:r>
        <w:rPr>
          <w:rFonts w:hint="eastAsia" w:eastAsiaTheme="minorEastAsia"/>
          <w:szCs w:val="22"/>
        </w:rPr>
        <w:t>始发</w:t>
      </w:r>
      <w:r>
        <w:rPr>
          <w:rFonts w:eastAsiaTheme="minorEastAsia"/>
          <w:szCs w:val="22"/>
        </w:rPr>
        <w:t>井内承受顶推反力的结构墙体。</w:t>
      </w:r>
    </w:p>
    <w:p w14:paraId="210AC708">
      <w:pPr>
        <w:rPr>
          <w:rFonts w:eastAsiaTheme="minorEastAsia"/>
          <w:b/>
          <w:szCs w:val="22"/>
        </w:rPr>
      </w:pPr>
      <w:r>
        <w:rPr>
          <w:rFonts w:eastAsiaTheme="minorEastAsia"/>
          <w:b/>
          <w:szCs w:val="22"/>
        </w:rPr>
        <w:t>2.1.10  后靠    jacking base</w:t>
      </w:r>
    </w:p>
    <w:p w14:paraId="05BB081D">
      <w:pPr>
        <w:ind w:firstLine="480" w:firstLineChars="200"/>
      </w:pPr>
      <w:r>
        <w:t>安装在顶推液压缸与反力墙之间，使反力均匀的施加在反力墙上的装置。</w:t>
      </w:r>
    </w:p>
    <w:p w14:paraId="7C7A3E66">
      <w:pPr>
        <w:rPr>
          <w:rFonts w:eastAsiaTheme="minorEastAsia"/>
          <w:b/>
          <w:szCs w:val="22"/>
        </w:rPr>
      </w:pPr>
      <w:r>
        <w:rPr>
          <w:rFonts w:eastAsiaTheme="minorEastAsia"/>
          <w:b/>
          <w:szCs w:val="22"/>
        </w:rPr>
        <w:t>2.1.11  中继间    intermediate jacking station</w:t>
      </w:r>
    </w:p>
    <w:p w14:paraId="3F3C7F92">
      <w:pPr>
        <w:ind w:firstLine="420"/>
        <w:rPr>
          <w:rFonts w:eastAsiaTheme="minorEastAsia"/>
          <w:szCs w:val="22"/>
        </w:rPr>
      </w:pPr>
      <w:r>
        <w:rPr>
          <w:rFonts w:eastAsiaTheme="minorEastAsia"/>
          <w:szCs w:val="22"/>
        </w:rPr>
        <w:t>顶管机顶推系统能力不足时，随管节一同前进的接力顶进装置。</w:t>
      </w:r>
    </w:p>
    <w:p w14:paraId="764C71E3">
      <w:pPr>
        <w:rPr>
          <w:rFonts w:eastAsiaTheme="minorEastAsia"/>
          <w:b/>
          <w:szCs w:val="22"/>
        </w:rPr>
      </w:pPr>
      <w:r>
        <w:rPr>
          <w:rFonts w:eastAsiaTheme="minorEastAsia"/>
          <w:b/>
          <w:szCs w:val="22"/>
        </w:rPr>
        <w:t>2.1.12  触变泥浆    thixotropic slurry</w:t>
      </w:r>
    </w:p>
    <w:p w14:paraId="1D94A500">
      <w:pPr>
        <w:ind w:firstLine="480" w:firstLineChars="200"/>
        <w:rPr>
          <w:rFonts w:eastAsiaTheme="minorEastAsia"/>
          <w:szCs w:val="22"/>
        </w:rPr>
      </w:pPr>
      <w:r>
        <w:rPr>
          <w:rFonts w:eastAsiaTheme="minorEastAsia"/>
          <w:szCs w:val="22"/>
        </w:rPr>
        <w:t>填充</w:t>
      </w:r>
      <w:r>
        <w:rPr>
          <w:rFonts w:hint="eastAsia" w:eastAsiaTheme="minorEastAsia"/>
          <w:szCs w:val="22"/>
        </w:rPr>
        <w:t>在管节</w:t>
      </w:r>
      <w:r>
        <w:rPr>
          <w:rFonts w:eastAsiaTheme="minorEastAsia"/>
          <w:szCs w:val="22"/>
        </w:rPr>
        <w:t>外壁与土体之间</w:t>
      </w:r>
      <w:r>
        <w:rPr>
          <w:rFonts w:hint="eastAsia" w:eastAsiaTheme="minorEastAsia"/>
          <w:szCs w:val="22"/>
        </w:rPr>
        <w:t>，</w:t>
      </w:r>
      <w:r>
        <w:rPr>
          <w:rFonts w:eastAsiaTheme="minorEastAsia"/>
          <w:szCs w:val="22"/>
        </w:rPr>
        <w:t>用于</w:t>
      </w:r>
      <w:r>
        <w:rPr>
          <w:rFonts w:hint="eastAsia" w:eastAsiaTheme="minorEastAsia"/>
          <w:szCs w:val="22"/>
        </w:rPr>
        <w:t>顶进</w:t>
      </w:r>
      <w:r>
        <w:rPr>
          <w:rFonts w:eastAsiaTheme="minorEastAsia"/>
          <w:szCs w:val="22"/>
        </w:rPr>
        <w:t>减阻的泥浆。</w:t>
      </w:r>
    </w:p>
    <w:p w14:paraId="26E2CB83">
      <w:pPr>
        <w:rPr>
          <w:rFonts w:eastAsiaTheme="minorEastAsia"/>
          <w:b/>
          <w:szCs w:val="22"/>
        </w:rPr>
      </w:pPr>
      <w:r>
        <w:rPr>
          <w:rFonts w:eastAsiaTheme="minorEastAsia"/>
          <w:b/>
          <w:szCs w:val="22"/>
        </w:rPr>
        <w:t>2.1.13  管节    segment</w:t>
      </w:r>
    </w:p>
    <w:p w14:paraId="707952B0">
      <w:pPr>
        <w:ind w:firstLine="480" w:firstLineChars="200"/>
        <w:rPr>
          <w:rFonts w:eastAsiaTheme="minorEastAsia"/>
          <w:szCs w:val="22"/>
        </w:rPr>
      </w:pPr>
      <w:r>
        <w:rPr>
          <w:rFonts w:eastAsiaTheme="minorEastAsia"/>
          <w:szCs w:val="22"/>
        </w:rPr>
        <w:t>分节浇筑或拼装成型的用于矩形顶管顶进的结构单元。</w:t>
      </w:r>
    </w:p>
    <w:p w14:paraId="3A37F8DE">
      <w:pPr>
        <w:pStyle w:val="3"/>
        <w:rPr>
          <w:rFonts w:eastAsia="黑体" w:cs="Times New Roman"/>
          <w:b w:val="0"/>
        </w:rPr>
      </w:pPr>
      <w:bookmarkStart w:id="57" w:name="_Toc5662"/>
      <w:bookmarkStart w:id="58" w:name="_Toc47692144"/>
      <w:bookmarkStart w:id="59" w:name="_Toc4789"/>
      <w:bookmarkStart w:id="60" w:name="_Toc27780"/>
      <w:bookmarkStart w:id="61" w:name="_Toc12507"/>
      <w:bookmarkStart w:id="62" w:name="_Toc18432"/>
      <w:bookmarkStart w:id="63" w:name="_Toc525219682"/>
      <w:bookmarkStart w:id="64" w:name="_Toc18057024"/>
      <w:bookmarkStart w:id="65" w:name="_Toc60172886"/>
      <w:bookmarkStart w:id="66" w:name="_Toc60173773"/>
      <w:bookmarkStart w:id="67" w:name="_Toc525220316"/>
      <w:bookmarkStart w:id="68" w:name="_Toc5546"/>
      <w:bookmarkStart w:id="69" w:name="_Toc525221299"/>
      <w:bookmarkStart w:id="70" w:name="_Toc9847"/>
      <w:r>
        <w:rPr>
          <w:rFonts w:eastAsia="黑体" w:cs="Times New Roman"/>
        </w:rPr>
        <w:t>2.2</w:t>
      </w:r>
      <w:r>
        <w:rPr>
          <w:rFonts w:eastAsia="黑体" w:cs="Times New Roman"/>
          <w:b w:val="0"/>
        </w:rPr>
        <w:t xml:space="preserve">  符号</w:t>
      </w:r>
      <w:bookmarkEnd w:id="57"/>
      <w:bookmarkEnd w:id="58"/>
      <w:bookmarkEnd w:id="59"/>
      <w:bookmarkEnd w:id="60"/>
      <w:bookmarkEnd w:id="61"/>
      <w:bookmarkEnd w:id="62"/>
      <w:bookmarkEnd w:id="63"/>
      <w:bookmarkEnd w:id="64"/>
      <w:bookmarkEnd w:id="65"/>
      <w:bookmarkEnd w:id="66"/>
      <w:bookmarkEnd w:id="67"/>
      <w:bookmarkEnd w:id="68"/>
      <w:bookmarkEnd w:id="69"/>
      <w:bookmarkEnd w:id="70"/>
    </w:p>
    <w:p w14:paraId="4D6E39B1">
      <w:pPr>
        <w:rPr>
          <w:b/>
        </w:rPr>
      </w:pPr>
      <w:r>
        <w:rPr>
          <w:b/>
        </w:rPr>
        <w:t>2.2.</w:t>
      </w:r>
      <w:r>
        <w:rPr>
          <w:rFonts w:hint="eastAsia"/>
          <w:b/>
        </w:rPr>
        <w:t>1</w:t>
      </w:r>
      <w:r>
        <w:rPr>
          <w:b/>
        </w:rPr>
        <w:t xml:space="preserve">  几何参数：</w:t>
      </w:r>
    </w:p>
    <w:p w14:paraId="356F7F79">
      <w:pPr>
        <w:ind w:firstLine="480" w:firstLineChars="200"/>
        <w:rPr>
          <w:rFonts w:eastAsiaTheme="minorEastAsia"/>
        </w:rPr>
      </w:pPr>
      <w:r>
        <w:rPr>
          <w:position w:val="-14"/>
        </w:rPr>
        <w:object>
          <v:shape id="_x0000_i1025" o:spt="75" type="#_x0000_t75" style="height:19.5pt;width:14.25pt;" o:ole="t" filled="f" o:preferrelative="t" stroked="f" coordsize="21600,21600">
            <v:path/>
            <v:fill on="f" focussize="0,0"/>
            <v:stroke on="f" joinstyle="miter"/>
            <v:imagedata r:id="rId12" o:title=""/>
            <o:lock v:ext="edit" aspectratio="t"/>
            <w10:wrap type="none"/>
            <w10:anchorlock/>
          </v:shape>
          <o:OLEObject Type="Embed" ProgID="Equation.DSMT4" ShapeID="_x0000_i1025" DrawAspect="Content" ObjectID="_1468075725" r:id="rId11">
            <o:LockedField>false</o:LockedField>
          </o:OLEObject>
        </w:object>
      </w:r>
      <w:r>
        <w:rPr>
          <w:lang w:bidi="ar"/>
        </w:rPr>
        <w:t>——</w:t>
      </w:r>
      <w:r>
        <w:rPr>
          <w:rFonts w:eastAsiaTheme="minorEastAsia"/>
        </w:rPr>
        <w:t>管节的有效传力面积；</w:t>
      </w:r>
    </w:p>
    <w:p w14:paraId="5A0A82EB">
      <w:pPr>
        <w:ind w:firstLine="571" w:firstLineChars="238"/>
      </w:pPr>
      <w:r>
        <w:rPr>
          <w:i/>
        </w:rPr>
        <w:t>b</w:t>
      </w:r>
      <w:r>
        <w:rPr>
          <w:iCs/>
          <w:vertAlign w:val="subscript"/>
        </w:rPr>
        <w:t>2</w:t>
      </w:r>
      <w:r>
        <w:t>——施工操作空间；</w:t>
      </w:r>
    </w:p>
    <w:p w14:paraId="12E15BBF">
      <w:pPr>
        <w:ind w:firstLine="528" w:firstLineChars="220"/>
      </w:pPr>
      <w:r>
        <w:rPr>
          <w:position w:val="-4"/>
        </w:rPr>
        <w:object>
          <v:shape id="_x0000_i1026" o:spt="75" type="#_x0000_t75" style="height:13.5pt;width:12pt;" o:ole="t" filled="f" o:preferrelative="t" stroked="f" coordsize="21600,21600">
            <v:path/>
            <v:fill on="f" focussize="0,0"/>
            <v:stroke on="f" joinstyle="miter"/>
            <v:imagedata r:id="rId14" o:title=""/>
            <o:lock v:ext="edit" aspectratio="t"/>
            <w10:wrap type="none"/>
            <w10:anchorlock/>
          </v:shape>
          <o:OLEObject Type="Embed" ProgID="Equation.DSMT4" ShapeID="_x0000_i1026" DrawAspect="Content" ObjectID="_1468075726" r:id="rId13">
            <o:LockedField>false</o:LockedField>
          </o:OLEObject>
        </w:object>
      </w:r>
      <w:r>
        <w:t>——始发井的最小净宽度；</w:t>
      </w:r>
    </w:p>
    <w:p w14:paraId="6AA663D7">
      <w:pPr>
        <w:ind w:firstLine="528" w:firstLineChars="220"/>
        <w:rPr>
          <w:rFonts w:eastAsiaTheme="minorEastAsia"/>
          <w:sz w:val="21"/>
        </w:rPr>
      </w:pPr>
      <w:r>
        <w:rPr>
          <w:position w:val="-12"/>
        </w:rPr>
        <w:object>
          <v:shape id="_x0000_i1027" o:spt="75" type="#_x0000_t75" style="height:19.5pt;width:12pt;" o:ole="t" filled="f" o:preferrelative="t" stroked="f" coordsize="21600,21600">
            <v:path/>
            <v:fill on="f" focussize="0,0"/>
            <v:stroke on="f" joinstyle="miter"/>
            <v:imagedata r:id="rId16" o:title=""/>
            <o:lock v:ext="edit" aspectratio="t"/>
            <w10:wrap type="none"/>
            <w10:anchorlock/>
          </v:shape>
          <o:OLEObject Type="Embed" ProgID="Equation.DSMT4" ShapeID="_x0000_i1027" DrawAspect="Content" ObjectID="_1468075727" r:id="rId15">
            <o:LockedField>false</o:LockedField>
          </o:OLEObject>
        </w:object>
      </w:r>
      <w:r>
        <w:rPr>
          <w:lang w:bidi="ar"/>
        </w:rPr>
        <w:t>——</w:t>
      </w:r>
      <w:r>
        <w:t>矩形管节外边宽；</w:t>
      </w:r>
    </w:p>
    <w:p w14:paraId="3BB58325">
      <w:pPr>
        <w:ind w:firstLine="405" w:firstLineChars="169"/>
      </w:pPr>
      <w:r>
        <w:rPr>
          <w:position w:val="-12"/>
        </w:rPr>
        <w:object>
          <v:shape id="_x0000_i1028" o:spt="75" type="#_x0000_t75" style="height:19.5pt;width:19.5pt;" o:ole="t" filled="f" o:preferrelative="t" stroked="f" coordsize="21600,21600">
            <v:path/>
            <v:fill on="f" focussize="0,0"/>
            <v:stroke on="f" joinstyle="miter"/>
            <v:imagedata r:id="rId18" o:title=""/>
            <o:lock v:ext="edit" aspectratio="t"/>
            <w10:wrap type="none"/>
            <w10:anchorlock/>
          </v:shape>
          <o:OLEObject Type="Embed" ProgID="Equation.DSMT4" ShapeID="_x0000_i1028" DrawAspect="Content" ObjectID="_1468075728" r:id="rId17">
            <o:LockedField>false</o:LockedField>
          </o:OLEObject>
        </w:object>
      </w:r>
      <w:r>
        <w:t>——始发井的穿墙洞宽度；</w:t>
      </w:r>
    </w:p>
    <w:p w14:paraId="37DC28C4">
      <w:pPr>
        <w:ind w:firstLine="429" w:firstLineChars="179"/>
        <w:rPr>
          <w:rFonts w:eastAsiaTheme="minorEastAsia"/>
        </w:rPr>
      </w:pPr>
      <w:r>
        <w:rPr>
          <w:position w:val="-16"/>
        </w:rPr>
        <w:object>
          <v:shape id="_x0000_i1029" o:spt="75" type="#_x0000_t75" style="height:20.25pt;width:15.75pt;" o:ole="t" filled="f" o:preferrelative="t" stroked="f" coordsize="21600,21600">
            <v:path/>
            <v:fill on="f" focussize="0,0"/>
            <v:stroke on="f" joinstyle="miter"/>
            <v:imagedata r:id="rId20" o:title=""/>
            <o:lock v:ext="edit" aspectratio="t"/>
            <w10:wrap type="none"/>
            <w10:anchorlock/>
          </v:shape>
          <o:OLEObject Type="Embed" ProgID="Equation.DSMT4" ShapeID="_x0000_i1029" DrawAspect="Content" ObjectID="_1468075729" r:id="rId19">
            <o:LockedField>false</o:LockedField>
          </o:OLEObject>
        </w:object>
      </w:r>
      <w:r>
        <w:rPr>
          <w:rFonts w:eastAsiaTheme="minorEastAsia"/>
        </w:rPr>
        <w:t>——接收井的穿墙洞宽度；</w:t>
      </w:r>
    </w:p>
    <w:p w14:paraId="1D8DB9ED">
      <w:pPr>
        <w:ind w:firstLine="429" w:firstLineChars="179"/>
      </w:pPr>
      <w:r>
        <w:rPr>
          <w:position w:val="-12"/>
        </w:rPr>
        <w:object>
          <v:shape id="_x0000_i1030" o:spt="75" type="#_x0000_t75" style="height:19.5pt;width:13.5pt;" o:ole="t" filled="f" o:preferrelative="t" stroked="f" coordsize="21600,21600">
            <v:path/>
            <v:fill on="f" focussize="0,0"/>
            <v:stroke on="f" joinstyle="miter"/>
            <v:imagedata r:id="rId22" o:title=""/>
            <o:lock v:ext="edit" aspectratio="t"/>
            <w10:wrap type="none"/>
            <w10:anchorlock/>
          </v:shape>
          <o:OLEObject Type="Embed" ProgID="Equation.DSMT4" ShapeID="_x0000_i1030" DrawAspect="Content" ObjectID="_1468075730" r:id="rId21">
            <o:LockedField>false</o:LockedField>
          </o:OLEObject>
        </w:object>
      </w:r>
      <w:r>
        <w:t>——卸力拱的高度；</w:t>
      </w:r>
    </w:p>
    <w:p w14:paraId="28017590">
      <w:pPr>
        <w:ind w:firstLine="375" w:firstLineChars="179"/>
        <w:rPr>
          <w:rFonts w:eastAsiaTheme="minorEastAsia"/>
          <w:bCs/>
          <w:sz w:val="21"/>
          <w:szCs w:val="22"/>
        </w:rPr>
      </w:pPr>
      <w:r>
        <w:rPr>
          <w:rFonts w:eastAsiaTheme="minorEastAsia"/>
          <w:bCs/>
          <w:position w:val="-12"/>
          <w:sz w:val="21"/>
          <w:szCs w:val="22"/>
        </w:rPr>
        <w:object>
          <v:shape id="_x0000_i1031" o:spt="75" type="#_x0000_t75" style="height:19.5pt;width:12.75pt;" o:ole="t" filled="f" o:preferrelative="t" stroked="f" coordsize="21600,21600">
            <v:path/>
            <v:fill on="f" focussize="0,0"/>
            <v:stroke on="f" joinstyle="miter"/>
            <v:imagedata r:id="rId24" o:title=""/>
            <o:lock v:ext="edit" aspectratio="t"/>
            <w10:wrap type="none"/>
            <w10:anchorlock/>
          </v:shape>
          <o:OLEObject Type="Embed" ProgID="Equation.DSMT4" ShapeID="_x0000_i1031" DrawAspect="Content" ObjectID="_1468075731" r:id="rId23">
            <o:LockedField>false</o:LockedField>
          </o:OLEObject>
        </w:object>
      </w:r>
      <w:r>
        <w:t>——总顶力距刃脚底的距离</w:t>
      </w:r>
      <w:r>
        <w:rPr>
          <w:rFonts w:eastAsiaTheme="minorEastAsia"/>
          <w:bCs/>
          <w:sz w:val="21"/>
          <w:szCs w:val="22"/>
        </w:rPr>
        <w:t>；</w:t>
      </w:r>
    </w:p>
    <w:p w14:paraId="57E67B02">
      <w:pPr>
        <w:ind w:firstLine="429" w:firstLineChars="179"/>
        <w:rPr>
          <w:rFonts w:eastAsiaTheme="minorEastAsia"/>
          <w:bCs/>
          <w:sz w:val="21"/>
          <w:szCs w:val="22"/>
        </w:rPr>
      </w:pPr>
      <w:r>
        <w:rPr>
          <w:position w:val="-14"/>
        </w:rPr>
        <w:object>
          <v:shape id="_x0000_i1032" o:spt="75" type="#_x0000_t75" style="height:19.5pt;width:14.25pt;" o:ole="t" filled="f" o:preferrelative="t" stroked="f" coordsize="21600,21600">
            <v:path/>
            <v:fill on="f" focussize="0,0"/>
            <v:stroke on="f" joinstyle="miter"/>
            <v:imagedata r:id="rId26" o:title=""/>
            <o:lock v:ext="edit" aspectratio="t"/>
            <w10:wrap type="none"/>
            <w10:anchorlock/>
          </v:shape>
          <o:OLEObject Type="Embed" ProgID="Equation.DSMT4" ShapeID="_x0000_i1032" DrawAspect="Content" ObjectID="_1468075732" r:id="rId25">
            <o:LockedField>false</o:LockedField>
          </o:OLEObject>
        </w:object>
      </w:r>
      <w:r>
        <w:t>——被动土压力距刃脚底的距离</w:t>
      </w:r>
      <w:r>
        <w:rPr>
          <w:rFonts w:eastAsiaTheme="minorEastAsia"/>
          <w:bCs/>
          <w:sz w:val="21"/>
          <w:szCs w:val="22"/>
        </w:rPr>
        <w:t xml:space="preserve">； </w:t>
      </w:r>
    </w:p>
    <w:p w14:paraId="226731A6">
      <w:pPr>
        <w:ind w:firstLine="429" w:firstLineChars="179"/>
      </w:pPr>
      <w:r>
        <w:rPr>
          <w:position w:val="-4"/>
        </w:rPr>
        <w:object>
          <v:shape id="_x0000_i1033" o:spt="75" type="#_x0000_t75" style="height:12pt;width:14.25pt;" o:ole="t" filled="f" o:preferrelative="t" stroked="f" coordsize="21600,21600">
            <v:path/>
            <v:fill on="f" focussize="0,0"/>
            <v:stroke on="f" joinstyle="miter"/>
            <v:imagedata r:id="rId28" o:title=""/>
            <o:lock v:ext="edit" aspectratio="t"/>
            <w10:wrap type="none"/>
            <w10:anchorlock/>
          </v:shape>
          <o:OLEObject Type="Embed" ProgID="Equation.DSMT4" ShapeID="_x0000_i1033" DrawAspect="Content" ObjectID="_1468075733" r:id="rId27">
            <o:LockedField>false</o:LockedField>
          </o:OLEObject>
        </w:object>
      </w:r>
      <w:r>
        <w:t>——始发井最小深度；</w:t>
      </w:r>
    </w:p>
    <w:p w14:paraId="28098683">
      <w:pPr>
        <w:ind w:firstLine="384" w:firstLineChars="160"/>
        <w:rPr>
          <w:kern w:val="24"/>
        </w:rPr>
      </w:pPr>
      <w:r>
        <w:rPr>
          <w:position w:val="-12"/>
        </w:rPr>
        <w:object>
          <v:shape id="_x0000_i1034" o:spt="75" type="#_x0000_t75" style="height:15pt;width:15pt;" o:ole="t" filled="f" o:preferrelative="t" stroked="f" coordsize="21600,21600">
            <v:path/>
            <v:fill on="f" focussize="0,0"/>
            <v:stroke on="f" joinstyle="miter"/>
            <v:imagedata r:id="rId30" o:title=""/>
            <o:lock v:ext="edit" aspectratio="t"/>
            <w10:wrap type="none"/>
            <w10:anchorlock/>
          </v:shape>
          <o:OLEObject Type="Embed" ProgID="Equation.DSMT4" ShapeID="_x0000_i1034" DrawAspect="Content" ObjectID="_1468075734" r:id="rId29">
            <o:LockedField>false</o:LockedField>
          </o:OLEObject>
        </w:object>
      </w:r>
      <w:r>
        <w:rPr>
          <w:lang w:bidi="ar"/>
        </w:rPr>
        <w:t>——</w:t>
      </w:r>
      <w:r>
        <w:t>管顶至原状土地面覆土层厚度；</w:t>
      </w:r>
    </w:p>
    <w:p w14:paraId="61C6C71C">
      <w:pPr>
        <w:ind w:firstLine="405" w:firstLineChars="169"/>
        <w:rPr>
          <w:rFonts w:eastAsiaTheme="minorEastAsia"/>
          <w:sz w:val="21"/>
        </w:rPr>
      </w:pPr>
      <w:r>
        <w:rPr>
          <w:position w:val="-12"/>
        </w:rPr>
        <w:object>
          <v:shape id="_x0000_i1035" o:spt="75" type="#_x0000_t75" style="height:21.75pt;width:15pt;" o:ole="t" filled="f" o:preferrelative="t" stroked="f" coordsize="21600,21600">
            <v:path/>
            <v:fill on="f" focussize="0,0"/>
            <v:stroke on="f" joinstyle="miter"/>
            <v:imagedata r:id="rId32" o:title=""/>
            <o:lock v:ext="edit" aspectratio="t"/>
            <w10:wrap type="none"/>
            <w10:anchorlock/>
          </v:shape>
          <o:OLEObject Type="Embed" ProgID="Equation.DSMT4" ShapeID="_x0000_i1035" DrawAspect="Content" ObjectID="_1468075735" r:id="rId31">
            <o:LockedField>false</o:LockedField>
          </o:OLEObject>
        </w:object>
      </w:r>
      <w:r>
        <w:rPr>
          <w:lang w:bidi="ar"/>
        </w:rPr>
        <w:t>——</w:t>
      </w:r>
      <w:r>
        <w:t>矩形管节外边高；</w:t>
      </w:r>
    </w:p>
    <w:p w14:paraId="47A17F36">
      <w:pPr>
        <w:ind w:firstLine="480" w:firstLineChars="200"/>
      </w:pPr>
      <w:r>
        <w:rPr>
          <w:i/>
        </w:rPr>
        <w:t>h</w:t>
      </w:r>
      <w:r>
        <w:rPr>
          <w:iCs/>
          <w:vertAlign w:val="subscript"/>
        </w:rPr>
        <w:t>1</w:t>
      </w:r>
      <w:r>
        <w:t>——管节底下的操作空间；</w:t>
      </w:r>
    </w:p>
    <w:p w14:paraId="365D804F">
      <w:pPr>
        <w:ind w:firstLine="288" w:firstLineChars="120"/>
      </w:pPr>
      <w:r>
        <w:rPr>
          <w:position w:val="-12"/>
        </w:rPr>
        <w:object>
          <v:shape id="_x0000_i1036" o:spt="75" type="#_x0000_t75" style="height:19.5pt;width:21pt;" o:ole="t" filled="f" o:preferrelative="t" stroked="f" coordsize="21600,21600">
            <v:path/>
            <v:fill on="f" focussize="0,0"/>
            <v:stroke on="f" joinstyle="miter"/>
            <v:imagedata r:id="rId34" o:title=""/>
            <o:lock v:ext="edit" aspectratio="t"/>
            <w10:wrap type="none"/>
            <w10:anchorlock/>
          </v:shape>
          <o:OLEObject Type="Embed" ProgID="Equation.DSMT4" ShapeID="_x0000_i1036" DrawAspect="Content" ObjectID="_1468075736" r:id="rId33">
            <o:LockedField>false</o:LockedField>
          </o:OLEObject>
        </w:object>
      </w:r>
      <w:r>
        <w:t>——始发井的穿墙洞高度；</w:t>
      </w:r>
    </w:p>
    <w:p w14:paraId="76B6DFBD">
      <w:pPr>
        <w:ind w:firstLine="333" w:firstLineChars="139"/>
        <w:rPr>
          <w:rFonts w:eastAsiaTheme="minorEastAsia"/>
        </w:rPr>
      </w:pPr>
      <w:r>
        <w:rPr>
          <w:position w:val="-16"/>
        </w:rPr>
        <w:object>
          <v:shape id="_x0000_i1037" o:spt="75" type="#_x0000_t75" style="height:20.25pt;width:20.25pt;" o:ole="t" filled="f" o:preferrelative="t" stroked="f" coordsize="21600,21600">
            <v:path/>
            <v:fill on="f" focussize="0,0"/>
            <v:stroke on="f" joinstyle="miter"/>
            <v:imagedata r:id="rId36" o:title=""/>
            <o:lock v:ext="edit" aspectratio="t"/>
            <w10:wrap type="none"/>
            <w10:anchorlock/>
          </v:shape>
          <o:OLEObject Type="Embed" ProgID="Equation.DSMT4" ShapeID="_x0000_i1037" DrawAspect="Content" ObjectID="_1468075737" r:id="rId35">
            <o:LockedField>false</o:LockedField>
          </o:OLEObject>
        </w:object>
      </w:r>
      <w:r>
        <w:rPr>
          <w:rFonts w:eastAsiaTheme="minorEastAsia"/>
        </w:rPr>
        <w:t>——接收井的穿墙洞高度；</w:t>
      </w:r>
    </w:p>
    <w:p w14:paraId="35DA6B7E">
      <w:pPr>
        <w:ind w:firstLine="333" w:firstLineChars="139"/>
      </w:pPr>
      <w:r>
        <w:rPr>
          <w:position w:val="-12"/>
        </w:rPr>
        <w:object>
          <v:shape id="_x0000_i1038" o:spt="75" type="#_x0000_t75" style="height:19.5pt;width:20.25pt;" o:ole="t" filled="f" o:preferrelative="t" stroked="f" coordsize="21600,21600">
            <v:path/>
            <v:fill on="f" focussize="0,0"/>
            <v:stroke on="f" joinstyle="miter"/>
            <v:imagedata r:id="rId38" o:title=""/>
            <o:lock v:ext="edit" aspectratio="t"/>
            <w10:wrap type="none"/>
            <w10:anchorlock/>
          </v:shape>
          <o:OLEObject Type="Embed" ProgID="Equation.DSMT4" ShapeID="_x0000_i1038" DrawAspect="Content" ObjectID="_1468075738" r:id="rId37">
            <o:LockedField>false</o:LockedField>
          </o:OLEObject>
        </w:object>
      </w:r>
      <w:r>
        <w:t>——工作面或卸力拱以上的水柱高度；</w:t>
      </w:r>
    </w:p>
    <w:p w14:paraId="59C813A9">
      <w:pPr>
        <w:ind w:firstLine="571" w:firstLineChars="238"/>
      </w:pPr>
      <w:r>
        <w:rPr>
          <w:i/>
        </w:rPr>
        <w:t>L</w:t>
      </w:r>
      <w:r>
        <w:t>——始发井最小净长度；</w:t>
      </w:r>
    </w:p>
    <w:p w14:paraId="6B6BE3F4">
      <w:pPr>
        <w:ind w:firstLine="528" w:firstLineChars="220"/>
      </w:pPr>
      <w:r>
        <w:rPr>
          <w:i/>
        </w:rPr>
        <w:t>L</w:t>
      </w:r>
      <w:r>
        <w:rPr>
          <w:vertAlign w:val="subscript"/>
        </w:rPr>
        <w:t>1</w:t>
      </w:r>
      <w:r>
        <w:rPr>
          <w:i/>
        </w:rPr>
        <w:t>——</w:t>
      </w:r>
      <w:r>
        <w:t>顶管机长度；</w:t>
      </w:r>
    </w:p>
    <w:p w14:paraId="0826D267">
      <w:pPr>
        <w:ind w:firstLine="480" w:firstLineChars="200"/>
      </w:pPr>
      <w:r>
        <w:rPr>
          <w:i/>
        </w:rPr>
        <w:t>L</w:t>
      </w:r>
      <w:r>
        <w:rPr>
          <w:vertAlign w:val="subscript"/>
        </w:rPr>
        <w:t>2</w:t>
      </w:r>
      <w:r>
        <w:t>——管节安装长度；</w:t>
      </w:r>
    </w:p>
    <w:p w14:paraId="4366CE75">
      <w:pPr>
        <w:ind w:firstLine="480" w:firstLineChars="200"/>
      </w:pPr>
      <w:r>
        <w:rPr>
          <w:i/>
        </w:rPr>
        <w:t>L</w:t>
      </w:r>
      <w:r>
        <w:rPr>
          <w:vertAlign w:val="subscript"/>
        </w:rPr>
        <w:t>3</w:t>
      </w:r>
      <w:r>
        <w:t>——液压缸长度；</w:t>
      </w:r>
    </w:p>
    <w:p w14:paraId="333AC6C1">
      <w:pPr>
        <w:ind w:firstLine="480" w:firstLineChars="200"/>
      </w:pPr>
      <w:r>
        <w:rPr>
          <w:i/>
        </w:rPr>
        <w:t>L</w:t>
      </w:r>
      <w:r>
        <w:rPr>
          <w:vertAlign w:val="subscript"/>
        </w:rPr>
        <w:t>4</w:t>
      </w:r>
      <w:r>
        <w:t>——后座及扩散段厚度；</w:t>
      </w:r>
    </w:p>
    <w:p w14:paraId="71CCE804">
      <w:pPr>
        <w:ind w:firstLine="429" w:firstLineChars="179"/>
        <w:rPr>
          <w:rFonts w:eastAsiaTheme="minorEastAsia"/>
        </w:rPr>
      </w:pPr>
      <w:r>
        <w:rPr>
          <w:position w:val="-12"/>
        </w:rPr>
        <w:object>
          <v:shape id="_x0000_i1039" o:spt="75" type="#_x0000_t75" style="height:19.5pt;width:14.25pt;" o:ole="t" filled="f" o:preferrelative="t" stroked="f" coordsize="21600,21600">
            <v:path/>
            <v:fill on="f" focussize="0,0"/>
            <v:stroke on="f" joinstyle="miter"/>
            <v:imagedata r:id="rId40" o:title=""/>
            <o:lock v:ext="edit" aspectratio="t"/>
            <w10:wrap type="none"/>
            <w10:anchorlock/>
          </v:shape>
          <o:OLEObject Type="Embed" ProgID="Equation.DSMT4" ShapeID="_x0000_i1039" DrawAspect="Content" ObjectID="_1468075739" r:id="rId39">
            <o:LockedField>false</o:LockedField>
          </o:OLEObject>
        </w:object>
      </w:r>
      <w:r>
        <w:rPr>
          <w:lang w:bidi="ar"/>
        </w:rPr>
        <w:t>——</w:t>
      </w:r>
      <w:r>
        <w:rPr>
          <w:rFonts w:eastAsiaTheme="minorEastAsia"/>
        </w:rPr>
        <w:t>矩形顶管顶进长度</w:t>
      </w:r>
      <w:r>
        <w:rPr>
          <w:kern w:val="24"/>
        </w:rPr>
        <w:t>；</w:t>
      </w:r>
    </w:p>
    <w:p w14:paraId="4C7D12DA">
      <w:pPr>
        <w:ind w:firstLine="451" w:firstLineChars="188"/>
      </w:pPr>
      <w:r>
        <w:rPr>
          <w:i/>
          <w:iCs/>
        </w:rPr>
        <w:t>L</w:t>
      </w:r>
      <w:r>
        <w:rPr>
          <w:vertAlign w:val="subscript"/>
        </w:rPr>
        <w:t>m</w:t>
      </w:r>
      <w:r>
        <w:t>——补浆孔间距；</w:t>
      </w:r>
    </w:p>
    <w:p w14:paraId="531A8F66">
      <w:pPr>
        <w:ind w:firstLine="451" w:firstLineChars="188"/>
        <w:textAlignment w:val="center"/>
      </w:pPr>
      <w:r>
        <w:object>
          <v:shape id="_x0000_i1040" o:spt="75" type="#_x0000_t75" style="height:12pt;width:12pt;" o:ole="t" filled="f" o:preferrelative="t" stroked="f" coordsize="21600,21600">
            <v:path/>
            <v:fill on="f" focussize="0,0"/>
            <v:stroke on="f" joinstyle="miter"/>
            <v:imagedata r:id="rId42" o:title=""/>
            <o:lock v:ext="edit" aspectratio="t"/>
            <w10:wrap type="none"/>
            <w10:anchorlock/>
          </v:shape>
          <o:OLEObject Type="Embed" ProgID="Equation.DSMT4" ShapeID="_x0000_i1040" DrawAspect="Content" ObjectID="_1468075740" r:id="rId41">
            <o:LockedField>false</o:LockedField>
          </o:OLEObject>
        </w:object>
      </w:r>
      <w:r>
        <w:t>——顶管外轮廓周长；</w:t>
      </w:r>
    </w:p>
    <w:p w14:paraId="58BF4624">
      <w:pPr>
        <w:ind w:firstLine="528" w:firstLineChars="220"/>
      </w:pPr>
      <w:r>
        <w:t>S——中继间间距；</w:t>
      </w:r>
    </w:p>
    <w:p w14:paraId="3E4632AD">
      <w:pPr>
        <w:ind w:firstLine="451" w:firstLineChars="188"/>
      </w:pPr>
      <w:r>
        <w:rPr>
          <w:i/>
        </w:rPr>
        <w:t>S</w:t>
      </w:r>
      <w:r>
        <w:rPr>
          <w:vertAlign w:val="subscript"/>
        </w:rPr>
        <w:t>1</w:t>
      </w:r>
      <w:r>
        <w:t>——顶入管节留在导轨上的最小长度；</w:t>
      </w:r>
    </w:p>
    <w:p w14:paraId="348490A1">
      <w:pPr>
        <w:ind w:firstLine="451" w:firstLineChars="188"/>
      </w:pPr>
      <w:r>
        <w:rPr>
          <w:i/>
        </w:rPr>
        <w:t>S</w:t>
      </w:r>
      <w:r>
        <w:rPr>
          <w:vertAlign w:val="subscript"/>
        </w:rPr>
        <w:t>2</w:t>
      </w:r>
      <w:r>
        <w:t>——顶铁厚度；</w:t>
      </w:r>
    </w:p>
    <w:p w14:paraId="45335454">
      <w:pPr>
        <w:ind w:firstLine="451" w:firstLineChars="188"/>
      </w:pPr>
      <w:r>
        <w:rPr>
          <w:i/>
        </w:rPr>
        <w:t>S</w:t>
      </w:r>
      <w:r>
        <w:rPr>
          <w:vertAlign w:val="subscript"/>
        </w:rPr>
        <w:t>3</w:t>
      </w:r>
      <w:r>
        <w:t>——顶进管节</w:t>
      </w:r>
      <w:r>
        <w:rPr>
          <w:rFonts w:hint="eastAsia"/>
        </w:rPr>
        <w:t>液压</w:t>
      </w:r>
      <w:r>
        <w:t>缸回缩及便于安装管节所留附加间隙。</w:t>
      </w:r>
    </w:p>
    <w:p w14:paraId="2CE0659E">
      <w:pPr>
        <w:rPr>
          <w:b/>
          <w:bCs/>
        </w:rPr>
      </w:pPr>
      <w:r>
        <w:rPr>
          <w:b/>
          <w:bCs/>
        </w:rPr>
        <w:t>2.2.</w:t>
      </w:r>
      <w:r>
        <w:rPr>
          <w:rFonts w:hint="eastAsia"/>
          <w:b/>
          <w:bCs/>
        </w:rPr>
        <w:t>2</w:t>
      </w:r>
      <w:r>
        <w:rPr>
          <w:b/>
          <w:bCs/>
        </w:rPr>
        <w:t xml:space="preserve">  作用和作用效应：</w:t>
      </w:r>
    </w:p>
    <w:p w14:paraId="3E577CB4">
      <w:pPr>
        <w:ind w:firstLine="480" w:firstLineChars="200"/>
        <w:textAlignment w:val="center"/>
        <w:rPr>
          <w:rFonts w:eastAsiaTheme="minorEastAsia"/>
          <w:bCs/>
          <w:szCs w:val="28"/>
        </w:rPr>
      </w:pPr>
      <w:r>
        <w:rPr>
          <w:position w:val="-14"/>
        </w:rPr>
        <w:object>
          <v:shape id="_x0000_i1041" o:spt="75" type="#_x0000_t75" style="height:18.75pt;width:23.25pt;" o:ole="t" filled="f" o:preferrelative="t" stroked="f" coordsize="21600,21600">
            <v:path/>
            <v:fill on="f" focussize="0,0"/>
            <v:stroke on="f" joinstyle="miter"/>
            <v:imagedata r:id="rId44" o:title=""/>
            <o:lock v:ext="edit" aspectratio="t"/>
            <w10:wrap type="none"/>
            <w10:anchorlock/>
          </v:shape>
          <o:OLEObject Type="Embed" ProgID="Equation.DSMT4" ShapeID="_x0000_i1041" DrawAspect="Content" ObjectID="_1468075741" r:id="rId43">
            <o:LockedField>false</o:LockedField>
          </o:OLEObject>
        </w:object>
      </w:r>
      <w:r>
        <w:t>——</w:t>
      </w:r>
      <w:r>
        <w:rPr>
          <w:rFonts w:eastAsiaTheme="minorEastAsia"/>
          <w:bCs/>
          <w:szCs w:val="28"/>
        </w:rPr>
        <w:t>始发井前壁上主动土压力合力标准值；</w:t>
      </w:r>
    </w:p>
    <w:p w14:paraId="7AA0E01B">
      <w:pPr>
        <w:ind w:firstLine="600" w:firstLineChars="250"/>
        <w:rPr>
          <w:rFonts w:eastAsiaTheme="minorEastAsia"/>
          <w:bCs/>
          <w:szCs w:val="28"/>
        </w:rPr>
      </w:pPr>
      <w:r>
        <w:rPr>
          <w:rFonts w:eastAsiaTheme="minorEastAsia"/>
          <w:bCs/>
          <w:position w:val="-14"/>
          <w:szCs w:val="28"/>
        </w:rPr>
        <w:object>
          <v:shape id="_x0000_i1042" o:spt="75" type="#_x0000_t75" style="height:18.75pt;width:17.25pt;" o:ole="t" filled="f" o:preferrelative="t" stroked="f" coordsize="21600,21600">
            <v:path/>
            <v:fill on="f" focussize="0,0"/>
            <v:stroke on="f" joinstyle="miter"/>
            <v:imagedata r:id="rId46" o:title=""/>
            <o:lock v:ext="edit" aspectratio="t"/>
            <w10:wrap type="none"/>
            <w10:anchorlock/>
          </v:shape>
          <o:OLEObject Type="Embed" ProgID="Equation.DSMT4" ShapeID="_x0000_i1042" DrawAspect="Content" ObjectID="_1468075742" r:id="rId45">
            <o:LockedField>false</o:LockedField>
          </o:OLEObject>
        </w:object>
      </w:r>
      <w:r>
        <w:rPr>
          <w:rFonts w:eastAsiaTheme="minorEastAsia"/>
          <w:bCs/>
          <w:szCs w:val="28"/>
        </w:rPr>
        <w:t>——</w:t>
      </w:r>
      <w:r>
        <w:t>始发井后壁上被动土压力合力标准值；</w:t>
      </w:r>
    </w:p>
    <w:p w14:paraId="0AC7E1EA">
      <w:pPr>
        <w:ind w:firstLine="720" w:firstLineChars="300"/>
      </w:pPr>
      <w:r>
        <w:rPr>
          <w:position w:val="-10"/>
        </w:rPr>
        <w:object>
          <v:shape id="_x0000_i1043" o:spt="75" type="#_x0000_t75" style="height:15pt;width:12pt;" o:ole="t" filled="f" o:preferrelative="t" stroked="f" coordsize="21600,21600">
            <v:path/>
            <v:fill on="f" focussize="0,0"/>
            <v:stroke on="f" joinstyle="miter"/>
            <v:imagedata r:id="rId48" o:title=""/>
            <o:lock v:ext="edit" aspectratio="t"/>
            <w10:wrap type="none"/>
            <w10:anchorlock/>
          </v:shape>
          <o:OLEObject Type="Embed" ProgID="Equation.DSMT4" ShapeID="_x0000_i1043" DrawAspect="Content" ObjectID="_1468075743" r:id="rId47">
            <o:LockedField>false</o:LockedField>
          </o:OLEObject>
        </w:object>
      </w:r>
      <w:r>
        <w:rPr>
          <w:lang w:bidi="ar"/>
        </w:rPr>
        <w:t>——</w:t>
      </w:r>
      <w:r>
        <w:t>管节与土体接触面的摩阻力；</w:t>
      </w:r>
    </w:p>
    <w:p w14:paraId="058EBC51">
      <w:pPr>
        <w:ind w:firstLine="621" w:firstLineChars="259"/>
        <w:textAlignment w:val="center"/>
      </w:pPr>
      <w:r>
        <w:rPr>
          <w:position w:val="-12"/>
        </w:rPr>
        <w:object>
          <v:shape id="_x0000_i1044" o:spt="75" type="#_x0000_t75" style="height:19.5pt;width:18.75pt;" o:ole="t" filled="f" o:preferrelative="t" stroked="f" coordsize="21600,21600">
            <v:path/>
            <v:fill on="f" focussize="0,0"/>
            <v:stroke on="f" joinstyle="miter"/>
            <v:imagedata r:id="rId50" o:title=""/>
            <o:lock v:ext="edit" aspectratio="t"/>
            <w10:wrap type="none"/>
            <w10:anchorlock/>
          </v:shape>
          <o:OLEObject Type="Embed" ProgID="Equation.DSMT4" ShapeID="_x0000_i1044" DrawAspect="Content" ObjectID="_1468075744" r:id="rId49">
            <o:LockedField>false</o:LockedField>
          </o:OLEObject>
        </w:object>
      </w:r>
      <w:r>
        <w:t>——管节允许顶力设计值；</w:t>
      </w:r>
    </w:p>
    <w:p w14:paraId="68B0BA8D">
      <w:pPr>
        <w:ind w:firstLine="696" w:firstLineChars="290"/>
        <w:textAlignment w:val="center"/>
      </w:pPr>
      <w:r>
        <w:object>
          <v:shape id="_x0000_i1045" o:spt="75" type="#_x0000_t75" style="height:19.5pt;width:14.25pt;" o:ole="t" filled="f" o:preferrelative="t" stroked="f" coordsize="21600,21600">
            <v:path/>
            <v:fill on="f" focussize="0,0"/>
            <v:stroke on="f" joinstyle="miter"/>
            <v:imagedata r:id="rId52" o:title=""/>
            <o:lock v:ext="edit" aspectratio="t"/>
            <w10:wrap type="none"/>
            <w10:anchorlock/>
          </v:shape>
          <o:OLEObject Type="Embed" ProgID="Equation.3" ShapeID="_x0000_i1045" DrawAspect="Content" ObjectID="_1468075745" r:id="rId51">
            <o:LockedField>false</o:LockedField>
          </o:OLEObject>
        </w:object>
      </w:r>
      <w:r>
        <w:t>——矩形管节在某点处所受侧向土压力标准值；</w:t>
      </w:r>
    </w:p>
    <w:p w14:paraId="2E4BD5A8">
      <w:pPr>
        <w:ind w:firstLine="696" w:firstLineChars="290"/>
        <w:jc w:val="left"/>
      </w:pPr>
      <w:r>
        <w:rPr>
          <w:position w:val="-12"/>
        </w:rPr>
        <w:object>
          <v:shape id="_x0000_i1046" o:spt="75" type="#_x0000_t75" style="height:16.5pt;width:13.5pt;" o:ole="t" filled="f" o:preferrelative="t" stroked="f" coordsize="21600,21600">
            <v:path/>
            <v:fill on="f" focussize="0,0"/>
            <v:stroke on="f" joinstyle="miter"/>
            <v:imagedata r:id="rId54" o:title=""/>
            <o:lock v:ext="edit" aspectratio="t"/>
            <w10:wrap type="none"/>
            <w10:anchorlock/>
          </v:shape>
          <o:OLEObject Type="Embed" ProgID="Equation.DSMT4" ShapeID="_x0000_i1046" DrawAspect="Content" ObjectID="_1468075746" r:id="rId53">
            <o:LockedField>false</o:LockedField>
          </o:OLEObject>
        </w:object>
      </w:r>
      <w:r>
        <w:rPr>
          <w:lang w:bidi="ar"/>
        </w:rPr>
        <w:t>——</w:t>
      </w:r>
      <w:r>
        <w:t>矩形顶管总摩阻力；</w:t>
      </w:r>
    </w:p>
    <w:p w14:paraId="4AD209F3">
      <w:pPr>
        <w:ind w:firstLine="669" w:firstLineChars="279"/>
        <w:textAlignment w:val="center"/>
      </w:pPr>
      <w:r>
        <w:object>
          <v:shape id="_x0000_i1047" o:spt="75" type="#_x0000_t75" style="height:16.5pt;width:19.5pt;" o:ole="t" filled="f" o:preferrelative="t" stroked="f" coordsize="21600,21600">
            <v:path/>
            <v:fill on="f" focussize="0,0"/>
            <v:stroke on="f" joinstyle="miter"/>
            <v:imagedata r:id="rId56" o:title=""/>
            <o:lock v:ext="edit" aspectratio="t"/>
            <w10:wrap type="none"/>
            <w10:anchorlock/>
          </v:shape>
          <o:OLEObject Type="Embed" ProgID="Equation.3" ShapeID="_x0000_i1047" DrawAspect="Content" ObjectID="_1468075747" r:id="rId55">
            <o:LockedField>false</o:LockedField>
          </o:OLEObject>
        </w:object>
      </w:r>
      <w:r>
        <w:t>——第i个永久作用的标准值；</w:t>
      </w:r>
    </w:p>
    <w:p w14:paraId="046AC526">
      <w:pPr>
        <w:ind w:firstLine="768" w:firstLineChars="320"/>
      </w:pPr>
      <w:r>
        <w:rPr>
          <w:position w:val="-4"/>
        </w:rPr>
        <w:object>
          <v:shape id="_x0000_i1048" o:spt="75" type="#_x0000_t75" style="height:13.5pt;width:13.5pt;" o:ole="t" filled="f" o:preferrelative="t" stroked="f" coordsize="21600,21600">
            <v:path/>
            <v:fill on="f" focussize="0,0"/>
            <v:stroke on="f" joinstyle="miter"/>
            <v:imagedata r:id="rId58" o:title=""/>
            <o:lock v:ext="edit" aspectratio="t"/>
            <w10:wrap type="none"/>
            <w10:anchorlock/>
          </v:shape>
          <o:OLEObject Type="Embed" ProgID="Equation.DSMT4" ShapeID="_x0000_i1048" DrawAspect="Content" ObjectID="_1468075748" r:id="rId57">
            <o:LockedField>false</o:LockedField>
          </o:OLEObject>
        </w:object>
      </w:r>
      <w:r>
        <w:t>——控制土压力；</w:t>
      </w:r>
    </w:p>
    <w:p w14:paraId="38C4F1D4">
      <w:pPr>
        <w:ind w:firstLine="768" w:firstLineChars="320"/>
      </w:pPr>
      <w:r>
        <w:rPr>
          <w:position w:val="-12"/>
        </w:rPr>
        <w:object>
          <v:shape id="_x0000_i1049" o:spt="75" type="#_x0000_t75" style="height:19.5pt;width:14.25pt;" o:ole="t" filled="f" o:preferrelative="t" stroked="f" coordsize="21600,21600">
            <v:path/>
            <v:fill on="f" focussize="0,0"/>
            <v:stroke on="f" joinstyle="miter"/>
            <v:imagedata r:id="rId60" o:title=""/>
            <o:lock v:ext="edit" aspectratio="t"/>
            <w10:wrap type="none"/>
            <w10:anchorlock/>
          </v:shape>
          <o:OLEObject Type="Embed" ProgID="Equation.DSMT4" ShapeID="_x0000_i1049" DrawAspect="Content" ObjectID="_1468075749" r:id="rId59">
            <o:LockedField>false</o:LockedField>
          </o:OLEObject>
        </w:object>
      </w:r>
      <w:r>
        <w:t>——静止土压力；</w:t>
      </w:r>
    </w:p>
    <w:p w14:paraId="4B08A98E">
      <w:pPr>
        <w:ind w:firstLine="768" w:firstLineChars="320"/>
      </w:pPr>
      <w:r>
        <w:rPr>
          <w:position w:val="-12"/>
        </w:rPr>
        <w:object>
          <v:shape id="_x0000_i1050" o:spt="75" type="#_x0000_t75" style="height:19.5pt;width:14.25pt;" o:ole="t" filled="f" o:preferrelative="t" stroked="f" coordsize="21600,21600">
            <v:path/>
            <v:fill on="f" focussize="0,0"/>
            <v:stroke on="f" joinstyle="miter"/>
            <v:imagedata r:id="rId62" o:title=""/>
            <o:lock v:ext="edit" aspectratio="t"/>
            <w10:wrap type="none"/>
            <w10:anchorlock/>
          </v:shape>
          <o:OLEObject Type="Embed" ProgID="Equation.DSMT4" ShapeID="_x0000_i1050" DrawAspect="Content" ObjectID="_1468075750" r:id="rId61">
            <o:LockedField>false</o:LockedField>
          </o:OLEObject>
        </w:object>
      </w:r>
      <w:r>
        <w:t>——主动土压力；</w:t>
      </w:r>
    </w:p>
    <w:p w14:paraId="381D5491">
      <w:pPr>
        <w:ind w:firstLine="768" w:firstLineChars="320"/>
        <w:textAlignment w:val="center"/>
      </w:pPr>
      <w:r>
        <w:rPr>
          <w:position w:val="-12"/>
        </w:rPr>
        <w:object>
          <v:shape id="_x0000_i1051" o:spt="75" type="#_x0000_t75" style="height:19.5pt;width:13.5pt;" o:ole="t" filled="f" o:preferrelative="t" stroked="f" coordsize="21600,21600">
            <v:path/>
            <v:fill on="f" focussize="0,0"/>
            <v:stroke on="f" joinstyle="miter"/>
            <v:imagedata r:id="rId64" o:title=""/>
            <o:lock v:ext="edit" aspectratio="t"/>
            <w10:wrap type="none"/>
            <w10:anchorlock/>
          </v:shape>
          <o:OLEObject Type="Embed" ProgID="Equation.DSMT4" ShapeID="_x0000_i1051" DrawAspect="Content" ObjectID="_1468075751" r:id="rId63">
            <o:LockedField>false</o:LockedField>
          </o:OLEObject>
        </w:object>
      </w:r>
      <w:r>
        <w:t>——</w:t>
      </w:r>
      <w:r>
        <w:rPr>
          <w:rFonts w:hint="eastAsia"/>
        </w:rPr>
        <w:t>中继间设计允许顶力</w:t>
      </w:r>
      <w:r>
        <w:t>；</w:t>
      </w:r>
    </w:p>
    <w:p w14:paraId="394E8EF2">
      <w:pPr>
        <w:ind w:firstLine="600" w:firstLineChars="250"/>
        <w:textAlignment w:val="center"/>
        <w:rPr>
          <w:bCs/>
          <w:sz w:val="21"/>
          <w:szCs w:val="22"/>
        </w:rPr>
      </w:pPr>
      <w:r>
        <w:rPr>
          <w:position w:val="-4"/>
        </w:rPr>
        <w:object>
          <v:shape id="_x0000_i1052" o:spt="75" type="#_x0000_t75" style="height:19.5pt;width:21.75pt;" o:ole="t" filled="f" o:preferrelative="t" stroked="f" coordsize="21600,21600">
            <v:path/>
            <v:fill on="f" focussize="0,0"/>
            <v:stroke on="f" joinstyle="miter"/>
            <v:imagedata r:id="rId66" o:title=""/>
            <o:lock v:ext="edit" aspectratio="t"/>
            <w10:wrap type="none"/>
            <w10:anchorlock/>
          </v:shape>
          <o:OLEObject Type="Embed" ProgID="Equation.3" ShapeID="_x0000_i1052" DrawAspect="Content" ObjectID="_1468075752" r:id="rId65">
            <o:LockedField>false</o:LockedField>
          </o:OLEObject>
        </w:object>
      </w:r>
      <w:r>
        <w:rPr>
          <w:position w:val="-4"/>
        </w:rPr>
        <w:t>——后背土体允许的最大顶力</w:t>
      </w:r>
      <w:r>
        <w:t>；</w:t>
      </w:r>
    </w:p>
    <w:p w14:paraId="274A3C9E">
      <w:pPr>
        <w:ind w:firstLine="768" w:firstLineChars="320"/>
      </w:pPr>
      <w:r>
        <w:rPr>
          <w:position w:val="-14"/>
        </w:rPr>
        <w:object>
          <v:shape id="_x0000_i1053" o:spt="75" type="#_x0000_t75" style="height:19.5pt;width:14.25pt;" o:ole="t" filled="f" o:preferrelative="t" stroked="f" coordsize="21600,21600">
            <v:path/>
            <v:fill on="f" focussize="0,0"/>
            <v:stroke on="f" joinstyle="miter"/>
            <v:imagedata r:id="rId68" o:title=""/>
            <o:lock v:ext="edit" aspectratio="t"/>
            <w10:wrap type="none"/>
            <w10:anchorlock/>
          </v:shape>
          <o:OLEObject Type="Embed" ProgID="Equation.DSMT4" ShapeID="_x0000_i1053" DrawAspect="Content" ObjectID="_1468075753" r:id="rId67">
            <o:LockedField>false</o:LockedField>
          </o:OLEObject>
        </w:object>
      </w:r>
      <w:r>
        <w:t>——被动土压力；</w:t>
      </w:r>
    </w:p>
    <w:p w14:paraId="30FA0E38">
      <w:pPr>
        <w:autoSpaceDE w:val="0"/>
        <w:autoSpaceDN w:val="0"/>
        <w:ind w:firstLine="720" w:firstLineChars="300"/>
        <w:rPr>
          <w:kern w:val="24"/>
        </w:rPr>
      </w:pPr>
      <w:r>
        <w:rPr>
          <w:position w:val="-14"/>
        </w:rPr>
        <w:object>
          <v:shape id="_x0000_i1054" o:spt="75" type="#_x0000_t75" style="height:19.5pt;width:15pt;" o:ole="t" filled="f" o:preferrelative="t" stroked="f" coordsize="21600,21600">
            <v:path/>
            <v:fill on="f" focussize="0,0"/>
            <v:stroke on="f" joinstyle="miter"/>
            <v:imagedata r:id="rId70" o:title=""/>
            <o:lock v:ext="edit" aspectratio="t"/>
            <w10:wrap type="none"/>
            <w10:anchorlock/>
          </v:shape>
          <o:OLEObject Type="Embed" ProgID="Equation.DSMT4" ShapeID="_x0000_i1054" DrawAspect="Content" ObjectID="_1468075754" r:id="rId69">
            <o:LockedField>false</o:LockedField>
          </o:OLEObject>
        </w:object>
      </w:r>
      <w:r>
        <w:rPr>
          <w:lang w:bidi="ar"/>
        </w:rPr>
        <w:t>——</w:t>
      </w:r>
      <w:r>
        <w:rPr>
          <w:kern w:val="24"/>
        </w:rPr>
        <w:t>顶管机的迎面阻力；</w:t>
      </w:r>
    </w:p>
    <w:p w14:paraId="5EB8457E">
      <w:pPr>
        <w:ind w:firstLine="720" w:firstLineChars="300"/>
      </w:pPr>
      <w:r>
        <w:rPr>
          <w:position w:val="-12"/>
        </w:rPr>
        <w:object>
          <v:shape id="_x0000_i1055" o:spt="75" type="#_x0000_t75" style="height:19.5pt;width:14.25pt;" o:ole="t" filled="f" o:preferrelative="t" stroked="f" coordsize="21600,21600">
            <v:path/>
            <v:fill on="f" focussize="0,0"/>
            <v:stroke on="f" joinstyle="miter"/>
            <v:imagedata r:id="rId72" o:title=""/>
            <o:lock v:ext="edit" aspectratio="t"/>
            <w10:wrap type="none"/>
            <w10:anchorlock/>
          </v:shape>
          <o:OLEObject Type="Embed" ProgID="Equation.DSMT4" ShapeID="_x0000_i1055" DrawAspect="Content" ObjectID="_1468075755" r:id="rId71">
            <o:LockedField>false</o:LockedField>
          </o:OLEObject>
        </w:object>
      </w:r>
      <w:r>
        <w:t>——泥浆套顶部的水压力和主动土压力；</w:t>
      </w:r>
    </w:p>
    <w:p w14:paraId="6DC971BE">
      <w:pPr>
        <w:rPr>
          <w:b/>
        </w:rPr>
      </w:pPr>
      <w:r>
        <w:rPr>
          <w:b/>
        </w:rPr>
        <w:t>2.2.3  计算参数及其他</w:t>
      </w:r>
    </w:p>
    <w:p w14:paraId="54ECA097">
      <w:pPr>
        <w:ind w:firstLine="451" w:firstLineChars="188"/>
      </w:pPr>
      <w:r>
        <w:rPr>
          <w:position w:val="-14"/>
        </w:rPr>
        <w:object>
          <v:shape id="_x0000_i1056" o:spt="75" type="#_x0000_t75" style="height:19.5pt;width:13.5pt;" o:ole="t" filled="f" o:preferrelative="t" stroked="f" coordsize="21600,21600">
            <v:path/>
            <v:fill on="f" focussize="0,0"/>
            <v:stroke on="f" joinstyle="miter"/>
            <v:imagedata r:id="rId74" o:title=""/>
            <o:lock v:ext="edit" aspectratio="t"/>
            <w10:wrap type="none"/>
            <w10:anchorlock/>
          </v:shape>
          <o:OLEObject Type="Embed" ProgID="Equation.DSMT4" ShapeID="_x0000_i1056" DrawAspect="Content" ObjectID="_1468075756" r:id="rId73">
            <o:LockedField>false</o:LockedField>
          </o:OLEObject>
        </w:object>
      </w:r>
      <w:r>
        <w:rPr>
          <w:lang w:bidi="ar"/>
        </w:rPr>
        <w:t>——</w:t>
      </w:r>
      <w:r>
        <w:t>管顶竖向土压力系数；</w:t>
      </w:r>
    </w:p>
    <w:p w14:paraId="7AC3778F">
      <w:pPr>
        <w:ind w:firstLine="528" w:firstLineChars="220"/>
      </w:pPr>
      <w:r>
        <w:t>K——顶力系数；</w:t>
      </w:r>
    </w:p>
    <w:p w14:paraId="19DC7770">
      <w:pPr>
        <w:ind w:firstLine="360" w:firstLineChars="150"/>
      </w:pPr>
      <w:r>
        <w:rPr>
          <w:position w:val="-12"/>
        </w:rPr>
        <w:object>
          <v:shape id="_x0000_i1057" o:spt="75" type="#_x0000_t75" style="height:19.5pt;width:15.75pt;" o:ole="t" filled="f" o:preferrelative="t" stroked="f" coordsize="21600,21600">
            <v:path/>
            <v:fill on="f" focussize="0,0"/>
            <v:stroke on="f" joinstyle="miter"/>
            <v:imagedata r:id="rId76" o:title=""/>
            <o:lock v:ext="edit" aspectratio="t"/>
            <w10:wrap type="none"/>
            <w10:anchorlock/>
          </v:shape>
          <o:OLEObject Type="Embed" ProgID="Equation.DSMT4" ShapeID="_x0000_i1057" DrawAspect="Content" ObjectID="_1468075757" r:id="rId75">
            <o:LockedField>false</o:LockedField>
          </o:OLEObject>
        </w:object>
      </w:r>
      <w:r>
        <w:t>——静止土压力系数；</w:t>
      </w:r>
    </w:p>
    <w:p w14:paraId="6B23E8FE">
      <w:pPr>
        <w:ind w:firstLine="360" w:firstLineChars="150"/>
        <w:textAlignment w:val="center"/>
      </w:pPr>
      <w:r>
        <w:rPr>
          <w:position w:val="-12"/>
        </w:rPr>
        <w:object>
          <v:shape id="_x0000_i1058" o:spt="75" type="#_x0000_t75" style="height:19.5pt;width:15.75pt;" o:ole="t" filled="f" o:preferrelative="t" stroked="f" coordsize="21600,21600">
            <v:path/>
            <v:fill on="f" focussize="0,0"/>
            <v:stroke on="f" joinstyle="miter"/>
            <v:imagedata r:id="rId78" o:title=""/>
            <o:lock v:ext="edit" aspectratio="t"/>
            <w10:wrap type="none"/>
            <w10:anchorlock/>
          </v:shape>
          <o:OLEObject Type="Embed" ProgID="Equation.DSMT4" ShapeID="_x0000_i1058" DrawAspect="Content" ObjectID="_1468075758" r:id="rId77">
            <o:LockedField>false</o:LockedField>
          </o:OLEObject>
        </w:object>
      </w:r>
      <w:r>
        <w:t>——主动土压力系数；</w:t>
      </w:r>
    </w:p>
    <w:p w14:paraId="2CA3391F">
      <w:pPr>
        <w:ind w:firstLine="360" w:firstLineChars="150"/>
        <w:textAlignment w:val="center"/>
      </w:pPr>
      <w:r>
        <w:rPr>
          <w:position w:val="-12"/>
        </w:rPr>
        <w:object>
          <v:shape id="_x0000_i1059" o:spt="75" type="#_x0000_t75" style="height:17.25pt;width:16.5pt;" o:ole="t" filled="f" o:preferrelative="t" stroked="f" coordsize="21600,21600">
            <v:path/>
            <v:fill on="f" focussize="0,0"/>
            <v:stroke on="f" joinstyle="miter"/>
            <v:imagedata r:id="rId80" o:title=""/>
            <o:lock v:ext="edit" aspectratio="t"/>
            <w10:wrap type="none"/>
            <w10:anchorlock/>
          </v:shape>
          <o:OLEObject Type="Embed" ProgID="Equation.DSMT4" ShapeID="_x0000_i1059" DrawAspect="Content" ObjectID="_1468075759" r:id="rId79">
            <o:LockedField>false</o:LockedField>
          </o:OLEObject>
        </w:object>
      </w:r>
      <w:r>
        <w:t>——安全系数；</w:t>
      </w:r>
    </w:p>
    <w:p w14:paraId="2F2CFCD5">
      <w:pPr>
        <w:ind w:firstLine="600" w:firstLineChars="250"/>
      </w:pPr>
      <w:r>
        <w:rPr>
          <w:i/>
          <w:iCs/>
        </w:rPr>
        <w:t>T</w:t>
      </w:r>
      <w:r>
        <w:t>——</w:t>
      </w:r>
      <w:r>
        <w:rPr>
          <w:rFonts w:hint="eastAsia"/>
        </w:rPr>
        <w:t>触变</w:t>
      </w:r>
      <w:r>
        <w:t>泥浆失效期；</w:t>
      </w:r>
    </w:p>
    <w:p w14:paraId="2DDC03AF">
      <w:pPr>
        <w:ind w:firstLine="600" w:firstLineChars="250"/>
        <w:rPr>
          <w:rFonts w:eastAsiaTheme="minorEastAsia"/>
        </w:rPr>
      </w:pPr>
      <w:r>
        <w:rPr>
          <w:i/>
          <w:iCs/>
        </w:rPr>
        <w:t>V</w:t>
      </w:r>
      <w:r>
        <w:t>——每天平均掘进速度；</w:t>
      </w:r>
    </w:p>
    <w:p w14:paraId="41CFA4B8">
      <w:pPr>
        <w:ind w:firstLine="360" w:firstLineChars="150"/>
        <w:textAlignment w:val="center"/>
        <w:rPr>
          <w:rFonts w:eastAsiaTheme="minorEastAsia"/>
        </w:rPr>
      </w:pPr>
    </w:p>
    <w:p w14:paraId="627F2191">
      <w:pPr>
        <w:ind w:firstLine="424" w:firstLineChars="177"/>
        <w:rPr>
          <w:i/>
        </w:rPr>
        <w:sectPr>
          <w:pgSz w:w="11906" w:h="16838"/>
          <w:pgMar w:top="1440" w:right="1800" w:bottom="1440" w:left="1800" w:header="851" w:footer="992" w:gutter="0"/>
          <w:cols w:space="425" w:num="1"/>
          <w:docGrid w:type="lines" w:linePitch="312" w:charSpace="0"/>
        </w:sectPr>
      </w:pPr>
    </w:p>
    <w:p w14:paraId="2B6702B2">
      <w:pPr>
        <w:pStyle w:val="2"/>
        <w:rPr>
          <w:rFonts w:cs="Times New Roman"/>
        </w:rPr>
      </w:pPr>
      <w:bookmarkStart w:id="71" w:name="_Toc29637"/>
      <w:bookmarkStart w:id="72" w:name="_Toc18057025"/>
      <w:bookmarkStart w:id="73" w:name="_Toc60172887"/>
      <w:bookmarkStart w:id="74" w:name="_Toc47692145"/>
      <w:bookmarkStart w:id="75" w:name="_Toc455393073"/>
      <w:bookmarkStart w:id="76" w:name="_Toc31110"/>
      <w:bookmarkStart w:id="77" w:name="_Toc13595"/>
      <w:bookmarkStart w:id="78" w:name="_Toc12308"/>
      <w:bookmarkStart w:id="79" w:name="_Toc60173774"/>
      <w:bookmarkStart w:id="80" w:name="_Toc463446172"/>
      <w:bookmarkStart w:id="81" w:name="_Toc27261"/>
      <w:bookmarkStart w:id="82" w:name="_Toc13867"/>
      <w:bookmarkStart w:id="83" w:name="_Toc16017"/>
      <w:r>
        <w:rPr>
          <w:rFonts w:cs="Times New Roman" w:eastAsiaTheme="minorEastAsia"/>
        </w:rPr>
        <w:t xml:space="preserve">3  </w:t>
      </w:r>
      <w:r>
        <w:rPr>
          <w:rFonts w:cs="Times New Roman"/>
        </w:rPr>
        <w:t>基本规定</w:t>
      </w:r>
      <w:bookmarkEnd w:id="71"/>
      <w:bookmarkEnd w:id="72"/>
      <w:bookmarkEnd w:id="73"/>
      <w:bookmarkEnd w:id="74"/>
      <w:bookmarkEnd w:id="75"/>
      <w:bookmarkEnd w:id="76"/>
      <w:bookmarkEnd w:id="77"/>
      <w:bookmarkEnd w:id="78"/>
      <w:bookmarkEnd w:id="79"/>
      <w:bookmarkEnd w:id="80"/>
      <w:bookmarkEnd w:id="81"/>
      <w:bookmarkEnd w:id="82"/>
      <w:bookmarkEnd w:id="83"/>
    </w:p>
    <w:p w14:paraId="0FB73578">
      <w:r>
        <w:rPr>
          <w:b/>
          <w:bCs/>
        </w:rPr>
        <w:t>3.0.1</w:t>
      </w:r>
      <w:r>
        <w:t xml:space="preserve">  </w:t>
      </w:r>
      <w:r>
        <w:rPr>
          <w:rFonts w:hint="eastAsia"/>
        </w:rPr>
        <w:t>工程建设</w:t>
      </w:r>
      <w:r>
        <w:t>前应查明顶管沿线有关工程地质、水文地质、地上与地下管线、建筑物或构筑物、障碍物及其他设施等周边环境情况。</w:t>
      </w:r>
    </w:p>
    <w:p w14:paraId="68F4345F">
      <w:pPr>
        <w:rPr>
          <w:bCs/>
        </w:rPr>
      </w:pPr>
      <w:r>
        <w:rPr>
          <w:rFonts w:hint="eastAsia"/>
          <w:b/>
        </w:rPr>
        <w:t xml:space="preserve">3.0.2 </w:t>
      </w:r>
      <w:r>
        <w:rPr>
          <w:bCs/>
        </w:rPr>
        <w:t xml:space="preserve"> </w:t>
      </w:r>
      <w:r>
        <w:rPr>
          <w:rFonts w:hint="eastAsia"/>
          <w:bCs/>
        </w:rPr>
        <w:t>采用矩形顶管应依据工程地质、水文地质条件进行适用性论证。</w:t>
      </w:r>
    </w:p>
    <w:p w14:paraId="12B4C5ED">
      <w:r>
        <w:rPr>
          <w:b/>
        </w:rPr>
        <w:t xml:space="preserve">3.0.3  </w:t>
      </w:r>
      <w:r>
        <w:t>顶管结构设计应满足在规定设计使用年限内结构的安全性、适用性及耐久性等基本要求，并</w:t>
      </w:r>
      <w:r>
        <w:rPr>
          <w:rFonts w:hint="eastAsia"/>
        </w:rPr>
        <w:t>应</w:t>
      </w:r>
      <w:r>
        <w:t>在此基础上做到经济合理。</w:t>
      </w:r>
    </w:p>
    <w:p w14:paraId="7E224529">
      <w:r>
        <w:rPr>
          <w:b/>
          <w:bCs/>
        </w:rPr>
        <w:t>3.0.4</w:t>
      </w:r>
      <w:r>
        <w:t xml:space="preserve">  顶管结构设计应根据地质和周边环境条件，通过计算合理选择管材、管道埋深、井间距、工作井结构形式等技术参数。</w:t>
      </w:r>
    </w:p>
    <w:p w14:paraId="7E225F1D">
      <w:r>
        <w:rPr>
          <w:b/>
          <w:bCs/>
        </w:rPr>
        <w:t>3.0.5</w:t>
      </w:r>
      <w:r>
        <w:t xml:space="preserve">  顶管结构防水等级应符合现行国家标准《地下工程防水技术规范》GB 50108的有关规定</w:t>
      </w:r>
      <w:r>
        <w:rPr>
          <w:rFonts w:hint="eastAsia"/>
        </w:rPr>
        <w:t>。</w:t>
      </w:r>
    </w:p>
    <w:p w14:paraId="0D3C249E">
      <w:r>
        <w:rPr>
          <w:b/>
        </w:rPr>
        <w:t xml:space="preserve">3.0.6  </w:t>
      </w:r>
      <w:r>
        <w:t>顶管工程所用的管材、构配件和主要原材料等产品应做进场复验。管节应按现行行业标准《预制混凝土箱涵》JC∕T 2456的有关规定进行验收。</w:t>
      </w:r>
    </w:p>
    <w:p w14:paraId="75EDD7DC">
      <w:r>
        <w:rPr>
          <w:b/>
          <w:bCs/>
        </w:rPr>
        <w:t>3.0.7</w:t>
      </w:r>
      <w:r>
        <w:t xml:space="preserve">  矩形顶管机选型和设计应满足工程水文地质条件、周边环境、线路条件、结构设计和环境保护等要求。</w:t>
      </w:r>
    </w:p>
    <w:p w14:paraId="5F3871B7"/>
    <w:p w14:paraId="5186E575">
      <w:pPr>
        <w:rPr>
          <w:rFonts w:eastAsia="仿宋"/>
          <w:b/>
          <w:bCs/>
        </w:rPr>
        <w:sectPr>
          <w:pgSz w:w="11906" w:h="16838"/>
          <w:pgMar w:top="1440" w:right="1800" w:bottom="1440" w:left="1800" w:header="851" w:footer="992" w:gutter="0"/>
          <w:cols w:space="425" w:num="1"/>
          <w:docGrid w:type="lines" w:linePitch="312" w:charSpace="0"/>
        </w:sectPr>
      </w:pPr>
    </w:p>
    <w:p w14:paraId="3071ECBF">
      <w:pPr>
        <w:pStyle w:val="2"/>
        <w:rPr>
          <w:rFonts w:cs="Times New Roman"/>
        </w:rPr>
      </w:pPr>
      <w:bookmarkStart w:id="84" w:name="_Toc3069"/>
      <w:bookmarkStart w:id="85" w:name="_Toc60172888"/>
      <w:bookmarkStart w:id="86" w:name="_Toc29119"/>
      <w:bookmarkStart w:id="87" w:name="_Toc47692146"/>
      <w:bookmarkStart w:id="88" w:name="_Toc25269"/>
      <w:bookmarkStart w:id="89" w:name="_Toc60173775"/>
      <w:bookmarkStart w:id="90" w:name="_Toc18373"/>
      <w:bookmarkStart w:id="91" w:name="_Toc23493"/>
      <w:bookmarkStart w:id="92" w:name="_Toc19787"/>
      <w:bookmarkStart w:id="93" w:name="_Toc18057026"/>
      <w:bookmarkStart w:id="94" w:name="_Toc26877"/>
      <w:r>
        <w:rPr>
          <w:rFonts w:cs="Times New Roman"/>
        </w:rPr>
        <w:t xml:space="preserve">4 </w:t>
      </w:r>
      <w:bookmarkStart w:id="95" w:name="_Toc439103358"/>
      <w:bookmarkStart w:id="96" w:name="_Toc484503829"/>
      <w:r>
        <w:rPr>
          <w:rFonts w:cs="Times New Roman"/>
        </w:rPr>
        <w:t xml:space="preserve"> 工程勘察</w:t>
      </w:r>
      <w:bookmarkEnd w:id="84"/>
      <w:bookmarkEnd w:id="85"/>
      <w:bookmarkEnd w:id="86"/>
      <w:bookmarkEnd w:id="87"/>
      <w:bookmarkEnd w:id="88"/>
      <w:bookmarkEnd w:id="89"/>
      <w:bookmarkEnd w:id="90"/>
      <w:bookmarkEnd w:id="91"/>
      <w:bookmarkEnd w:id="92"/>
      <w:bookmarkEnd w:id="93"/>
      <w:bookmarkEnd w:id="94"/>
      <w:bookmarkEnd w:id="95"/>
      <w:bookmarkEnd w:id="96"/>
    </w:p>
    <w:p w14:paraId="44F120A8">
      <w:pPr>
        <w:pStyle w:val="3"/>
        <w:rPr>
          <w:rFonts w:eastAsia="黑体" w:cs="Times New Roman"/>
          <w:b w:val="0"/>
        </w:rPr>
      </w:pPr>
      <w:bookmarkStart w:id="97" w:name="_Toc22966"/>
      <w:bookmarkStart w:id="98" w:name="_Toc47692147"/>
      <w:bookmarkStart w:id="99" w:name="_Toc60173776"/>
      <w:bookmarkStart w:id="100" w:name="_Toc3298"/>
      <w:bookmarkStart w:id="101" w:name="_Toc11527"/>
      <w:bookmarkStart w:id="102" w:name="_Toc12890"/>
      <w:bookmarkStart w:id="103" w:name="_Toc4674"/>
      <w:bookmarkStart w:id="104" w:name="_Toc25526"/>
      <w:bookmarkStart w:id="105" w:name="_Toc12068"/>
      <w:bookmarkStart w:id="106" w:name="_Toc60172889"/>
      <w:bookmarkStart w:id="107" w:name="_Toc18057027"/>
      <w:r>
        <w:rPr>
          <w:rFonts w:eastAsia="黑体" w:cs="Times New Roman"/>
        </w:rPr>
        <w:t>4.1</w:t>
      </w:r>
      <w:r>
        <w:rPr>
          <w:rFonts w:eastAsia="黑体" w:cs="Times New Roman"/>
          <w:b w:val="0"/>
        </w:rPr>
        <w:t xml:space="preserve">  一般规定</w:t>
      </w:r>
      <w:bookmarkEnd w:id="97"/>
      <w:bookmarkEnd w:id="98"/>
      <w:bookmarkEnd w:id="99"/>
      <w:bookmarkEnd w:id="100"/>
      <w:bookmarkEnd w:id="101"/>
      <w:bookmarkEnd w:id="102"/>
      <w:bookmarkEnd w:id="103"/>
      <w:bookmarkEnd w:id="104"/>
      <w:bookmarkEnd w:id="105"/>
      <w:bookmarkEnd w:id="106"/>
      <w:bookmarkEnd w:id="107"/>
    </w:p>
    <w:p w14:paraId="31B3148B">
      <w:r>
        <w:rPr>
          <w:b/>
          <w:bCs/>
        </w:rPr>
        <w:t xml:space="preserve">4.1.1  </w:t>
      </w:r>
      <w:r>
        <w:t>工程勘察应查明顶管工程范围沿线各地段的工程地质、水文地质等特征，包括地形、地貌、岩土类型、分布范围、</w:t>
      </w:r>
      <w:r>
        <w:rPr>
          <w:rFonts w:hint="eastAsia"/>
        </w:rPr>
        <w:t>物理力学及工程特性指标</w:t>
      </w:r>
      <w:r>
        <w:t>、地下水的特性和有关参数、分析和评价地基的稳定性</w:t>
      </w:r>
      <w:r>
        <w:rPr>
          <w:rFonts w:hint="eastAsia"/>
          <w:kern w:val="0"/>
        </w:rPr>
        <w:t>、</w:t>
      </w:r>
      <w:r>
        <w:rPr>
          <w:kern w:val="0"/>
        </w:rPr>
        <w:t>承载力</w:t>
      </w:r>
      <w:r>
        <w:rPr>
          <w:rFonts w:hint="eastAsia"/>
          <w:kern w:val="0"/>
        </w:rPr>
        <w:t>、</w:t>
      </w:r>
      <w:r>
        <w:rPr>
          <w:color w:val="000000"/>
          <w:kern w:val="0"/>
          <w:lang w:bidi="ar"/>
        </w:rPr>
        <w:t>抗变形特性与渗透性</w:t>
      </w:r>
      <w:r>
        <w:t>等。</w:t>
      </w:r>
    </w:p>
    <w:p w14:paraId="1C7A1938">
      <w:r>
        <w:rPr>
          <w:b/>
          <w:bCs/>
        </w:rPr>
        <w:t xml:space="preserve">4.1.2  </w:t>
      </w:r>
      <w:r>
        <w:t>工程勘察应根据工程重要性、场地复杂程度和地层复杂程度等条件划分岩土工程勘察等级。</w:t>
      </w:r>
      <w:r>
        <w:rPr>
          <w:rFonts w:hint="eastAsia"/>
        </w:rPr>
        <w:t>工程</w:t>
      </w:r>
      <w:r>
        <w:t>勘察宜分为初步勘察、详细勘察两个阶段。线路长、沿线情况复杂的工程可增加选线勘察阶段，进行线路比选。</w:t>
      </w:r>
    </w:p>
    <w:p w14:paraId="1D5BC4F1">
      <w:r>
        <w:rPr>
          <w:b/>
          <w:bCs/>
        </w:rPr>
        <w:t xml:space="preserve">4.1.3  </w:t>
      </w:r>
      <w:r>
        <w:t>当顶管穿越铁路、公路、河流地段时，应查明微地貌特征、穿越断面的地层结构、工程地质</w:t>
      </w:r>
      <w:r>
        <w:rPr>
          <w:rFonts w:hint="eastAsia"/>
        </w:rPr>
        <w:t>、水文地质</w:t>
      </w:r>
      <w:r>
        <w:t>特性，并</w:t>
      </w:r>
      <w:r>
        <w:rPr>
          <w:rFonts w:hint="eastAsia"/>
        </w:rPr>
        <w:t>应</w:t>
      </w:r>
      <w:r>
        <w:t>对穿越河流的</w:t>
      </w:r>
      <w:r>
        <w:rPr>
          <w:rFonts w:hint="eastAsia"/>
        </w:rPr>
        <w:t>河</w:t>
      </w:r>
      <w:r>
        <w:t>水淹没范围</w:t>
      </w:r>
      <w:r>
        <w:rPr>
          <w:rFonts w:hint="eastAsia"/>
        </w:rPr>
        <w:t>、</w:t>
      </w:r>
      <w:r>
        <w:t>河床</w:t>
      </w:r>
      <w:r>
        <w:rPr>
          <w:rFonts w:hint="eastAsia"/>
        </w:rPr>
        <w:t>的最大冲刷线</w:t>
      </w:r>
      <w:r>
        <w:t>及岸坡的稳定性作出评价。</w:t>
      </w:r>
    </w:p>
    <w:p w14:paraId="3AD2526C">
      <w:r>
        <w:rPr>
          <w:b/>
          <w:bCs/>
        </w:rPr>
        <w:t xml:space="preserve">4.1.4  </w:t>
      </w:r>
      <w:r>
        <w:rPr>
          <w:rFonts w:hint="eastAsia"/>
          <w:bCs/>
        </w:rPr>
        <w:t>工程勘察</w:t>
      </w:r>
      <w:r>
        <w:t>应查明顶管沿线地表及地下暗埋的河、湖、塘、沟、洞、坑、井的分布范围、赋存状态、埋置深度和特性，并</w:t>
      </w:r>
      <w:r>
        <w:rPr>
          <w:rFonts w:hint="eastAsia"/>
        </w:rPr>
        <w:t>应</w:t>
      </w:r>
      <w:r>
        <w:t>提供覆盖层的工程地质特性。</w:t>
      </w:r>
    </w:p>
    <w:p w14:paraId="34874DD8">
      <w:r>
        <w:rPr>
          <w:b/>
          <w:bCs/>
        </w:rPr>
        <w:t xml:space="preserve">4.1.5  </w:t>
      </w:r>
      <w:r>
        <w:rPr>
          <w:rFonts w:hint="eastAsia"/>
          <w:bCs/>
        </w:rPr>
        <w:t>工程勘察</w:t>
      </w:r>
      <w:r>
        <w:t>应查明顶管沿线的不良地质作用发育和地质灾害发生的可能性，包括岩溶、滑坡、危岩和崩塌、泥石流、采空区、管涌流沙、地面沉降等。</w:t>
      </w:r>
    </w:p>
    <w:p w14:paraId="5885E097">
      <w:r>
        <w:rPr>
          <w:b/>
          <w:bCs/>
        </w:rPr>
        <w:t xml:space="preserve">4.1.6  </w:t>
      </w:r>
      <w:r>
        <w:t>工程建设前应对顶管区域地下管线、建筑物或构筑物及其他障碍物进行工程探测，并应满足工程建设的技术要求。</w:t>
      </w:r>
    </w:p>
    <w:p w14:paraId="7530BA45">
      <w:r>
        <w:rPr>
          <w:b/>
          <w:bCs/>
        </w:rPr>
        <w:t xml:space="preserve">4.1.7  </w:t>
      </w:r>
      <w:r>
        <w:rPr>
          <w:szCs w:val="24"/>
        </w:rPr>
        <w:t>勘探孔工作完成后，应采用水泥浆或水泥砂浆封堵勘探孔</w:t>
      </w:r>
      <w:r>
        <w:t>。</w:t>
      </w:r>
    </w:p>
    <w:p w14:paraId="7D44C49A">
      <w:r>
        <w:rPr>
          <w:b/>
          <w:bCs/>
        </w:rPr>
        <w:t xml:space="preserve">4.1.8  </w:t>
      </w:r>
      <w:r>
        <w:t>抗震设防烈度大于或等于6度的地段，应判定场地和地基的地震效应。</w:t>
      </w:r>
    </w:p>
    <w:p w14:paraId="4AA9707E">
      <w:pPr>
        <w:pStyle w:val="3"/>
        <w:rPr>
          <w:rFonts w:eastAsia="黑体" w:cs="Times New Roman"/>
          <w:b w:val="0"/>
        </w:rPr>
      </w:pPr>
      <w:bookmarkStart w:id="108" w:name="_Toc10530"/>
      <w:bookmarkStart w:id="109" w:name="_Toc60172890"/>
      <w:bookmarkStart w:id="110" w:name="_Toc47692148"/>
      <w:bookmarkStart w:id="111" w:name="_Toc60173777"/>
      <w:bookmarkStart w:id="112" w:name="_Toc26901"/>
      <w:bookmarkStart w:id="113" w:name="_Toc18057028"/>
      <w:bookmarkStart w:id="114" w:name="_Toc781"/>
      <w:bookmarkStart w:id="115" w:name="_Toc9945"/>
      <w:bookmarkStart w:id="116" w:name="_Toc21250"/>
      <w:bookmarkStart w:id="117" w:name="_Toc3617"/>
      <w:bookmarkStart w:id="118" w:name="_Toc2096"/>
      <w:r>
        <w:rPr>
          <w:rFonts w:eastAsia="黑体" w:cs="Times New Roman"/>
        </w:rPr>
        <w:t>4.2</w:t>
      </w:r>
      <w:r>
        <w:rPr>
          <w:rFonts w:eastAsia="黑体" w:cs="Times New Roman"/>
          <w:b w:val="0"/>
        </w:rPr>
        <w:t xml:space="preserve">  勘察布孔</w:t>
      </w:r>
      <w:bookmarkEnd w:id="108"/>
      <w:bookmarkEnd w:id="109"/>
      <w:bookmarkEnd w:id="110"/>
      <w:bookmarkEnd w:id="111"/>
      <w:bookmarkEnd w:id="112"/>
      <w:bookmarkEnd w:id="113"/>
      <w:bookmarkEnd w:id="114"/>
      <w:bookmarkEnd w:id="115"/>
      <w:bookmarkEnd w:id="116"/>
      <w:bookmarkEnd w:id="117"/>
      <w:bookmarkEnd w:id="118"/>
    </w:p>
    <w:p w14:paraId="553A92CB">
      <w:r>
        <w:rPr>
          <w:b/>
          <w:bCs/>
        </w:rPr>
        <w:t xml:space="preserve">4.2.1  </w:t>
      </w:r>
      <w:r>
        <w:t>顶管勘探孔宜在顶管管节外壁两侧5m范围内布置，两侧勘探孔</w:t>
      </w:r>
      <w:r>
        <w:rPr>
          <w:rFonts w:hint="eastAsia"/>
        </w:rPr>
        <w:t>应</w:t>
      </w:r>
      <w:r>
        <w:t>呈</w:t>
      </w:r>
      <w:r>
        <w:rPr>
          <w:rFonts w:hint="eastAsia"/>
        </w:rPr>
        <w:t>“Z”</w:t>
      </w:r>
      <w:r>
        <w:t>字形交错布置。</w:t>
      </w:r>
    </w:p>
    <w:p w14:paraId="79B93DAA">
      <w:r>
        <w:rPr>
          <w:b/>
          <w:bCs/>
        </w:rPr>
        <w:t>4.2.2</w:t>
      </w:r>
      <w:r>
        <w:t xml:space="preserve">  勘探孔的间距应满足表4.2.2的要求，并应符合现行</w:t>
      </w:r>
      <w:bookmarkStart w:id="119" w:name="_Hlk17378905"/>
      <w:r>
        <w:t>国家标准《岩土工程勘察设计规范》GB 50021</w:t>
      </w:r>
      <w:bookmarkEnd w:id="119"/>
      <w:r>
        <w:t>的有关规定。</w:t>
      </w:r>
    </w:p>
    <w:p w14:paraId="53BBA0DD">
      <w:pPr>
        <w:widowControl/>
        <w:adjustRightInd w:val="0"/>
        <w:snapToGrid w:val="0"/>
        <w:ind w:firstLine="316" w:firstLineChars="150"/>
        <w:jc w:val="center"/>
        <w:rPr>
          <w:b/>
          <w:sz w:val="21"/>
          <w:szCs w:val="18"/>
        </w:rPr>
      </w:pPr>
      <w:r>
        <w:rPr>
          <w:b/>
          <w:sz w:val="21"/>
          <w:szCs w:val="18"/>
        </w:rPr>
        <w:t>表4.2.2  勘探孔</w:t>
      </w:r>
      <w:r>
        <w:rPr>
          <w:rFonts w:hint="eastAsia"/>
          <w:b/>
          <w:sz w:val="21"/>
          <w:szCs w:val="18"/>
        </w:rPr>
        <w:t>的</w:t>
      </w:r>
      <w:r>
        <w:rPr>
          <w:b/>
          <w:sz w:val="21"/>
          <w:szCs w:val="18"/>
        </w:rPr>
        <w:t>间距（m）</w:t>
      </w:r>
    </w:p>
    <w:tbl>
      <w:tblPr>
        <w:tblStyle w:val="35"/>
        <w:tblW w:w="7705" w:type="dxa"/>
        <w:jc w:val="cente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
      <w:tblGrid>
        <w:gridCol w:w="1843"/>
        <w:gridCol w:w="1843"/>
        <w:gridCol w:w="2126"/>
        <w:gridCol w:w="1893"/>
      </w:tblGrid>
      <w:tr w14:paraId="3DCC26B6">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1843" w:type="dxa"/>
            <w:vAlign w:val="center"/>
          </w:tcPr>
          <w:p w14:paraId="31FFC3A5">
            <w:pPr>
              <w:widowControl/>
              <w:adjustRightInd w:val="0"/>
              <w:snapToGrid w:val="0"/>
              <w:spacing w:line="276" w:lineRule="auto"/>
              <w:jc w:val="center"/>
              <w:rPr>
                <w:sz w:val="21"/>
              </w:rPr>
            </w:pPr>
            <w:r>
              <w:rPr>
                <w:sz w:val="21"/>
              </w:rPr>
              <w:t>场地类别</w:t>
            </w:r>
          </w:p>
        </w:tc>
        <w:tc>
          <w:tcPr>
            <w:tcW w:w="1843" w:type="dxa"/>
            <w:vAlign w:val="center"/>
          </w:tcPr>
          <w:p w14:paraId="529CBF15">
            <w:pPr>
              <w:widowControl/>
              <w:adjustRightInd w:val="0"/>
              <w:snapToGrid w:val="0"/>
              <w:spacing w:line="276" w:lineRule="auto"/>
              <w:jc w:val="center"/>
              <w:rPr>
                <w:sz w:val="21"/>
              </w:rPr>
            </w:pPr>
            <w:r>
              <w:rPr>
                <w:sz w:val="21"/>
              </w:rPr>
              <w:t>复杂场地</w:t>
            </w:r>
          </w:p>
        </w:tc>
        <w:tc>
          <w:tcPr>
            <w:tcW w:w="2126" w:type="dxa"/>
            <w:vAlign w:val="center"/>
          </w:tcPr>
          <w:p w14:paraId="71D7C7BA">
            <w:pPr>
              <w:widowControl/>
              <w:adjustRightInd w:val="0"/>
              <w:snapToGrid w:val="0"/>
              <w:spacing w:line="276" w:lineRule="auto"/>
              <w:jc w:val="center"/>
              <w:rPr>
                <w:sz w:val="21"/>
              </w:rPr>
            </w:pPr>
            <w:r>
              <w:rPr>
                <w:sz w:val="21"/>
              </w:rPr>
              <w:t>中等复杂场地</w:t>
            </w:r>
          </w:p>
        </w:tc>
        <w:tc>
          <w:tcPr>
            <w:tcW w:w="1893" w:type="dxa"/>
            <w:vAlign w:val="center"/>
          </w:tcPr>
          <w:p w14:paraId="4E1452A7">
            <w:pPr>
              <w:widowControl/>
              <w:adjustRightInd w:val="0"/>
              <w:snapToGrid w:val="0"/>
              <w:spacing w:line="276" w:lineRule="auto"/>
              <w:jc w:val="center"/>
              <w:rPr>
                <w:sz w:val="21"/>
              </w:rPr>
            </w:pPr>
            <w:r>
              <w:rPr>
                <w:sz w:val="21"/>
              </w:rPr>
              <w:t>简单场地</w:t>
            </w:r>
          </w:p>
        </w:tc>
      </w:tr>
      <w:tr w14:paraId="1BFD7F30">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1843" w:type="dxa"/>
            <w:vAlign w:val="center"/>
          </w:tcPr>
          <w:p w14:paraId="1432BAFC">
            <w:pPr>
              <w:widowControl/>
              <w:adjustRightInd w:val="0"/>
              <w:snapToGrid w:val="0"/>
              <w:spacing w:line="276" w:lineRule="auto"/>
              <w:jc w:val="center"/>
              <w:rPr>
                <w:sz w:val="21"/>
              </w:rPr>
            </w:pPr>
            <w:r>
              <w:rPr>
                <w:sz w:val="21"/>
              </w:rPr>
              <w:t>初步勘察</w:t>
            </w:r>
          </w:p>
        </w:tc>
        <w:tc>
          <w:tcPr>
            <w:tcW w:w="1843" w:type="dxa"/>
            <w:vAlign w:val="center"/>
          </w:tcPr>
          <w:p w14:paraId="01A06221">
            <w:pPr>
              <w:widowControl/>
              <w:adjustRightInd w:val="0"/>
              <w:snapToGrid w:val="0"/>
              <w:spacing w:line="276" w:lineRule="auto"/>
              <w:jc w:val="center"/>
              <w:rPr>
                <w:sz w:val="21"/>
              </w:rPr>
            </w:pPr>
            <w:r>
              <w:rPr>
                <w:sz w:val="21"/>
              </w:rPr>
              <w:t>30～60</w:t>
            </w:r>
          </w:p>
        </w:tc>
        <w:tc>
          <w:tcPr>
            <w:tcW w:w="2126" w:type="dxa"/>
            <w:vAlign w:val="center"/>
          </w:tcPr>
          <w:p w14:paraId="4B246377">
            <w:pPr>
              <w:widowControl/>
              <w:adjustRightInd w:val="0"/>
              <w:snapToGrid w:val="0"/>
              <w:spacing w:line="276" w:lineRule="auto"/>
              <w:jc w:val="center"/>
              <w:rPr>
                <w:sz w:val="21"/>
              </w:rPr>
            </w:pPr>
            <w:r>
              <w:rPr>
                <w:sz w:val="21"/>
              </w:rPr>
              <w:t>60～100</w:t>
            </w:r>
          </w:p>
        </w:tc>
        <w:tc>
          <w:tcPr>
            <w:tcW w:w="1893" w:type="dxa"/>
            <w:vAlign w:val="center"/>
          </w:tcPr>
          <w:p w14:paraId="2E4C9BFB">
            <w:pPr>
              <w:widowControl/>
              <w:adjustRightInd w:val="0"/>
              <w:snapToGrid w:val="0"/>
              <w:spacing w:line="276" w:lineRule="auto"/>
              <w:jc w:val="center"/>
              <w:rPr>
                <w:sz w:val="21"/>
              </w:rPr>
            </w:pPr>
            <w:r>
              <w:rPr>
                <w:sz w:val="21"/>
              </w:rPr>
              <w:t>100～200</w:t>
            </w:r>
          </w:p>
        </w:tc>
      </w:tr>
      <w:tr w14:paraId="383EE4D4">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1843" w:type="dxa"/>
            <w:vAlign w:val="center"/>
          </w:tcPr>
          <w:p w14:paraId="09E82CF1">
            <w:pPr>
              <w:widowControl/>
              <w:adjustRightInd w:val="0"/>
              <w:snapToGrid w:val="0"/>
              <w:spacing w:line="276" w:lineRule="auto"/>
              <w:jc w:val="center"/>
              <w:rPr>
                <w:sz w:val="21"/>
              </w:rPr>
            </w:pPr>
            <w:r>
              <w:rPr>
                <w:sz w:val="21"/>
              </w:rPr>
              <w:t>详细勘察</w:t>
            </w:r>
          </w:p>
        </w:tc>
        <w:tc>
          <w:tcPr>
            <w:tcW w:w="1843" w:type="dxa"/>
            <w:vAlign w:val="center"/>
          </w:tcPr>
          <w:p w14:paraId="5D8163F2">
            <w:pPr>
              <w:widowControl/>
              <w:adjustRightInd w:val="0"/>
              <w:snapToGrid w:val="0"/>
              <w:spacing w:line="276" w:lineRule="auto"/>
              <w:jc w:val="center"/>
              <w:rPr>
                <w:sz w:val="21"/>
              </w:rPr>
            </w:pPr>
            <w:r>
              <w:rPr>
                <w:sz w:val="21"/>
              </w:rPr>
              <w:t>10～30</w:t>
            </w:r>
          </w:p>
        </w:tc>
        <w:tc>
          <w:tcPr>
            <w:tcW w:w="2126" w:type="dxa"/>
            <w:vAlign w:val="center"/>
          </w:tcPr>
          <w:p w14:paraId="23295DCD">
            <w:pPr>
              <w:widowControl/>
              <w:adjustRightInd w:val="0"/>
              <w:snapToGrid w:val="0"/>
              <w:spacing w:line="276" w:lineRule="auto"/>
              <w:jc w:val="center"/>
              <w:rPr>
                <w:sz w:val="21"/>
              </w:rPr>
            </w:pPr>
            <w:r>
              <w:rPr>
                <w:sz w:val="21"/>
              </w:rPr>
              <w:t>20～50</w:t>
            </w:r>
          </w:p>
        </w:tc>
        <w:tc>
          <w:tcPr>
            <w:tcW w:w="1893" w:type="dxa"/>
            <w:vAlign w:val="center"/>
          </w:tcPr>
          <w:p w14:paraId="689E167A">
            <w:pPr>
              <w:widowControl/>
              <w:adjustRightInd w:val="0"/>
              <w:snapToGrid w:val="0"/>
              <w:spacing w:line="276" w:lineRule="auto"/>
              <w:jc w:val="center"/>
              <w:rPr>
                <w:sz w:val="21"/>
              </w:rPr>
            </w:pPr>
            <w:r>
              <w:rPr>
                <w:sz w:val="21"/>
              </w:rPr>
              <w:t>40～100</w:t>
            </w:r>
          </w:p>
        </w:tc>
      </w:tr>
    </w:tbl>
    <w:p w14:paraId="3B693EC6">
      <w:r>
        <w:rPr>
          <w:b/>
          <w:bCs/>
        </w:rPr>
        <w:t>4.2.3</w:t>
      </w:r>
      <w:r>
        <w:t xml:space="preserve">  勘探孔的布置应符合下列规定：</w:t>
      </w:r>
    </w:p>
    <w:p w14:paraId="2AC1DA06">
      <w:pPr>
        <w:ind w:firstLine="482" w:firstLineChars="200"/>
      </w:pPr>
      <w:r>
        <w:rPr>
          <w:b/>
          <w:bCs/>
        </w:rPr>
        <w:t>1</w:t>
      </w:r>
      <w:r>
        <w:t xml:space="preserve">  管道穿越铁道、公路地段时，勘探孔移位不宜偏离管线边线超过5m，勘探孔间距</w:t>
      </w:r>
      <w:r>
        <w:rPr>
          <w:rFonts w:hint="eastAsia"/>
        </w:rPr>
        <w:t>应</w:t>
      </w:r>
      <w:r>
        <w:t>以能控制地层土质变化为原则，且不得少于2个勘探孔；</w:t>
      </w:r>
    </w:p>
    <w:p w14:paraId="14129AFE">
      <w:pPr>
        <w:ind w:firstLine="482" w:firstLineChars="200"/>
      </w:pPr>
      <w:r>
        <w:rPr>
          <w:b/>
          <w:bCs/>
        </w:rPr>
        <w:t>2</w:t>
      </w:r>
      <w:r>
        <w:t xml:space="preserve">  在每个地貌单元、地貌单元交界部位、管线转角处、穿越铁路或公路的地段等复杂条件下，应根据场地复杂程度适当增加勘探孔数量；</w:t>
      </w:r>
    </w:p>
    <w:p w14:paraId="68937028">
      <w:pPr>
        <w:ind w:firstLine="482" w:firstLineChars="200"/>
      </w:pPr>
      <w:r>
        <w:rPr>
          <w:b/>
          <w:bCs/>
        </w:rPr>
        <w:t>3</w:t>
      </w:r>
      <w:r>
        <w:t xml:space="preserve">  穿越暗河、暗湖、暗坑、溶洞或可能产生流砂和液化等地质条件复杂的地段时，勘探孔数量应适当增加；</w:t>
      </w:r>
    </w:p>
    <w:p w14:paraId="1680E182">
      <w:pPr>
        <w:ind w:firstLine="482" w:firstLineChars="200"/>
      </w:pPr>
      <w:r>
        <w:rPr>
          <w:b/>
          <w:bCs/>
        </w:rPr>
        <w:t>4</w:t>
      </w:r>
      <w:r>
        <w:t xml:space="preserve">  穿越河流时，河流两岸及河床上应布置勘探孔，数量不应</w:t>
      </w:r>
      <w:r>
        <w:rPr>
          <w:rFonts w:hint="eastAsia"/>
        </w:rPr>
        <w:t>少</w:t>
      </w:r>
      <w:r>
        <w:t>于3个；</w:t>
      </w:r>
    </w:p>
    <w:p w14:paraId="2E2178E0">
      <w:pPr>
        <w:ind w:firstLine="482" w:firstLineChars="200"/>
      </w:pPr>
      <w:r>
        <w:rPr>
          <w:b/>
          <w:bCs/>
        </w:rPr>
        <w:t>5</w:t>
      </w:r>
      <w:r>
        <w:t xml:space="preserve">  每个工作井不得少于2个勘探孔，复杂地质条件下</w:t>
      </w:r>
      <w:r>
        <w:rPr>
          <w:rFonts w:hint="eastAsia"/>
        </w:rPr>
        <w:t>，</w:t>
      </w:r>
      <w:r>
        <w:t>宜在矩形工作井的四角或圆形工作井的周边布置勘探孔并增加勘探孔数。</w:t>
      </w:r>
    </w:p>
    <w:p w14:paraId="48314ABC">
      <w:pPr>
        <w:rPr>
          <w:bCs/>
        </w:rPr>
      </w:pPr>
      <w:r>
        <w:rPr>
          <w:b/>
          <w:bCs/>
        </w:rPr>
        <w:t xml:space="preserve">4.2.4  </w:t>
      </w:r>
      <w:r>
        <w:rPr>
          <w:bCs/>
        </w:rPr>
        <w:t>一般性</w:t>
      </w:r>
      <w:r>
        <w:t>勘探孔的深度应达到管底设计标高以下3m～5m，控制性勘探孔的深度宜达到管底设计标高以下5m～10m，并应符合下列规定：</w:t>
      </w:r>
    </w:p>
    <w:p w14:paraId="23C6C96C">
      <w:pPr>
        <w:ind w:firstLine="482" w:firstLineChars="200"/>
      </w:pPr>
      <w:r>
        <w:rPr>
          <w:b/>
          <w:bCs/>
        </w:rPr>
        <w:t>1</w:t>
      </w:r>
      <w:r>
        <w:t xml:space="preserve">  当管线穿越河流时，勘探孔深度应达到河床最大冲刷深度以下5m～10m；</w:t>
      </w:r>
    </w:p>
    <w:p w14:paraId="597806A0">
      <w:pPr>
        <w:ind w:firstLine="482" w:firstLineChars="200"/>
      </w:pPr>
      <w:r>
        <w:rPr>
          <w:b/>
          <w:bCs/>
        </w:rPr>
        <w:t xml:space="preserve">2 </w:t>
      </w:r>
      <w:r>
        <w:t xml:space="preserve"> 当管线基底下存在松软土层、湿陷性土及可能产生流砂、潜蚀或液化地层时，勘探孔深度应加深或钻穿；</w:t>
      </w:r>
    </w:p>
    <w:p w14:paraId="7B548EFD">
      <w:pPr>
        <w:ind w:firstLine="482" w:firstLineChars="200"/>
      </w:pPr>
      <w:r>
        <w:rPr>
          <w:b/>
          <w:bCs/>
        </w:rPr>
        <w:t>3</w:t>
      </w:r>
      <w:r>
        <w:t xml:space="preserve">  采取降低地下水位来进行管线施工的地段，勘探孔孔深应在管底以下5m～10m，且应穿透主要含水层；</w:t>
      </w:r>
    </w:p>
    <w:p w14:paraId="6F80A5B0">
      <w:pPr>
        <w:ind w:firstLine="482" w:firstLineChars="200"/>
      </w:pPr>
      <w:r>
        <w:rPr>
          <w:b/>
          <w:bCs/>
        </w:rPr>
        <w:t>4</w:t>
      </w:r>
      <w:r>
        <w:t xml:space="preserve">  </w:t>
      </w:r>
      <w:r>
        <w:rPr>
          <w:szCs w:val="24"/>
        </w:rPr>
        <w:t>当管线下部有承压强透水层时，勘探孔宜钻穿承压水层，并应量测和评估承压水位</w:t>
      </w:r>
      <w:r>
        <w:t>；</w:t>
      </w:r>
    </w:p>
    <w:p w14:paraId="7B6CBD28">
      <w:pPr>
        <w:widowControl/>
        <w:adjustRightInd w:val="0"/>
        <w:snapToGrid w:val="0"/>
        <w:ind w:firstLine="482" w:firstLineChars="200"/>
      </w:pPr>
      <w:r>
        <w:rPr>
          <w:b/>
          <w:bCs/>
        </w:rPr>
        <w:t xml:space="preserve">5 </w:t>
      </w:r>
      <w:r>
        <w:t xml:space="preserve"> 始发井和接收井的勘探孔深度不应小于井底以下5m，对深厚软土、强透水层等地层应适当加深并应穿透。</w:t>
      </w:r>
    </w:p>
    <w:p w14:paraId="7A1660AE">
      <w:pPr>
        <w:widowControl/>
        <w:adjustRightInd w:val="0"/>
        <w:snapToGrid w:val="0"/>
        <w:ind w:firstLine="480" w:firstLineChars="200"/>
      </w:pPr>
    </w:p>
    <w:p w14:paraId="34C2D81E">
      <w:pPr>
        <w:pStyle w:val="3"/>
        <w:rPr>
          <w:rFonts w:eastAsia="黑体" w:cs="Times New Roman"/>
          <w:b w:val="0"/>
        </w:rPr>
      </w:pPr>
      <w:bookmarkStart w:id="120" w:name="_Toc60173778"/>
      <w:bookmarkStart w:id="121" w:name="_Toc12311"/>
      <w:bookmarkStart w:id="122" w:name="_Toc47692149"/>
      <w:bookmarkStart w:id="123" w:name="_Toc14871"/>
      <w:bookmarkStart w:id="124" w:name="_Toc12673"/>
      <w:bookmarkStart w:id="125" w:name="_Toc14915"/>
      <w:bookmarkStart w:id="126" w:name="_Toc18057029"/>
      <w:bookmarkStart w:id="127" w:name="_Toc17930"/>
      <w:bookmarkStart w:id="128" w:name="_Toc28836"/>
      <w:bookmarkStart w:id="129" w:name="_Toc15953"/>
      <w:bookmarkStart w:id="130" w:name="_Toc60172891"/>
      <w:r>
        <w:rPr>
          <w:rFonts w:eastAsia="黑体" w:cs="Times New Roman"/>
        </w:rPr>
        <w:t>4.</w:t>
      </w:r>
      <w:bookmarkStart w:id="131" w:name="_Toc178586070"/>
      <w:r>
        <w:rPr>
          <w:rFonts w:eastAsia="黑体" w:cs="Times New Roman"/>
        </w:rPr>
        <w:t>3</w:t>
      </w:r>
      <w:r>
        <w:rPr>
          <w:rFonts w:eastAsia="黑体" w:cs="Times New Roman"/>
          <w:b w:val="0"/>
        </w:rPr>
        <w:t xml:space="preserve">  地下水勘察</w:t>
      </w:r>
      <w:bookmarkEnd w:id="120"/>
      <w:bookmarkEnd w:id="121"/>
      <w:bookmarkEnd w:id="122"/>
      <w:bookmarkEnd w:id="123"/>
      <w:bookmarkEnd w:id="124"/>
      <w:bookmarkEnd w:id="125"/>
      <w:bookmarkEnd w:id="126"/>
      <w:bookmarkEnd w:id="127"/>
      <w:bookmarkEnd w:id="128"/>
      <w:bookmarkEnd w:id="129"/>
      <w:bookmarkEnd w:id="130"/>
    </w:p>
    <w:p w14:paraId="74A5286E">
      <w:r>
        <w:rPr>
          <w:b/>
          <w:bCs/>
        </w:rPr>
        <w:t>4.3.1</w:t>
      </w:r>
      <w:r>
        <w:t xml:space="preserve">  应调查地下水类型、含水层、地下水埋藏条件、补给与排泄条件、分布特征。</w:t>
      </w:r>
    </w:p>
    <w:p w14:paraId="7CFF9D09">
      <w:r>
        <w:rPr>
          <w:b/>
          <w:bCs/>
        </w:rPr>
        <w:t xml:space="preserve">4.3.2  </w:t>
      </w:r>
      <w:r>
        <w:t>应调查历史上地下水的最高水位、最低水位、水位变化幅度。</w:t>
      </w:r>
    </w:p>
    <w:p w14:paraId="35B2295C">
      <w:r>
        <w:rPr>
          <w:b/>
          <w:bCs/>
        </w:rPr>
        <w:t xml:space="preserve">4.3.3  </w:t>
      </w:r>
      <w:r>
        <w:t>应测定地下水的pH值</w:t>
      </w:r>
      <w:r>
        <w:rPr>
          <w:rFonts w:hint="eastAsia"/>
        </w:rPr>
        <w:t>和</w:t>
      </w:r>
      <w:r>
        <w:t>氯离子、钙离子和硫酸根离子等的含量。</w:t>
      </w:r>
    </w:p>
    <w:p w14:paraId="32F5C40A">
      <w:r>
        <w:rPr>
          <w:b/>
          <w:bCs/>
        </w:rPr>
        <w:t xml:space="preserve">4.3.4  </w:t>
      </w:r>
      <w:r>
        <w:t>当地下有承压水分布时，应量测承压水的压力，。</w:t>
      </w:r>
    </w:p>
    <w:bookmarkEnd w:id="131"/>
    <w:p w14:paraId="00BF338E">
      <w:bookmarkStart w:id="132" w:name="_Toc16111"/>
      <w:bookmarkStart w:id="133" w:name="_Toc18057030"/>
      <w:bookmarkStart w:id="134" w:name="_Toc18302"/>
      <w:bookmarkStart w:id="135" w:name="_Toc13081"/>
      <w:bookmarkStart w:id="136" w:name="_Toc14394"/>
      <w:bookmarkStart w:id="137" w:name="_Toc484503831"/>
      <w:bookmarkStart w:id="138" w:name="_Toc30331"/>
      <w:bookmarkStart w:id="139" w:name="_Toc13861"/>
    </w:p>
    <w:p w14:paraId="14A339C8">
      <w:pPr>
        <w:pStyle w:val="3"/>
        <w:rPr>
          <w:rFonts w:eastAsia="黑体" w:cs="Times New Roman"/>
          <w:b w:val="0"/>
        </w:rPr>
      </w:pPr>
      <w:bookmarkStart w:id="140" w:name="_Toc47692150"/>
      <w:bookmarkStart w:id="141" w:name="_Toc19742"/>
      <w:bookmarkStart w:id="142" w:name="_Toc60172892"/>
      <w:bookmarkStart w:id="143" w:name="_Toc60173779"/>
      <w:r>
        <w:rPr>
          <w:rFonts w:hint="eastAsia" w:eastAsia="黑体" w:cs="Times New Roman"/>
        </w:rPr>
        <w:t>4.4</w:t>
      </w:r>
      <w:r>
        <w:rPr>
          <w:rFonts w:hint="eastAsia" w:eastAsia="黑体" w:cs="Times New Roman"/>
          <w:b w:val="0"/>
        </w:rPr>
        <w:t xml:space="preserve">  </w:t>
      </w:r>
      <w:r>
        <w:rPr>
          <w:rFonts w:eastAsia="黑体" w:cs="Times New Roman"/>
          <w:b w:val="0"/>
        </w:rPr>
        <w:t>勘察报告</w:t>
      </w:r>
      <w:bookmarkEnd w:id="132"/>
      <w:bookmarkEnd w:id="133"/>
      <w:bookmarkEnd w:id="134"/>
      <w:bookmarkEnd w:id="135"/>
      <w:bookmarkEnd w:id="136"/>
      <w:bookmarkEnd w:id="137"/>
      <w:bookmarkEnd w:id="138"/>
      <w:bookmarkEnd w:id="139"/>
      <w:bookmarkEnd w:id="140"/>
      <w:bookmarkEnd w:id="141"/>
      <w:bookmarkEnd w:id="142"/>
      <w:bookmarkEnd w:id="143"/>
    </w:p>
    <w:p w14:paraId="412699BF">
      <w:r>
        <w:rPr>
          <w:b/>
          <w:bCs/>
        </w:rPr>
        <w:t>4.4.</w:t>
      </w:r>
      <w:r>
        <w:rPr>
          <w:rFonts w:hint="eastAsia"/>
          <w:b/>
          <w:bCs/>
        </w:rPr>
        <w:t>1</w:t>
      </w:r>
      <w:r>
        <w:rPr>
          <w:b/>
          <w:bCs/>
        </w:rPr>
        <w:t xml:space="preserve">  </w:t>
      </w:r>
      <w:r>
        <w:rPr>
          <w:szCs w:val="24"/>
        </w:rPr>
        <w:t>勘</w:t>
      </w:r>
      <w:r>
        <w:rPr>
          <w:rFonts w:hint="eastAsia"/>
          <w:szCs w:val="24"/>
        </w:rPr>
        <w:t>察</w:t>
      </w:r>
      <w:r>
        <w:rPr>
          <w:szCs w:val="24"/>
        </w:rPr>
        <w:t>报告应提供各土层物理力学性质参数，以及地下水和环境资料，并做出针对性的分析评价、结论和建议</w:t>
      </w:r>
      <w:r>
        <w:rPr>
          <w:rFonts w:hint="eastAsia"/>
        </w:rPr>
        <w:t>，包括下列内容：</w:t>
      </w:r>
    </w:p>
    <w:p w14:paraId="4B3CBF84">
      <w:pPr>
        <w:pStyle w:val="11"/>
        <w:ind w:firstLine="480"/>
      </w:pPr>
      <w:r>
        <w:rPr>
          <w:rFonts w:hint="eastAsia"/>
        </w:rPr>
        <w:t>1应</w:t>
      </w:r>
      <w:r>
        <w:t>评价地下水对混凝土、钢、铸铁及橡胶的腐蚀程度</w:t>
      </w:r>
      <w:r>
        <w:rPr>
          <w:rFonts w:hint="eastAsia"/>
        </w:rPr>
        <w:t>；</w:t>
      </w:r>
    </w:p>
    <w:p w14:paraId="4590BB54">
      <w:pPr>
        <w:pStyle w:val="11"/>
        <w:ind w:firstLine="480"/>
      </w:pPr>
      <w:r>
        <w:rPr>
          <w:rFonts w:hint="eastAsia"/>
        </w:rPr>
        <w:t>2当地下有承压水分布时，应评价对顶管工程施工的影响；</w:t>
      </w:r>
    </w:p>
    <w:p w14:paraId="3048FDFC">
      <w:pPr>
        <w:pStyle w:val="11"/>
        <w:ind w:firstLine="480"/>
      </w:pPr>
      <w:r>
        <w:rPr>
          <w:rFonts w:hint="eastAsia"/>
        </w:rPr>
        <w:t>3</w:t>
      </w:r>
      <w:r>
        <w:t>当地下水位受潮汐水位影响时，应评价对顶管工程施工的影响</w:t>
      </w:r>
      <w:r>
        <w:rPr>
          <w:rFonts w:hint="eastAsia"/>
        </w:rPr>
        <w:t>。</w:t>
      </w:r>
    </w:p>
    <w:p w14:paraId="233AB548">
      <w:r>
        <w:rPr>
          <w:b/>
          <w:bCs/>
        </w:rPr>
        <w:t>4.4.</w:t>
      </w:r>
      <w:r>
        <w:rPr>
          <w:rFonts w:hint="eastAsia"/>
          <w:b/>
          <w:bCs/>
        </w:rPr>
        <w:t>2</w:t>
      </w:r>
      <w:r>
        <w:rPr>
          <w:b/>
          <w:bCs/>
        </w:rPr>
        <w:t xml:space="preserve">  </w:t>
      </w:r>
      <w:r>
        <w:t>勘察报告应满足设计、施工的具体要求，提供相应的资料，并做出分析、结论和建议。</w:t>
      </w:r>
    </w:p>
    <w:p w14:paraId="502A0B88">
      <w:r>
        <w:rPr>
          <w:b/>
          <w:bCs/>
        </w:rPr>
        <w:t>4.4.</w:t>
      </w:r>
      <w:r>
        <w:rPr>
          <w:rFonts w:hint="eastAsia"/>
          <w:b/>
          <w:bCs/>
        </w:rPr>
        <w:t>3</w:t>
      </w:r>
      <w:r>
        <w:rPr>
          <w:b/>
          <w:bCs/>
        </w:rPr>
        <w:t xml:space="preserve">  </w:t>
      </w:r>
      <w:r>
        <w:t>不同阶段的勘察报告应分别满足工程规划、设计、施工阶段的技术要求，并应符合下列规定：</w:t>
      </w:r>
    </w:p>
    <w:p w14:paraId="055A0916">
      <w:pPr>
        <w:ind w:firstLine="482" w:firstLineChars="200"/>
      </w:pPr>
      <w:r>
        <w:rPr>
          <w:b/>
          <w:bCs/>
        </w:rPr>
        <w:t xml:space="preserve">1  </w:t>
      </w:r>
      <w:r>
        <w:t>初步勘察报告应阐述场地工程地质条件、评价场地稳定性和适应性，推荐管道最优线路方案；</w:t>
      </w:r>
    </w:p>
    <w:p w14:paraId="0D5BEFC0">
      <w:pPr>
        <w:ind w:firstLine="482" w:firstLineChars="200"/>
      </w:pPr>
      <w:r>
        <w:rPr>
          <w:b/>
          <w:bCs/>
        </w:rPr>
        <w:t xml:space="preserve">2  </w:t>
      </w:r>
      <w:r>
        <w:t>详细勘察报告应分段评价岩土工程条件，应提供顶管和工作井设计、施工所需的各土层物理力学性质指标，以及地下水资料，</w:t>
      </w:r>
      <w:r>
        <w:rPr>
          <w:rFonts w:hint="eastAsia"/>
        </w:rPr>
        <w:t>并应</w:t>
      </w:r>
      <w:r>
        <w:t>对工作井和顶管设计、施工方案提出建议</w:t>
      </w:r>
      <w:r>
        <w:rPr>
          <w:rFonts w:hint="eastAsia"/>
        </w:rPr>
        <w:t>和</w:t>
      </w:r>
      <w:r>
        <w:t>针对性的分析评价。</w:t>
      </w:r>
    </w:p>
    <w:p w14:paraId="641A415C">
      <w:r>
        <w:rPr>
          <w:b/>
          <w:bCs/>
        </w:rPr>
        <w:t>4.4.</w:t>
      </w:r>
      <w:r>
        <w:rPr>
          <w:rFonts w:hint="eastAsia"/>
          <w:b/>
          <w:bCs/>
        </w:rPr>
        <w:t>4</w:t>
      </w:r>
      <w:r>
        <w:t xml:space="preserve">  工程地质条件简单和勘察工程量小的工程，可适当简化勘察报告的内容。</w:t>
      </w:r>
    </w:p>
    <w:p w14:paraId="456F8765">
      <w:r>
        <w:rPr>
          <w:b/>
          <w:bCs/>
        </w:rPr>
        <w:t>4.4.</w:t>
      </w:r>
      <w:r>
        <w:rPr>
          <w:rFonts w:hint="eastAsia"/>
          <w:b/>
          <w:bCs/>
        </w:rPr>
        <w:t>5</w:t>
      </w:r>
      <w:r>
        <w:rPr>
          <w:b/>
          <w:bCs/>
        </w:rPr>
        <w:t xml:space="preserve">  </w:t>
      </w:r>
      <w:r>
        <w:t>勘察报告应由文字和图表两部分内容构成，并应符合下列规定：</w:t>
      </w:r>
    </w:p>
    <w:p w14:paraId="400D2622">
      <w:pPr>
        <w:ind w:firstLine="482" w:firstLineChars="200"/>
      </w:pPr>
      <w:r>
        <w:rPr>
          <w:b/>
        </w:rPr>
        <w:t>1</w:t>
      </w:r>
      <w:r>
        <w:t xml:space="preserve">  勘察报告文字部分应包</w:t>
      </w:r>
      <w:r>
        <w:rPr>
          <w:rFonts w:hint="eastAsia"/>
        </w:rPr>
        <w:t>括</w:t>
      </w:r>
      <w:r>
        <w:t>下列内容：</w:t>
      </w:r>
    </w:p>
    <w:p w14:paraId="7BC89046">
      <w:pPr>
        <w:ind w:left="1134" w:leftChars="355" w:hanging="282" w:hangingChars="117"/>
      </w:pPr>
      <w:r>
        <w:rPr>
          <w:b/>
          <w:bCs/>
        </w:rPr>
        <w:t>1）</w:t>
      </w:r>
      <w:r>
        <w:t>勘察目的和任务要求；</w:t>
      </w:r>
    </w:p>
    <w:p w14:paraId="5671B0ED">
      <w:pPr>
        <w:ind w:left="1134" w:leftChars="355" w:hanging="282" w:hangingChars="117"/>
      </w:pPr>
      <w:r>
        <w:rPr>
          <w:b/>
          <w:bCs/>
        </w:rPr>
        <w:t>2）</w:t>
      </w:r>
      <w:r>
        <w:t>勘察方法和工作布置；</w:t>
      </w:r>
    </w:p>
    <w:p w14:paraId="4141C13D">
      <w:pPr>
        <w:ind w:left="1134" w:leftChars="355" w:hanging="282" w:hangingChars="117"/>
      </w:pPr>
      <w:r>
        <w:rPr>
          <w:b/>
          <w:bCs/>
        </w:rPr>
        <w:t>3</w:t>
      </w:r>
      <w:r>
        <w:t>）拟建顶管工程的基本特性；</w:t>
      </w:r>
    </w:p>
    <w:p w14:paraId="77007D81">
      <w:pPr>
        <w:ind w:left="1134" w:leftChars="355" w:hanging="282" w:hangingChars="117"/>
      </w:pPr>
      <w:r>
        <w:rPr>
          <w:b/>
          <w:bCs/>
        </w:rPr>
        <w:t>4</w:t>
      </w:r>
      <w:r>
        <w:t>）场地地形、地质（地层、地质构造）、地貌、岩土性质、地下水及不良地质现象的阐述和评价；</w:t>
      </w:r>
    </w:p>
    <w:p w14:paraId="35AD68E5">
      <w:pPr>
        <w:ind w:left="1134" w:leftChars="355" w:hanging="282" w:hangingChars="117"/>
      </w:pPr>
      <w:r>
        <w:rPr>
          <w:b/>
          <w:bCs/>
        </w:rPr>
        <w:t>5</w:t>
      </w:r>
      <w:r>
        <w:t>）地基稳定性评价及建议地基处理方案；</w:t>
      </w:r>
    </w:p>
    <w:p w14:paraId="17A06987">
      <w:pPr>
        <w:ind w:left="1134" w:leftChars="355" w:hanging="282" w:hangingChars="117"/>
      </w:pPr>
      <w:r>
        <w:rPr>
          <w:b/>
          <w:bCs/>
        </w:rPr>
        <w:t>6</w:t>
      </w:r>
      <w:r>
        <w:t>）岩土参数的搜集、分析和选用；</w:t>
      </w:r>
    </w:p>
    <w:p w14:paraId="5B6986E0">
      <w:pPr>
        <w:ind w:left="1134" w:leftChars="355" w:hanging="282" w:hangingChars="117"/>
      </w:pPr>
      <w:r>
        <w:rPr>
          <w:b/>
          <w:bCs/>
        </w:rPr>
        <w:t>7</w:t>
      </w:r>
      <w:r>
        <w:t>）工程施工期间可能发生的岩土工程问题的预测及监控、防治措施的建议；</w:t>
      </w:r>
    </w:p>
    <w:p w14:paraId="46F8FC60">
      <w:pPr>
        <w:ind w:left="1134" w:leftChars="355" w:hanging="282" w:hangingChars="117"/>
      </w:pPr>
      <w:r>
        <w:rPr>
          <w:b/>
          <w:bCs/>
        </w:rPr>
        <w:t>8</w:t>
      </w:r>
      <w:r>
        <w:rPr>
          <w:bCs/>
        </w:rPr>
        <w:t>）</w:t>
      </w:r>
      <w:r>
        <w:t>顶管施工中有无易燃易爆和有毒气体评价；</w:t>
      </w:r>
    </w:p>
    <w:p w14:paraId="319C66F6">
      <w:pPr>
        <w:ind w:left="1134" w:leftChars="355" w:hanging="282" w:hangingChars="117"/>
      </w:pPr>
      <w:r>
        <w:rPr>
          <w:b/>
          <w:bCs/>
        </w:rPr>
        <w:t>9）</w:t>
      </w:r>
      <w:r>
        <w:t>顶管施工对周边环境影响的分析和评价；</w:t>
      </w:r>
    </w:p>
    <w:p w14:paraId="7A495907">
      <w:pPr>
        <w:ind w:left="1134" w:leftChars="355" w:hanging="282" w:hangingChars="117"/>
      </w:pPr>
      <w:r>
        <w:rPr>
          <w:b/>
          <w:bCs/>
        </w:rPr>
        <w:t>10）</w:t>
      </w:r>
      <w:r>
        <w:t>有关顶管工程设计和施工措施的建议。</w:t>
      </w:r>
    </w:p>
    <w:p w14:paraId="0FDD1F26">
      <w:pPr>
        <w:ind w:firstLine="482" w:firstLineChars="200"/>
      </w:pPr>
      <w:r>
        <w:rPr>
          <w:b/>
          <w:bCs/>
        </w:rPr>
        <w:t xml:space="preserve">2  </w:t>
      </w:r>
      <w:r>
        <w:t>勘察报告图表部分应包括下列内容：</w:t>
      </w:r>
    </w:p>
    <w:p w14:paraId="12951DDB">
      <w:pPr>
        <w:ind w:firstLine="851" w:firstLineChars="353"/>
      </w:pPr>
      <w:r>
        <w:rPr>
          <w:b/>
          <w:bCs/>
        </w:rPr>
        <w:t>1</w:t>
      </w:r>
      <w:r>
        <w:t>）勘探点平面布置图；</w:t>
      </w:r>
    </w:p>
    <w:p w14:paraId="2775ACA9">
      <w:pPr>
        <w:ind w:firstLine="851" w:firstLineChars="353"/>
      </w:pPr>
      <w:r>
        <w:rPr>
          <w:b/>
          <w:bCs/>
        </w:rPr>
        <w:t>2</w:t>
      </w:r>
      <w:r>
        <w:t>）工程地质柱状图；</w:t>
      </w:r>
    </w:p>
    <w:p w14:paraId="26740534">
      <w:pPr>
        <w:ind w:firstLine="851" w:firstLineChars="353"/>
      </w:pPr>
      <w:r>
        <w:rPr>
          <w:b/>
          <w:bCs/>
        </w:rPr>
        <w:t>3</w:t>
      </w:r>
      <w:r>
        <w:t>）工程地质剖面图；</w:t>
      </w:r>
    </w:p>
    <w:p w14:paraId="52803976">
      <w:pPr>
        <w:ind w:firstLine="851" w:firstLineChars="353"/>
      </w:pPr>
      <w:r>
        <w:rPr>
          <w:b/>
          <w:bCs/>
        </w:rPr>
        <w:t>4</w:t>
      </w:r>
      <w:r>
        <w:t>）原位测试成果图表；</w:t>
      </w:r>
    </w:p>
    <w:p w14:paraId="28DC776E">
      <w:pPr>
        <w:ind w:firstLine="851" w:firstLineChars="353"/>
      </w:pPr>
      <w:r>
        <w:rPr>
          <w:b/>
          <w:bCs/>
        </w:rPr>
        <w:t>5</w:t>
      </w:r>
      <w:r>
        <w:t>）室内试验成果图表。</w:t>
      </w:r>
    </w:p>
    <w:p w14:paraId="0833DEA7">
      <w:pPr>
        <w:pStyle w:val="3"/>
        <w:rPr>
          <w:rFonts w:eastAsia="黑体" w:cs="Times New Roman"/>
          <w:b w:val="0"/>
        </w:rPr>
      </w:pPr>
      <w:bookmarkStart w:id="144" w:name="_Toc14242"/>
      <w:bookmarkStart w:id="145" w:name="_Toc6698"/>
      <w:bookmarkStart w:id="146" w:name="_Toc24851"/>
      <w:bookmarkStart w:id="147" w:name="_Toc3365"/>
      <w:bookmarkStart w:id="148" w:name="_Toc484503832"/>
      <w:bookmarkStart w:id="149" w:name="_Toc6513"/>
      <w:bookmarkStart w:id="150" w:name="_Toc60173780"/>
      <w:bookmarkStart w:id="151" w:name="_Toc60172893"/>
      <w:bookmarkStart w:id="152" w:name="_Toc47692151"/>
      <w:bookmarkStart w:id="153" w:name="_Toc23615"/>
      <w:bookmarkStart w:id="154" w:name="_Toc18057031"/>
      <w:bookmarkStart w:id="155" w:name="_Toc13447"/>
      <w:r>
        <w:rPr>
          <w:rFonts w:eastAsia="黑体" w:cs="Times New Roman"/>
        </w:rPr>
        <w:t>4.5</w:t>
      </w:r>
      <w:r>
        <w:rPr>
          <w:rFonts w:eastAsia="黑体" w:cs="Times New Roman"/>
          <w:b w:val="0"/>
        </w:rPr>
        <w:t xml:space="preserve">  地下管线和障碍物的探测</w:t>
      </w:r>
      <w:bookmarkEnd w:id="144"/>
      <w:bookmarkEnd w:id="145"/>
      <w:bookmarkEnd w:id="146"/>
      <w:bookmarkEnd w:id="147"/>
      <w:bookmarkEnd w:id="148"/>
      <w:bookmarkEnd w:id="149"/>
      <w:bookmarkEnd w:id="150"/>
      <w:bookmarkEnd w:id="151"/>
      <w:bookmarkEnd w:id="152"/>
      <w:bookmarkEnd w:id="153"/>
      <w:bookmarkEnd w:id="154"/>
      <w:bookmarkEnd w:id="155"/>
    </w:p>
    <w:p w14:paraId="63D2AABB">
      <w:r>
        <w:rPr>
          <w:b/>
        </w:rPr>
        <w:t xml:space="preserve">4.5.1  </w:t>
      </w:r>
      <w:r>
        <w:t>物探工作应遵循下列原则：</w:t>
      </w:r>
    </w:p>
    <w:p w14:paraId="07C5B5BB">
      <w:pPr>
        <w:ind w:firstLine="482" w:firstLineChars="200"/>
      </w:pPr>
      <w:r>
        <w:rPr>
          <w:b/>
          <w:bCs/>
        </w:rPr>
        <w:t>1</w:t>
      </w:r>
      <w:r>
        <w:t xml:space="preserve">  工作前应通过方法</w:t>
      </w:r>
      <w:r>
        <w:rPr>
          <w:rFonts w:hint="eastAsia"/>
        </w:rPr>
        <w:t>比</w:t>
      </w:r>
      <w:r>
        <w:t>选</w:t>
      </w:r>
      <w:r>
        <w:rPr>
          <w:rFonts w:hint="eastAsia"/>
        </w:rPr>
        <w:t>采用</w:t>
      </w:r>
      <w:r>
        <w:t>探测技术和数据采集参数；</w:t>
      </w:r>
    </w:p>
    <w:p w14:paraId="7B1B42EE">
      <w:pPr>
        <w:ind w:firstLine="482" w:firstLineChars="200"/>
      </w:pPr>
      <w:r>
        <w:rPr>
          <w:b/>
          <w:bCs/>
        </w:rPr>
        <w:t>2</w:t>
      </w:r>
      <w:r>
        <w:t xml:space="preserve">  工作时宜从已知到未知，从简单到复杂；单一方法多解时，宜采用多种方法进行综合探测；</w:t>
      </w:r>
    </w:p>
    <w:p w14:paraId="3C3D552A">
      <w:pPr>
        <w:ind w:firstLine="482" w:firstLineChars="200"/>
      </w:pPr>
      <w:r>
        <w:rPr>
          <w:b/>
          <w:bCs/>
        </w:rPr>
        <w:t>3</w:t>
      </w:r>
      <w:r>
        <w:t xml:space="preserve">  工作时应充分收集和利用</w:t>
      </w:r>
      <w:r>
        <w:rPr>
          <w:rFonts w:hint="eastAsia"/>
        </w:rPr>
        <w:t>周边</w:t>
      </w:r>
      <w:r>
        <w:t>已有的</w:t>
      </w:r>
      <w:r>
        <w:rPr>
          <w:rFonts w:hint="eastAsia"/>
        </w:rPr>
        <w:t>工程</w:t>
      </w:r>
      <w:r>
        <w:t>地质、水文地质、地球物理、勘察、设计、施工及运营等资料。</w:t>
      </w:r>
    </w:p>
    <w:p w14:paraId="6AF84C09">
      <w:r>
        <w:rPr>
          <w:b/>
        </w:rPr>
        <w:t xml:space="preserve">4.5.2  </w:t>
      </w:r>
      <w:r>
        <w:t>地下管线探测应符合下列规定：</w:t>
      </w:r>
    </w:p>
    <w:p w14:paraId="208535D9">
      <w:pPr>
        <w:ind w:firstLine="482" w:firstLineChars="200"/>
      </w:pPr>
      <w:r>
        <w:rPr>
          <w:b/>
          <w:bCs/>
        </w:rPr>
        <w:t>1</w:t>
      </w:r>
      <w:r>
        <w:t xml:space="preserve">  地下管线探测应在现有地下管线资料调绘工作的基础上，采用实地调查与仪器探测相结合的方法，实地查明各种地下管线的敷设状况，绘制探测草图，并</w:t>
      </w:r>
      <w:r>
        <w:rPr>
          <w:rFonts w:hint="eastAsia"/>
        </w:rPr>
        <w:t>应</w:t>
      </w:r>
      <w:r>
        <w:t>在地面上设置管线点标志；</w:t>
      </w:r>
    </w:p>
    <w:p w14:paraId="14E16997">
      <w:pPr>
        <w:ind w:firstLine="482" w:firstLineChars="200"/>
      </w:pPr>
      <w:r>
        <w:rPr>
          <w:b/>
          <w:bCs/>
        </w:rPr>
        <w:t xml:space="preserve">2 </w:t>
      </w:r>
      <w:r>
        <w:t xml:space="preserve"> 地下管线探测点的点位应设置在管线特征点或附属设施中心点上，在无特征点的直线段上应设置地下管线探测点，探测点在地形图上的间距不应大于0.15m；</w:t>
      </w:r>
    </w:p>
    <w:p w14:paraId="1FE1D58F">
      <w:pPr>
        <w:ind w:firstLine="482" w:firstLineChars="200"/>
      </w:pPr>
      <w:r>
        <w:rPr>
          <w:b/>
          <w:bCs/>
        </w:rPr>
        <w:t xml:space="preserve">3 </w:t>
      </w:r>
      <w:r>
        <w:t xml:space="preserve"> </w:t>
      </w:r>
      <w:r>
        <w:rPr>
          <w:rFonts w:hint="eastAsia"/>
        </w:rPr>
        <w:t>遇弯曲的</w:t>
      </w:r>
      <w:r>
        <w:t>地下管线时，应在圆弧起讫点和中点设置地下管线探测点</w:t>
      </w:r>
      <w:r>
        <w:rPr>
          <w:rFonts w:hint="eastAsia"/>
        </w:rPr>
        <w:t>，</w:t>
      </w:r>
      <w:r>
        <w:t>圆弧较大时，设置的地下管线探测点应能反映地下管线的弯曲特征；</w:t>
      </w:r>
    </w:p>
    <w:p w14:paraId="6743DEE1">
      <w:pPr>
        <w:ind w:firstLine="482" w:firstLineChars="200"/>
      </w:pPr>
      <w:r>
        <w:rPr>
          <w:b/>
          <w:bCs/>
        </w:rPr>
        <w:t>4</w:t>
      </w:r>
      <w:r>
        <w:t xml:space="preserve">  当采用现有的探测技术手段不能查明地下管线的空间位置时，宜进行开挖或钎探探查。现场条件不允许开挖或钎探时，应将问题记录在案。</w:t>
      </w:r>
    </w:p>
    <w:p w14:paraId="69E25F00">
      <w:r>
        <w:rPr>
          <w:b/>
        </w:rPr>
        <w:t xml:space="preserve">4.5.3  </w:t>
      </w:r>
      <w:r>
        <w:t>基岩埋深的探测方法可按下列规定选择：</w:t>
      </w:r>
    </w:p>
    <w:p w14:paraId="66CF4160">
      <w:pPr>
        <w:ind w:firstLine="482" w:firstLineChars="200"/>
      </w:pPr>
      <w:r>
        <w:rPr>
          <w:b/>
          <w:bCs/>
        </w:rPr>
        <w:t>1</w:t>
      </w:r>
      <w:r>
        <w:t xml:space="preserve">  探测基岩埋深，划分松散沉积岩层和基岩风化带，可选用电法、电磁法、地震波法和声波法等；</w:t>
      </w:r>
    </w:p>
    <w:p w14:paraId="779BEDE8">
      <w:pPr>
        <w:ind w:firstLine="482" w:firstLineChars="200"/>
      </w:pPr>
      <w:r>
        <w:rPr>
          <w:b/>
          <w:bCs/>
        </w:rPr>
        <w:t xml:space="preserve">2 </w:t>
      </w:r>
      <w:r>
        <w:t xml:space="preserve"> 采用电磁法探测基岩埋深时，可采用频率测深、电磁感应法、地质雷达法等；</w:t>
      </w:r>
    </w:p>
    <w:p w14:paraId="5BF944E7">
      <w:pPr>
        <w:ind w:firstLine="482" w:firstLineChars="200"/>
      </w:pPr>
      <w:r>
        <w:rPr>
          <w:b/>
          <w:bCs/>
        </w:rPr>
        <w:t>3</w:t>
      </w:r>
      <w:r>
        <w:t xml:space="preserve">  采用地震波和声波法探测基岩埋深时，可采用折射波法、反射波法、瑞雷波法、声波法等。</w:t>
      </w:r>
    </w:p>
    <w:p w14:paraId="4965FDFA">
      <w:r>
        <w:rPr>
          <w:b/>
        </w:rPr>
        <w:t xml:space="preserve">4.5.4  </w:t>
      </w:r>
      <w:r>
        <w:t>孤石探测可按下列规定执行：</w:t>
      </w:r>
    </w:p>
    <w:p w14:paraId="79280735">
      <w:pPr>
        <w:ind w:firstLine="482" w:firstLineChars="200"/>
      </w:pPr>
      <w:r>
        <w:rPr>
          <w:b/>
          <w:bCs/>
        </w:rPr>
        <w:t>1</w:t>
      </w:r>
      <w:r>
        <w:t xml:space="preserve">  当孤石性质与周边介质相差明显时，可通过弹性波速度特征推断孤石的位置和大小；</w:t>
      </w:r>
    </w:p>
    <w:p w14:paraId="1F50DCEF">
      <w:pPr>
        <w:ind w:firstLine="482" w:firstLineChars="200"/>
      </w:pPr>
      <w:r>
        <w:rPr>
          <w:b/>
          <w:bCs/>
        </w:rPr>
        <w:t>2</w:t>
      </w:r>
      <w:r>
        <w:t xml:space="preserve">  当孤石与周边介质密度相差较大、粒径较大时，可通过重力探测判定；</w:t>
      </w:r>
    </w:p>
    <w:p w14:paraId="5B5FA811">
      <w:pPr>
        <w:ind w:firstLine="482" w:firstLineChars="200"/>
      </w:pPr>
      <w:r>
        <w:rPr>
          <w:b/>
          <w:bCs/>
        </w:rPr>
        <w:t>3</w:t>
      </w:r>
      <w:r>
        <w:t xml:space="preserve">  当孤石的电阻率与周边介质相差较大时，可采用电法探测、电磁法探测、地震波法和声波法探测。</w:t>
      </w:r>
    </w:p>
    <w:p w14:paraId="13C588B8">
      <w:r>
        <w:rPr>
          <w:b/>
        </w:rPr>
        <w:t xml:space="preserve">4.5.5  </w:t>
      </w:r>
      <w:r>
        <w:t>物探工作的质量检查应符合下列规定：</w:t>
      </w:r>
    </w:p>
    <w:p w14:paraId="7F49C939">
      <w:pPr>
        <w:ind w:firstLine="482" w:firstLineChars="200"/>
      </w:pPr>
      <w:r>
        <w:rPr>
          <w:b/>
          <w:bCs/>
        </w:rPr>
        <w:t>1</w:t>
      </w:r>
      <w:r>
        <w:t xml:space="preserve">  质量检查应根据具体探测方法选择检查方式；</w:t>
      </w:r>
    </w:p>
    <w:p w14:paraId="2FA5431E">
      <w:pPr>
        <w:ind w:firstLine="482" w:firstLineChars="200"/>
      </w:pPr>
      <w:r>
        <w:rPr>
          <w:b/>
          <w:bCs/>
        </w:rPr>
        <w:t>2</w:t>
      </w:r>
      <w:r>
        <w:t xml:space="preserve">  检查点应均衡分布、随机选取，异常和可疑地段应重点检查；</w:t>
      </w:r>
    </w:p>
    <w:p w14:paraId="3603540D">
      <w:pPr>
        <w:ind w:firstLine="482" w:firstLineChars="200"/>
      </w:pPr>
      <w:r>
        <w:rPr>
          <w:b/>
          <w:bCs/>
        </w:rPr>
        <w:t>3</w:t>
      </w:r>
      <w:r>
        <w:t xml:space="preserve">  在资料审核时应提交质量检查资料。</w:t>
      </w:r>
    </w:p>
    <w:p w14:paraId="691A4E7C">
      <w:pPr>
        <w:ind w:firstLine="480" w:firstLineChars="200"/>
      </w:pPr>
    </w:p>
    <w:p w14:paraId="3AC4544D">
      <w:pPr>
        <w:rPr>
          <w:rFonts w:eastAsia="华文仿宋"/>
        </w:rPr>
        <w:sectPr>
          <w:pgSz w:w="11906" w:h="16838"/>
          <w:pgMar w:top="1440" w:right="1800" w:bottom="1440" w:left="1800" w:header="851" w:footer="992" w:gutter="0"/>
          <w:cols w:space="425" w:num="1"/>
          <w:docGrid w:type="lines" w:linePitch="312" w:charSpace="0"/>
        </w:sectPr>
      </w:pPr>
    </w:p>
    <w:p w14:paraId="30E654E8">
      <w:pPr>
        <w:keepNext/>
        <w:keepLines/>
        <w:spacing w:before="100" w:after="100"/>
        <w:jc w:val="center"/>
        <w:outlineLvl w:val="0"/>
        <w:rPr>
          <w:b/>
          <w:bCs/>
          <w:kern w:val="44"/>
          <w:sz w:val="32"/>
          <w:szCs w:val="44"/>
        </w:rPr>
      </w:pPr>
      <w:bookmarkStart w:id="156" w:name="_Toc11092"/>
      <w:bookmarkStart w:id="157" w:name="_Toc29316"/>
      <w:bookmarkStart w:id="158" w:name="_Toc1617"/>
      <w:bookmarkStart w:id="159" w:name="_Toc26465"/>
      <w:bookmarkStart w:id="160" w:name="_Toc14484"/>
      <w:bookmarkStart w:id="161" w:name="_Toc24848"/>
      <w:bookmarkStart w:id="162" w:name="_Toc11526"/>
      <w:r>
        <w:rPr>
          <w:b/>
          <w:bCs/>
          <w:kern w:val="44"/>
          <w:sz w:val="32"/>
          <w:szCs w:val="44"/>
        </w:rPr>
        <w:fldChar w:fldCharType="begin"/>
      </w:r>
      <w:r>
        <w:rPr>
          <w:b/>
          <w:bCs/>
          <w:kern w:val="44"/>
          <w:sz w:val="32"/>
          <w:szCs w:val="44"/>
        </w:rPr>
        <w:instrText xml:space="preserve"> HYPERLINK \l "_Toc31145" </w:instrText>
      </w:r>
      <w:r>
        <w:rPr>
          <w:b/>
          <w:bCs/>
          <w:kern w:val="44"/>
          <w:sz w:val="32"/>
          <w:szCs w:val="44"/>
        </w:rPr>
        <w:fldChar w:fldCharType="separate"/>
      </w:r>
      <w:bookmarkStart w:id="163" w:name="_Toc60173781"/>
      <w:bookmarkStart w:id="164" w:name="_Toc18057032"/>
      <w:bookmarkStart w:id="165" w:name="_Toc47692152"/>
      <w:bookmarkStart w:id="166" w:name="_Toc60172894"/>
      <w:r>
        <w:rPr>
          <w:b/>
          <w:bCs/>
          <w:kern w:val="44"/>
          <w:sz w:val="32"/>
          <w:szCs w:val="44"/>
        </w:rPr>
        <w:t>5  顶管设计</w:t>
      </w:r>
      <w:bookmarkEnd w:id="163"/>
      <w:bookmarkEnd w:id="164"/>
      <w:bookmarkEnd w:id="165"/>
      <w:bookmarkEnd w:id="166"/>
      <w:r>
        <w:rPr>
          <w:b/>
          <w:bCs/>
          <w:kern w:val="44"/>
          <w:sz w:val="32"/>
          <w:szCs w:val="44"/>
        </w:rPr>
        <w:fldChar w:fldCharType="end"/>
      </w:r>
      <w:bookmarkEnd w:id="156"/>
      <w:bookmarkEnd w:id="157"/>
      <w:bookmarkEnd w:id="158"/>
      <w:bookmarkEnd w:id="159"/>
      <w:bookmarkEnd w:id="160"/>
      <w:bookmarkEnd w:id="161"/>
      <w:bookmarkEnd w:id="162"/>
    </w:p>
    <w:p w14:paraId="51F61317">
      <w:pPr>
        <w:keepNext/>
        <w:keepLines/>
        <w:jc w:val="center"/>
        <w:outlineLvl w:val="1"/>
        <w:rPr>
          <w:rFonts w:eastAsia="黑体"/>
          <w:bCs/>
          <w:sz w:val="28"/>
          <w:szCs w:val="32"/>
        </w:rPr>
      </w:pPr>
      <w:bookmarkStart w:id="167" w:name="_Toc60173782"/>
      <w:bookmarkStart w:id="168" w:name="_Toc6942"/>
      <w:bookmarkStart w:id="169" w:name="_Toc47692153"/>
      <w:bookmarkStart w:id="170" w:name="_Toc18057033"/>
      <w:bookmarkStart w:id="171" w:name="_Toc24330"/>
      <w:bookmarkStart w:id="172" w:name="_Toc18547"/>
      <w:bookmarkStart w:id="173" w:name="_Toc278"/>
      <w:bookmarkStart w:id="174" w:name="_Toc26475"/>
      <w:bookmarkStart w:id="175" w:name="_Toc9171"/>
      <w:bookmarkStart w:id="176" w:name="_Toc20196"/>
      <w:bookmarkStart w:id="177" w:name="_Toc60172895"/>
      <w:r>
        <w:rPr>
          <w:rFonts w:eastAsia="黑体"/>
          <w:b/>
          <w:bCs/>
          <w:sz w:val="28"/>
          <w:szCs w:val="32"/>
        </w:rPr>
        <w:t>5.1</w:t>
      </w:r>
      <w:r>
        <w:rPr>
          <w:rFonts w:eastAsia="黑体"/>
          <w:bCs/>
          <w:sz w:val="28"/>
          <w:szCs w:val="32"/>
        </w:rPr>
        <w:t xml:space="preserve">  一般规定</w:t>
      </w:r>
      <w:bookmarkEnd w:id="167"/>
      <w:bookmarkEnd w:id="168"/>
      <w:bookmarkEnd w:id="169"/>
      <w:bookmarkEnd w:id="170"/>
      <w:bookmarkEnd w:id="171"/>
      <w:bookmarkEnd w:id="172"/>
      <w:bookmarkEnd w:id="173"/>
      <w:bookmarkEnd w:id="174"/>
      <w:bookmarkEnd w:id="175"/>
      <w:bookmarkEnd w:id="176"/>
      <w:bookmarkEnd w:id="177"/>
    </w:p>
    <w:p w14:paraId="4C603F3C">
      <w:pPr>
        <w:rPr>
          <w:b/>
        </w:rPr>
      </w:pPr>
      <w:r>
        <w:rPr>
          <w:b/>
        </w:rPr>
        <w:t xml:space="preserve">5.1.1  </w:t>
      </w:r>
      <w:r>
        <w:t>顶管设计应包括下列内容：</w:t>
      </w:r>
    </w:p>
    <w:p w14:paraId="65B271BF">
      <w:pPr>
        <w:ind w:left="480" w:leftChars="200"/>
      </w:pPr>
      <w:r>
        <w:rPr>
          <w:b/>
          <w:bCs/>
        </w:rPr>
        <w:t>1</w:t>
      </w:r>
      <w:r>
        <w:t xml:space="preserve">  顶管管位设计；</w:t>
      </w:r>
    </w:p>
    <w:p w14:paraId="11FE622B">
      <w:pPr>
        <w:ind w:left="480" w:leftChars="200"/>
      </w:pPr>
      <w:r>
        <w:rPr>
          <w:b/>
          <w:bCs/>
        </w:rPr>
        <w:t>2</w:t>
      </w:r>
      <w:r>
        <w:t xml:space="preserve">  作用；</w:t>
      </w:r>
    </w:p>
    <w:p w14:paraId="7EC4B29D">
      <w:pPr>
        <w:ind w:firstLine="482" w:firstLineChars="200"/>
      </w:pPr>
      <w:r>
        <w:rPr>
          <w:b/>
          <w:bCs/>
        </w:rPr>
        <w:t>3</w:t>
      </w:r>
      <w:r>
        <w:t xml:space="preserve">  管节结构设计；</w:t>
      </w:r>
    </w:p>
    <w:p w14:paraId="5A810E79">
      <w:pPr>
        <w:ind w:left="480" w:leftChars="200"/>
      </w:pPr>
      <w:r>
        <w:rPr>
          <w:b/>
          <w:bCs/>
        </w:rPr>
        <w:t>4</w:t>
      </w:r>
      <w:r>
        <w:t xml:space="preserve">  管节构造设计；</w:t>
      </w:r>
    </w:p>
    <w:p w14:paraId="2899A225">
      <w:pPr>
        <w:ind w:left="480" w:leftChars="200"/>
      </w:pPr>
      <w:r>
        <w:rPr>
          <w:b/>
          <w:bCs/>
        </w:rPr>
        <w:t>5</w:t>
      </w:r>
      <w:r>
        <w:t xml:space="preserve">  </w:t>
      </w:r>
      <w:r>
        <w:rPr>
          <w:rFonts w:hint="eastAsia"/>
        </w:rPr>
        <w:t>顶管总顶力与中继间设置；</w:t>
      </w:r>
    </w:p>
    <w:p w14:paraId="2825A802">
      <w:pPr>
        <w:ind w:left="480" w:leftChars="200"/>
      </w:pPr>
      <w:r>
        <w:rPr>
          <w:rFonts w:hint="eastAsia"/>
          <w:b/>
          <w:bCs/>
        </w:rPr>
        <w:t>6</w:t>
      </w:r>
      <w:r>
        <w:t xml:space="preserve">  工作井设计</w:t>
      </w:r>
      <w:r>
        <w:rPr>
          <w:rFonts w:hint="eastAsia"/>
        </w:rPr>
        <w:t>。</w:t>
      </w:r>
    </w:p>
    <w:p w14:paraId="30F571D6">
      <w:r>
        <w:rPr>
          <w:b/>
        </w:rPr>
        <w:t xml:space="preserve">5.1.2  </w:t>
      </w:r>
      <w:r>
        <w:rPr>
          <w:bCs/>
        </w:rPr>
        <w:t>顶管工程</w:t>
      </w:r>
      <w:r>
        <w:t>结构的极限状态设计应包括承载能力极限状态计算和正常使用极限状态验算。</w:t>
      </w:r>
    </w:p>
    <w:p w14:paraId="0D46322B">
      <w:pPr>
        <w:rPr>
          <w:bCs/>
        </w:rPr>
      </w:pPr>
      <w:r>
        <w:rPr>
          <w:b/>
        </w:rPr>
        <w:t xml:space="preserve">5.1.3  </w:t>
      </w:r>
      <w:r>
        <w:rPr>
          <w:rFonts w:hint="eastAsia"/>
          <w:bCs/>
        </w:rPr>
        <w:t>顶管工程结构使用阶段的设计与计算应按工程所属行业现行相关国家标准的规定执行并应符合下列规定：</w:t>
      </w:r>
    </w:p>
    <w:p w14:paraId="15FF3017">
      <w:pPr>
        <w:ind w:firstLine="480" w:firstLineChars="200"/>
      </w:pPr>
      <w:r>
        <w:rPr>
          <w:bCs/>
        </w:rPr>
        <w:t>1</w:t>
      </w:r>
      <w:r>
        <w:rPr>
          <w:rFonts w:hint="eastAsia"/>
          <w:bCs/>
        </w:rPr>
        <w:t>公路顶管工程设计与计算应符合现行行业标准</w:t>
      </w:r>
      <w:r>
        <w:rPr>
          <w:rFonts w:hint="eastAsia"/>
        </w:rPr>
        <w:t>《公路隧道设计规范</w:t>
      </w:r>
      <w:r>
        <w:t xml:space="preserve"> </w:t>
      </w:r>
      <w:r>
        <w:rPr>
          <w:rFonts w:hint="eastAsia"/>
        </w:rPr>
        <w:t>第一册</w:t>
      </w:r>
      <w:r>
        <w:t xml:space="preserve"> </w:t>
      </w:r>
      <w:r>
        <w:rPr>
          <w:rFonts w:hint="eastAsia"/>
        </w:rPr>
        <w:t>土建工程》</w:t>
      </w:r>
      <w:r>
        <w:t>JTG 3370.1</w:t>
      </w:r>
      <w:r>
        <w:rPr>
          <w:rFonts w:hint="eastAsia"/>
        </w:rPr>
        <w:t>的有关规定；</w:t>
      </w:r>
    </w:p>
    <w:p w14:paraId="12B04B32">
      <w:pPr>
        <w:ind w:left="240" w:leftChars="100" w:firstLine="240" w:firstLineChars="100"/>
      </w:pPr>
      <w:r>
        <w:t>2</w:t>
      </w:r>
      <w:r>
        <w:rPr>
          <w:rFonts w:hint="eastAsia"/>
          <w:bCs/>
        </w:rPr>
        <w:t>铁路顶管工程设计与计算应符合现行行业标准</w:t>
      </w:r>
      <w:r>
        <w:rPr>
          <w:rFonts w:hint="eastAsia"/>
        </w:rPr>
        <w:t>《铁路桥涵设计规范》</w:t>
      </w:r>
      <w:r>
        <w:t>TB1000</w:t>
      </w:r>
      <w:r>
        <w:rPr>
          <w:rFonts w:hint="eastAsia"/>
        </w:rPr>
        <w:t>、《铁路隧道设计规范》</w:t>
      </w:r>
      <w:r>
        <w:t>TB10003</w:t>
      </w:r>
      <w:r>
        <w:rPr>
          <w:rFonts w:hint="eastAsia"/>
        </w:rPr>
        <w:t>的有关规定；</w:t>
      </w:r>
    </w:p>
    <w:p w14:paraId="35D3302D">
      <w:pPr>
        <w:ind w:firstLine="480" w:firstLineChars="200"/>
      </w:pPr>
      <w:r>
        <w:t>3</w:t>
      </w:r>
      <w:r>
        <w:rPr>
          <w:rFonts w:hint="eastAsia"/>
          <w:bCs/>
        </w:rPr>
        <w:t>轨道交通顶管工程设计与计算应符合现行国家标准</w:t>
      </w:r>
      <w:r>
        <w:rPr>
          <w:rFonts w:hint="eastAsia"/>
        </w:rPr>
        <w:t>《地铁设计规范》</w:t>
      </w:r>
      <w:r>
        <w:t>GB50117</w:t>
      </w:r>
      <w:r>
        <w:rPr>
          <w:rFonts w:hint="eastAsia"/>
        </w:rPr>
        <w:t>的有关规定；</w:t>
      </w:r>
    </w:p>
    <w:p w14:paraId="2DD6972C">
      <w:pPr>
        <w:ind w:firstLine="480" w:firstLineChars="200"/>
      </w:pPr>
      <w:r>
        <w:t>4</w:t>
      </w:r>
      <w:r>
        <w:rPr>
          <w:rFonts w:hint="eastAsia"/>
          <w:bCs/>
        </w:rPr>
        <w:t>市政隧道顶管工程设计与计算应符合现行行业标准</w:t>
      </w:r>
      <w:r>
        <w:rPr>
          <w:rFonts w:hint="eastAsia"/>
        </w:rPr>
        <w:t>《城市道路工程设计规范》</w:t>
      </w:r>
      <w:r>
        <w:t>CJJ37</w:t>
      </w:r>
      <w:r>
        <w:rPr>
          <w:rFonts w:hint="eastAsia"/>
        </w:rPr>
        <w:t>、《城市地下道路工程设计规范》</w:t>
      </w:r>
      <w:r>
        <w:t>CJJ221</w:t>
      </w:r>
      <w:r>
        <w:rPr>
          <w:rFonts w:hint="eastAsia"/>
        </w:rPr>
        <w:t>的有关规定；</w:t>
      </w:r>
    </w:p>
    <w:p w14:paraId="09ED046C">
      <w:pPr>
        <w:ind w:firstLine="480" w:firstLineChars="200"/>
      </w:pPr>
      <w:r>
        <w:t>5</w:t>
      </w:r>
      <w:r>
        <w:rPr>
          <w:rFonts w:hint="eastAsia"/>
          <w:bCs/>
        </w:rPr>
        <w:t>市政给排水顶管工程设计与计算应符合现行行业标准</w:t>
      </w:r>
      <w:r>
        <w:rPr>
          <w:rFonts w:hint="eastAsia"/>
        </w:rPr>
        <w:t>《给水排水工程管道结构设计规范》</w:t>
      </w:r>
      <w:r>
        <w:t>GB50332</w:t>
      </w:r>
      <w:r>
        <w:rPr>
          <w:rFonts w:hint="eastAsia"/>
        </w:rPr>
        <w:t>的有关规定。</w:t>
      </w:r>
    </w:p>
    <w:p w14:paraId="131EB3D8">
      <w:pPr>
        <w:rPr>
          <w:bCs/>
        </w:rPr>
      </w:pPr>
      <w:r>
        <w:rPr>
          <w:b/>
        </w:rPr>
        <w:t>5.1.4</w:t>
      </w:r>
      <w:r>
        <w:rPr>
          <w:bCs/>
        </w:rPr>
        <w:t xml:space="preserve">  顶管工程施工阶段的设计与计算应按本规程第5.4节的规定执行。</w:t>
      </w:r>
    </w:p>
    <w:p w14:paraId="60AA7EA1">
      <w:r>
        <w:rPr>
          <w:b/>
        </w:rPr>
        <w:t xml:space="preserve">5.1.5  </w:t>
      </w:r>
      <w:r>
        <w:rPr>
          <w:rFonts w:hint="eastAsia"/>
        </w:rPr>
        <w:t>顶管遇到下列地层时，应对地层进行预处理：</w:t>
      </w:r>
    </w:p>
    <w:p w14:paraId="7D9FF89D">
      <w:pPr>
        <w:ind w:left="480" w:leftChars="200"/>
      </w:pPr>
      <w:r>
        <w:rPr>
          <w:b/>
          <w:bCs/>
        </w:rPr>
        <w:t xml:space="preserve">1 </w:t>
      </w:r>
      <w:r>
        <w:t xml:space="preserve"> </w:t>
      </w:r>
      <w:r>
        <w:rPr>
          <w:rFonts w:hint="eastAsia"/>
        </w:rPr>
        <w:t>标贯击数小于</w:t>
      </w:r>
      <w:r>
        <w:t>2</w:t>
      </w:r>
      <w:r>
        <w:rPr>
          <w:rFonts w:hint="eastAsia"/>
        </w:rPr>
        <w:t>的软土层；</w:t>
      </w:r>
    </w:p>
    <w:p w14:paraId="027DF96C">
      <w:pPr>
        <w:ind w:left="480" w:leftChars="200"/>
      </w:pPr>
      <w:r>
        <w:rPr>
          <w:b/>
          <w:bCs/>
        </w:rPr>
        <w:t xml:space="preserve">2 </w:t>
      </w:r>
      <w:r>
        <w:t xml:space="preserve"> </w:t>
      </w:r>
      <w:r>
        <w:rPr>
          <w:rFonts w:hint="eastAsia"/>
        </w:rPr>
        <w:t>单轴抗压强度大于</w:t>
      </w:r>
      <w:r>
        <w:t>3MPa</w:t>
      </w:r>
      <w:r>
        <w:rPr>
          <w:rFonts w:hint="eastAsia"/>
        </w:rPr>
        <w:t>的岩石地层；</w:t>
      </w:r>
    </w:p>
    <w:p w14:paraId="41986197">
      <w:pPr>
        <w:ind w:left="480" w:leftChars="200"/>
      </w:pPr>
      <w:r>
        <w:rPr>
          <w:b/>
          <w:bCs/>
        </w:rPr>
        <w:t>3</w:t>
      </w:r>
      <w:r>
        <w:t xml:space="preserve">  花岗岩球状风化体</w:t>
      </w:r>
      <w:r>
        <w:rPr>
          <w:rFonts w:hint="eastAsia"/>
        </w:rPr>
        <w:t>；</w:t>
      </w:r>
    </w:p>
    <w:p w14:paraId="05EE5479">
      <w:pPr>
        <w:ind w:left="480" w:leftChars="200"/>
      </w:pPr>
      <w:r>
        <w:rPr>
          <w:b/>
          <w:bCs/>
        </w:rPr>
        <w:t>4</w:t>
      </w:r>
      <w:r>
        <w:t xml:space="preserve">  </w:t>
      </w:r>
      <w:r>
        <w:rPr>
          <w:rFonts w:hint="eastAsia"/>
        </w:rPr>
        <w:t>粒径大于</w:t>
      </w:r>
      <w:r>
        <w:t>200mm</w:t>
      </w:r>
      <w:r>
        <w:rPr>
          <w:rFonts w:hint="eastAsia"/>
        </w:rPr>
        <w:t>的卵砾石地层。</w:t>
      </w:r>
    </w:p>
    <w:p w14:paraId="16D59AF3">
      <w:pPr>
        <w:keepNext/>
        <w:keepLines/>
        <w:jc w:val="center"/>
        <w:outlineLvl w:val="1"/>
        <w:rPr>
          <w:rFonts w:eastAsia="黑体"/>
          <w:bCs/>
          <w:sz w:val="28"/>
          <w:szCs w:val="32"/>
        </w:rPr>
      </w:pPr>
      <w:bookmarkStart w:id="178" w:name="_Toc60172896"/>
      <w:bookmarkStart w:id="179" w:name="_Toc47692154"/>
      <w:bookmarkStart w:id="180" w:name="_Toc11590"/>
      <w:bookmarkStart w:id="181" w:name="_Toc18057034"/>
      <w:bookmarkStart w:id="182" w:name="_Toc334"/>
      <w:bookmarkStart w:id="183" w:name="_Toc4205"/>
      <w:bookmarkStart w:id="184" w:name="_Toc29894"/>
      <w:bookmarkStart w:id="185" w:name="_Toc26574"/>
      <w:bookmarkStart w:id="186" w:name="_Toc24310"/>
      <w:bookmarkStart w:id="187" w:name="_Toc60173783"/>
      <w:bookmarkStart w:id="188" w:name="_Toc26013"/>
      <w:r>
        <w:rPr>
          <w:rFonts w:eastAsia="黑体"/>
          <w:b/>
          <w:bCs/>
          <w:sz w:val="28"/>
          <w:szCs w:val="32"/>
        </w:rPr>
        <w:t>5.2</w:t>
      </w:r>
      <w:r>
        <w:rPr>
          <w:rFonts w:eastAsia="黑体"/>
          <w:bCs/>
          <w:sz w:val="28"/>
          <w:szCs w:val="32"/>
        </w:rPr>
        <w:t xml:space="preserve">  顶管管位设计</w:t>
      </w:r>
      <w:bookmarkEnd w:id="178"/>
      <w:bookmarkEnd w:id="179"/>
      <w:bookmarkEnd w:id="180"/>
      <w:bookmarkEnd w:id="181"/>
      <w:bookmarkEnd w:id="182"/>
      <w:bookmarkEnd w:id="183"/>
      <w:bookmarkEnd w:id="184"/>
      <w:bookmarkEnd w:id="185"/>
      <w:bookmarkEnd w:id="186"/>
      <w:bookmarkEnd w:id="187"/>
      <w:bookmarkEnd w:id="188"/>
    </w:p>
    <w:p w14:paraId="4F604810">
      <w:r>
        <w:rPr>
          <w:b/>
        </w:rPr>
        <w:t>5.2.</w:t>
      </w:r>
      <w:r>
        <w:rPr>
          <w:rFonts w:hint="eastAsia"/>
          <w:b/>
        </w:rPr>
        <w:t>1</w:t>
      </w:r>
      <w:r>
        <w:rPr>
          <w:b/>
        </w:rPr>
        <w:t xml:space="preserve"> </w:t>
      </w:r>
      <w:r>
        <w:t xml:space="preserve"> </w:t>
      </w:r>
      <w:r>
        <w:rPr>
          <w:rFonts w:hint="eastAsia"/>
        </w:rPr>
        <w:t>对顶管工程影响范围内的建筑物或构筑物、地下管线应进行评估，并应采取监测、保护或迁改措施。当管位无法满足顶管结构外壁到临近建构筑物或管线最小保护净距时，应进行专项保护设计。</w:t>
      </w:r>
    </w:p>
    <w:p w14:paraId="6FD8964E">
      <w:r>
        <w:rPr>
          <w:b/>
        </w:rPr>
        <w:t>5.2.</w:t>
      </w:r>
      <w:r>
        <w:rPr>
          <w:rFonts w:hint="eastAsia"/>
          <w:b/>
        </w:rPr>
        <w:t>2</w:t>
      </w:r>
      <w:r>
        <w:rPr>
          <w:b/>
        </w:rPr>
        <w:t xml:space="preserve">  </w:t>
      </w:r>
      <w:r>
        <w:t>顶管管位的选择应符合下列规定：</w:t>
      </w:r>
    </w:p>
    <w:p w14:paraId="1582E3D5">
      <w:pPr>
        <w:ind w:firstLine="482" w:firstLineChars="200"/>
      </w:pPr>
      <w:r>
        <w:rPr>
          <w:b/>
          <w:bCs/>
        </w:rPr>
        <w:t>1</w:t>
      </w:r>
      <w:r>
        <w:t xml:space="preserve">  </w:t>
      </w:r>
      <w:r>
        <w:rPr>
          <w:szCs w:val="24"/>
        </w:rPr>
        <w:t>顶管</w:t>
      </w:r>
      <w:r>
        <w:t>不宜布置在横穿活动性的断裂带上；</w:t>
      </w:r>
    </w:p>
    <w:p w14:paraId="3E0AA9A1">
      <w:pPr>
        <w:ind w:firstLine="482" w:firstLineChars="200"/>
      </w:pPr>
      <w:r>
        <w:rPr>
          <w:b/>
          <w:bCs/>
        </w:rPr>
        <w:t>2</w:t>
      </w:r>
      <w:r>
        <w:t xml:space="preserve">  穿越河道时，管道应布置在河床冲刷深度以下，并应满足通航要求；</w:t>
      </w:r>
    </w:p>
    <w:p w14:paraId="7B8EC405">
      <w:pPr>
        <w:ind w:firstLine="482" w:firstLineChars="200"/>
      </w:pPr>
      <w:r>
        <w:rPr>
          <w:b/>
          <w:bCs/>
        </w:rPr>
        <w:t>3</w:t>
      </w:r>
      <w:r>
        <w:t xml:space="preserve">  宜预留顶管施工发生故障或碰到障碍时的处置空间；</w:t>
      </w:r>
    </w:p>
    <w:p w14:paraId="0EB3F85C">
      <w:pPr>
        <w:ind w:firstLine="482" w:firstLineChars="200"/>
      </w:pPr>
      <w:r>
        <w:rPr>
          <w:b/>
          <w:bCs/>
        </w:rPr>
        <w:t>4</w:t>
      </w:r>
      <w:r>
        <w:t xml:space="preserve">  穿越堤坝、河道、高铁、高速公路、地铁等特殊地段时，应通过专项评估并经相关政府管理部门批准。</w:t>
      </w:r>
    </w:p>
    <w:p w14:paraId="0F240D52">
      <w:r>
        <w:rPr>
          <w:b/>
        </w:rPr>
        <w:t>5.2.</w:t>
      </w:r>
      <w:r>
        <w:rPr>
          <w:rFonts w:hint="eastAsia"/>
          <w:b/>
        </w:rPr>
        <w:t>3</w:t>
      </w:r>
      <w:r>
        <w:rPr>
          <w:b/>
        </w:rPr>
        <w:t xml:space="preserve"> </w:t>
      </w:r>
      <w:r>
        <w:t xml:space="preserve"> 工作井位置的确定应符合下列规定：</w:t>
      </w:r>
    </w:p>
    <w:p w14:paraId="2495E38D">
      <w:pPr>
        <w:ind w:firstLine="482" w:firstLineChars="200"/>
      </w:pPr>
      <w:r>
        <w:rPr>
          <w:b/>
        </w:rPr>
        <w:t>1</w:t>
      </w:r>
      <w:r>
        <w:rPr>
          <w:bCs/>
        </w:rPr>
        <w:t xml:space="preserve">  </w:t>
      </w:r>
      <w:r>
        <w:t>工作井</w:t>
      </w:r>
      <w:r>
        <w:rPr>
          <w:rFonts w:hint="eastAsia"/>
        </w:rPr>
        <w:t>位置</w:t>
      </w:r>
      <w:r>
        <w:t>宜结合顶管管位</w:t>
      </w:r>
      <w:r>
        <w:rPr>
          <w:rFonts w:hint="eastAsia"/>
        </w:rPr>
        <w:t>确定</w:t>
      </w:r>
      <w:r>
        <w:t>；</w:t>
      </w:r>
    </w:p>
    <w:p w14:paraId="551693B7">
      <w:pPr>
        <w:ind w:firstLine="482" w:firstLineChars="200"/>
      </w:pPr>
      <w:r>
        <w:rPr>
          <w:b/>
        </w:rPr>
        <w:t>2</w:t>
      </w:r>
      <w:r>
        <w:rPr>
          <w:bCs/>
        </w:rPr>
        <w:t xml:space="preserve">  </w:t>
      </w:r>
      <w:r>
        <w:t>工作井的位置应易于排水、出土和运输方便，并</w:t>
      </w:r>
      <w:r>
        <w:rPr>
          <w:rFonts w:hint="eastAsia"/>
        </w:rPr>
        <w:t>宜</w:t>
      </w:r>
      <w:r>
        <w:t>靠近电源和水源；</w:t>
      </w:r>
    </w:p>
    <w:p w14:paraId="57C7F68C">
      <w:pPr>
        <w:ind w:firstLine="482" w:firstLineChars="200"/>
      </w:pPr>
      <w:r>
        <w:rPr>
          <w:b/>
        </w:rPr>
        <w:t>3</w:t>
      </w:r>
      <w:r>
        <w:rPr>
          <w:bCs/>
        </w:rPr>
        <w:t xml:space="preserve">  </w:t>
      </w:r>
      <w:r>
        <w:t>工作井的位置应远离居民区和高压线，并宜避开现有构（建）筑物；</w:t>
      </w:r>
    </w:p>
    <w:p w14:paraId="6059C713">
      <w:pPr>
        <w:ind w:firstLine="482" w:firstLineChars="200"/>
      </w:pPr>
      <w:r>
        <w:rPr>
          <w:b/>
          <w:bCs/>
        </w:rPr>
        <w:t>4</w:t>
      </w:r>
      <w:r>
        <w:t xml:space="preserve">  沉井</w:t>
      </w:r>
      <w:r>
        <w:rPr>
          <w:rFonts w:hint="eastAsia"/>
        </w:rPr>
        <w:t>宜设置在</w:t>
      </w:r>
      <w:r>
        <w:t>周边至少1倍下沉总深度范围内无重要相邻建筑物或构筑物的环境。</w:t>
      </w:r>
    </w:p>
    <w:p w14:paraId="477BC167">
      <w:r>
        <w:rPr>
          <w:b/>
        </w:rPr>
        <w:t>5.2.</w:t>
      </w:r>
      <w:r>
        <w:rPr>
          <w:rFonts w:hint="eastAsia"/>
          <w:b/>
        </w:rPr>
        <w:t>4</w:t>
      </w:r>
      <w:r>
        <w:rPr>
          <w:b/>
        </w:rPr>
        <w:t xml:space="preserve">  </w:t>
      </w:r>
      <w:r>
        <w:t>管顶最小覆盖土层厚度不宜小于管节外包高度较大值（H）的1.1倍，且不宜小于3m；当顶管穿越河道时，管顶覆土</w:t>
      </w:r>
      <w:r>
        <w:rPr>
          <w:rFonts w:hint="eastAsia"/>
        </w:rPr>
        <w:t>厚度</w:t>
      </w:r>
      <w:r>
        <w:t>应</w:t>
      </w:r>
      <w:r>
        <w:rPr>
          <w:rFonts w:hint="eastAsia"/>
        </w:rPr>
        <w:t>结合</w:t>
      </w:r>
      <w:r>
        <w:t>河道演变的冲刷或淤积作用</w:t>
      </w:r>
      <w:r>
        <w:rPr>
          <w:rFonts w:hint="eastAsia"/>
        </w:rPr>
        <w:t>选择</w:t>
      </w:r>
      <w:r>
        <w:t>，管节结构内力和抗浮应满足施工和运营工况要求。</w:t>
      </w:r>
    </w:p>
    <w:p w14:paraId="1C1C9805">
      <w:pPr>
        <w:keepNext/>
        <w:keepLines/>
        <w:jc w:val="center"/>
        <w:outlineLvl w:val="1"/>
        <w:rPr>
          <w:rFonts w:eastAsia="黑体"/>
          <w:bCs/>
          <w:sz w:val="28"/>
          <w:szCs w:val="32"/>
        </w:rPr>
      </w:pPr>
      <w:bookmarkStart w:id="189" w:name="_Toc14334"/>
      <w:bookmarkStart w:id="190" w:name="_Toc24855"/>
      <w:bookmarkStart w:id="191" w:name="_Toc60173784"/>
      <w:bookmarkStart w:id="192" w:name="_Toc47692155"/>
      <w:bookmarkStart w:id="193" w:name="_Toc18057035"/>
      <w:bookmarkStart w:id="194" w:name="_Toc5034"/>
      <w:bookmarkStart w:id="195" w:name="_Toc3868"/>
      <w:bookmarkStart w:id="196" w:name="_Toc60172897"/>
      <w:bookmarkStart w:id="197" w:name="_Toc21167"/>
      <w:bookmarkStart w:id="198" w:name="_Toc30646"/>
      <w:bookmarkStart w:id="199" w:name="_Toc30785"/>
      <w:r>
        <w:rPr>
          <w:rFonts w:eastAsia="黑体"/>
          <w:b/>
          <w:bCs/>
          <w:sz w:val="28"/>
          <w:szCs w:val="32"/>
        </w:rPr>
        <w:t>5.3</w:t>
      </w:r>
      <w:r>
        <w:rPr>
          <w:rFonts w:eastAsia="黑体"/>
          <w:bCs/>
          <w:sz w:val="28"/>
          <w:szCs w:val="32"/>
        </w:rPr>
        <w:t xml:space="preserve">  作用</w:t>
      </w:r>
      <w:bookmarkEnd w:id="189"/>
      <w:bookmarkEnd w:id="190"/>
      <w:bookmarkEnd w:id="191"/>
      <w:bookmarkEnd w:id="192"/>
      <w:bookmarkEnd w:id="193"/>
      <w:bookmarkEnd w:id="194"/>
      <w:bookmarkEnd w:id="195"/>
      <w:bookmarkEnd w:id="196"/>
      <w:bookmarkEnd w:id="197"/>
      <w:bookmarkEnd w:id="198"/>
      <w:bookmarkEnd w:id="199"/>
    </w:p>
    <w:p w14:paraId="28DEF09E">
      <w:r>
        <w:rPr>
          <w:b/>
        </w:rPr>
        <w:t xml:space="preserve">5.3.1  </w:t>
      </w:r>
      <w:r>
        <w:t>顶管结构上的作用可分为永久作用、可变作用及偶然作用，并应符合下列规定：</w:t>
      </w:r>
    </w:p>
    <w:p w14:paraId="7D74BA0D">
      <w:pPr>
        <w:ind w:firstLine="482" w:firstLineChars="200"/>
      </w:pPr>
      <w:r>
        <w:rPr>
          <w:b/>
          <w:bCs/>
        </w:rPr>
        <w:t>1</w:t>
      </w:r>
      <w:r>
        <w:t xml:space="preserve">  永久作用应包括结构自重、土压力（竖向和侧向）、预应力、地基的不均匀沉降</w:t>
      </w:r>
      <w:r>
        <w:rPr>
          <w:rFonts w:hint="eastAsia"/>
        </w:rPr>
        <w:t>等</w:t>
      </w:r>
      <w:r>
        <w:t>；</w:t>
      </w:r>
    </w:p>
    <w:p w14:paraId="2C34D200">
      <w:pPr>
        <w:ind w:firstLine="482" w:firstLineChars="200"/>
      </w:pPr>
      <w:r>
        <w:rPr>
          <w:b/>
          <w:bCs/>
        </w:rPr>
        <w:t>2</w:t>
      </w:r>
      <w:r>
        <w:t xml:space="preserve">  可变作用应包括人群荷载、施工堆积荷载、地面车辆荷载、温度变化、地表水或地下水的作用</w:t>
      </w:r>
      <w:r>
        <w:rPr>
          <w:rFonts w:hint="eastAsia"/>
        </w:rPr>
        <w:t>等</w:t>
      </w:r>
      <w:r>
        <w:t>；</w:t>
      </w:r>
    </w:p>
    <w:p w14:paraId="34066062">
      <w:pPr>
        <w:ind w:firstLine="482" w:firstLineChars="200"/>
      </w:pPr>
      <w:r>
        <w:rPr>
          <w:b/>
          <w:bCs/>
        </w:rPr>
        <w:t>3</w:t>
      </w:r>
      <w:r>
        <w:t xml:space="preserve">  偶然作用应包括</w:t>
      </w:r>
      <w:r>
        <w:rPr>
          <w:rFonts w:hint="eastAsia"/>
        </w:rPr>
        <w:t>地震力、</w:t>
      </w:r>
      <w:r>
        <w:t>爆炸力、撞击力等</w:t>
      </w:r>
      <w:r>
        <w:rPr>
          <w:rFonts w:hint="eastAsia"/>
        </w:rPr>
        <w:t>。</w:t>
      </w:r>
    </w:p>
    <w:p w14:paraId="2E6A5757">
      <w:r>
        <w:rPr>
          <w:b/>
        </w:rPr>
        <w:t xml:space="preserve">5.3.2  </w:t>
      </w:r>
      <w:r>
        <w:t>作用代表值应符合下列原则：</w:t>
      </w:r>
    </w:p>
    <w:p w14:paraId="6FB148EA">
      <w:pPr>
        <w:ind w:firstLine="482" w:firstLineChars="200"/>
      </w:pPr>
      <w:r>
        <w:rPr>
          <w:b/>
          <w:bCs/>
        </w:rPr>
        <w:t>1</w:t>
      </w:r>
      <w:r>
        <w:t xml:space="preserve">  永久作用应采用标准值作为代表值；</w:t>
      </w:r>
    </w:p>
    <w:p w14:paraId="1F9ACF53">
      <w:pPr>
        <w:ind w:firstLine="482" w:firstLineChars="200"/>
      </w:pPr>
      <w:r>
        <w:rPr>
          <w:b/>
          <w:bCs/>
        </w:rPr>
        <w:t>2</w:t>
      </w:r>
      <w:r>
        <w:t xml:space="preserve">  可变作用应根据不同设计要求采用标准值、频遇值或准永久值作为代表值</w:t>
      </w:r>
      <w:r>
        <w:rPr>
          <w:rFonts w:hint="eastAsia"/>
        </w:rPr>
        <w:t>，</w:t>
      </w:r>
      <w:r>
        <w:t>可变作用的频遇值和准永久值</w:t>
      </w:r>
      <w:r>
        <w:rPr>
          <w:rFonts w:hint="eastAsia"/>
        </w:rPr>
        <w:t>应</w:t>
      </w:r>
      <w:r>
        <w:t>分别为可变作用标准值乘以频遇值系数和准永久值系数；</w:t>
      </w:r>
    </w:p>
    <w:p w14:paraId="49F043EA">
      <w:pPr>
        <w:ind w:firstLine="482" w:firstLineChars="200"/>
      </w:pPr>
      <w:r>
        <w:rPr>
          <w:b/>
          <w:bCs/>
        </w:rPr>
        <w:t xml:space="preserve">3 </w:t>
      </w:r>
      <w:r>
        <w:t xml:space="preserve"> 偶然作用应</w:t>
      </w:r>
      <w:r>
        <w:rPr>
          <w:rFonts w:hint="eastAsia"/>
        </w:rPr>
        <w:t>根据顶管</w:t>
      </w:r>
      <w:r>
        <w:t>结构使用的特点确定代表值。</w:t>
      </w:r>
    </w:p>
    <w:p w14:paraId="45E8B26B">
      <w:r>
        <w:rPr>
          <w:b/>
        </w:rPr>
        <w:t xml:space="preserve">5.3.3  </w:t>
      </w:r>
      <w:r>
        <w:t>可变作用标准值、频遇值系数和准永久值系数应根据现场情况按随机变量的概率模型确定。</w:t>
      </w:r>
      <w:r>
        <w:rPr>
          <w:rFonts w:hint="eastAsia"/>
        </w:rPr>
        <w:t>当</w:t>
      </w:r>
      <w:r>
        <w:t>缺乏相关数据情况时，应按下列规定进行初步估算：</w:t>
      </w:r>
    </w:p>
    <w:p w14:paraId="341B3276">
      <w:pPr>
        <w:ind w:firstLine="482" w:firstLineChars="200"/>
      </w:pPr>
      <w:r>
        <w:rPr>
          <w:b/>
          <w:bCs/>
        </w:rPr>
        <w:t>1</w:t>
      </w:r>
      <w:r>
        <w:t xml:space="preserve">  人群荷载标准值可取4kN/m</w:t>
      </w:r>
      <w:r>
        <w:rPr>
          <w:vertAlign w:val="superscript"/>
        </w:rPr>
        <w:t>2</w:t>
      </w:r>
      <w:r>
        <w:t>计算；频遇值系数可取0.5，准永久值系数可取0.4；</w:t>
      </w:r>
    </w:p>
    <w:p w14:paraId="6E0B5635">
      <w:pPr>
        <w:ind w:firstLine="482" w:firstLineChars="200"/>
      </w:pPr>
      <w:r>
        <w:rPr>
          <w:b/>
          <w:bCs/>
        </w:rPr>
        <w:t>2</w:t>
      </w:r>
      <w:r>
        <w:t xml:space="preserve">  施工堆积荷载标准值</w:t>
      </w:r>
      <w:r>
        <w:rPr>
          <w:rFonts w:hint="eastAsia"/>
        </w:rPr>
        <w:t>应</w:t>
      </w:r>
      <w:r>
        <w:t>按实际情况取值；频遇值系数可取0.9，准永久值系数可取0.8；</w:t>
      </w:r>
    </w:p>
    <w:p w14:paraId="1B7D95CF">
      <w:pPr>
        <w:ind w:firstLine="482" w:firstLineChars="200"/>
      </w:pPr>
      <w:r>
        <w:rPr>
          <w:b/>
          <w:bCs/>
        </w:rPr>
        <w:t xml:space="preserve">3 </w:t>
      </w:r>
      <w:r>
        <w:t xml:space="preserve"> 地面车辆荷载对地下管道的影响作用，标准值可按等效均布的原则确定，等效控制可按关键位置内力等值确定；频遇值系数可取0.7，准永久值系数可取0.6；</w:t>
      </w:r>
    </w:p>
    <w:p w14:paraId="203BA908">
      <w:pPr>
        <w:ind w:firstLine="482" w:firstLineChars="200"/>
      </w:pPr>
      <w:r>
        <w:rPr>
          <w:b/>
          <w:bCs/>
        </w:rPr>
        <w:t xml:space="preserve">4 </w:t>
      </w:r>
      <w:r>
        <w:t xml:space="preserve"> 管道上的静水压力（包括浮托力）的设计水位应根据勘察部门和水文部门提供的数据采用。</w:t>
      </w:r>
    </w:p>
    <w:p w14:paraId="68A381E6">
      <w:r>
        <w:rPr>
          <w:b/>
        </w:rPr>
        <w:t xml:space="preserve">5.3.4  </w:t>
      </w:r>
      <w:r>
        <w:t>计算作用在管节上的侧向土压力标准值时</w:t>
      </w:r>
      <w:r>
        <w:rPr>
          <w:rFonts w:hint="eastAsia"/>
        </w:rPr>
        <w:t>，</w:t>
      </w:r>
      <w:r>
        <w:t>应符合下列</w:t>
      </w:r>
      <w:r>
        <w:rPr>
          <w:rFonts w:hint="eastAsia"/>
        </w:rPr>
        <w:t>规定</w:t>
      </w:r>
      <w:r>
        <w:t>：</w:t>
      </w:r>
    </w:p>
    <w:p w14:paraId="6DB17F16">
      <w:pPr>
        <w:ind w:firstLine="482" w:firstLineChars="200"/>
      </w:pPr>
      <w:r>
        <w:rPr>
          <w:b/>
          <w:bCs/>
        </w:rPr>
        <w:t xml:space="preserve">1 </w:t>
      </w:r>
      <w:r>
        <w:t xml:space="preserve"> 施工阶段侧向土压力可按主动土压力计算，永久工况应按静止土压力计算；</w:t>
      </w:r>
    </w:p>
    <w:p w14:paraId="21432CF6">
      <w:pPr>
        <w:ind w:firstLine="482" w:firstLineChars="200"/>
      </w:pPr>
      <w:r>
        <w:rPr>
          <w:b/>
          <w:bCs/>
        </w:rPr>
        <w:t>2</w:t>
      </w:r>
      <w:r>
        <w:t xml:space="preserve">  管道埋设在地下水位以下时，黏性土层的侧向土压力标准值宜按水土分算及水土合算中不利情况计算，非黏性土层宜按水土分算计算，并宜按下列规定执行：</w:t>
      </w:r>
    </w:p>
    <w:p w14:paraId="133BE6CE">
      <w:pPr>
        <w:ind w:firstLine="723" w:firstLineChars="300"/>
      </w:pPr>
      <w:r>
        <w:rPr>
          <w:b/>
        </w:rPr>
        <w:t>1</w:t>
      </w:r>
      <w:r>
        <w:rPr>
          <w:rFonts w:hint="eastAsia"/>
        </w:rPr>
        <w:t>）施工阶段的侧向土压力标准值宜按下式计算：</w:t>
      </w:r>
    </w:p>
    <w:p w14:paraId="65DFF64C">
      <w:pPr>
        <w:jc w:val="right"/>
      </w:pPr>
      <w:r>
        <w:rPr>
          <w:position w:val="-56"/>
        </w:rPr>
        <w:object>
          <v:shape id="_x0000_i1060" o:spt="75" type="#_x0000_t75" style="height:62.3pt;width:354.05pt;" o:ole="t" filled="f" o:preferrelative="t" stroked="f" coordsize="21600,21600">
            <v:path/>
            <v:fill on="f" focussize="0,0"/>
            <v:stroke on="f" joinstyle="miter"/>
            <v:imagedata r:id="rId82" o:title=""/>
            <o:lock v:ext="edit" aspectratio="t"/>
            <w10:wrap type="none"/>
            <w10:anchorlock/>
          </v:shape>
          <o:OLEObject Type="Embed" ProgID="Equation.3" ShapeID="_x0000_i1060" DrawAspect="Content" ObjectID="_1468075760" r:id="rId81">
            <o:LockedField>false</o:LockedField>
          </o:OLEObject>
        </w:object>
      </w:r>
      <w:r>
        <w:rPr>
          <w:rFonts w:hint="eastAsia"/>
        </w:rPr>
        <w:t>（</w:t>
      </w:r>
      <w:r>
        <w:t>5.3.4-1</w:t>
      </w:r>
      <w:r>
        <w:rPr>
          <w:rFonts w:hint="eastAsia"/>
        </w:rPr>
        <w:t>）</w:t>
      </w:r>
    </w:p>
    <w:p w14:paraId="33710315">
      <w:pPr>
        <w:tabs>
          <w:tab w:val="right" w:pos="8222"/>
        </w:tabs>
        <w:ind w:firstLine="663" w:firstLineChars="275"/>
        <w:textAlignment w:val="center"/>
      </w:pPr>
      <w:r>
        <w:rPr>
          <w:b/>
        </w:rPr>
        <w:t>2</w:t>
      </w:r>
      <w:r>
        <w:rPr>
          <w:rFonts w:hint="eastAsia"/>
        </w:rPr>
        <w:t>）运维阶段的侧向土压力标准值宜按下式计算：</w:t>
      </w:r>
    </w:p>
    <w:p w14:paraId="3A5DAF23">
      <w:pPr>
        <w:jc w:val="right"/>
      </w:pPr>
      <w:r>
        <w:rPr>
          <w:position w:val="-52"/>
        </w:rPr>
        <w:object>
          <v:shape id="_x0000_i1061" o:spt="75" type="#_x0000_t75" style="height:57.75pt;width:360.75pt;" o:ole="t" filled="f" o:preferrelative="t" stroked="f" coordsize="21600,21600">
            <v:path/>
            <v:fill on="f" focussize="0,0"/>
            <v:stroke on="f" joinstyle="miter"/>
            <v:imagedata r:id="rId84" o:title=""/>
            <o:lock v:ext="edit" aspectratio="t"/>
            <w10:wrap type="none"/>
            <w10:anchorlock/>
          </v:shape>
          <o:OLEObject Type="Embed" ProgID="Equation.3" ShapeID="_x0000_i1061" DrawAspect="Content" ObjectID="_1468075761" r:id="rId83">
            <o:LockedField>false</o:LockedField>
          </o:OLEObject>
        </w:object>
      </w:r>
      <w:r>
        <w:rPr>
          <w:rFonts w:hint="eastAsia"/>
        </w:rPr>
        <w:t>（</w:t>
      </w:r>
      <w:r>
        <w:t>5.3.4-2</w:t>
      </w:r>
      <w:r>
        <w:rPr>
          <w:rFonts w:hint="eastAsia"/>
        </w:rPr>
        <w:t>）</w:t>
      </w:r>
    </w:p>
    <w:p w14:paraId="5E5FC988">
      <w:pPr>
        <w:tabs>
          <w:tab w:val="right" w:pos="8222"/>
        </w:tabs>
        <w:snapToGrid w:val="0"/>
        <w:textAlignment w:val="center"/>
      </w:pPr>
      <w:r>
        <w:rPr>
          <w:rFonts w:hint="eastAsia"/>
        </w:rPr>
        <w:t>式中：</w:t>
      </w:r>
      <w:r>
        <w:rPr>
          <w:position w:val="-12"/>
        </w:rPr>
        <w:object>
          <v:shape id="_x0000_i1062" o:spt="75" type="#_x0000_t75" style="height:19.5pt;width:14.25pt;" o:ole="t" filled="f" o:preferrelative="t" stroked="f" coordsize="21600,21600">
            <v:path/>
            <v:fill on="f" focussize="0,0"/>
            <v:stroke on="f" joinstyle="miter"/>
            <v:imagedata r:id="rId86" o:title=""/>
            <o:lock v:ext="edit" aspectratio="t"/>
            <w10:wrap type="none"/>
            <w10:anchorlock/>
          </v:shape>
          <o:OLEObject Type="Embed" ProgID="Equation.3" ShapeID="_x0000_i1062" DrawAspect="Content" ObjectID="_1468075762" r:id="rId85">
            <o:LockedField>false</o:LockedField>
          </o:OLEObject>
        </w:object>
      </w:r>
      <w:r>
        <w:t>——</w:t>
      </w:r>
      <w:r>
        <w:rPr>
          <w:rFonts w:hint="eastAsia"/>
        </w:rPr>
        <w:t>矩形管节在某点处所受侧向土压力标准值（</w:t>
      </w:r>
      <w:r>
        <w:t>kN/m</w:t>
      </w:r>
      <w:r>
        <w:rPr>
          <w:vertAlign w:val="superscript"/>
        </w:rPr>
        <w:t>2</w:t>
      </w:r>
      <w:r>
        <w:rPr>
          <w:rFonts w:hint="eastAsia"/>
        </w:rPr>
        <w:t>）；</w:t>
      </w:r>
    </w:p>
    <w:p w14:paraId="42AFEBB3">
      <w:pPr>
        <w:snapToGrid w:val="0"/>
        <w:ind w:firstLine="566" w:firstLineChars="236"/>
        <w:textAlignment w:val="center"/>
      </w:pPr>
      <w:r>
        <w:rPr>
          <w:position w:val="-12"/>
        </w:rPr>
        <w:object>
          <v:shape id="_x0000_i1063" o:spt="75" type="#_x0000_t75" style="height:19.5pt;width:19.5pt;" o:ole="t" filled="f" o:preferrelative="t" stroked="f" coordsize="21600,21600">
            <v:path/>
            <v:fill on="f" focussize="0,0"/>
            <v:stroke on="f" joinstyle="miter"/>
            <v:imagedata r:id="rId88" o:title=""/>
            <o:lock v:ext="edit" aspectratio="t"/>
            <w10:wrap type="none"/>
            <w10:anchorlock/>
          </v:shape>
          <o:OLEObject Type="Embed" ProgID="Equation.DSMT4" ShapeID="_x0000_i1063" DrawAspect="Content" ObjectID="_1468075763" r:id="rId87">
            <o:LockedField>false</o:LockedField>
          </o:OLEObject>
        </w:object>
      </w:r>
      <w:r>
        <w:t>——</w:t>
      </w:r>
      <w:r>
        <w:rPr>
          <w:rFonts w:hint="eastAsia"/>
        </w:rPr>
        <w:t>按土的饱和重度计算的某点处竖向土压力（</w:t>
      </w:r>
      <w:r>
        <w:t>kN/m</w:t>
      </w:r>
      <w:r>
        <w:rPr>
          <w:vertAlign w:val="superscript"/>
        </w:rPr>
        <w:t>2</w:t>
      </w:r>
      <w:r>
        <w:rPr>
          <w:rFonts w:hint="eastAsia"/>
        </w:rPr>
        <w:t>）；</w:t>
      </w:r>
    </w:p>
    <w:p w14:paraId="761EC385">
      <w:pPr>
        <w:snapToGrid w:val="0"/>
        <w:ind w:firstLine="566" w:firstLineChars="236"/>
        <w:textAlignment w:val="center"/>
      </w:pPr>
      <w:r>
        <w:object>
          <v:shape id="_x0000_i1064" o:spt="75" type="#_x0000_t75" style="height:19.5pt;width:21pt;" o:ole="t" filled="f" o:preferrelative="t" stroked="f" coordsize="21600,21600">
            <v:path/>
            <v:fill on="f" focussize="0,0"/>
            <v:stroke on="f" joinstyle="miter"/>
            <v:imagedata r:id="rId90" o:title=""/>
            <o:lock v:ext="edit" aspectratio="t"/>
            <w10:wrap type="none"/>
            <w10:anchorlock/>
          </v:shape>
          <o:OLEObject Type="Embed" ProgID="Equation.DSMT4" ShapeID="_x0000_i1064" DrawAspect="Content" ObjectID="_1468075764" r:id="rId89">
            <o:LockedField>false</o:LockedField>
          </o:OLEObject>
        </w:object>
      </w:r>
      <w:r>
        <w:t>——</w:t>
      </w:r>
      <w:r>
        <w:rPr>
          <w:rFonts w:hint="eastAsia"/>
        </w:rPr>
        <w:t>按土的有效重度计算的某点处竖向土压力（</w:t>
      </w:r>
      <w:r>
        <w:t>kN/m</w:t>
      </w:r>
      <w:r>
        <w:rPr>
          <w:vertAlign w:val="superscript"/>
        </w:rPr>
        <w:t>2</w:t>
      </w:r>
      <w:r>
        <w:rPr>
          <w:rFonts w:hint="eastAsia"/>
        </w:rPr>
        <w:t>）；</w:t>
      </w:r>
    </w:p>
    <w:p w14:paraId="1617F708">
      <w:pPr>
        <w:snapToGrid w:val="0"/>
        <w:ind w:firstLine="566" w:firstLineChars="236"/>
        <w:textAlignment w:val="center"/>
      </w:pPr>
      <w:r>
        <w:rPr>
          <w:position w:val="-12"/>
        </w:rPr>
        <w:object>
          <v:shape id="_x0000_i1065" o:spt="75" type="#_x0000_t75" style="height:18.75pt;width:15pt;" o:ole="t" filled="f" o:preferrelative="t" stroked="f" coordsize="21600,21600">
            <v:path/>
            <v:fill on="f" focussize="0,0"/>
            <v:stroke on="f" joinstyle="miter"/>
            <v:imagedata r:id="rId92" o:title=""/>
            <o:lock v:ext="edit" aspectratio="t"/>
            <w10:wrap type="none"/>
            <w10:anchorlock/>
          </v:shape>
          <o:OLEObject Type="Embed" ProgID="Equation.3" ShapeID="_x0000_i1065" DrawAspect="Content" ObjectID="_1468075765" r:id="rId91">
            <o:LockedField>false</o:LockedField>
          </o:OLEObject>
        </w:object>
      </w:r>
      <w:r>
        <w:t>——</w:t>
      </w:r>
      <w:r>
        <w:rPr>
          <w:rFonts w:hint="eastAsia"/>
        </w:rPr>
        <w:t>水压力（</w:t>
      </w:r>
      <w:r>
        <w:t>kN/m</w:t>
      </w:r>
      <w:r>
        <w:rPr>
          <w:vertAlign w:val="superscript"/>
        </w:rPr>
        <w:t>2</w:t>
      </w:r>
      <w:r>
        <w:rPr>
          <w:rFonts w:hint="eastAsia"/>
        </w:rPr>
        <w:t>）；</w:t>
      </w:r>
    </w:p>
    <w:p w14:paraId="27787F46">
      <w:pPr>
        <w:snapToGrid w:val="0"/>
        <w:ind w:firstLine="566" w:firstLineChars="236"/>
        <w:textAlignment w:val="center"/>
      </w:pPr>
      <w:r>
        <w:rPr>
          <w:position w:val="-10"/>
        </w:rPr>
        <w:object>
          <v:shape id="_x0000_i1066" o:spt="75" type="#_x0000_t75" style="height:13.5pt;width:12pt;" o:ole="t" filled="f" o:preferrelative="t" stroked="f" coordsize="21600,21600">
            <v:path/>
            <v:fill on="f" focussize="0,0"/>
            <v:stroke on="f" joinstyle="miter"/>
            <v:imagedata r:id="rId94" o:title=""/>
            <o:lock v:ext="edit" aspectratio="t"/>
            <w10:wrap type="none"/>
            <w10:anchorlock/>
          </v:shape>
          <o:OLEObject Type="Embed" ProgID="Equation.3" ShapeID="_x0000_i1066" DrawAspect="Content" ObjectID="_1468075766" r:id="rId93">
            <o:LockedField>false</o:LockedField>
          </o:OLEObject>
        </w:object>
      </w:r>
      <w:r>
        <w:t>——</w:t>
      </w:r>
      <w:r>
        <w:rPr>
          <w:rFonts w:hint="eastAsia"/>
        </w:rPr>
        <w:t>地面附加竖向应力（</w:t>
      </w:r>
      <w:r>
        <w:t>kN/m</w:t>
      </w:r>
      <w:r>
        <w:rPr>
          <w:vertAlign w:val="superscript"/>
        </w:rPr>
        <w:t>2</w:t>
      </w:r>
      <w:r>
        <w:rPr>
          <w:rFonts w:hint="eastAsia"/>
        </w:rPr>
        <w:t>）；</w:t>
      </w:r>
    </w:p>
    <w:p w14:paraId="058E558B">
      <w:pPr>
        <w:snapToGrid w:val="0"/>
        <w:ind w:firstLine="566" w:firstLineChars="236"/>
        <w:textAlignment w:val="center"/>
      </w:pPr>
      <w:r>
        <w:rPr>
          <w:position w:val="-6"/>
        </w:rPr>
        <w:object>
          <v:shape id="_x0000_i1067" o:spt="75" type="#_x0000_t75" style="height:12pt;width:9pt;" o:ole="t" filled="f" o:preferrelative="t" stroked="f" coordsize="21600,21600">
            <v:path/>
            <v:fill on="f" focussize="0,0"/>
            <v:stroke on="f" joinstyle="miter"/>
            <v:imagedata r:id="rId96" o:title=""/>
            <o:lock v:ext="edit" aspectratio="t"/>
            <w10:wrap type="none"/>
            <w10:anchorlock/>
          </v:shape>
          <o:OLEObject Type="Embed" ProgID="Equation.3" ShapeID="_x0000_i1067" DrawAspect="Content" ObjectID="_1468075767" r:id="rId95">
            <o:LockedField>false</o:LockedField>
          </o:OLEObject>
        </w:object>
      </w:r>
      <w:r>
        <w:t>——</w:t>
      </w:r>
      <w:r>
        <w:rPr>
          <w:rFonts w:hint="eastAsia"/>
        </w:rPr>
        <w:t>土的粘聚力（</w:t>
      </w:r>
      <w:r>
        <w:t>kN/m</w:t>
      </w:r>
      <w:r>
        <w:rPr>
          <w:vertAlign w:val="superscript"/>
        </w:rPr>
        <w:t>2</w:t>
      </w:r>
      <w:r>
        <w:rPr>
          <w:rFonts w:hint="eastAsia"/>
        </w:rPr>
        <w:t>）；</w:t>
      </w:r>
    </w:p>
    <w:p w14:paraId="6B1A86B6">
      <w:pPr>
        <w:snapToGrid w:val="0"/>
        <w:ind w:firstLine="566" w:firstLineChars="236"/>
      </w:pPr>
      <w:r>
        <w:rPr>
          <w:position w:val="-12"/>
        </w:rPr>
        <w:object>
          <v:shape id="_x0000_i1068" o:spt="75" type="#_x0000_t75" style="height:19.5pt;width:15.75pt;" o:ole="t" filled="f" o:preferrelative="t" stroked="f" coordsize="21600,21600">
            <v:path/>
            <v:fill on="f" focussize="0,0"/>
            <v:stroke on="f" joinstyle="miter"/>
            <v:imagedata r:id="rId98" o:title=""/>
            <o:lock v:ext="edit" aspectratio="t"/>
            <w10:wrap type="none"/>
            <w10:anchorlock/>
          </v:shape>
          <o:OLEObject Type="Embed" ProgID="Equation.3" ShapeID="_x0000_i1068" DrawAspect="Content" ObjectID="_1468075768" r:id="rId97">
            <o:LockedField>false</o:LockedField>
          </o:OLEObject>
        </w:object>
      </w:r>
      <w:r>
        <w:t>——</w:t>
      </w:r>
      <w:r>
        <w:rPr>
          <w:rFonts w:hint="eastAsia"/>
        </w:rPr>
        <w:t>主动土压力系数；</w:t>
      </w:r>
    </w:p>
    <w:p w14:paraId="7AA29825">
      <w:pPr>
        <w:snapToGrid w:val="0"/>
        <w:ind w:firstLine="566" w:firstLineChars="236"/>
      </w:pPr>
      <w:r>
        <w:rPr>
          <w:position w:val="-12"/>
        </w:rPr>
        <w:object>
          <v:shape id="_x0000_i1069" o:spt="75" type="#_x0000_t75" style="height:19.5pt;width:15.75pt;" o:ole="t" filled="f" o:preferrelative="t" stroked="f" coordsize="21600,21600">
            <v:path/>
            <v:fill on="f" focussize="0,0"/>
            <v:stroke on="f" joinstyle="miter"/>
            <v:imagedata r:id="rId100" o:title=""/>
            <o:lock v:ext="edit" aspectratio="t"/>
            <w10:wrap type="none"/>
            <w10:anchorlock/>
          </v:shape>
          <o:OLEObject Type="Embed" ProgID="Equation.3" ShapeID="_x0000_i1069" DrawAspect="Content" ObjectID="_1468075769" r:id="rId99">
            <o:LockedField>false</o:LockedField>
          </o:OLEObject>
        </w:object>
      </w:r>
      <w:r>
        <w:t>——</w:t>
      </w:r>
      <w:r>
        <w:rPr>
          <w:rFonts w:hint="eastAsia"/>
        </w:rPr>
        <w:t>静止土压力系数。</w:t>
      </w:r>
    </w:p>
    <w:p w14:paraId="5C135BBE">
      <w:pPr>
        <w:keepNext/>
        <w:keepLines/>
        <w:jc w:val="center"/>
        <w:outlineLvl w:val="1"/>
        <w:rPr>
          <w:rFonts w:eastAsia="黑体"/>
          <w:bCs/>
          <w:sz w:val="28"/>
          <w:szCs w:val="32"/>
        </w:rPr>
      </w:pPr>
      <w:bookmarkStart w:id="200" w:name="_Toc26330"/>
      <w:bookmarkStart w:id="201" w:name="_Toc17555"/>
      <w:bookmarkStart w:id="202" w:name="_Toc3954"/>
      <w:bookmarkStart w:id="203" w:name="_Toc1704"/>
      <w:bookmarkStart w:id="204" w:name="_Toc60173785"/>
      <w:bookmarkStart w:id="205" w:name="_Toc21170"/>
      <w:bookmarkStart w:id="206" w:name="_Toc47692156"/>
      <w:bookmarkStart w:id="207" w:name="_Toc60172898"/>
      <w:bookmarkStart w:id="208" w:name="_Toc19169"/>
      <w:bookmarkStart w:id="209" w:name="_Toc18057036"/>
      <w:bookmarkStart w:id="210" w:name="_Toc23555"/>
      <w:r>
        <w:rPr>
          <w:rFonts w:eastAsia="黑体"/>
          <w:b/>
          <w:bCs/>
          <w:sz w:val="28"/>
          <w:szCs w:val="32"/>
        </w:rPr>
        <w:t>5.4</w:t>
      </w:r>
      <w:r>
        <w:rPr>
          <w:rFonts w:eastAsia="黑体"/>
          <w:bCs/>
          <w:sz w:val="28"/>
          <w:szCs w:val="32"/>
        </w:rPr>
        <w:t xml:space="preserve">  管节结构设计</w:t>
      </w:r>
      <w:bookmarkEnd w:id="200"/>
      <w:bookmarkEnd w:id="201"/>
      <w:bookmarkEnd w:id="202"/>
      <w:bookmarkEnd w:id="203"/>
      <w:bookmarkEnd w:id="204"/>
      <w:bookmarkEnd w:id="205"/>
      <w:bookmarkEnd w:id="206"/>
      <w:bookmarkEnd w:id="207"/>
      <w:bookmarkEnd w:id="208"/>
      <w:bookmarkEnd w:id="209"/>
      <w:bookmarkEnd w:id="210"/>
    </w:p>
    <w:p w14:paraId="1D8D6624">
      <w:pPr>
        <w:rPr>
          <w:b/>
          <w:bCs/>
        </w:rPr>
      </w:pPr>
      <w:r>
        <w:rPr>
          <w:b/>
          <w:bCs/>
        </w:rPr>
        <w:t xml:space="preserve">5.4.1  </w:t>
      </w:r>
      <w:r>
        <w:rPr>
          <w:bCs/>
        </w:rPr>
        <w:t>管节结构设计应</w:t>
      </w:r>
      <w:r>
        <w:rPr>
          <w:rFonts w:hint="eastAsia"/>
          <w:bCs/>
        </w:rPr>
        <w:t>考虑</w:t>
      </w:r>
      <w:r>
        <w:rPr>
          <w:bCs/>
        </w:rPr>
        <w:t>施工阶段的</w:t>
      </w:r>
      <w:r>
        <w:rPr>
          <w:rFonts w:hint="eastAsia"/>
          <w:bCs/>
        </w:rPr>
        <w:t>最不利工况</w:t>
      </w:r>
      <w:r>
        <w:rPr>
          <w:bCs/>
        </w:rPr>
        <w:t>。</w:t>
      </w:r>
    </w:p>
    <w:p w14:paraId="261378C5">
      <w:r>
        <w:rPr>
          <w:b/>
          <w:bCs/>
        </w:rPr>
        <w:t>5.4.2</w:t>
      </w:r>
      <w:r>
        <w:t xml:space="preserve">  管道结构按承载能力极限状态进行强度计算时，对持久设计状况或短暂设计状况，应采用作用的基本组合；对偶然设计状况，应采用作用的偶然组合。结构构件按正常使用极限状态计算时，应根据不同设计要求采用作用的标准组合、频遇组合或准永久组合。</w:t>
      </w:r>
    </w:p>
    <w:p w14:paraId="4967A867">
      <w:r>
        <w:rPr>
          <w:b/>
          <w:bCs/>
        </w:rPr>
        <w:t>5.4.3</w:t>
      </w:r>
      <w:r>
        <w:t xml:space="preserve">  顶管结构的极限承载能力应</w:t>
      </w:r>
      <w:r>
        <w:rPr>
          <w:rFonts w:hint="eastAsia"/>
        </w:rPr>
        <w:t>符合下式规定</w:t>
      </w:r>
      <w:r>
        <w:t>：</w:t>
      </w:r>
    </w:p>
    <w:p w14:paraId="223A46FA">
      <w:pPr>
        <w:tabs>
          <w:tab w:val="right" w:pos="8222"/>
        </w:tabs>
        <w:ind w:firstLine="2328" w:firstLineChars="970"/>
        <w:jc w:val="right"/>
      </w:pPr>
      <w:r>
        <w:rPr>
          <w:position w:val="-12"/>
        </w:rPr>
        <w:object>
          <v:shape id="_x0000_i1070" o:spt="75" type="#_x0000_t75" style="height:19.5pt;width:51pt;" o:ole="t" filled="f" o:preferrelative="t" stroked="f" coordsize="21600,21600">
            <v:path/>
            <v:fill on="f" focussize="0,0"/>
            <v:stroke on="f" joinstyle="miter"/>
            <v:imagedata r:id="rId102" o:title=""/>
            <o:lock v:ext="edit" aspectratio="t"/>
            <w10:wrap type="none"/>
            <w10:anchorlock/>
          </v:shape>
          <o:OLEObject Type="Embed" ProgID="Equation.DSMT4" ShapeID="_x0000_i1070" DrawAspect="Content" ObjectID="_1468075770" r:id="rId101">
            <o:LockedField>false</o:LockedField>
          </o:OLEObject>
        </w:object>
      </w:r>
      <w:r>
        <w:t xml:space="preserve">                         （5.4.3）</w:t>
      </w:r>
    </w:p>
    <w:p w14:paraId="6D9D8AA2">
      <w:r>
        <w:t>式中：</w:t>
      </w:r>
      <w:r>
        <w:rPr>
          <w:position w:val="-12"/>
        </w:rPr>
        <w:object>
          <v:shape id="_x0000_i1071" o:spt="75" type="#_x0000_t75" style="height:19.5pt;width:13.5pt;" o:ole="t" filled="f" o:preferrelative="t" stroked="f" coordsize="21600,21600">
            <v:path/>
            <v:fill on="f" focussize="0,0"/>
            <v:stroke on="f" joinstyle="miter"/>
            <v:imagedata r:id="rId104" o:title=""/>
            <o:lock v:ext="edit" aspectratio="t"/>
            <w10:wrap type="none"/>
            <w10:anchorlock/>
          </v:shape>
          <o:OLEObject Type="Embed" ProgID="Equation.DSMT4" ShapeID="_x0000_i1071" DrawAspect="Content" ObjectID="_1468075771" r:id="rId103">
            <o:LockedField>false</o:LockedField>
          </o:OLEObject>
        </w:object>
      </w:r>
      <w:r>
        <w:t>——结构的重要性系数，安全等级</w:t>
      </w:r>
      <w:r>
        <w:rPr>
          <w:rFonts w:hint="eastAsia"/>
        </w:rPr>
        <w:t>为</w:t>
      </w:r>
      <w:r>
        <w:t>一级</w:t>
      </w:r>
      <w:r>
        <w:rPr>
          <w:rFonts w:hint="eastAsia"/>
        </w:rPr>
        <w:t>时</w:t>
      </w:r>
      <w:r>
        <w:t>取1.1，二级</w:t>
      </w:r>
      <w:r>
        <w:rPr>
          <w:rFonts w:hint="eastAsia"/>
        </w:rPr>
        <w:t>时</w:t>
      </w:r>
      <w:r>
        <w:t>取1.0；</w:t>
      </w:r>
    </w:p>
    <w:p w14:paraId="55397DBF">
      <w:pPr>
        <w:ind w:firstLine="708" w:firstLineChars="295"/>
      </w:pPr>
      <w:r>
        <w:rPr>
          <w:position w:val="-12"/>
        </w:rPr>
        <w:object>
          <v:shape id="_x0000_i1072" o:spt="75" type="#_x0000_t75" style="height:19.5pt;width:14.25pt;" o:ole="t" filled="f" o:preferrelative="t" stroked="f" coordsize="21600,21600">
            <v:path/>
            <v:fill on="f" focussize="0,0"/>
            <v:stroke on="f" joinstyle="miter"/>
            <v:imagedata r:id="rId106" o:title=""/>
            <o:lock v:ext="edit" aspectratio="t"/>
            <w10:wrap type="none"/>
            <w10:anchorlock/>
          </v:shape>
          <o:OLEObject Type="Embed" ProgID="Equation.DSMT4" ShapeID="_x0000_i1072" DrawAspect="Content" ObjectID="_1468075772" r:id="rId105">
            <o:LockedField>false</o:LockedField>
          </o:OLEObject>
        </w:object>
      </w:r>
      <w:r>
        <w:t>——作用效应组合的设计值；</w:t>
      </w:r>
    </w:p>
    <w:p w14:paraId="0670D0D6">
      <w:pPr>
        <w:ind w:firstLine="708" w:firstLineChars="295"/>
      </w:pPr>
      <w:r>
        <w:rPr>
          <w:position w:val="-4"/>
        </w:rPr>
        <w:object>
          <v:shape id="_x0000_i1073" o:spt="75" type="#_x0000_t75" style="height:13.5pt;width:12pt;" o:ole="t" filled="f" o:preferrelative="t" stroked="f" coordsize="21600,21600">
            <v:path/>
            <v:fill on="f" focussize="0,0"/>
            <v:stroke on="f" joinstyle="miter"/>
            <v:imagedata r:id="rId108" o:title=""/>
            <o:lock v:ext="edit" aspectratio="t"/>
            <w10:wrap type="none"/>
            <w10:anchorlock/>
          </v:shape>
          <o:OLEObject Type="Embed" ProgID="Equation.3" ShapeID="_x0000_i1073" DrawAspect="Content" ObjectID="_1468075773" r:id="rId107">
            <o:LockedField>false</o:LockedField>
          </o:OLEObject>
        </w:object>
      </w:r>
      <w:r>
        <w:t>——管道结构的抗力强度设计值。</w:t>
      </w:r>
    </w:p>
    <w:p w14:paraId="05FF961B">
      <w:r>
        <w:rPr>
          <w:b/>
          <w:bCs/>
        </w:rPr>
        <w:t xml:space="preserve">5.4.4  </w:t>
      </w:r>
      <w:r>
        <w:t>作用效应的组合设计值，应符合下式规定：</w:t>
      </w:r>
    </w:p>
    <w:p w14:paraId="1B03FB97">
      <w:pPr>
        <w:tabs>
          <w:tab w:val="right" w:pos="8222"/>
        </w:tabs>
        <w:ind w:firstLine="648" w:firstLineChars="270"/>
        <w:jc w:val="right"/>
      </w:pPr>
      <w:r>
        <w:object>
          <v:shape id="_x0000_i1074" o:spt="75" type="#_x0000_t75" style="height:40.5pt;width:224.25pt;" o:ole="t" filled="f" o:preferrelative="t" stroked="f" coordsize="21600,21600">
            <v:path/>
            <v:fill on="f" focussize="0,0"/>
            <v:stroke on="f" joinstyle="miter"/>
            <v:imagedata r:id="rId110" o:title=""/>
            <o:lock v:ext="edit" aspectratio="t"/>
            <w10:wrap type="none"/>
            <w10:anchorlock/>
          </v:shape>
          <o:OLEObject Type="Embed" ProgID="Equation.DSMT4" ShapeID="_x0000_i1074" DrawAspect="Content" ObjectID="_1468075774" r:id="rId109">
            <o:LockedField>false</o:LockedField>
          </o:OLEObject>
        </w:object>
      </w:r>
      <w:r>
        <w:t xml:space="preserve">           （5.4.4）</w:t>
      </w:r>
    </w:p>
    <w:p w14:paraId="43CD85A3">
      <w:pPr>
        <w:snapToGrid w:val="0"/>
        <w:textAlignment w:val="center"/>
      </w:pPr>
      <w:r>
        <w:t>式中：</w:t>
      </w:r>
      <w:r>
        <w:tab/>
      </w:r>
      <w:r>
        <w:object>
          <v:shape id="_x0000_i1075" o:spt="75" type="#_x0000_t75" style="height:20.25pt;width:24pt;" o:ole="t" filled="f" o:preferrelative="t" stroked="f" coordsize="21600,21600">
            <v:path/>
            <v:fill on="f" focussize="0,0"/>
            <v:stroke on="f" joinstyle="miter"/>
            <v:imagedata r:id="rId112" o:title=""/>
            <o:lock v:ext="edit" aspectratio="t"/>
            <w10:wrap type="none"/>
            <w10:anchorlock/>
          </v:shape>
          <o:OLEObject Type="Embed" ProgID="Equation.DSMT4" ShapeID="_x0000_i1075" DrawAspect="Content" ObjectID="_1468075775" r:id="rId111">
            <o:LockedField>false</o:LockedField>
          </o:OLEObject>
        </w:object>
      </w:r>
      <w:r>
        <w:t>——作用组合的效应函数；</w:t>
      </w:r>
    </w:p>
    <w:p w14:paraId="0D6E09F4">
      <w:pPr>
        <w:snapToGrid w:val="0"/>
        <w:ind w:left="420" w:firstLine="567"/>
        <w:textAlignment w:val="center"/>
      </w:pPr>
      <w:r>
        <w:rPr>
          <w:position w:val="-12"/>
        </w:rPr>
        <w:object>
          <v:shape id="_x0000_i1076" o:spt="75" type="#_x0000_t75" style="height:19.5pt;width:16.5pt;" o:ole="t" filled="f" o:preferrelative="t" stroked="f" coordsize="21600,21600">
            <v:path/>
            <v:fill on="f" focussize="0,0"/>
            <v:stroke on="f" joinstyle="miter"/>
            <v:imagedata r:id="rId114" o:title=""/>
            <o:lock v:ext="edit" aspectratio="t"/>
            <w10:wrap type="none"/>
            <w10:anchorlock/>
          </v:shape>
          <o:OLEObject Type="Embed" ProgID="Equation.DSMT4" ShapeID="_x0000_i1076" DrawAspect="Content" ObjectID="_1468075776" r:id="rId113">
            <o:LockedField>false</o:LockedField>
          </o:OLEObject>
        </w:object>
      </w:r>
      <w:r>
        <w:t>——第i个永久作用的标准值；</w:t>
      </w:r>
    </w:p>
    <w:p w14:paraId="6643C4BB">
      <w:pPr>
        <w:snapToGrid w:val="0"/>
        <w:ind w:firstLine="981" w:firstLineChars="409"/>
        <w:textAlignment w:val="center"/>
      </w:pPr>
      <w:r>
        <w:rPr>
          <w:position w:val="-12"/>
        </w:rPr>
        <w:object>
          <v:shape id="_x0000_i1077" o:spt="75" type="#_x0000_t75" style="height:19.5pt;width:19.5pt;" o:ole="t" filled="f" o:preferrelative="t" stroked="f" coordsize="21600,21600">
            <v:path/>
            <v:fill on="f" focussize="0,0"/>
            <v:stroke on="f" joinstyle="miter"/>
            <v:imagedata r:id="rId116" o:title=""/>
            <o:lock v:ext="edit" aspectratio="t"/>
            <w10:wrap type="none"/>
            <w10:anchorlock/>
          </v:shape>
          <o:OLEObject Type="Embed" ProgID="Equation.DSMT4" ShapeID="_x0000_i1077" DrawAspect="Content" ObjectID="_1468075777" r:id="rId115">
            <o:LockedField>false</o:LockedField>
          </o:OLEObject>
        </w:object>
      </w:r>
      <w:r>
        <w:t>——第1个可变作用的标准值；</w:t>
      </w:r>
    </w:p>
    <w:p w14:paraId="6492C7DE">
      <w:pPr>
        <w:snapToGrid w:val="0"/>
        <w:ind w:firstLine="981" w:firstLineChars="409"/>
        <w:textAlignment w:val="center"/>
      </w:pPr>
      <w:r>
        <w:rPr>
          <w:position w:val="-14"/>
        </w:rPr>
        <w:object>
          <v:shape id="_x0000_i1078" o:spt="75" type="#_x0000_t75" style="height:19.5pt;width:17.25pt;" o:ole="t" filled="f" o:preferrelative="t" stroked="f" coordsize="21600,21600">
            <v:path/>
            <v:fill on="f" focussize="0,0"/>
            <v:stroke on="f" joinstyle="miter"/>
            <v:imagedata r:id="rId118" o:title=""/>
            <o:lock v:ext="edit" aspectratio="t"/>
            <w10:wrap type="none"/>
            <w10:anchorlock/>
          </v:shape>
          <o:OLEObject Type="Embed" ProgID="Equation.DSMT4" ShapeID="_x0000_i1078" DrawAspect="Content" ObjectID="_1468075778" r:id="rId117">
            <o:LockedField>false</o:LockedField>
          </o:OLEObject>
        </w:object>
      </w:r>
      <w:r>
        <w:t>——第j个可变作用的标准值；</w:t>
      </w:r>
    </w:p>
    <w:p w14:paraId="6280F67F">
      <w:pPr>
        <w:snapToGrid w:val="0"/>
        <w:ind w:firstLine="981" w:firstLineChars="409"/>
        <w:textAlignment w:val="center"/>
      </w:pPr>
      <w:r>
        <w:rPr>
          <w:position w:val="-12"/>
        </w:rPr>
        <w:object>
          <v:shape id="_x0000_i1079" o:spt="75" type="#_x0000_t75" style="height:19.5pt;width:18.75pt;" o:ole="t" filled="f" o:preferrelative="t" stroked="f" coordsize="21600,21600">
            <v:path/>
            <v:fill on="f" focussize="0,0"/>
            <v:stroke on="f" joinstyle="miter"/>
            <v:imagedata r:id="rId120" o:title=""/>
            <o:lock v:ext="edit" aspectratio="t"/>
            <w10:wrap type="none"/>
            <w10:anchorlock/>
          </v:shape>
          <o:OLEObject Type="Embed" ProgID="Equation.DSMT4" ShapeID="_x0000_i1079" DrawAspect="Content" ObjectID="_1468075779" r:id="rId119">
            <o:LockedField>false</o:LockedField>
          </o:OLEObject>
        </w:object>
      </w:r>
      <w:r>
        <w:t>——第i个永久作用分项系数；</w:t>
      </w:r>
    </w:p>
    <w:p w14:paraId="5C4569B1">
      <w:pPr>
        <w:snapToGrid w:val="0"/>
        <w:ind w:firstLine="981" w:firstLineChars="409"/>
        <w:textAlignment w:val="center"/>
      </w:pPr>
      <w:r>
        <w:rPr>
          <w:position w:val="-14"/>
        </w:rPr>
        <w:object>
          <v:shape id="_x0000_i1080" o:spt="75" type="#_x0000_t75" style="height:19.5pt;width:19.5pt;" o:ole="t" filled="f" o:preferrelative="t" stroked="f" coordsize="21600,21600">
            <v:path/>
            <v:fill on="f" focussize="0,0"/>
            <v:stroke on="f" joinstyle="miter"/>
            <v:imagedata r:id="rId122" o:title=""/>
            <o:lock v:ext="edit" aspectratio="t"/>
            <w10:wrap type="none"/>
            <w10:anchorlock/>
          </v:shape>
          <o:OLEObject Type="Embed" ProgID="Equation.DSMT4" ShapeID="_x0000_i1080" DrawAspect="Content" ObjectID="_1468075780" r:id="rId121">
            <o:LockedField>false</o:LockedField>
          </o:OLEObject>
        </w:object>
      </w:r>
      <w:r>
        <w:t>——第1个可变作用分项系数；</w:t>
      </w:r>
    </w:p>
    <w:p w14:paraId="04193B99">
      <w:pPr>
        <w:snapToGrid w:val="0"/>
        <w:ind w:firstLine="981" w:firstLineChars="409"/>
        <w:textAlignment w:val="center"/>
      </w:pPr>
      <w:r>
        <w:rPr>
          <w:position w:val="-14"/>
        </w:rPr>
        <w:object>
          <v:shape id="_x0000_i1081" o:spt="75" type="#_x0000_t75" style="height:19.5pt;width:15pt;" o:ole="t" filled="f" o:preferrelative="t" stroked="f" coordsize="21600,21600">
            <v:path/>
            <v:fill on="f" focussize="0,0"/>
            <v:stroke on="f" joinstyle="miter"/>
            <v:imagedata r:id="rId124" o:title=""/>
            <o:lock v:ext="edit" aspectratio="t"/>
            <w10:wrap type="none"/>
            <w10:anchorlock/>
          </v:shape>
          <o:OLEObject Type="Embed" ProgID="Equation.DSMT4" ShapeID="_x0000_i1081" DrawAspect="Content" ObjectID="_1468075781" r:id="rId123">
            <o:LockedField>false</o:LockedField>
          </o:OLEObject>
        </w:object>
      </w:r>
      <w:r>
        <w:t>——第j个可变作用分项系数；</w:t>
      </w:r>
    </w:p>
    <w:p w14:paraId="134FC2AE">
      <w:pPr>
        <w:snapToGrid w:val="0"/>
        <w:ind w:firstLine="981" w:firstLineChars="409"/>
        <w:textAlignment w:val="center"/>
      </w:pPr>
      <w:r>
        <w:rPr>
          <w:position w:val="-12"/>
        </w:rPr>
        <w:object>
          <v:shape id="_x0000_i1082" o:spt="75" type="#_x0000_t75" style="height:19.5pt;width:15.75pt;" o:ole="t" filled="f" o:preferrelative="t" stroked="f" coordsize="21600,21600">
            <v:path/>
            <v:fill on="f" focussize="0,0"/>
            <v:stroke on="f" joinstyle="miter"/>
            <v:imagedata r:id="rId126" o:title=""/>
            <o:lock v:ext="edit" aspectratio="t"/>
            <w10:wrap type="none"/>
            <w10:anchorlock/>
          </v:shape>
          <o:OLEObject Type="Embed" ProgID="Equation.DSMT4" ShapeID="_x0000_i1082" DrawAspect="Content" ObjectID="_1468075782" r:id="rId125">
            <o:LockedField>false</o:LockedField>
          </o:OLEObject>
        </w:object>
      </w:r>
      <w:r>
        <w:t>——第1个使用年限调整系数；</w:t>
      </w:r>
    </w:p>
    <w:p w14:paraId="4C6FD087">
      <w:pPr>
        <w:snapToGrid w:val="0"/>
        <w:ind w:firstLine="981" w:firstLineChars="409"/>
        <w:textAlignment w:val="center"/>
      </w:pPr>
      <w:r>
        <w:rPr>
          <w:position w:val="-14"/>
        </w:rPr>
        <w:object>
          <v:shape id="_x0000_i1083" o:spt="75" type="#_x0000_t75" style="height:19.5pt;width:15pt;" o:ole="t" filled="f" o:preferrelative="t" stroked="f" coordsize="21600,21600">
            <v:path/>
            <v:fill on="f" focussize="0,0"/>
            <v:stroke on="f" joinstyle="miter"/>
            <v:imagedata r:id="rId128" o:title=""/>
            <o:lock v:ext="edit" aspectratio="t"/>
            <w10:wrap type="none"/>
            <w10:anchorlock/>
          </v:shape>
          <o:OLEObject Type="Embed" ProgID="Equation.DSMT4" ShapeID="_x0000_i1083" DrawAspect="Content" ObjectID="_1468075783" r:id="rId127">
            <o:LockedField>false</o:LockedField>
          </o:OLEObject>
        </w:object>
      </w:r>
      <w:r>
        <w:t>——第j个使用年限调整系数；</w:t>
      </w:r>
    </w:p>
    <w:p w14:paraId="65764DEC">
      <w:pPr>
        <w:snapToGrid w:val="0"/>
        <w:ind w:firstLine="981" w:firstLineChars="409"/>
        <w:textAlignment w:val="center"/>
      </w:pPr>
      <w:r>
        <w:rPr>
          <w:position w:val="-14"/>
        </w:rPr>
        <w:object>
          <v:shape id="_x0000_i1084" o:spt="75" type="#_x0000_t75" style="height:19.5pt;width:15pt;" o:ole="t" filled="f" o:preferrelative="t" stroked="f" coordsize="21600,21600">
            <v:path/>
            <v:fill on="f" focussize="0,0"/>
            <v:stroke on="f" joinstyle="miter"/>
            <v:imagedata r:id="rId130" o:title=""/>
            <o:lock v:ext="edit" aspectratio="t"/>
            <w10:wrap type="none"/>
            <w10:anchorlock/>
          </v:shape>
          <o:OLEObject Type="Embed" ProgID="Equation.DSMT4" ShapeID="_x0000_i1084" DrawAspect="Content" ObjectID="_1468075784" r:id="rId129">
            <o:LockedField>false</o:LockedField>
          </o:OLEObject>
        </w:object>
      </w:r>
      <w:r>
        <w:t>——第j个可变作用的组合值系数。</w:t>
      </w:r>
    </w:p>
    <w:p w14:paraId="7E516C39">
      <w:pPr>
        <w:snapToGrid w:val="0"/>
      </w:pPr>
      <w:r>
        <w:rPr>
          <w:b/>
          <w:bCs/>
        </w:rPr>
        <w:t>5.4.5</w:t>
      </w:r>
      <w:r>
        <w:t xml:space="preserve">  各种分项系数取值应符合下列规定：</w:t>
      </w:r>
    </w:p>
    <w:p w14:paraId="241CDBCD">
      <w:pPr>
        <w:snapToGrid w:val="0"/>
        <w:ind w:firstLine="482" w:firstLineChars="200"/>
        <w:textAlignment w:val="center"/>
      </w:pPr>
      <w:r>
        <w:rPr>
          <w:b/>
          <w:bCs/>
        </w:rPr>
        <w:t>1</w:t>
      </w:r>
      <w:r>
        <w:t xml:space="preserve">  永久</w:t>
      </w:r>
      <w:r>
        <w:rPr>
          <w:rFonts w:hint="eastAsia"/>
        </w:rPr>
        <w:t>作用分</w:t>
      </w:r>
      <w:r>
        <w:t>项系</w:t>
      </w:r>
      <w:r>
        <w:rPr>
          <w:rFonts w:hint="eastAsia"/>
        </w:rPr>
        <w:t>数</w:t>
      </w:r>
      <w:r>
        <w:t>（</w:t>
      </w:r>
      <w:r>
        <w:rPr>
          <w:position w:val="-12"/>
        </w:rPr>
        <w:object>
          <v:shape id="_x0000_i1085" o:spt="75" type="#_x0000_t75" style="height:19.5pt;width:18.75pt;" o:ole="t" filled="f" o:preferrelative="t" stroked="f" coordsize="21600,21600">
            <v:path/>
            <v:fill on="f" focussize="0,0"/>
            <v:stroke on="f" joinstyle="miter"/>
            <v:imagedata r:id="rId132" o:title=""/>
            <o:lock v:ext="edit" aspectratio="t"/>
            <w10:wrap type="none"/>
            <w10:anchorlock/>
          </v:shape>
          <o:OLEObject Type="Embed" ProgID="Equation.DSMT4" ShapeID="_x0000_i1085" DrawAspect="Content" ObjectID="_1468075785" r:id="rId131">
            <o:LockedField>false</o:LockedField>
          </o:OLEObject>
        </w:object>
      </w:r>
      <w:r>
        <w:t>）</w:t>
      </w:r>
      <w:r>
        <w:rPr>
          <w:rFonts w:hint="eastAsia"/>
        </w:rPr>
        <w:t>的取值应符合下列规定</w:t>
      </w:r>
      <w:r>
        <w:t>：</w:t>
      </w:r>
    </w:p>
    <w:p w14:paraId="20752246">
      <w:pPr>
        <w:snapToGrid w:val="0"/>
        <w:ind w:firstLine="840" w:firstLineChars="350"/>
        <w:textAlignment w:val="center"/>
      </w:pPr>
      <w:r>
        <w:rPr>
          <w:rFonts w:hint="eastAsia"/>
        </w:rPr>
        <w:t>1）</w:t>
      </w:r>
      <w:r>
        <w:t>当作用对承载力不利时</w:t>
      </w:r>
      <w:r>
        <w:rPr>
          <w:rFonts w:hint="eastAsia"/>
        </w:rPr>
        <w:t>应</w:t>
      </w:r>
      <w:r>
        <w:t>取1.3</w:t>
      </w:r>
      <w:r>
        <w:rPr>
          <w:rFonts w:hint="eastAsia"/>
        </w:rPr>
        <w:t>；</w:t>
      </w:r>
    </w:p>
    <w:p w14:paraId="68351116">
      <w:pPr>
        <w:snapToGrid w:val="0"/>
        <w:ind w:firstLine="840" w:firstLineChars="350"/>
        <w:textAlignment w:val="center"/>
      </w:pPr>
      <w:r>
        <w:rPr>
          <w:rFonts w:hint="eastAsia"/>
        </w:rPr>
        <w:t>2）</w:t>
      </w:r>
      <w:r>
        <w:t>当作用对承载力有利时</w:t>
      </w:r>
      <w:r>
        <w:rPr>
          <w:rFonts w:hint="eastAsia"/>
        </w:rPr>
        <w:t>应为小于或等于</w:t>
      </w:r>
      <w:r>
        <w:t>1.0</w:t>
      </w:r>
      <w:r>
        <w:rPr>
          <w:rFonts w:hint="eastAsia"/>
        </w:rPr>
        <w:t>。</w:t>
      </w:r>
    </w:p>
    <w:p w14:paraId="6CBE101A">
      <w:pPr>
        <w:snapToGrid w:val="0"/>
        <w:ind w:firstLine="482" w:firstLineChars="200"/>
        <w:textAlignment w:val="center"/>
      </w:pPr>
      <w:r>
        <w:rPr>
          <w:b/>
          <w:bCs/>
        </w:rPr>
        <w:t>2</w:t>
      </w:r>
      <w:r>
        <w:t xml:space="preserve">  可变</w:t>
      </w:r>
      <w:r>
        <w:rPr>
          <w:rFonts w:hint="eastAsia"/>
        </w:rPr>
        <w:t>作用</w:t>
      </w:r>
      <w:r>
        <w:t>分项系</w:t>
      </w:r>
      <w:r>
        <w:rPr>
          <w:rFonts w:hint="eastAsia"/>
        </w:rPr>
        <w:t>数</w:t>
      </w:r>
      <w:r>
        <w:t>（</w:t>
      </w:r>
      <w:r>
        <w:rPr>
          <w:position w:val="-14"/>
        </w:rPr>
        <w:object>
          <v:shape id="_x0000_i1086" o:spt="75" type="#_x0000_t75" style="height:19.5pt;width:15pt;" o:ole="t" filled="f" o:preferrelative="t" stroked="f" coordsize="21600,21600">
            <v:path/>
            <v:fill on="f" focussize="0,0"/>
            <v:stroke on="f" joinstyle="miter"/>
            <v:imagedata r:id="rId134" o:title=""/>
            <o:lock v:ext="edit" aspectratio="t"/>
            <w10:wrap type="none"/>
            <w10:anchorlock/>
          </v:shape>
          <o:OLEObject Type="Embed" ProgID="Equation.DSMT4" ShapeID="_x0000_i1086" DrawAspect="Content" ObjectID="_1468075786" r:id="rId133">
            <o:LockedField>false</o:LockedField>
          </o:OLEObject>
        </w:object>
      </w:r>
      <w:r>
        <w:t>）</w:t>
      </w:r>
      <w:r>
        <w:rPr>
          <w:rFonts w:hint="eastAsia"/>
        </w:rPr>
        <w:t>的取值应符合下列规定</w:t>
      </w:r>
      <w:r>
        <w:t>：</w:t>
      </w:r>
    </w:p>
    <w:p w14:paraId="016B936E">
      <w:pPr>
        <w:snapToGrid w:val="0"/>
        <w:ind w:firstLine="840" w:firstLineChars="350"/>
        <w:textAlignment w:val="center"/>
      </w:pPr>
      <w:r>
        <w:rPr>
          <w:rFonts w:hint="eastAsia"/>
        </w:rPr>
        <w:t>1）</w:t>
      </w:r>
      <w:r>
        <w:t>当作用对承载力不利时</w:t>
      </w:r>
      <w:r>
        <w:rPr>
          <w:rFonts w:hint="eastAsia"/>
        </w:rPr>
        <w:t>应</w:t>
      </w:r>
      <w:r>
        <w:t>取1.5</w:t>
      </w:r>
      <w:r>
        <w:rPr>
          <w:rFonts w:hint="eastAsia"/>
        </w:rPr>
        <w:t>；</w:t>
      </w:r>
    </w:p>
    <w:p w14:paraId="4B841315">
      <w:pPr>
        <w:snapToGrid w:val="0"/>
        <w:ind w:firstLine="840" w:firstLineChars="350"/>
        <w:textAlignment w:val="center"/>
      </w:pPr>
      <w:r>
        <w:rPr>
          <w:rFonts w:hint="eastAsia"/>
        </w:rPr>
        <w:t>2）</w:t>
      </w:r>
      <w:r>
        <w:t>当作用对承载力有利时</w:t>
      </w:r>
      <w:r>
        <w:rPr>
          <w:rFonts w:hint="eastAsia"/>
        </w:rPr>
        <w:t>应</w:t>
      </w:r>
      <w:r>
        <w:t>取0</w:t>
      </w:r>
      <w:r>
        <w:rPr>
          <w:rFonts w:hint="eastAsia"/>
        </w:rPr>
        <w:t>。</w:t>
      </w:r>
    </w:p>
    <w:p w14:paraId="4081EB36">
      <w:pPr>
        <w:snapToGrid w:val="0"/>
        <w:ind w:firstLine="482" w:firstLineChars="200"/>
        <w:textAlignment w:val="center"/>
      </w:pPr>
      <w:r>
        <w:rPr>
          <w:b/>
          <w:bCs/>
        </w:rPr>
        <w:t>3</w:t>
      </w:r>
      <w:r>
        <w:t xml:space="preserve">  可变作用组合系数（</w:t>
      </w:r>
      <w:r>
        <w:rPr>
          <w:position w:val="-14"/>
        </w:rPr>
        <w:object>
          <v:shape id="_x0000_i1087" o:spt="75" type="#_x0000_t75" style="height:19.5pt;width:15pt;" o:ole="t" filled="f" o:preferrelative="t" stroked="f" coordsize="21600,21600">
            <v:path/>
            <v:fill on="f" focussize="0,0"/>
            <v:stroke on="f" joinstyle="miter"/>
            <v:imagedata r:id="rId136" o:title=""/>
            <o:lock v:ext="edit" aspectratio="t"/>
            <w10:wrap type="none"/>
            <w10:anchorlock/>
          </v:shape>
          <o:OLEObject Type="Embed" ProgID="Equation.DSMT4" ShapeID="_x0000_i1087" DrawAspect="Content" ObjectID="_1468075787" r:id="rId135">
            <o:LockedField>false</o:LockedField>
          </o:OLEObject>
        </w:object>
      </w:r>
      <w:r>
        <w:t>）</w:t>
      </w:r>
      <w:r>
        <w:rPr>
          <w:rFonts w:hint="eastAsia"/>
        </w:rPr>
        <w:t>的取值应符合下列规定</w:t>
      </w:r>
      <w:r>
        <w:t>：</w:t>
      </w:r>
    </w:p>
    <w:p w14:paraId="01B4D575">
      <w:pPr>
        <w:snapToGrid w:val="0"/>
        <w:ind w:firstLine="840" w:firstLineChars="350"/>
        <w:textAlignment w:val="center"/>
      </w:pPr>
      <w:r>
        <w:rPr>
          <w:rFonts w:hint="eastAsia"/>
        </w:rPr>
        <w:t>1）取值</w:t>
      </w:r>
      <w:r>
        <w:t>不应大于1.0，宜取0.7</w:t>
      </w:r>
      <w:r>
        <w:rPr>
          <w:rFonts w:hint="eastAsia"/>
        </w:rPr>
        <w:t>；</w:t>
      </w:r>
    </w:p>
    <w:p w14:paraId="400421A3">
      <w:pPr>
        <w:snapToGrid w:val="0"/>
        <w:ind w:firstLine="840" w:firstLineChars="350"/>
        <w:textAlignment w:val="center"/>
      </w:pPr>
      <w:r>
        <w:rPr>
          <w:rFonts w:hint="eastAsia"/>
        </w:rPr>
        <w:t>2）</w:t>
      </w:r>
      <w:r>
        <w:t>当可变荷载可能持续时间比较长时应适当加大</w:t>
      </w:r>
      <w:r>
        <w:rPr>
          <w:rFonts w:hint="eastAsia"/>
        </w:rPr>
        <w:t>。</w:t>
      </w:r>
    </w:p>
    <w:p w14:paraId="3A2244E9">
      <w:pPr>
        <w:ind w:firstLine="482" w:firstLineChars="200"/>
        <w:textAlignment w:val="center"/>
      </w:pPr>
      <w:r>
        <w:rPr>
          <w:b/>
          <w:bCs/>
        </w:rPr>
        <w:t>4</w:t>
      </w:r>
      <w:r>
        <w:t xml:space="preserve">  荷载使用年限调整系数（</w:t>
      </w:r>
      <w:r>
        <w:object>
          <v:shape id="_x0000_i1088" o:spt="75" type="#_x0000_t75" style="height:19.5pt;width:15pt;" o:ole="t" filled="f" o:preferrelative="t" stroked="f" coordsize="21600,21600">
            <v:path/>
            <v:fill on="f" focussize="0,0"/>
            <v:stroke on="f" joinstyle="miter"/>
            <v:imagedata r:id="rId138" o:title=""/>
            <o:lock v:ext="edit" aspectratio="t"/>
            <w10:wrap type="none"/>
            <w10:anchorlock/>
          </v:shape>
          <o:OLEObject Type="Embed" ProgID="Equation.DSMT4" ShapeID="_x0000_i1088" DrawAspect="Content" ObjectID="_1468075788" r:id="rId137">
            <o:LockedField>false</o:LockedField>
          </o:OLEObject>
        </w:object>
      </w:r>
      <w:r>
        <w:t>）</w:t>
      </w:r>
      <w:r>
        <w:rPr>
          <w:rFonts w:hint="eastAsia"/>
        </w:rPr>
        <w:t>的取值应符合下列规定</w:t>
      </w:r>
      <w:r>
        <w:t>：</w:t>
      </w:r>
    </w:p>
    <w:p w14:paraId="1C0EB941">
      <w:pPr>
        <w:ind w:firstLine="840" w:firstLineChars="350"/>
        <w:textAlignment w:val="center"/>
      </w:pPr>
      <w:r>
        <w:rPr>
          <w:rFonts w:hint="eastAsia"/>
        </w:rPr>
        <w:t>1）</w:t>
      </w:r>
      <w:r>
        <w:t>使用年限为5年时，</w:t>
      </w:r>
      <w:r>
        <w:rPr>
          <w:rFonts w:hint="eastAsia"/>
        </w:rPr>
        <w:t>应</w:t>
      </w:r>
      <w:r>
        <w:t>取0.9；</w:t>
      </w:r>
    </w:p>
    <w:p w14:paraId="7227205E">
      <w:pPr>
        <w:ind w:firstLine="840" w:firstLineChars="350"/>
        <w:textAlignment w:val="center"/>
      </w:pPr>
      <w:r>
        <w:rPr>
          <w:rFonts w:hint="eastAsia"/>
        </w:rPr>
        <w:t>2）</w:t>
      </w:r>
      <w:r>
        <w:t>使用年限为50年时，</w:t>
      </w:r>
      <w:r>
        <w:rPr>
          <w:rFonts w:hint="eastAsia"/>
        </w:rPr>
        <w:t>应</w:t>
      </w:r>
      <w:r>
        <w:t>取1.0；</w:t>
      </w:r>
    </w:p>
    <w:p w14:paraId="4BE40787">
      <w:pPr>
        <w:ind w:firstLine="840" w:firstLineChars="350"/>
        <w:textAlignment w:val="center"/>
      </w:pPr>
      <w:r>
        <w:rPr>
          <w:rFonts w:hint="eastAsia"/>
        </w:rPr>
        <w:t>3）</w:t>
      </w:r>
      <w:r>
        <w:t>使用年限为100年时，</w:t>
      </w:r>
      <w:r>
        <w:rPr>
          <w:rFonts w:hint="eastAsia"/>
        </w:rPr>
        <w:t>应</w:t>
      </w:r>
      <w:r>
        <w:t>取1.1</w:t>
      </w:r>
      <w:r>
        <w:rPr>
          <w:rFonts w:hint="eastAsia"/>
        </w:rPr>
        <w:t>；</w:t>
      </w:r>
    </w:p>
    <w:p w14:paraId="5F2411B7">
      <w:pPr>
        <w:ind w:left="1200" w:leftChars="350" w:hanging="360" w:hangingChars="150"/>
        <w:textAlignment w:val="center"/>
      </w:pPr>
      <w:r>
        <w:rPr>
          <w:rFonts w:hint="eastAsia"/>
        </w:rPr>
        <w:t>4）</w:t>
      </w:r>
      <w:r>
        <w:t>当设计使用年限不</w:t>
      </w:r>
      <w:r>
        <w:rPr>
          <w:rFonts w:hint="eastAsia"/>
        </w:rPr>
        <w:t>是</w:t>
      </w:r>
      <w:r>
        <w:t>5年、50年或100年数值时，可按线性内插确定</w:t>
      </w:r>
      <w:r>
        <w:rPr>
          <w:rFonts w:hint="eastAsia"/>
        </w:rPr>
        <w:t>；</w:t>
      </w:r>
    </w:p>
    <w:p w14:paraId="05AD42DA">
      <w:pPr>
        <w:ind w:firstLine="840" w:firstLineChars="350"/>
        <w:textAlignment w:val="center"/>
      </w:pPr>
      <w:r>
        <w:rPr>
          <w:rFonts w:hint="eastAsia"/>
        </w:rPr>
        <w:t>5）</w:t>
      </w:r>
      <w:r>
        <w:t>对于荷载标准值可控制的活荷载，设计使用年限调整系数</w:t>
      </w:r>
      <w:r>
        <w:rPr>
          <w:rFonts w:hint="eastAsia"/>
        </w:rPr>
        <w:t>应</w:t>
      </w:r>
      <w:r>
        <w:t>取1.0。</w:t>
      </w:r>
    </w:p>
    <w:p w14:paraId="47538B90">
      <w:pPr>
        <w:textAlignment w:val="center"/>
      </w:pPr>
      <w:r>
        <w:rPr>
          <w:b/>
          <w:bCs/>
        </w:rPr>
        <w:t xml:space="preserve">5.4.6 </w:t>
      </w:r>
      <w:r>
        <w:t xml:space="preserve"> 作用的偶然组合设计值，应符合下式规定：</w:t>
      </w:r>
    </w:p>
    <w:p w14:paraId="316B1049">
      <w:pPr>
        <w:ind w:firstLine="720" w:firstLineChars="300"/>
        <w:jc w:val="right"/>
        <w:textAlignment w:val="center"/>
      </w:pPr>
      <w:r>
        <w:rPr>
          <w:position w:val="-32"/>
        </w:rPr>
        <w:object>
          <v:shape id="_x0000_i1089" o:spt="75" type="#_x0000_t75" style="height:38.25pt;width:217.35pt;" o:ole="t" filled="f" o:preferrelative="t" stroked="f" coordsize="21600,21600">
            <v:path/>
            <v:fill on="f" focussize="0,0"/>
            <v:stroke on="f" joinstyle="miter"/>
            <v:imagedata r:id="rId140" o:title=""/>
            <o:lock v:ext="edit" aspectratio="t"/>
            <w10:wrap type="none"/>
            <w10:anchorlock/>
          </v:shape>
          <o:OLEObject Type="Embed" ProgID="Equation.DSMT4" ShapeID="_x0000_i1089" DrawAspect="Content" ObjectID="_1468075789" r:id="rId139">
            <o:LockedField>false</o:LockedField>
          </o:OLEObject>
        </w:object>
      </w:r>
      <w:r>
        <w:t xml:space="preserve">           （5.4.6）</w:t>
      </w:r>
    </w:p>
    <w:p w14:paraId="51B3B808">
      <w:pPr>
        <w:textAlignment w:val="center"/>
      </w:pPr>
      <w:r>
        <w:t>式中：</w:t>
      </w:r>
      <w:r>
        <w:tab/>
      </w:r>
      <w:r>
        <w:rPr>
          <w:position w:val="-12"/>
        </w:rPr>
        <w:object>
          <v:shape id="_x0000_i1090" o:spt="75" type="#_x0000_t75" style="height:18.75pt;width:12pt;" o:ole="t" filled="f" o:preferrelative="t" stroked="f" coordsize="21600,21600">
            <v:path/>
            <v:fill on="f" focussize="0,0"/>
            <v:stroke on="f" joinstyle="miter"/>
            <v:imagedata r:id="rId142" o:title=""/>
            <o:lock v:ext="edit" aspectratio="t"/>
            <w10:wrap type="none"/>
            <w10:anchorlock/>
          </v:shape>
          <o:OLEObject Type="Embed" ProgID="Equation.DSMT4" ShapeID="_x0000_i1090" DrawAspect="Content" ObjectID="_1468075790" r:id="rId141">
            <o:LockedField>false</o:LockedField>
          </o:OLEObject>
        </w:object>
      </w:r>
      <w:r>
        <w:t>——预应力；</w:t>
      </w:r>
    </w:p>
    <w:p w14:paraId="741609FC">
      <w:pPr>
        <w:ind w:firstLine="720" w:firstLineChars="300"/>
        <w:textAlignment w:val="center"/>
      </w:pPr>
      <w:r>
        <w:rPr>
          <w:position w:val="-12"/>
        </w:rPr>
        <w:object>
          <v:shape id="_x0000_i1091" o:spt="75" type="#_x0000_t75" style="height:19.5pt;width:15pt;" o:ole="t" filled="f" o:preferrelative="t" stroked="f" coordsize="21600,21600">
            <v:path/>
            <v:fill on="f" focussize="0,0"/>
            <v:stroke on="f" joinstyle="miter"/>
            <v:imagedata r:id="rId144" o:title=""/>
            <o:lock v:ext="edit" aspectratio="t"/>
            <w10:wrap type="none"/>
            <w10:anchorlock/>
          </v:shape>
          <o:OLEObject Type="Embed" ProgID="Equation.DSMT4" ShapeID="_x0000_i1091" DrawAspect="Content" ObjectID="_1468075791" r:id="rId143">
            <o:LockedField>false</o:LockedField>
          </o:OLEObject>
        </w:object>
      </w:r>
      <w:r>
        <w:t>——偶然作用的设计值；</w:t>
      </w:r>
    </w:p>
    <w:p w14:paraId="1307ED01">
      <w:pPr>
        <w:ind w:firstLine="669" w:firstLineChars="279"/>
        <w:textAlignment w:val="center"/>
      </w:pPr>
      <w:r>
        <w:rPr>
          <w:position w:val="-12"/>
        </w:rPr>
        <w:object>
          <v:shape id="_x0000_i1092" o:spt="75" type="#_x0000_t75" style="height:19.5pt;width:16.5pt;" o:ole="t" filled="f" o:preferrelative="t" stroked="f" coordsize="21600,21600">
            <v:path/>
            <v:fill on="f" focussize="0,0"/>
            <v:stroke on="f" joinstyle="miter"/>
            <v:imagedata r:id="rId146" o:title=""/>
            <o:lock v:ext="edit" aspectratio="t"/>
            <w10:wrap type="none"/>
            <w10:anchorlock/>
          </v:shape>
          <o:OLEObject Type="Embed" ProgID="Equation.DSMT4" ShapeID="_x0000_i1092" DrawAspect="Content" ObjectID="_1468075792" r:id="rId145">
            <o:LockedField>false</o:LockedField>
          </o:OLEObject>
        </w:object>
      </w:r>
      <w:r>
        <w:t>——第1个可变作用的频遇值系数；</w:t>
      </w:r>
    </w:p>
    <w:p w14:paraId="42794BC1">
      <w:pPr>
        <w:ind w:firstLine="669" w:firstLineChars="279"/>
        <w:textAlignment w:val="center"/>
      </w:pPr>
      <w:r>
        <w:rPr>
          <w:position w:val="-14"/>
        </w:rPr>
        <w:object>
          <v:shape id="_x0000_i1093" o:spt="75" type="#_x0000_t75" style="height:20.25pt;width:15.75pt;" o:ole="t" filled="f" o:preferrelative="t" stroked="f" coordsize="21600,21600">
            <v:path/>
            <v:fill on="f" focussize="0,0"/>
            <v:stroke on="f" joinstyle="miter"/>
            <v:imagedata r:id="rId148" o:title=""/>
            <o:lock v:ext="edit" aspectratio="t"/>
            <w10:wrap type="none"/>
            <w10:anchorlock/>
          </v:shape>
          <o:OLEObject Type="Embed" ProgID="Equation.DSMT4" ShapeID="_x0000_i1093" DrawAspect="Content" ObjectID="_1468075793" r:id="rId147">
            <o:LockedField>false</o:LockedField>
          </o:OLEObject>
        </w:object>
      </w:r>
      <w:r>
        <w:t>——第j个可变作用的准永久值系数。</w:t>
      </w:r>
    </w:p>
    <w:p w14:paraId="2147FCC4">
      <w:r>
        <w:rPr>
          <w:b/>
          <w:bCs/>
        </w:rPr>
        <w:t xml:space="preserve">5.4.7  </w:t>
      </w:r>
      <w:r>
        <w:t>顶管结构正常使用极限状态设计，应符合下式规定：</w:t>
      </w:r>
    </w:p>
    <w:p w14:paraId="1B0A44B6">
      <w:pPr>
        <w:tabs>
          <w:tab w:val="right" w:pos="8222"/>
        </w:tabs>
        <w:wordWrap w:val="0"/>
        <w:ind w:firstLine="1848" w:firstLineChars="770"/>
        <w:jc w:val="right"/>
      </w:pPr>
      <w:r>
        <w:rPr>
          <w:position w:val="-12"/>
        </w:rPr>
        <w:object>
          <v:shape id="_x0000_i1094" o:spt="75" type="#_x0000_t75" style="height:19.5pt;width:36pt;" o:ole="t" filled="f" o:preferrelative="t" stroked="f" coordsize="21600,21600">
            <v:path/>
            <v:fill on="f" focussize="0,0"/>
            <v:stroke on="f" joinstyle="miter"/>
            <v:imagedata r:id="rId150" o:title=""/>
            <o:lock v:ext="edit" aspectratio="t"/>
            <w10:wrap type="none"/>
            <w10:anchorlock/>
          </v:shape>
          <o:OLEObject Type="Embed" ProgID="Equation.DSMT4" ShapeID="_x0000_i1094" DrawAspect="Content" ObjectID="_1468075794" r:id="rId149">
            <o:LockedField>false</o:LockedField>
          </o:OLEObject>
        </w:object>
      </w:r>
      <w:r>
        <w:rPr>
          <w:rFonts w:hint="eastAsia"/>
        </w:rPr>
        <w:t xml:space="preserve">                          </w:t>
      </w:r>
      <w:r>
        <w:t>（5.4.7）</w:t>
      </w:r>
    </w:p>
    <w:p w14:paraId="5A23B1DF">
      <w:pPr>
        <w:textAlignment w:val="center"/>
      </w:pPr>
      <w:r>
        <w:t>式中：</w:t>
      </w:r>
      <w:r>
        <w:tab/>
      </w:r>
      <w:r>
        <w:rPr>
          <w:position w:val="-12"/>
        </w:rPr>
        <w:object>
          <v:shape id="_x0000_i1095" o:spt="75" type="#_x0000_t75" style="height:19.5pt;width:14.25pt;" o:ole="t" filled="f" o:preferrelative="t" stroked="f" coordsize="21600,21600">
            <v:path/>
            <v:fill on="f" focussize="0,0"/>
            <v:stroke on="f" joinstyle="miter"/>
            <v:imagedata r:id="rId152" o:title=""/>
            <o:lock v:ext="edit" aspectratio="t"/>
            <w10:wrap type="none"/>
            <w10:anchorlock/>
          </v:shape>
          <o:OLEObject Type="Embed" ProgID="Equation.DSMT4" ShapeID="_x0000_i1095" DrawAspect="Content" ObjectID="_1468075795" r:id="rId151">
            <o:LockedField>false</o:LockedField>
          </o:OLEObject>
        </w:object>
      </w:r>
      <w:r>
        <w:t>——作用组合的效应设计值；</w:t>
      </w:r>
    </w:p>
    <w:p w14:paraId="7DC8C914">
      <w:pPr>
        <w:ind w:left="1560" w:leftChars="350" w:hanging="720" w:hangingChars="300"/>
        <w:textAlignment w:val="center"/>
      </w:pPr>
      <w:r>
        <w:object>
          <v:shape id="_x0000_i1096" o:spt="75" type="#_x0000_t75" style="height:15pt;width:12pt;" o:ole="t" filled="f" o:preferrelative="t" stroked="f" coordsize="21600,21600">
            <v:path/>
            <v:fill on="f" focussize="0,0"/>
            <v:stroke on="f" joinstyle="miter"/>
            <v:imagedata r:id="rId154" o:title=""/>
            <o:lock v:ext="edit" aspectratio="t"/>
            <w10:wrap type="none"/>
            <w10:anchorlock/>
          </v:shape>
          <o:OLEObject Type="Embed" ProgID="Equation.DSMT4" ShapeID="_x0000_i1096" DrawAspect="Content" ObjectID="_1468075796" r:id="rId153">
            <o:LockedField>false</o:LockedField>
          </o:OLEObject>
        </w:object>
      </w:r>
      <w:r>
        <w:t>——设计对变形、裂缝等规定的相应限值，按</w:t>
      </w:r>
      <w:r>
        <w:rPr>
          <w:rFonts w:hint="eastAsia"/>
        </w:rPr>
        <w:t>现行国家标准《工程结构可靠性设计统一标准》GB 50153</w:t>
      </w:r>
      <w:r>
        <w:t>的有关规定采用。</w:t>
      </w:r>
    </w:p>
    <w:p w14:paraId="4D619ED2">
      <w:pPr>
        <w:textAlignment w:val="center"/>
      </w:pPr>
      <w:r>
        <w:rPr>
          <w:b/>
          <w:bCs/>
        </w:rPr>
        <w:t xml:space="preserve">5.4.8 </w:t>
      </w:r>
      <w:r>
        <w:t xml:space="preserve"> 结构构件按正常使用极限状态验算时，应采用作用效应的标准组合、频遇组合或准永久组合，其中</w:t>
      </w:r>
      <w:r>
        <w:rPr>
          <w:rFonts w:hint="eastAsia"/>
        </w:rPr>
        <w:t>作用组合的效应设计值（</w:t>
      </w:r>
      <w:r>
        <w:rPr>
          <w:position w:val="-12"/>
        </w:rPr>
        <w:object>
          <v:shape id="_x0000_i1097" o:spt="75" type="#_x0000_t75" style="height:19.5pt;width:14.25pt;" o:ole="t" filled="f" o:preferrelative="t" stroked="f" coordsize="21600,21600">
            <v:path/>
            <v:fill on="f" focussize="0,0"/>
            <v:stroke on="f" joinstyle="miter"/>
            <v:imagedata r:id="rId156" o:title=""/>
            <o:lock v:ext="edit" aspectratio="t"/>
            <w10:wrap type="none"/>
            <w10:anchorlock/>
          </v:shape>
          <o:OLEObject Type="Embed" ProgID="Equation.DSMT4" ShapeID="_x0000_i1097" DrawAspect="Content" ObjectID="_1468075797" r:id="rId155">
            <o:LockedField>false</o:LockedField>
          </o:OLEObject>
        </w:object>
      </w:r>
      <w:r>
        <w:rPr>
          <w:rFonts w:hint="eastAsia"/>
        </w:rPr>
        <w:t>）</w:t>
      </w:r>
      <w:r>
        <w:t>应按下式计算：</w:t>
      </w:r>
    </w:p>
    <w:p w14:paraId="6E1FF10A">
      <w:pPr>
        <w:tabs>
          <w:tab w:val="right" w:pos="8222"/>
        </w:tabs>
        <w:ind w:firstLine="648" w:firstLineChars="270"/>
        <w:textAlignment w:val="center"/>
      </w:pPr>
      <w:r>
        <w:rPr>
          <w:position w:val="-150"/>
        </w:rPr>
        <w:object>
          <v:shape id="_x0000_i1098" o:spt="75" type="#_x0000_t75" style="height:156.8pt;width:286.55pt;" o:ole="t" filled="f" o:preferrelative="t" stroked="f" coordsize="21600,21600">
            <v:path/>
            <v:fill on="f" focussize="0,0"/>
            <v:stroke on="f" joinstyle="miter"/>
            <v:imagedata r:id="rId158" o:title=""/>
            <o:lock v:ext="edit" aspectratio="t"/>
            <w10:wrap type="none"/>
            <w10:anchorlock/>
          </v:shape>
          <o:OLEObject Type="Embed" ProgID="Equation.3" ShapeID="_x0000_i1098" DrawAspect="Content" ObjectID="_1468075798" r:id="rId157">
            <o:LockedField>false</o:LockedField>
          </o:OLEObject>
        </w:object>
      </w:r>
      <w:r>
        <w:t xml:space="preserve">     （5.4.8）</w:t>
      </w:r>
    </w:p>
    <w:p w14:paraId="1D5495BE">
      <w:r>
        <w:rPr>
          <w:b/>
          <w:bCs/>
        </w:rPr>
        <w:t xml:space="preserve">5.4.9  </w:t>
      </w:r>
      <w:r>
        <w:t>裂缝宽度计算及限值应按工程所属行业的相关设计规范进行</w:t>
      </w:r>
      <w:r>
        <w:rPr>
          <w:rFonts w:hint="eastAsia"/>
        </w:rPr>
        <w:t>。</w:t>
      </w:r>
    </w:p>
    <w:p w14:paraId="5174A778">
      <w:pPr>
        <w:keepNext/>
        <w:keepLines/>
        <w:jc w:val="center"/>
        <w:outlineLvl w:val="1"/>
        <w:rPr>
          <w:rFonts w:eastAsia="黑体"/>
          <w:bCs/>
          <w:sz w:val="28"/>
          <w:szCs w:val="32"/>
        </w:rPr>
      </w:pPr>
      <w:bookmarkStart w:id="211" w:name="_Toc60172899"/>
      <w:bookmarkStart w:id="212" w:name="_Toc2203"/>
      <w:bookmarkStart w:id="213" w:name="_Toc20039"/>
      <w:bookmarkStart w:id="214" w:name="_Toc23651"/>
      <w:bookmarkStart w:id="215" w:name="_Toc18057037"/>
      <w:bookmarkStart w:id="216" w:name="_Toc6314"/>
      <w:bookmarkStart w:id="217" w:name="_Toc22250"/>
      <w:bookmarkStart w:id="218" w:name="_Toc60173786"/>
      <w:bookmarkStart w:id="219" w:name="_Toc24251"/>
      <w:bookmarkStart w:id="220" w:name="_Toc9330"/>
      <w:bookmarkStart w:id="221" w:name="_Toc47692157"/>
      <w:r>
        <w:rPr>
          <w:rFonts w:eastAsia="黑体"/>
          <w:b/>
          <w:bCs/>
          <w:sz w:val="28"/>
          <w:szCs w:val="32"/>
        </w:rPr>
        <w:t>5.5</w:t>
      </w:r>
      <w:r>
        <w:rPr>
          <w:rFonts w:eastAsia="黑体"/>
          <w:bCs/>
          <w:sz w:val="28"/>
          <w:szCs w:val="32"/>
        </w:rPr>
        <w:t xml:space="preserve">  管节构造设计</w:t>
      </w:r>
      <w:bookmarkEnd w:id="211"/>
      <w:bookmarkEnd w:id="212"/>
      <w:bookmarkEnd w:id="213"/>
      <w:bookmarkEnd w:id="214"/>
      <w:bookmarkEnd w:id="215"/>
      <w:bookmarkEnd w:id="216"/>
      <w:bookmarkEnd w:id="217"/>
      <w:bookmarkEnd w:id="218"/>
      <w:bookmarkEnd w:id="219"/>
      <w:bookmarkEnd w:id="220"/>
      <w:bookmarkEnd w:id="221"/>
    </w:p>
    <w:p w14:paraId="541599EE">
      <w:r>
        <w:rPr>
          <w:b/>
          <w:bCs/>
        </w:rPr>
        <w:t xml:space="preserve">5.5.1  </w:t>
      </w:r>
      <w:r>
        <w:t>管节混凝土强度等级不宜小于C50，</w:t>
      </w:r>
      <w:r>
        <w:rPr>
          <w:bCs/>
        </w:rPr>
        <w:t>管节</w:t>
      </w:r>
      <w:r>
        <w:t>混凝土抗渗等级不宜低于P10。</w:t>
      </w:r>
      <w:r>
        <w:rPr>
          <w:bCs/>
        </w:rPr>
        <w:t xml:space="preserve"> </w:t>
      </w:r>
      <w:r>
        <w:t>最外层钢筋的混凝土保护层</w:t>
      </w:r>
      <w:r>
        <w:rPr>
          <w:rFonts w:hint="eastAsia"/>
        </w:rPr>
        <w:t>最小厚度</w:t>
      </w:r>
      <w:r>
        <w:t>应根据安全等级和不同环境下管节耐久性要求确定，并宜</w:t>
      </w:r>
      <w:r>
        <w:rPr>
          <w:rFonts w:hint="eastAsia"/>
        </w:rPr>
        <w:t>符合</w:t>
      </w:r>
      <w:r>
        <w:t>表5.5.1</w:t>
      </w:r>
      <w:r>
        <w:rPr>
          <w:rFonts w:hint="eastAsia"/>
        </w:rPr>
        <w:t>的规定</w:t>
      </w:r>
      <w:r>
        <w:t>。</w:t>
      </w:r>
    </w:p>
    <w:p w14:paraId="4C3E1156">
      <w:pPr>
        <w:autoSpaceDE w:val="0"/>
        <w:autoSpaceDN w:val="0"/>
        <w:adjustRightInd w:val="0"/>
        <w:jc w:val="center"/>
        <w:rPr>
          <w:b/>
          <w:bCs/>
          <w:sz w:val="21"/>
          <w:szCs w:val="18"/>
        </w:rPr>
      </w:pPr>
      <w:r>
        <w:rPr>
          <w:b/>
          <w:bCs/>
          <w:sz w:val="21"/>
          <w:szCs w:val="18"/>
        </w:rPr>
        <w:t>表5.5.1  混凝土保护层最小厚度（mm）</w:t>
      </w:r>
    </w:p>
    <w:tbl>
      <w:tblPr>
        <w:tblStyle w:val="35"/>
        <w:tblW w:w="6819"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792"/>
        <w:gridCol w:w="2475"/>
        <w:gridCol w:w="2552"/>
      </w:tblGrid>
      <w:tr w14:paraId="78FF61E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792" w:type="dxa"/>
            <w:vAlign w:val="center"/>
          </w:tcPr>
          <w:p w14:paraId="195B87A7">
            <w:pPr>
              <w:autoSpaceDE w:val="0"/>
              <w:autoSpaceDN w:val="0"/>
              <w:adjustRightInd w:val="0"/>
              <w:jc w:val="center"/>
              <w:rPr>
                <w:sz w:val="21"/>
              </w:rPr>
            </w:pPr>
            <w:r>
              <w:rPr>
                <w:sz w:val="21"/>
              </w:rPr>
              <w:t>类型</w:t>
            </w:r>
          </w:p>
        </w:tc>
        <w:tc>
          <w:tcPr>
            <w:tcW w:w="2475" w:type="dxa"/>
            <w:vAlign w:val="center"/>
          </w:tcPr>
          <w:p w14:paraId="374F82A5">
            <w:pPr>
              <w:autoSpaceDE w:val="0"/>
              <w:autoSpaceDN w:val="0"/>
              <w:adjustRightInd w:val="0"/>
              <w:jc w:val="center"/>
              <w:rPr>
                <w:sz w:val="21"/>
              </w:rPr>
            </w:pPr>
            <w:r>
              <w:rPr>
                <w:sz w:val="21"/>
              </w:rPr>
              <w:t>直接与水接触</w:t>
            </w:r>
          </w:p>
        </w:tc>
        <w:tc>
          <w:tcPr>
            <w:tcW w:w="2552" w:type="dxa"/>
            <w:vAlign w:val="center"/>
          </w:tcPr>
          <w:p w14:paraId="3162066A">
            <w:pPr>
              <w:autoSpaceDE w:val="0"/>
              <w:autoSpaceDN w:val="0"/>
              <w:adjustRightInd w:val="0"/>
              <w:jc w:val="center"/>
              <w:rPr>
                <w:sz w:val="21"/>
              </w:rPr>
            </w:pPr>
            <w:r>
              <w:rPr>
                <w:sz w:val="21"/>
              </w:rPr>
              <w:t>不直接与水接触</w:t>
            </w:r>
          </w:p>
        </w:tc>
      </w:tr>
      <w:tr w14:paraId="58B41D2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792" w:type="dxa"/>
            <w:vAlign w:val="center"/>
          </w:tcPr>
          <w:p w14:paraId="2A7C6A88">
            <w:pPr>
              <w:autoSpaceDE w:val="0"/>
              <w:autoSpaceDN w:val="0"/>
              <w:adjustRightInd w:val="0"/>
              <w:jc w:val="center"/>
              <w:rPr>
                <w:sz w:val="21"/>
              </w:rPr>
            </w:pPr>
            <w:r>
              <w:rPr>
                <w:sz w:val="21"/>
              </w:rPr>
              <w:t>一级</w:t>
            </w:r>
          </w:p>
        </w:tc>
        <w:tc>
          <w:tcPr>
            <w:tcW w:w="2475" w:type="dxa"/>
            <w:vAlign w:val="center"/>
          </w:tcPr>
          <w:p w14:paraId="530AE21A">
            <w:pPr>
              <w:autoSpaceDE w:val="0"/>
              <w:autoSpaceDN w:val="0"/>
              <w:adjustRightInd w:val="0"/>
              <w:jc w:val="center"/>
              <w:rPr>
                <w:sz w:val="21"/>
              </w:rPr>
            </w:pPr>
            <w:r>
              <w:rPr>
                <w:sz w:val="21"/>
              </w:rPr>
              <w:t>50</w:t>
            </w:r>
          </w:p>
        </w:tc>
        <w:tc>
          <w:tcPr>
            <w:tcW w:w="2552" w:type="dxa"/>
            <w:vAlign w:val="center"/>
          </w:tcPr>
          <w:p w14:paraId="661520E9">
            <w:pPr>
              <w:autoSpaceDE w:val="0"/>
              <w:autoSpaceDN w:val="0"/>
              <w:adjustRightInd w:val="0"/>
              <w:jc w:val="center"/>
              <w:rPr>
                <w:sz w:val="21"/>
              </w:rPr>
            </w:pPr>
            <w:r>
              <w:rPr>
                <w:sz w:val="21"/>
              </w:rPr>
              <w:t>40</w:t>
            </w:r>
          </w:p>
        </w:tc>
      </w:tr>
      <w:tr w14:paraId="714511E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792" w:type="dxa"/>
            <w:vAlign w:val="center"/>
          </w:tcPr>
          <w:p w14:paraId="2AB3B710">
            <w:pPr>
              <w:autoSpaceDE w:val="0"/>
              <w:autoSpaceDN w:val="0"/>
              <w:adjustRightInd w:val="0"/>
              <w:jc w:val="center"/>
              <w:rPr>
                <w:sz w:val="21"/>
              </w:rPr>
            </w:pPr>
            <w:r>
              <w:rPr>
                <w:sz w:val="21"/>
              </w:rPr>
              <w:t>二级</w:t>
            </w:r>
          </w:p>
        </w:tc>
        <w:tc>
          <w:tcPr>
            <w:tcW w:w="2475" w:type="dxa"/>
            <w:vAlign w:val="center"/>
          </w:tcPr>
          <w:p w14:paraId="3464F51A">
            <w:pPr>
              <w:autoSpaceDE w:val="0"/>
              <w:autoSpaceDN w:val="0"/>
              <w:adjustRightInd w:val="0"/>
              <w:jc w:val="center"/>
              <w:rPr>
                <w:sz w:val="21"/>
              </w:rPr>
            </w:pPr>
            <w:r>
              <w:rPr>
                <w:sz w:val="21"/>
              </w:rPr>
              <w:t>40</w:t>
            </w:r>
          </w:p>
        </w:tc>
        <w:tc>
          <w:tcPr>
            <w:tcW w:w="2552" w:type="dxa"/>
            <w:vAlign w:val="center"/>
          </w:tcPr>
          <w:p w14:paraId="3DA89C33">
            <w:pPr>
              <w:autoSpaceDE w:val="0"/>
              <w:autoSpaceDN w:val="0"/>
              <w:adjustRightInd w:val="0"/>
              <w:jc w:val="center"/>
              <w:rPr>
                <w:sz w:val="21"/>
              </w:rPr>
            </w:pPr>
            <w:r>
              <w:rPr>
                <w:sz w:val="21"/>
              </w:rPr>
              <w:t>30</w:t>
            </w:r>
          </w:p>
        </w:tc>
      </w:tr>
    </w:tbl>
    <w:p w14:paraId="0FA1ECBB">
      <w:r>
        <w:rPr>
          <w:b/>
          <w:bCs/>
        </w:rPr>
        <w:t>5.5.2</w:t>
      </w:r>
      <w:r>
        <w:t xml:space="preserve">  管节钢筋选用宜符合下列规定：</w:t>
      </w:r>
    </w:p>
    <w:p w14:paraId="257E69B6">
      <w:pPr>
        <w:ind w:firstLine="482" w:firstLineChars="200"/>
      </w:pPr>
      <w:r>
        <w:rPr>
          <w:b/>
          <w:bCs/>
        </w:rPr>
        <w:t xml:space="preserve">1 </w:t>
      </w:r>
      <w:r>
        <w:t xml:space="preserve"> 纵筋宜采用HRB400，HRB500，HRBF400，HRBF500钢筋；</w:t>
      </w:r>
    </w:p>
    <w:p w14:paraId="2B4F9FFB">
      <w:pPr>
        <w:ind w:firstLine="482" w:firstLineChars="200"/>
      </w:pPr>
      <w:r>
        <w:rPr>
          <w:b/>
          <w:bCs/>
        </w:rPr>
        <w:t>2</w:t>
      </w:r>
      <w:r>
        <w:t xml:space="preserve">  箍筋宜采用HPB300，HRB400，HRB500，HRBF400，HRBF500钢筋；</w:t>
      </w:r>
    </w:p>
    <w:p w14:paraId="591B150B">
      <w:r>
        <w:rPr>
          <w:b/>
          <w:bCs/>
        </w:rPr>
        <w:t xml:space="preserve">5.5.3  </w:t>
      </w:r>
      <w:r>
        <w:t>管节纵向钢筋的最小配筋率不宜低于0.2%，间距不宜大于150mm。当混凝土强度等级大于C60时，最小配筋率宜增加0.1%。</w:t>
      </w:r>
    </w:p>
    <w:p w14:paraId="1FC7CED2">
      <w:r>
        <w:rPr>
          <w:b/>
          <w:bCs/>
        </w:rPr>
        <w:t xml:space="preserve">5.5.4  </w:t>
      </w:r>
      <w:r>
        <w:t>管节顶、底板与侧墙连接处宜设置腋角，配筋面积可为受力钢筋的截面面积的50%。</w:t>
      </w:r>
    </w:p>
    <w:p w14:paraId="0238B12B">
      <w:r>
        <w:rPr>
          <w:b/>
          <w:bCs/>
        </w:rPr>
        <w:t xml:space="preserve">5.5.5  </w:t>
      </w:r>
      <w:r>
        <w:t>混凝土管节传力面允许最大顶力应按下式计算：</w:t>
      </w:r>
    </w:p>
    <w:p w14:paraId="1C2B4011">
      <w:pPr>
        <w:spacing w:line="300" w:lineRule="auto"/>
        <w:ind w:firstLine="972" w:firstLineChars="405"/>
        <w:jc w:val="right"/>
        <w:rPr>
          <w:rFonts w:eastAsia="仿宋_GB2312"/>
        </w:rPr>
      </w:pPr>
      <w:bookmarkStart w:id="222" w:name="_Hlk12954239"/>
      <w:r>
        <w:rPr>
          <w:rFonts w:eastAsia="仿宋_GB2312"/>
          <w:position w:val="-30"/>
          <w:szCs w:val="24"/>
        </w:rPr>
        <w:object>
          <v:shape id="_x0000_i1099" o:spt="75" type="#_x0000_t75" style="height:34.5pt;width:99pt;" o:ole="t" filled="f" o:preferrelative="t" stroked="f" coordsize="21600,21600">
            <v:path/>
            <v:fill on="f" focussize="0,0"/>
            <v:stroke on="f" joinstyle="miter"/>
            <v:imagedata r:id="rId160" o:title=""/>
            <o:lock v:ext="edit" aspectratio="t"/>
            <w10:wrap type="none"/>
            <w10:anchorlock/>
          </v:shape>
          <o:OLEObject Type="Embed" ProgID="Equation.DSMT4" ShapeID="_x0000_i1099" DrawAspect="Content" ObjectID="_1468075799" r:id="rId159">
            <o:LockedField>false</o:LockedField>
          </o:OLEObject>
        </w:object>
      </w:r>
      <w:r>
        <w:rPr>
          <w:rFonts w:eastAsia="仿宋_GB2312"/>
        </w:rPr>
        <w:t xml:space="preserve">                      （5.5.5）</w:t>
      </w:r>
    </w:p>
    <w:p w14:paraId="08C879F4">
      <w:pPr>
        <w:textAlignment w:val="center"/>
      </w:pPr>
      <w:r>
        <w:t>式中:</w:t>
      </w:r>
      <w:r>
        <w:tab/>
      </w:r>
      <w:r>
        <w:rPr>
          <w:position w:val="-12"/>
        </w:rPr>
        <w:object>
          <v:shape id="_x0000_i1100" o:spt="75" type="#_x0000_t75" style="height:19.5pt;width:15.75pt;" o:ole="t" filled="f" o:preferrelative="t" stroked="f" coordsize="21600,21600">
            <v:path/>
            <v:fill on="f" focussize="0,0"/>
            <v:stroke on="f" joinstyle="miter"/>
            <v:imagedata r:id="rId162" o:title=""/>
            <o:lock v:ext="edit" aspectratio="t"/>
            <w10:wrap type="none"/>
            <w10:anchorlock/>
          </v:shape>
          <o:OLEObject Type="Embed" ProgID="Equation.DSMT4" ShapeID="_x0000_i1100" DrawAspect="Content" ObjectID="_1468075800" r:id="rId161">
            <o:LockedField>false</o:LockedField>
          </o:OLEObject>
        </w:object>
      </w:r>
      <w:r>
        <w:t>——管节允许顶力设计值（N）；</w:t>
      </w:r>
    </w:p>
    <w:p w14:paraId="1FAD0D18">
      <w:pPr>
        <w:ind w:left="420" w:firstLine="505"/>
        <w:textAlignment w:val="center"/>
      </w:pPr>
      <w:r>
        <w:object>
          <v:shape id="_x0000_i1101" o:spt="75" type="#_x0000_t75" style="height:19.5pt;width:12pt;" o:ole="t" filled="f" o:preferrelative="t" stroked="f" coordsize="21600,21600">
            <v:path/>
            <v:fill on="f" focussize="0,0"/>
            <v:stroke on="f" joinstyle="miter"/>
            <v:imagedata r:id="rId164" o:title=""/>
            <o:lock v:ext="edit" aspectratio="t"/>
            <w10:wrap type="none"/>
            <w10:anchorlock/>
          </v:shape>
          <o:OLEObject Type="Embed" ProgID="Equation.DSMT4" ShapeID="_x0000_i1101" DrawAspect="Content" ObjectID="_1468075801" r:id="rId163">
            <o:LockedField>false</o:LockedField>
          </o:OLEObject>
        </w:object>
      </w:r>
      <w:r>
        <w:t>——混凝土受压强度折减系数，取0.9；</w:t>
      </w:r>
    </w:p>
    <w:p w14:paraId="1292A4AF">
      <w:pPr>
        <w:ind w:left="420" w:firstLine="420"/>
        <w:textAlignment w:val="center"/>
      </w:pPr>
      <w:r>
        <w:object>
          <v:shape id="_x0000_i1102" o:spt="75" type="#_x0000_t75" style="height:19.5pt;width:14.25pt;" o:ole="t" filled="f" o:preferrelative="t" stroked="f" coordsize="21600,21600">
            <v:path/>
            <v:fill on="f" focussize="0,0"/>
            <v:stroke on="f" joinstyle="miter"/>
            <v:imagedata r:id="rId166" o:title=""/>
            <o:lock v:ext="edit" aspectratio="t"/>
            <w10:wrap type="none"/>
            <w10:anchorlock/>
          </v:shape>
          <o:OLEObject Type="Embed" ProgID="Equation.DSMT4" ShapeID="_x0000_i1102" DrawAspect="Content" ObjectID="_1468075802" r:id="rId165">
            <o:LockedField>false</o:LockedField>
          </o:OLEObject>
        </w:object>
      </w:r>
      <w:r>
        <w:t>——偏心受压强度提高系数，取1.05；</w:t>
      </w:r>
    </w:p>
    <w:p w14:paraId="031BD97A">
      <w:pPr>
        <w:ind w:left="420" w:firstLine="420"/>
        <w:textAlignment w:val="center"/>
      </w:pPr>
      <w:r>
        <w:object>
          <v:shape id="_x0000_i1103" o:spt="75" type="#_x0000_t75" style="height:19.5pt;width:12pt;" o:ole="t" filled="f" o:preferrelative="t" stroked="f" coordsize="21600,21600">
            <v:path/>
            <v:fill on="f" focussize="0,0"/>
            <v:stroke on="f" joinstyle="miter"/>
            <v:imagedata r:id="rId168" o:title=""/>
            <o:lock v:ext="edit" aspectratio="t"/>
            <w10:wrap type="none"/>
            <w10:anchorlock/>
          </v:shape>
          <o:OLEObject Type="Embed" ProgID="Equation.DSMT4" ShapeID="_x0000_i1103" DrawAspect="Content" ObjectID="_1468075803" r:id="rId167">
            <o:LockedField>false</o:LockedField>
          </o:OLEObject>
        </w:object>
      </w:r>
      <w:r>
        <w:t>——材料脆性系数，取0.85；</w:t>
      </w:r>
    </w:p>
    <w:p w14:paraId="54E8EB75">
      <w:pPr>
        <w:ind w:left="420" w:firstLine="420"/>
        <w:textAlignment w:val="center"/>
      </w:pPr>
      <w:r>
        <w:object>
          <v:shape id="_x0000_i1104" o:spt="75" type="#_x0000_t75" style="height:19.5pt;width:12pt;" o:ole="t" filled="f" o:preferrelative="t" stroked="f" coordsize="21600,21600">
            <v:path/>
            <v:fill on="f" focussize="0,0"/>
            <v:stroke on="f" joinstyle="miter"/>
            <v:imagedata r:id="rId170" o:title=""/>
            <o:lock v:ext="edit" aspectratio="t"/>
            <w10:wrap type="none"/>
            <w10:anchorlock/>
          </v:shape>
          <o:OLEObject Type="Embed" ProgID="Equation.DSMT4" ShapeID="_x0000_i1104" DrawAspect="Content" ObjectID="_1468075804" r:id="rId169">
            <o:LockedField>false</o:LockedField>
          </o:OLEObject>
        </w:object>
      </w:r>
      <w:r>
        <w:t>——混凝土强度标准调整系数，取0.79；</w:t>
      </w:r>
    </w:p>
    <w:p w14:paraId="037FB660">
      <w:pPr>
        <w:ind w:left="420" w:firstLine="255"/>
        <w:textAlignment w:val="center"/>
      </w:pPr>
      <w:r>
        <w:rPr>
          <w:position w:val="-12"/>
        </w:rPr>
        <w:object>
          <v:shape id="_x0000_i1105" o:spt="75" type="#_x0000_t75" style="height:17.25pt;width:16.5pt;" o:ole="t" filled="f" o:preferrelative="t" stroked="f" coordsize="21600,21600">
            <v:path/>
            <v:fill on="f" focussize="0,0"/>
            <v:stroke on="f" joinstyle="miter"/>
            <v:imagedata r:id="rId172" o:title=""/>
            <o:lock v:ext="edit" aspectratio="t"/>
            <w10:wrap type="none"/>
            <w10:anchorlock/>
          </v:shape>
          <o:OLEObject Type="Embed" ProgID="Equation.DSMT4" ShapeID="_x0000_i1105" DrawAspect="Content" ObjectID="_1468075805" r:id="rId171">
            <o:LockedField>false</o:LockedField>
          </o:OLEObject>
        </w:object>
      </w:r>
      <w:r>
        <w:t>——安全系数，取1.3～1.4。</w:t>
      </w:r>
    </w:p>
    <w:bookmarkEnd w:id="222"/>
    <w:p w14:paraId="0ABA6822">
      <w:pPr>
        <w:ind w:left="420" w:firstLine="329"/>
        <w:textAlignment w:val="center"/>
      </w:pPr>
      <w:r>
        <w:rPr>
          <w:position w:val="-12"/>
        </w:rPr>
        <w:object>
          <v:shape id="_x0000_i1106" o:spt="75" type="#_x0000_t75" style="height:19.5pt;width:15pt;" o:ole="t" filled="f" o:preferrelative="t" stroked="f" coordsize="21600,21600">
            <v:path/>
            <v:fill on="f" focussize="0,0"/>
            <v:stroke on="f" joinstyle="miter"/>
            <v:imagedata r:id="rId174" o:title=""/>
            <o:lock v:ext="edit" aspectratio="t"/>
            <w10:wrap type="none"/>
            <w10:anchorlock/>
          </v:shape>
          <o:OLEObject Type="Embed" ProgID="Equation.DSMT4" ShapeID="_x0000_i1106" DrawAspect="Content" ObjectID="_1468075806" r:id="rId173">
            <o:LockedField>false</o:LockedField>
          </o:OLEObject>
        </w:object>
      </w:r>
      <w:r>
        <w:t>——混凝土受压强度设计值（N/mm</w:t>
      </w:r>
      <w:r>
        <w:rPr>
          <w:vertAlign w:val="superscript"/>
        </w:rPr>
        <w:t>2</w:t>
      </w:r>
      <w:r>
        <w:t>）;</w:t>
      </w:r>
    </w:p>
    <w:p w14:paraId="6B3DFC07">
      <w:pPr>
        <w:ind w:left="420" w:firstLine="283"/>
        <w:textAlignment w:val="center"/>
      </w:pPr>
      <w:r>
        <w:rPr>
          <w:position w:val="-14"/>
        </w:rPr>
        <w:object>
          <v:shape id="_x0000_i1107" o:spt="75" type="#_x0000_t75" style="height:20.25pt;width:14.25pt;" o:ole="t" filled="f" o:preferrelative="t" stroked="f" coordsize="21600,21600">
            <v:path/>
            <v:fill on="f" focussize="0,0"/>
            <v:stroke on="f" joinstyle="miter"/>
            <v:imagedata r:id="rId176" o:title=""/>
            <o:lock v:ext="edit" aspectratio="t"/>
            <w10:wrap type="none"/>
            <w10:anchorlock/>
          </v:shape>
          <o:OLEObject Type="Embed" ProgID="Equation.DSMT4" ShapeID="_x0000_i1107" DrawAspect="Content" ObjectID="_1468075807" r:id="rId175">
            <o:LockedField>false</o:LockedField>
          </o:OLEObject>
        </w:object>
      </w:r>
      <w:r>
        <w:t>——管节的有效传力面积（mm</w:t>
      </w:r>
      <w:r>
        <w:rPr>
          <w:vertAlign w:val="superscript"/>
        </w:rPr>
        <w:t>2</w:t>
      </w:r>
      <w:r>
        <w:t>）。</w:t>
      </w:r>
    </w:p>
    <w:p w14:paraId="3A9F4BC5">
      <w:pPr>
        <w:ind w:firstLine="480" w:firstLineChars="200"/>
      </w:pPr>
    </w:p>
    <w:p w14:paraId="2BE7DAC1">
      <w:pPr>
        <w:keepNext/>
        <w:keepLines/>
        <w:jc w:val="center"/>
        <w:outlineLvl w:val="1"/>
        <w:rPr>
          <w:rFonts w:eastAsia="黑体"/>
          <w:bCs/>
          <w:sz w:val="28"/>
          <w:szCs w:val="32"/>
        </w:rPr>
      </w:pPr>
      <w:bookmarkStart w:id="223" w:name="_Toc25870"/>
      <w:bookmarkStart w:id="224" w:name="_Toc18057038"/>
      <w:bookmarkStart w:id="225" w:name="_Toc47692158"/>
      <w:bookmarkStart w:id="226" w:name="_Toc60173787"/>
      <w:bookmarkStart w:id="227" w:name="_Toc17891"/>
      <w:bookmarkStart w:id="228" w:name="_Toc12575"/>
      <w:bookmarkStart w:id="229" w:name="_Toc60172900"/>
      <w:bookmarkStart w:id="230" w:name="_Toc30126"/>
      <w:bookmarkStart w:id="231" w:name="_Toc11557"/>
      <w:bookmarkStart w:id="232" w:name="_Toc19555"/>
      <w:bookmarkStart w:id="233" w:name="_Toc3411"/>
      <w:r>
        <w:rPr>
          <w:rFonts w:eastAsia="黑体"/>
          <w:b/>
          <w:bCs/>
          <w:sz w:val="28"/>
          <w:szCs w:val="32"/>
        </w:rPr>
        <w:t>5.6</w:t>
      </w:r>
      <w:r>
        <w:rPr>
          <w:rFonts w:eastAsia="黑体"/>
          <w:bCs/>
          <w:sz w:val="28"/>
          <w:szCs w:val="32"/>
        </w:rPr>
        <w:t xml:space="preserve">  </w:t>
      </w:r>
      <w:r>
        <w:rPr>
          <w:rFonts w:hint="eastAsia" w:eastAsia="黑体"/>
          <w:bCs/>
          <w:sz w:val="28"/>
          <w:szCs w:val="32"/>
        </w:rPr>
        <w:t>顶管总顶力计算与中继间设置原则</w:t>
      </w:r>
      <w:bookmarkEnd w:id="223"/>
      <w:bookmarkEnd w:id="224"/>
      <w:bookmarkEnd w:id="225"/>
      <w:bookmarkEnd w:id="226"/>
      <w:bookmarkEnd w:id="227"/>
      <w:bookmarkEnd w:id="228"/>
      <w:bookmarkEnd w:id="229"/>
      <w:bookmarkEnd w:id="230"/>
      <w:bookmarkEnd w:id="231"/>
      <w:bookmarkEnd w:id="232"/>
      <w:bookmarkEnd w:id="233"/>
    </w:p>
    <w:p w14:paraId="58797F43">
      <w:r>
        <w:rPr>
          <w:b/>
          <w:bCs/>
        </w:rPr>
        <w:t xml:space="preserve">5.6.1  </w:t>
      </w:r>
      <w:r>
        <w:rPr>
          <w:rFonts w:hint="eastAsia"/>
        </w:rPr>
        <w:t>矩形顶管总顶力应由顶管机迎面阻力和总摩阻力组成，并应按下式计算：</w:t>
      </w:r>
    </w:p>
    <w:p w14:paraId="4B1937F5">
      <w:pPr>
        <w:jc w:val="right"/>
      </w:pPr>
      <w:r>
        <w:rPr>
          <w:position w:val="-14"/>
        </w:rPr>
        <w:object>
          <v:shape id="_x0000_i1108" o:spt="75" type="#_x0000_t75" style="height:21pt;width:57.75pt;" o:ole="t" filled="f" o:preferrelative="t" stroked="f" coordsize="21600,21600">
            <v:path/>
            <v:fill on="f" focussize="0,0"/>
            <v:stroke on="f" joinstyle="miter"/>
            <v:imagedata r:id="rId178" o:title=""/>
            <o:lock v:ext="edit" aspectratio="t"/>
            <w10:wrap type="none"/>
            <w10:anchorlock/>
          </v:shape>
          <o:OLEObject Type="Embed" ProgID="Equation.DSMT4" ShapeID="_x0000_i1108" DrawAspect="Content" ObjectID="_1468075808" r:id="rId177">
            <o:LockedField>false</o:LockedField>
          </o:OLEObject>
        </w:object>
      </w:r>
      <w:r>
        <w:t xml:space="preserve">                         </w:t>
      </w:r>
      <w:r>
        <w:rPr>
          <w:rFonts w:hint="eastAsia"/>
        </w:rPr>
        <w:t>（</w:t>
      </w:r>
      <w:r>
        <w:t>5.6.1</w:t>
      </w:r>
      <w:r>
        <w:rPr>
          <w:rFonts w:hint="eastAsia"/>
        </w:rPr>
        <w:t>）</w:t>
      </w:r>
    </w:p>
    <w:p w14:paraId="4E0DB82D">
      <w:pPr>
        <w:autoSpaceDE w:val="0"/>
        <w:autoSpaceDN w:val="0"/>
        <w:rPr>
          <w:kern w:val="24"/>
        </w:rPr>
      </w:pPr>
      <w:r>
        <w:rPr>
          <w:rFonts w:hint="eastAsia"/>
          <w:kern w:val="24"/>
        </w:rPr>
        <w:t>式中：</w:t>
      </w:r>
      <w:r>
        <w:rPr>
          <w:position w:val="-14"/>
        </w:rPr>
        <w:object>
          <v:shape id="_x0000_i1109" o:spt="75" type="#_x0000_t75" style="height:19.5pt;width:15pt;" o:ole="t" filled="f" o:preferrelative="t" stroked="f" coordsize="21600,21600">
            <v:path/>
            <v:fill on="f" focussize="0,0"/>
            <v:stroke on="f" joinstyle="miter"/>
            <v:imagedata r:id="rId180" o:title=""/>
            <o:lock v:ext="edit" aspectratio="t"/>
            <w10:wrap type="none"/>
            <w10:anchorlock/>
          </v:shape>
          <o:OLEObject Type="Embed" ProgID="Equation.DSMT4" ShapeID="_x0000_i1109" DrawAspect="Content" ObjectID="_1468075809" r:id="rId179">
            <o:LockedField>false</o:LockedField>
          </o:OLEObject>
        </w:object>
      </w:r>
      <w:r>
        <w:rPr>
          <w:lang w:bidi="ar"/>
        </w:rPr>
        <w:t>——</w:t>
      </w:r>
      <w:r>
        <w:rPr>
          <w:rFonts w:hint="eastAsia"/>
          <w:kern w:val="24"/>
        </w:rPr>
        <w:t>顶管机的迎面阻力（</w:t>
      </w:r>
      <w:r>
        <w:rPr>
          <w:rFonts w:eastAsia="仿宋"/>
          <w:kern w:val="24"/>
        </w:rPr>
        <w:t>kN</w:t>
      </w:r>
      <w:r>
        <w:rPr>
          <w:rFonts w:hint="eastAsia"/>
          <w:kern w:val="24"/>
        </w:rPr>
        <w:t>）；</w:t>
      </w:r>
    </w:p>
    <w:p w14:paraId="599FCBD3">
      <w:pPr>
        <w:ind w:firstLine="720" w:firstLineChars="300"/>
        <w:jc w:val="left"/>
      </w:pPr>
      <w:r>
        <w:rPr>
          <w:position w:val="-14"/>
        </w:rPr>
        <w:object>
          <v:shape id="_x0000_i1110" o:spt="75" type="#_x0000_t75" style="height:19.5pt;width:15pt;" o:ole="t" filled="f" o:preferrelative="t" stroked="f" coordsize="21600,21600">
            <v:path/>
            <v:fill on="f" focussize="0,0"/>
            <v:stroke on="f" joinstyle="miter"/>
            <v:imagedata r:id="rId182" o:title=""/>
            <o:lock v:ext="edit" aspectratio="t"/>
            <w10:wrap type="none"/>
            <w10:anchorlock/>
          </v:shape>
          <o:OLEObject Type="Embed" ProgID="Equation.DSMT4" ShapeID="_x0000_i1110" DrawAspect="Content" ObjectID="_1468075810" r:id="rId181">
            <o:LockedField>false</o:LockedField>
          </o:OLEObject>
        </w:object>
      </w:r>
      <w:r>
        <w:rPr>
          <w:lang w:bidi="ar"/>
        </w:rPr>
        <w:t>——</w:t>
      </w:r>
      <w:r>
        <w:rPr>
          <w:rFonts w:hint="eastAsia"/>
        </w:rPr>
        <w:t>矩形顶管总摩阻力</w:t>
      </w:r>
      <w:r>
        <w:rPr>
          <w:rFonts w:hint="eastAsia"/>
          <w:kern w:val="24"/>
        </w:rPr>
        <w:t>（</w:t>
      </w:r>
      <w:r>
        <w:rPr>
          <w:rFonts w:eastAsia="仿宋"/>
          <w:kern w:val="24"/>
        </w:rPr>
        <w:t>kN</w:t>
      </w:r>
      <w:r>
        <w:rPr>
          <w:rFonts w:hint="eastAsia"/>
          <w:kern w:val="24"/>
        </w:rPr>
        <w:t>）。</w:t>
      </w:r>
    </w:p>
    <w:p w14:paraId="679CC154">
      <w:r>
        <w:rPr>
          <w:b/>
          <w:bCs/>
        </w:rPr>
        <w:t>5.6.2</w:t>
      </w:r>
      <w:r>
        <w:t xml:space="preserve">  </w:t>
      </w:r>
      <w:r>
        <w:rPr>
          <w:rFonts w:hint="eastAsia"/>
        </w:rPr>
        <w:t>矩形</w:t>
      </w:r>
      <w:r>
        <w:rPr>
          <w:rFonts w:hint="eastAsia"/>
          <w:kern w:val="24"/>
        </w:rPr>
        <w:t>土压、泥水平衡式顶管机的迎面阻力可按下式计算：</w:t>
      </w:r>
    </w:p>
    <w:p w14:paraId="18572D58">
      <w:pPr>
        <w:autoSpaceDE w:val="0"/>
        <w:autoSpaceDN w:val="0"/>
        <w:ind w:firstLine="1200" w:firstLineChars="500"/>
        <w:jc w:val="right"/>
      </w:pPr>
      <w:r>
        <w:rPr>
          <w:position w:val="-14"/>
        </w:rPr>
        <w:object>
          <v:shape id="_x0000_i1111" o:spt="75" type="#_x0000_t75" style="height:21pt;width:92.95pt;" o:ole="t" filled="f" o:preferrelative="t" stroked="f" coordsize="21600,21600">
            <v:path/>
            <v:fill on="f" focussize="0,0"/>
            <v:stroke on="f" joinstyle="miter"/>
            <v:imagedata r:id="rId184" o:title=""/>
            <o:lock v:ext="edit" aspectratio="t"/>
            <w10:wrap type="none"/>
            <w10:anchorlock/>
          </v:shape>
          <o:OLEObject Type="Embed" ProgID="Equation.DSMT4" ShapeID="_x0000_i1111" DrawAspect="Content" ObjectID="_1468075811" r:id="rId183">
            <o:LockedField>false</o:LockedField>
          </o:OLEObject>
        </w:object>
      </w:r>
      <w:r>
        <w:t xml:space="preserve">                     </w:t>
      </w:r>
      <w:r>
        <w:rPr>
          <w:rFonts w:hint="eastAsia"/>
        </w:rPr>
        <w:t>（</w:t>
      </w:r>
      <w:r>
        <w:t>5.6.2</w:t>
      </w:r>
      <w:r>
        <w:rPr>
          <w:rFonts w:hint="eastAsia"/>
        </w:rPr>
        <w:t>）</w:t>
      </w:r>
    </w:p>
    <w:p w14:paraId="5F95765A">
      <w:pPr>
        <w:autoSpaceDE w:val="0"/>
        <w:autoSpaceDN w:val="0"/>
        <w:rPr>
          <w:kern w:val="24"/>
        </w:rPr>
      </w:pPr>
      <w:r>
        <w:rPr>
          <w:rFonts w:hint="eastAsia"/>
          <w:kern w:val="24"/>
        </w:rPr>
        <w:t>式中：</w:t>
      </w:r>
      <w:r>
        <w:rPr>
          <w:kern w:val="24"/>
        </w:rPr>
        <w:tab/>
      </w:r>
      <w:r>
        <w:rPr>
          <w:position w:val="-10"/>
        </w:rPr>
        <w:object>
          <v:shape id="_x0000_i1112" o:spt="75" type="#_x0000_t75" style="height:12pt;width:12pt;" o:ole="t" filled="f" o:preferrelative="t" stroked="f" coordsize="21600,21600">
            <v:path/>
            <v:fill on="f" focussize="0,0"/>
            <v:stroke on="f" joinstyle="miter"/>
            <v:imagedata r:id="rId186" o:title=""/>
            <o:lock v:ext="edit" aspectratio="t"/>
            <w10:wrap type="none"/>
            <w10:anchorlock/>
          </v:shape>
          <o:OLEObject Type="Embed" ProgID="Equation.DSMT4" ShapeID="_x0000_i1112" DrawAspect="Content" ObjectID="_1468075812" r:id="rId185">
            <o:LockedField>false</o:LockedField>
          </o:OLEObject>
        </w:object>
      </w:r>
      <w:r>
        <w:rPr>
          <w:lang w:bidi="ar"/>
        </w:rPr>
        <w:t>——</w:t>
      </w:r>
      <w:r>
        <w:rPr>
          <w:rFonts w:hint="eastAsia"/>
          <w:kern w:val="24"/>
        </w:rPr>
        <w:t>土的重度（</w:t>
      </w:r>
      <w:r>
        <w:rPr>
          <w:szCs w:val="24"/>
        </w:rPr>
        <w:t>kN/m</w:t>
      </w:r>
      <w:r>
        <w:rPr>
          <w:szCs w:val="24"/>
          <w:vertAlign w:val="superscript"/>
        </w:rPr>
        <w:t>3</w:t>
      </w:r>
      <w:r>
        <w:rPr>
          <w:rFonts w:hint="eastAsia"/>
          <w:kern w:val="24"/>
        </w:rPr>
        <w:t>）；</w:t>
      </w:r>
    </w:p>
    <w:p w14:paraId="2ECFA7CA">
      <w:pPr>
        <w:autoSpaceDE w:val="0"/>
        <w:autoSpaceDN w:val="0"/>
        <w:ind w:left="420" w:firstLine="283"/>
        <w:rPr>
          <w:kern w:val="24"/>
        </w:rPr>
      </w:pPr>
      <w:r>
        <w:rPr>
          <w:position w:val="-12"/>
        </w:rPr>
        <w:object>
          <v:shape id="_x0000_i1113" o:spt="75" type="#_x0000_t75" style="height:19.5pt;width:19.5pt;" o:ole="t" filled="f" o:preferrelative="t" stroked="f" coordsize="21600,21600">
            <v:path/>
            <v:fill on="f" focussize="0,0"/>
            <v:stroke on="f" joinstyle="miter"/>
            <v:imagedata r:id="rId188" o:title=""/>
            <o:lock v:ext="edit" aspectratio="t"/>
            <w10:wrap type="none"/>
            <w10:anchorlock/>
          </v:shape>
          <o:OLEObject Type="Embed" ProgID="Equation.DSMT4" ShapeID="_x0000_i1113" DrawAspect="Content" ObjectID="_1468075813" r:id="rId187">
            <o:LockedField>false</o:LockedField>
          </o:OLEObject>
        </w:object>
      </w:r>
      <w:r>
        <w:rPr>
          <w:lang w:bidi="ar"/>
        </w:rPr>
        <w:t>——</w:t>
      </w:r>
      <w:r>
        <w:rPr>
          <w:rFonts w:hint="eastAsia"/>
        </w:rPr>
        <w:t>顶管机</w:t>
      </w:r>
      <w:r>
        <w:t>中心</w:t>
      </w:r>
      <w:r>
        <w:rPr>
          <w:rFonts w:hint="eastAsia"/>
        </w:rPr>
        <w:t>至原状土地面的覆土厚度</w:t>
      </w:r>
      <w:r>
        <w:rPr>
          <w:rFonts w:hint="eastAsia"/>
          <w:szCs w:val="24"/>
        </w:rPr>
        <w:t>（</w:t>
      </w:r>
      <w:r>
        <w:rPr>
          <w:szCs w:val="24"/>
        </w:rPr>
        <w:t>m</w:t>
      </w:r>
      <w:r>
        <w:rPr>
          <w:rFonts w:hint="eastAsia"/>
          <w:szCs w:val="24"/>
        </w:rPr>
        <w:t>）；</w:t>
      </w:r>
    </w:p>
    <w:p w14:paraId="2E716B8F">
      <w:pPr>
        <w:shd w:val="clear" w:color="auto" w:fill="FFFFFF"/>
        <w:ind w:left="420" w:firstLine="283"/>
        <w:textAlignment w:val="center"/>
        <w:rPr>
          <w:sz w:val="21"/>
        </w:rPr>
      </w:pPr>
      <w:r>
        <w:rPr>
          <w:i/>
          <w:iCs/>
          <w:position w:val="-12"/>
          <w:szCs w:val="24"/>
        </w:rPr>
        <w:object>
          <v:shape id="_x0000_i1114" o:spt="75" type="#_x0000_t75" style="height:19.5pt;width:15.75pt;" o:ole="t" filled="f" o:preferrelative="t" stroked="f" coordsize="21600,21600">
            <v:path/>
            <v:fill on="f" focussize="0,0"/>
            <v:stroke on="f" joinstyle="miter"/>
            <v:imagedata r:id="rId190" o:title=""/>
            <o:lock v:ext="edit" aspectratio="t"/>
            <w10:wrap type="none"/>
            <w10:anchorlock/>
          </v:shape>
          <o:OLEObject Type="Embed" ProgID="Equation.DSMT4" ShapeID="_x0000_i1114" DrawAspect="Content" ObjectID="_1468075814" r:id="rId189">
            <o:LockedField>false</o:LockedField>
          </o:OLEObject>
        </w:object>
      </w:r>
      <w:r>
        <w:rPr>
          <w:szCs w:val="24"/>
          <w:lang w:bidi="ar"/>
        </w:rPr>
        <w:t>——</w:t>
      </w:r>
      <w:r>
        <w:rPr>
          <w:rFonts w:hint="eastAsia"/>
          <w:szCs w:val="24"/>
        </w:rPr>
        <w:t>矩形管节外边高（</w:t>
      </w:r>
      <w:r>
        <w:rPr>
          <w:szCs w:val="24"/>
        </w:rPr>
        <w:t>m</w:t>
      </w:r>
      <w:r>
        <w:rPr>
          <w:rFonts w:hint="eastAsia"/>
          <w:szCs w:val="24"/>
        </w:rPr>
        <w:t>）；</w:t>
      </w:r>
    </w:p>
    <w:p w14:paraId="31D83839">
      <w:pPr>
        <w:shd w:val="clear" w:color="auto" w:fill="FFFFFF"/>
        <w:ind w:left="420" w:firstLine="340"/>
        <w:rPr>
          <w:szCs w:val="24"/>
        </w:rPr>
      </w:pPr>
      <w:r>
        <w:rPr>
          <w:position w:val="-12"/>
          <w:szCs w:val="24"/>
        </w:rPr>
        <w:object>
          <v:shape id="_x0000_i1115" o:spt="75" type="#_x0000_t75" style="height:19.5pt;width:12pt;" o:ole="t" filled="f" o:preferrelative="t" stroked="f" coordsize="21600,21600">
            <v:path/>
            <v:fill on="f" focussize="0,0"/>
            <v:stroke on="f" joinstyle="miter"/>
            <v:imagedata r:id="rId16" o:title=""/>
            <o:lock v:ext="edit" aspectratio="t"/>
            <w10:wrap type="none"/>
            <w10:anchorlock/>
          </v:shape>
          <o:OLEObject Type="Embed" ProgID="Equation.DSMT4" ShapeID="_x0000_i1115" DrawAspect="Content" ObjectID="_1468075815" r:id="rId191">
            <o:LockedField>false</o:LockedField>
          </o:OLEObject>
        </w:object>
      </w:r>
      <w:r>
        <w:rPr>
          <w:szCs w:val="24"/>
          <w:lang w:bidi="ar"/>
        </w:rPr>
        <w:t>——</w:t>
      </w:r>
      <w:r>
        <w:rPr>
          <w:rFonts w:hint="eastAsia"/>
          <w:szCs w:val="24"/>
        </w:rPr>
        <w:t>矩形管节外边宽（</w:t>
      </w:r>
      <w:r>
        <w:rPr>
          <w:szCs w:val="24"/>
        </w:rPr>
        <w:t>m</w:t>
      </w:r>
      <w:r>
        <w:rPr>
          <w:rFonts w:hint="eastAsia"/>
          <w:szCs w:val="24"/>
        </w:rPr>
        <w:t>）。</w:t>
      </w:r>
    </w:p>
    <w:p w14:paraId="131DAE1A">
      <w:r>
        <w:rPr>
          <w:b/>
          <w:bCs/>
        </w:rPr>
        <w:t>5.6.3</w:t>
      </w:r>
      <w:r>
        <w:t xml:space="preserve">  </w:t>
      </w:r>
      <w:r>
        <w:rPr>
          <w:rFonts w:hint="eastAsia"/>
        </w:rPr>
        <w:t>矩形顶管总摩阻力可按下式计算：</w:t>
      </w:r>
    </w:p>
    <w:p w14:paraId="5176FB1C">
      <w:pPr>
        <w:shd w:val="clear" w:color="auto" w:fill="FFFFFF"/>
        <w:ind w:firstLine="2400" w:firstLineChars="1000"/>
        <w:jc w:val="right"/>
        <w:rPr>
          <w:szCs w:val="24"/>
        </w:rPr>
      </w:pPr>
      <w:r>
        <w:rPr>
          <w:position w:val="-12"/>
          <w:szCs w:val="24"/>
        </w:rPr>
        <w:object>
          <v:shape id="_x0000_i1116" o:spt="75" type="#_x0000_t75" style="height:19.5pt;width:103.45pt;" o:ole="t" filled="f" o:preferrelative="t" stroked="f" coordsize="21600,21600">
            <v:path/>
            <v:fill on="f" focussize="0,0"/>
            <v:stroke on="f" joinstyle="miter"/>
            <v:imagedata r:id="rId193" o:title=""/>
            <o:lock v:ext="edit" aspectratio="t"/>
            <w10:wrap type="none"/>
            <w10:anchorlock/>
          </v:shape>
          <o:OLEObject Type="Embed" ProgID="Equation.DSMT4" ShapeID="_x0000_i1116" DrawAspect="Content" ObjectID="_1468075816" r:id="rId192">
            <o:LockedField>false</o:LockedField>
          </o:OLEObject>
        </w:object>
      </w:r>
      <w:r>
        <w:t xml:space="preserve">                 </w:t>
      </w:r>
      <w:r>
        <w:rPr>
          <w:rFonts w:hint="eastAsia"/>
        </w:rPr>
        <w:t>（</w:t>
      </w:r>
      <w:r>
        <w:t>5.6.3</w:t>
      </w:r>
      <w:r>
        <w:rPr>
          <w:rFonts w:hint="eastAsia"/>
        </w:rPr>
        <w:t>）</w:t>
      </w:r>
    </w:p>
    <w:p w14:paraId="65AE3E4F">
      <w:pPr>
        <w:shd w:val="clear" w:color="auto" w:fill="FFFFFF"/>
        <w:snapToGrid w:val="0"/>
        <w:ind w:left="1440" w:hanging="1440" w:hangingChars="600"/>
        <w:rPr>
          <w:kern w:val="24"/>
          <w:szCs w:val="24"/>
        </w:rPr>
      </w:pPr>
      <w:r>
        <w:rPr>
          <w:rFonts w:hint="eastAsia"/>
          <w:kern w:val="24"/>
          <w:szCs w:val="24"/>
        </w:rPr>
        <w:t>式中：</w:t>
      </w:r>
      <w:r>
        <w:rPr>
          <w:position w:val="-10"/>
          <w:szCs w:val="24"/>
        </w:rPr>
        <w:object>
          <v:shape id="_x0000_i1117" o:spt="75" type="#_x0000_t75" style="height:15pt;width:12pt;" o:ole="t" filled="f" o:preferrelative="t" stroked="f" coordsize="21600,21600">
            <v:path/>
            <v:fill on="f" focussize="0,0"/>
            <v:stroke on="f" joinstyle="miter"/>
            <v:imagedata r:id="rId48" o:title=""/>
            <o:lock v:ext="edit" aspectratio="t"/>
            <w10:wrap type="none"/>
            <w10:anchorlock/>
          </v:shape>
          <o:OLEObject Type="Embed" ProgID="Equation.DSMT4" ShapeID="_x0000_i1117" DrawAspect="Content" ObjectID="_1468075817" r:id="rId194">
            <o:LockedField>false</o:LockedField>
          </o:OLEObject>
        </w:object>
      </w:r>
      <w:r>
        <w:rPr>
          <w:szCs w:val="24"/>
          <w:lang w:bidi="ar"/>
        </w:rPr>
        <w:t>——</w:t>
      </w:r>
      <w:r>
        <w:rPr>
          <w:rFonts w:hint="eastAsia"/>
          <w:szCs w:val="24"/>
        </w:rPr>
        <w:t>管节顶进时的管节与土体接触面的摩阻力（</w:t>
      </w:r>
      <w:r>
        <w:rPr>
          <w:szCs w:val="24"/>
        </w:rPr>
        <w:t>kN/m</w:t>
      </w:r>
      <w:r>
        <w:rPr>
          <w:szCs w:val="24"/>
          <w:vertAlign w:val="superscript"/>
        </w:rPr>
        <w:t>2</w:t>
      </w:r>
      <w:r>
        <w:rPr>
          <w:rFonts w:hint="eastAsia"/>
          <w:szCs w:val="24"/>
        </w:rPr>
        <w:t>），应结合现场条件与施工经验取值，</w:t>
      </w:r>
      <w:r>
        <w:rPr>
          <w:rFonts w:hint="eastAsia"/>
          <w:kern w:val="24"/>
          <w:szCs w:val="24"/>
        </w:rPr>
        <w:t>在无其他可靠资料情况下可取</w:t>
      </w:r>
      <w:r>
        <w:rPr>
          <w:kern w:val="24"/>
          <w:szCs w:val="24"/>
        </w:rPr>
        <w:t>3.0kN/m</w:t>
      </w:r>
      <w:r>
        <w:rPr>
          <w:kern w:val="24"/>
          <w:szCs w:val="24"/>
          <w:vertAlign w:val="superscript"/>
        </w:rPr>
        <w:t>2</w:t>
      </w:r>
      <w:r>
        <w:rPr>
          <w:rFonts w:hint="eastAsia"/>
          <w:kern w:val="24"/>
          <w:szCs w:val="24"/>
        </w:rPr>
        <w:t>～</w:t>
      </w:r>
      <w:r>
        <w:rPr>
          <w:kern w:val="24"/>
          <w:szCs w:val="24"/>
        </w:rPr>
        <w:t>5.0kN/m</w:t>
      </w:r>
      <w:r>
        <w:rPr>
          <w:kern w:val="24"/>
          <w:szCs w:val="24"/>
          <w:vertAlign w:val="superscript"/>
        </w:rPr>
        <w:t>2</w:t>
      </w:r>
      <w:r>
        <w:rPr>
          <w:rFonts w:hint="eastAsia"/>
          <w:kern w:val="24"/>
          <w:szCs w:val="24"/>
        </w:rPr>
        <w:t>；</w:t>
      </w:r>
    </w:p>
    <w:p w14:paraId="21441E9F">
      <w:pPr>
        <w:shd w:val="clear" w:color="auto" w:fill="FFFFFF"/>
        <w:snapToGrid w:val="0"/>
        <w:ind w:firstLine="600" w:firstLineChars="250"/>
        <w:rPr>
          <w:szCs w:val="24"/>
        </w:rPr>
      </w:pPr>
      <w:r>
        <w:rPr>
          <w:position w:val="-12"/>
          <w:szCs w:val="24"/>
        </w:rPr>
        <w:object>
          <v:shape id="_x0000_i1118" o:spt="75" type="#_x0000_t75" style="height:19.5pt;width:14.25pt;" o:ole="t" filled="f" o:preferrelative="t" stroked="f" coordsize="21600,21600">
            <v:path/>
            <v:fill on="f" focussize="0,0"/>
            <v:stroke on="f" joinstyle="miter"/>
            <v:imagedata r:id="rId196" o:title=""/>
            <o:lock v:ext="edit" aspectratio="t"/>
            <w10:wrap type="none"/>
            <w10:anchorlock/>
          </v:shape>
          <o:OLEObject Type="Embed" ProgID="Equation.DSMT4" ShapeID="_x0000_i1118" DrawAspect="Content" ObjectID="_1468075818" r:id="rId195">
            <o:LockedField>false</o:LockedField>
          </o:OLEObject>
        </w:object>
      </w:r>
      <w:r>
        <w:rPr>
          <w:szCs w:val="24"/>
          <w:lang w:bidi="ar"/>
        </w:rPr>
        <w:t>——</w:t>
      </w:r>
      <w:r>
        <w:rPr>
          <w:rFonts w:hint="eastAsia"/>
          <w:szCs w:val="24"/>
          <w:lang w:bidi="ar"/>
        </w:rPr>
        <w:t>矩形顶管顶进长度</w:t>
      </w:r>
      <w:r>
        <w:rPr>
          <w:rFonts w:hint="eastAsia"/>
          <w:szCs w:val="24"/>
        </w:rPr>
        <w:t>（</w:t>
      </w:r>
      <w:r>
        <w:rPr>
          <w:szCs w:val="24"/>
        </w:rPr>
        <w:t>m</w:t>
      </w:r>
      <w:r>
        <w:rPr>
          <w:rFonts w:hint="eastAsia"/>
          <w:szCs w:val="24"/>
        </w:rPr>
        <w:t>）。</w:t>
      </w:r>
    </w:p>
    <w:p w14:paraId="595C02A0">
      <w:r>
        <w:rPr>
          <w:b/>
        </w:rPr>
        <w:t xml:space="preserve">5.6.4  </w:t>
      </w:r>
      <w:r>
        <w:rPr>
          <w:rFonts w:hint="eastAsia"/>
        </w:rPr>
        <w:t>中继间的设置应遵循下列原则：</w:t>
      </w:r>
    </w:p>
    <w:p w14:paraId="695E419C">
      <w:pPr>
        <w:ind w:firstLine="482" w:firstLineChars="200"/>
        <w:rPr>
          <w:kern w:val="0"/>
        </w:rPr>
      </w:pPr>
      <w:r>
        <w:rPr>
          <w:b/>
          <w:bCs/>
          <w:kern w:val="0"/>
        </w:rPr>
        <w:t>1</w:t>
      </w:r>
      <w:r>
        <w:rPr>
          <w:kern w:val="0"/>
        </w:rPr>
        <w:t xml:space="preserve">  </w:t>
      </w:r>
      <w:r>
        <w:rPr>
          <w:rFonts w:hint="eastAsia"/>
          <w:kern w:val="0"/>
        </w:rPr>
        <w:t>中继间的结构形状和管节接头应一致；</w:t>
      </w:r>
    </w:p>
    <w:p w14:paraId="3C63D434">
      <w:pPr>
        <w:ind w:firstLine="482" w:firstLineChars="200"/>
        <w:rPr>
          <w:kern w:val="0"/>
        </w:rPr>
      </w:pPr>
      <w:r>
        <w:rPr>
          <w:b/>
          <w:bCs/>
          <w:kern w:val="0"/>
        </w:rPr>
        <w:t>2</w:t>
      </w:r>
      <w:r>
        <w:rPr>
          <w:kern w:val="0"/>
        </w:rPr>
        <w:t xml:space="preserve">  </w:t>
      </w:r>
      <w:r>
        <w:rPr>
          <w:rFonts w:hint="eastAsia"/>
          <w:kern w:val="0"/>
        </w:rPr>
        <w:t>中继间应带有木质的传压环和钢制的刚性均压环，端面的尺寸应和顶进力相适应；</w:t>
      </w:r>
    </w:p>
    <w:p w14:paraId="188592EC">
      <w:pPr>
        <w:autoSpaceDE w:val="0"/>
        <w:autoSpaceDN w:val="0"/>
        <w:adjustRightInd w:val="0"/>
        <w:ind w:firstLine="482" w:firstLineChars="200"/>
        <w:rPr>
          <w:kern w:val="0"/>
        </w:rPr>
      </w:pPr>
      <w:r>
        <w:rPr>
          <w:b/>
          <w:bCs/>
          <w:kern w:val="0"/>
        </w:rPr>
        <w:t>3</w:t>
      </w:r>
      <w:r>
        <w:rPr>
          <w:kern w:val="0"/>
        </w:rPr>
        <w:t xml:space="preserve">  </w:t>
      </w:r>
      <w:r>
        <w:rPr>
          <w:rFonts w:hint="eastAsia"/>
          <w:kern w:val="0"/>
        </w:rPr>
        <w:t>中继间数量大于</w:t>
      </w:r>
      <w:r>
        <w:rPr>
          <w:kern w:val="0"/>
        </w:rPr>
        <w:t>1</w:t>
      </w:r>
      <w:r>
        <w:rPr>
          <w:rFonts w:hint="eastAsia"/>
          <w:kern w:val="0"/>
        </w:rPr>
        <w:t>个时，可对中继间进行计算机编组操控。</w:t>
      </w:r>
    </w:p>
    <w:p w14:paraId="4877F780">
      <w:r>
        <w:rPr>
          <w:b/>
          <w:bCs/>
        </w:rPr>
        <w:t>5.6.5</w:t>
      </w:r>
      <w:r>
        <w:t xml:space="preserve">  </w:t>
      </w:r>
      <w:r>
        <w:rPr>
          <w:rFonts w:hint="eastAsia"/>
        </w:rPr>
        <w:t>中继间的加设及数量，应按顶进总顶力及管壁的承受能力确定。</w:t>
      </w:r>
    </w:p>
    <w:p w14:paraId="5E667E6F">
      <w:r>
        <w:rPr>
          <w:b/>
          <w:bCs/>
        </w:rPr>
        <w:t xml:space="preserve">5.6.6  </w:t>
      </w:r>
      <w:r>
        <w:rPr>
          <w:rFonts w:hint="eastAsia"/>
        </w:rPr>
        <w:t>在管节外壁形成完整泥浆套的条件下，中继间间距可按下式计算：</w:t>
      </w:r>
    </w:p>
    <w:p w14:paraId="35D093B0">
      <w:pPr>
        <w:tabs>
          <w:tab w:val="right" w:pos="8222"/>
        </w:tabs>
        <w:ind w:firstLine="708" w:firstLineChars="295"/>
        <w:jc w:val="right"/>
      </w:pPr>
      <w:r>
        <w:rPr>
          <w:position w:val="-28"/>
        </w:rPr>
        <w:object>
          <v:shape id="_x0000_i1119" o:spt="75" type="#_x0000_t75" style="height:38.25pt;width:72pt;" o:ole="t" filled="f" o:preferrelative="t" stroked="f" coordsize="21600,21600">
            <v:path/>
            <v:fill on="f" focussize="0,0"/>
            <v:stroke on="f" joinstyle="miter"/>
            <v:imagedata r:id="rId198" o:title=""/>
            <o:lock v:ext="edit" aspectratio="t"/>
            <w10:wrap type="none"/>
            <w10:anchorlock/>
          </v:shape>
          <o:OLEObject Type="Embed" ProgID="Equation.DSMT4" ShapeID="_x0000_i1119" DrawAspect="Content" ObjectID="_1468075819" r:id="rId197">
            <o:LockedField>false</o:LockedField>
          </o:OLEObject>
        </w:object>
      </w:r>
      <w:r>
        <w:t xml:space="preserve">                       </w:t>
      </w:r>
      <w:r>
        <w:rPr>
          <w:rFonts w:hint="eastAsia"/>
        </w:rPr>
        <w:t>（</w:t>
      </w:r>
      <w:r>
        <w:t>5.6.4</w:t>
      </w:r>
      <w:r>
        <w:rPr>
          <w:rFonts w:hint="eastAsia"/>
        </w:rPr>
        <w:t>）</w:t>
      </w:r>
    </w:p>
    <w:p w14:paraId="1AE127A6">
      <w:pPr>
        <w:snapToGrid w:val="0"/>
      </w:pPr>
      <w:r>
        <w:rPr>
          <w:rFonts w:hint="eastAsia"/>
        </w:rPr>
        <w:t>式中：</w:t>
      </w:r>
      <w:r>
        <w:tab/>
      </w:r>
      <w:r>
        <w:t>S——</w:t>
      </w:r>
      <w:r>
        <w:rPr>
          <w:rFonts w:hint="eastAsia"/>
        </w:rPr>
        <w:t>中继间间距（</w:t>
      </w:r>
      <w:r>
        <w:t>m</w:t>
      </w:r>
      <w:r>
        <w:rPr>
          <w:rFonts w:hint="eastAsia"/>
        </w:rPr>
        <w:t>）；</w:t>
      </w:r>
    </w:p>
    <w:p w14:paraId="099FC866">
      <w:pPr>
        <w:snapToGrid w:val="0"/>
        <w:ind w:left="420" w:firstLine="420"/>
      </w:pPr>
      <w:r>
        <w:t>K——</w:t>
      </w:r>
      <w:r>
        <w:rPr>
          <w:rFonts w:hint="eastAsia"/>
        </w:rPr>
        <w:t>顶力系数，取</w:t>
      </w:r>
      <w:r>
        <w:t>0.5</w:t>
      </w:r>
      <w:r>
        <w:rPr>
          <w:rFonts w:hint="eastAsia"/>
        </w:rPr>
        <w:t>～</w:t>
      </w:r>
      <w:r>
        <w:t>0.6</w:t>
      </w:r>
      <w:r>
        <w:rPr>
          <w:rFonts w:hint="eastAsia"/>
        </w:rPr>
        <w:t>；</w:t>
      </w:r>
    </w:p>
    <w:p w14:paraId="4954F64E">
      <w:pPr>
        <w:snapToGrid w:val="0"/>
        <w:ind w:left="420" w:firstLine="312"/>
        <w:textAlignment w:val="center"/>
      </w:pPr>
      <w:r>
        <w:rPr>
          <w:position w:val="-12"/>
        </w:rPr>
        <w:object>
          <v:shape id="_x0000_i1120" o:spt="75" type="#_x0000_t75" style="height:19.5pt;width:13.5pt;" o:ole="t" filled="f" o:preferrelative="t" stroked="f" coordsize="21600,21600">
            <v:path/>
            <v:fill on="f" focussize="0,0"/>
            <v:stroke on="f" joinstyle="miter"/>
            <v:imagedata r:id="rId200" o:title=""/>
            <o:lock v:ext="edit" aspectratio="t"/>
            <w10:wrap type="none"/>
            <w10:anchorlock/>
          </v:shape>
          <o:OLEObject Type="Embed" ProgID="Equation.DSMT4" ShapeID="_x0000_i1120" DrawAspect="Content" ObjectID="_1468075820" r:id="rId199">
            <o:LockedField>false</o:LockedField>
          </o:OLEObject>
        </w:object>
      </w:r>
      <w:r>
        <w:t>——</w:t>
      </w:r>
      <w:r>
        <w:rPr>
          <w:rFonts w:hint="eastAsia"/>
        </w:rPr>
        <w:t>中继间设计允许顶力（</w:t>
      </w:r>
      <w:r>
        <w:t>kN</w:t>
      </w:r>
      <w:r>
        <w:rPr>
          <w:rFonts w:hint="eastAsia"/>
        </w:rPr>
        <w:t>），</w:t>
      </w:r>
      <w:r>
        <w:t>取</w:t>
      </w:r>
      <w:r>
        <w:rPr>
          <w:rFonts w:hint="eastAsia"/>
        </w:rPr>
        <w:t>管节可承受最大顶力、中继间千斤顶可提供最大顶力两</w:t>
      </w:r>
      <w:r>
        <w:t>者</w:t>
      </w:r>
      <w:r>
        <w:rPr>
          <w:rFonts w:hint="eastAsia"/>
        </w:rPr>
        <w:t>之中</w:t>
      </w:r>
      <w:r>
        <w:t>的</w:t>
      </w:r>
      <w:r>
        <w:rPr>
          <w:rFonts w:hint="eastAsia"/>
        </w:rPr>
        <w:t>小值；</w:t>
      </w:r>
    </w:p>
    <w:p w14:paraId="24F0DCA9">
      <w:pPr>
        <w:snapToGrid w:val="0"/>
        <w:ind w:left="420" w:firstLine="283"/>
        <w:textAlignment w:val="center"/>
      </w:pPr>
      <w:r>
        <w:rPr>
          <w:position w:val="-14"/>
        </w:rPr>
        <w:object>
          <v:shape id="_x0000_i1121" o:spt="75" type="#_x0000_t75" style="height:20.25pt;width:15pt;" o:ole="t" filled="f" o:preferrelative="t" stroked="f" coordsize="21600,21600">
            <v:path/>
            <v:fill on="f" focussize="0,0"/>
            <v:stroke on="f" joinstyle="miter"/>
            <v:imagedata r:id="rId202" o:title=""/>
            <o:lock v:ext="edit" aspectratio="t"/>
            <w10:wrap type="none"/>
            <w10:anchorlock/>
          </v:shape>
          <o:OLEObject Type="Embed" ProgID="Equation.DSMT4" ShapeID="_x0000_i1121" DrawAspect="Content" ObjectID="_1468075821" r:id="rId201">
            <o:LockedField>false</o:LockedField>
          </o:OLEObject>
        </w:object>
      </w:r>
      <w:r>
        <w:t>——</w:t>
      </w:r>
      <w:r>
        <w:rPr>
          <w:rFonts w:hint="eastAsia"/>
        </w:rPr>
        <w:t>顶管机迎面阻力（</w:t>
      </w:r>
      <w:r>
        <w:t>kN</w:t>
      </w:r>
      <w:r>
        <w:rPr>
          <w:rFonts w:hint="eastAsia"/>
        </w:rPr>
        <w:t>）；</w:t>
      </w:r>
    </w:p>
    <w:p w14:paraId="352A72D3">
      <w:pPr>
        <w:snapToGrid w:val="0"/>
        <w:ind w:left="420" w:firstLine="363"/>
        <w:textAlignment w:val="center"/>
      </w:pPr>
      <w:r>
        <w:object>
          <v:shape id="_x0000_i1122" o:spt="75" type="#_x0000_t75" style="height:12pt;width:12pt;" o:ole="t" filled="f" o:preferrelative="t" stroked="f" coordsize="21600,21600">
            <v:path/>
            <v:fill on="f" focussize="0,0"/>
            <v:stroke on="f" joinstyle="miter"/>
            <v:imagedata r:id="rId42" o:title=""/>
            <o:lock v:ext="edit" aspectratio="t"/>
            <w10:wrap type="none"/>
            <w10:anchorlock/>
          </v:shape>
          <o:OLEObject Type="Embed" ProgID="Equation.DSMT4" ShapeID="_x0000_i1122" DrawAspect="Content" ObjectID="_1468075822" r:id="rId203">
            <o:LockedField>false</o:LockedField>
          </o:OLEObject>
        </w:object>
      </w:r>
      <w:r>
        <w:t>——</w:t>
      </w:r>
      <w:r>
        <w:rPr>
          <w:rFonts w:hint="eastAsia"/>
        </w:rPr>
        <w:t>顶管外轮廓周长（</w:t>
      </w:r>
      <w:r>
        <w:t>m</w:t>
      </w:r>
      <w:r>
        <w:rPr>
          <w:rFonts w:hint="eastAsia"/>
        </w:rPr>
        <w:t>）；</w:t>
      </w:r>
    </w:p>
    <w:p w14:paraId="66009793">
      <w:r>
        <w:rPr>
          <w:rFonts w:hint="eastAsia"/>
          <w:b/>
          <w:bCs/>
        </w:rPr>
        <w:t xml:space="preserve"> </w:t>
      </w:r>
    </w:p>
    <w:p w14:paraId="47DFA171">
      <w:pPr>
        <w:keepNext/>
        <w:keepLines/>
        <w:jc w:val="center"/>
        <w:outlineLvl w:val="1"/>
        <w:rPr>
          <w:rFonts w:eastAsia="黑体"/>
          <w:bCs/>
          <w:sz w:val="28"/>
          <w:szCs w:val="32"/>
        </w:rPr>
      </w:pPr>
      <w:bookmarkStart w:id="234" w:name="_Toc22364"/>
      <w:bookmarkStart w:id="235" w:name="_Toc20831"/>
      <w:bookmarkStart w:id="236" w:name="_Toc12973"/>
      <w:bookmarkStart w:id="237" w:name="_Toc18057040"/>
      <w:bookmarkStart w:id="238" w:name="_Toc16405"/>
      <w:bookmarkStart w:id="239" w:name="_Toc31117"/>
      <w:bookmarkStart w:id="240" w:name="_Toc60173788"/>
      <w:bookmarkStart w:id="241" w:name="_Toc15603"/>
      <w:bookmarkStart w:id="242" w:name="_Toc60172901"/>
      <w:bookmarkStart w:id="243" w:name="_Toc47692160"/>
      <w:bookmarkStart w:id="244" w:name="_Toc31206"/>
      <w:r>
        <w:rPr>
          <w:rFonts w:eastAsia="黑体"/>
          <w:b/>
          <w:bCs/>
          <w:sz w:val="28"/>
          <w:szCs w:val="32"/>
        </w:rPr>
        <w:t>5.</w:t>
      </w:r>
      <w:r>
        <w:rPr>
          <w:rFonts w:hint="eastAsia" w:eastAsia="黑体"/>
          <w:b/>
          <w:bCs/>
          <w:sz w:val="28"/>
          <w:szCs w:val="32"/>
        </w:rPr>
        <w:t>7</w:t>
      </w:r>
      <w:r>
        <w:rPr>
          <w:rFonts w:eastAsia="黑体"/>
          <w:bCs/>
          <w:sz w:val="28"/>
          <w:szCs w:val="32"/>
        </w:rPr>
        <w:t xml:space="preserve">  工作井设计</w:t>
      </w:r>
      <w:bookmarkEnd w:id="234"/>
      <w:bookmarkEnd w:id="235"/>
      <w:bookmarkEnd w:id="236"/>
      <w:bookmarkEnd w:id="237"/>
      <w:bookmarkEnd w:id="238"/>
      <w:bookmarkEnd w:id="239"/>
      <w:bookmarkEnd w:id="240"/>
      <w:bookmarkEnd w:id="241"/>
      <w:bookmarkEnd w:id="242"/>
      <w:bookmarkEnd w:id="243"/>
      <w:bookmarkEnd w:id="244"/>
    </w:p>
    <w:p w14:paraId="34741C0F">
      <w:r>
        <w:rPr>
          <w:b/>
          <w:bCs/>
        </w:rPr>
        <w:t>5.</w:t>
      </w:r>
      <w:r>
        <w:rPr>
          <w:rFonts w:hint="eastAsia"/>
          <w:b/>
          <w:bCs/>
        </w:rPr>
        <w:t>7</w:t>
      </w:r>
      <w:r>
        <w:rPr>
          <w:b/>
          <w:bCs/>
        </w:rPr>
        <w:t xml:space="preserve">.1  </w:t>
      </w:r>
      <w:r>
        <w:t>工作井结构设计应符合下列规定：</w:t>
      </w:r>
    </w:p>
    <w:p w14:paraId="6891AE6B">
      <w:pPr>
        <w:ind w:firstLine="482" w:firstLineChars="200"/>
      </w:pPr>
      <w:r>
        <w:rPr>
          <w:b/>
          <w:bCs/>
        </w:rPr>
        <w:t>1</w:t>
      </w:r>
      <w:r>
        <w:t xml:space="preserve">  工作井除应进行水土压力和地面荷载作用效应分析外，始发井</w:t>
      </w:r>
      <w:r>
        <w:rPr>
          <w:rFonts w:hint="eastAsia"/>
        </w:rPr>
        <w:t>尚</w:t>
      </w:r>
      <w:r>
        <w:t>应进行顶力作用效应分析；</w:t>
      </w:r>
    </w:p>
    <w:p w14:paraId="1A99937D">
      <w:pPr>
        <w:ind w:firstLine="482" w:firstLineChars="200"/>
      </w:pPr>
      <w:r>
        <w:rPr>
          <w:b/>
          <w:bCs/>
        </w:rPr>
        <w:t xml:space="preserve">2  </w:t>
      </w:r>
      <w:r>
        <w:t>应按现行行业标准《建筑基坑支护技术规程》JGJ 120和现行协会标准《给水排水工程钢筋混凝土沉井结构设计规程》CECS 137的有关规定，采用作用效应最不利组合进行承载能力极限状态和正常使用极限状态</w:t>
      </w:r>
      <w:r>
        <w:rPr>
          <w:rFonts w:hint="eastAsia"/>
        </w:rPr>
        <w:t>进行</w:t>
      </w:r>
      <w:r>
        <w:t>设计。</w:t>
      </w:r>
    </w:p>
    <w:p w14:paraId="5609FF04">
      <w:r>
        <w:rPr>
          <w:b/>
          <w:bCs/>
        </w:rPr>
        <w:t>5.</w:t>
      </w:r>
      <w:r>
        <w:rPr>
          <w:rFonts w:hint="eastAsia"/>
          <w:b/>
          <w:bCs/>
        </w:rPr>
        <w:t>7</w:t>
      </w:r>
      <w:r>
        <w:rPr>
          <w:b/>
          <w:bCs/>
        </w:rPr>
        <w:t xml:space="preserve">.2  </w:t>
      </w:r>
      <w:r>
        <w:t>工作井形式及尺寸应根据地质条件、管道埋深、施工工艺及环境条件等因素选用，并应符合下列规定：</w:t>
      </w:r>
    </w:p>
    <w:p w14:paraId="28B8409C">
      <w:pPr>
        <w:ind w:firstLine="482" w:firstLineChars="200"/>
      </w:pPr>
      <w:r>
        <w:rPr>
          <w:b/>
          <w:bCs/>
        </w:rPr>
        <w:t>1</w:t>
      </w:r>
      <w:r>
        <w:t xml:space="preserve">  始发井应</w:t>
      </w:r>
      <w:r>
        <w:rPr>
          <w:rFonts w:hint="eastAsia"/>
        </w:rPr>
        <w:t>满足</w:t>
      </w:r>
      <w:r>
        <w:t>安装反力墙、液压缸、顶铁、穿墙止水和操作空间的要求，</w:t>
      </w:r>
      <w:r>
        <w:rPr>
          <w:rFonts w:hint="eastAsia"/>
        </w:rPr>
        <w:t>应</w:t>
      </w:r>
      <w:r>
        <w:t>取安装顶管机长度和安放管材节段长度的大者，宽度应满足止退装置、安装设备的需要；</w:t>
      </w:r>
    </w:p>
    <w:p w14:paraId="3EE34BF5">
      <w:pPr>
        <w:ind w:firstLine="482" w:firstLineChars="200"/>
      </w:pPr>
      <w:r>
        <w:rPr>
          <w:b/>
          <w:bCs/>
        </w:rPr>
        <w:t>2</w:t>
      </w:r>
      <w:r>
        <w:t xml:space="preserve">  接收井应满足顶管机吊出</w:t>
      </w:r>
      <w:r>
        <w:rPr>
          <w:rFonts w:hint="eastAsia"/>
        </w:rPr>
        <w:t>的</w:t>
      </w:r>
      <w:r>
        <w:t>要求；</w:t>
      </w:r>
    </w:p>
    <w:p w14:paraId="067BBB76">
      <w:pPr>
        <w:ind w:firstLine="482" w:firstLineChars="200"/>
      </w:pPr>
      <w:r>
        <w:rPr>
          <w:b/>
          <w:bCs/>
        </w:rPr>
        <w:t>3</w:t>
      </w:r>
      <w:r>
        <w:t xml:space="preserve">  始发井深度</w:t>
      </w:r>
      <w:r>
        <w:rPr>
          <w:rFonts w:hint="eastAsia"/>
        </w:rPr>
        <w:t>应</w:t>
      </w:r>
      <w:r>
        <w:t>为管底埋深、导轨高度、支垫厚度之和，管节间通过预埋件焊接连接时应预留焊接坑，焊接坑深度不应小于1m，宽度不应小于0.8m；</w:t>
      </w:r>
    </w:p>
    <w:p w14:paraId="1545BF37">
      <w:pPr>
        <w:ind w:firstLine="482" w:firstLineChars="200"/>
      </w:pPr>
      <w:r>
        <w:rPr>
          <w:b/>
          <w:bCs/>
        </w:rPr>
        <w:t xml:space="preserve">4 </w:t>
      </w:r>
      <w:r>
        <w:t xml:space="preserve"> 钢板桩、地下连续墙、排桩等工作井设计应按平面杆系有限元法进行计算，并</w:t>
      </w:r>
      <w:r>
        <w:rPr>
          <w:rFonts w:hint="eastAsia"/>
        </w:rPr>
        <w:t>应</w:t>
      </w:r>
      <w:r>
        <w:t>进行整体稳定、抗滑移、抗倾覆、抗隆起、抗管涌等验算；</w:t>
      </w:r>
    </w:p>
    <w:p w14:paraId="31FB9C28">
      <w:pPr>
        <w:ind w:firstLine="482" w:firstLineChars="200"/>
      </w:pPr>
      <w:r>
        <w:rPr>
          <w:b/>
          <w:bCs/>
        </w:rPr>
        <w:t>5</w:t>
      </w:r>
      <w:r>
        <w:t xml:space="preserve">  当工作井位于岸边或水中时，应进行抗冲刷、整体稳定、抗滑移及抗倾覆等验算；</w:t>
      </w:r>
    </w:p>
    <w:p w14:paraId="45D49D56">
      <w:pPr>
        <w:ind w:firstLine="482" w:firstLineChars="200"/>
      </w:pPr>
      <w:r>
        <w:rPr>
          <w:b/>
          <w:bCs/>
        </w:rPr>
        <w:t>6</w:t>
      </w:r>
      <w:r>
        <w:t xml:space="preserve">  始发井应设置钢筋混凝土底板，接收井可根据具体情况设置；</w:t>
      </w:r>
    </w:p>
    <w:p w14:paraId="4F403DED">
      <w:pPr>
        <w:ind w:firstLine="482" w:firstLineChars="200"/>
      </w:pPr>
      <w:r>
        <w:rPr>
          <w:b/>
          <w:bCs/>
        </w:rPr>
        <w:t>7</w:t>
      </w:r>
      <w:r>
        <w:t xml:space="preserve">  工作井内需设置的内支撑或内衬不得对顶管施工造成障碍；</w:t>
      </w:r>
    </w:p>
    <w:p w14:paraId="1B2F4AA5">
      <w:pPr>
        <w:ind w:firstLine="482" w:firstLineChars="200"/>
      </w:pPr>
      <w:r>
        <w:rPr>
          <w:b/>
          <w:bCs/>
        </w:rPr>
        <w:t>8</w:t>
      </w:r>
      <w:r>
        <w:t xml:space="preserve">  挖深大于6m且有地下水时，工作井宜采用地下连续墙、排桩、沉井等方法。</w:t>
      </w:r>
    </w:p>
    <w:p w14:paraId="64045E23">
      <w:r>
        <w:rPr>
          <w:b/>
          <w:bCs/>
        </w:rPr>
        <w:t>5.</w:t>
      </w:r>
      <w:r>
        <w:rPr>
          <w:rFonts w:hint="eastAsia"/>
          <w:b/>
          <w:bCs/>
        </w:rPr>
        <w:t>7</w:t>
      </w:r>
      <w:r>
        <w:rPr>
          <w:b/>
          <w:bCs/>
        </w:rPr>
        <w:t xml:space="preserve">.3  </w:t>
      </w:r>
      <w:r>
        <w:t>工作井防排水设计应符合下列规定：</w:t>
      </w:r>
    </w:p>
    <w:p w14:paraId="14CDA6AB">
      <w:pPr>
        <w:ind w:firstLine="482" w:firstLineChars="200"/>
      </w:pPr>
      <w:r>
        <w:rPr>
          <w:b/>
          <w:bCs/>
        </w:rPr>
        <w:t>1</w:t>
      </w:r>
      <w:r>
        <w:t xml:space="preserve">  应根据现场防淹需要调整工作井顶部标高；</w:t>
      </w:r>
    </w:p>
    <w:p w14:paraId="67439494">
      <w:pPr>
        <w:ind w:firstLine="482" w:firstLineChars="200"/>
      </w:pPr>
      <w:r>
        <w:rPr>
          <w:b/>
          <w:bCs/>
        </w:rPr>
        <w:t>2</w:t>
      </w:r>
      <w:r>
        <w:t xml:space="preserve">  井底的角部或两侧应设置集水坑，深度不宜小于</w:t>
      </w:r>
      <w:r>
        <w:rPr>
          <w:rFonts w:hint="eastAsia"/>
        </w:rPr>
        <w:t>0.</w:t>
      </w:r>
      <w:r>
        <w:t>4m，且不应与顶进轴线重叠；</w:t>
      </w:r>
    </w:p>
    <w:p w14:paraId="796428FF">
      <w:pPr>
        <w:ind w:firstLine="482" w:firstLineChars="200"/>
      </w:pPr>
      <w:r>
        <w:rPr>
          <w:b/>
          <w:bCs/>
        </w:rPr>
        <w:t>3</w:t>
      </w:r>
      <w:r>
        <w:t xml:space="preserve">  当井周边存在河涌、鱼塘等水体时，应采取加固措施，可设置止水帷幕等。</w:t>
      </w:r>
    </w:p>
    <w:p w14:paraId="54EE0C92">
      <w:r>
        <w:rPr>
          <w:b/>
          <w:bCs/>
        </w:rPr>
        <w:t>5.</w:t>
      </w:r>
      <w:r>
        <w:rPr>
          <w:rFonts w:hint="eastAsia"/>
          <w:b/>
          <w:bCs/>
        </w:rPr>
        <w:t>7</w:t>
      </w:r>
      <w:r>
        <w:rPr>
          <w:b/>
          <w:bCs/>
        </w:rPr>
        <w:t xml:space="preserve">.4  </w:t>
      </w:r>
      <w:r>
        <w:t>工作井的设计应包括下列内容：</w:t>
      </w:r>
    </w:p>
    <w:p w14:paraId="493DA478">
      <w:pPr>
        <w:ind w:firstLine="482" w:firstLineChars="200"/>
      </w:pPr>
      <w:r>
        <w:rPr>
          <w:b/>
          <w:bCs/>
        </w:rPr>
        <w:t>1</w:t>
      </w:r>
      <w:r>
        <w:t xml:space="preserve">  洞口止水设计；</w:t>
      </w:r>
    </w:p>
    <w:p w14:paraId="5B74B162">
      <w:pPr>
        <w:ind w:firstLine="482" w:firstLineChars="200"/>
      </w:pPr>
      <w:r>
        <w:rPr>
          <w:b/>
          <w:bCs/>
        </w:rPr>
        <w:t>2</w:t>
      </w:r>
      <w:r>
        <w:t xml:space="preserve">  反力墙设计；</w:t>
      </w:r>
    </w:p>
    <w:p w14:paraId="37C0E7E1">
      <w:pPr>
        <w:ind w:firstLine="482" w:firstLineChars="200"/>
      </w:pPr>
      <w:r>
        <w:rPr>
          <w:b/>
          <w:bCs/>
        </w:rPr>
        <w:t>3</w:t>
      </w:r>
      <w:r>
        <w:t xml:space="preserve">  竖向交通设施的设计；</w:t>
      </w:r>
    </w:p>
    <w:p w14:paraId="002AC15E">
      <w:pPr>
        <w:ind w:firstLine="482" w:firstLineChars="200"/>
      </w:pPr>
      <w:r>
        <w:rPr>
          <w:b/>
          <w:bCs/>
        </w:rPr>
        <w:t>4</w:t>
      </w:r>
      <w:r>
        <w:t xml:space="preserve">  </w:t>
      </w:r>
      <w:r>
        <w:rPr>
          <w:rFonts w:hint="eastAsia"/>
        </w:rPr>
        <w:t>抗浮验算。</w:t>
      </w:r>
    </w:p>
    <w:p w14:paraId="36D27C1F">
      <w:r>
        <w:rPr>
          <w:b/>
        </w:rPr>
        <w:t>5.</w:t>
      </w:r>
      <w:r>
        <w:rPr>
          <w:rFonts w:hint="eastAsia"/>
          <w:b/>
        </w:rPr>
        <w:t>7</w:t>
      </w:r>
      <w:r>
        <w:rPr>
          <w:b/>
        </w:rPr>
        <w:t xml:space="preserve">.5  </w:t>
      </w:r>
      <w:r>
        <w:t>始发井尺寸应符合下列规定：</w:t>
      </w:r>
    </w:p>
    <w:p w14:paraId="2630A3A7">
      <w:pPr>
        <w:ind w:firstLine="482" w:firstLineChars="200"/>
      </w:pPr>
      <w:r>
        <w:rPr>
          <w:b/>
        </w:rPr>
        <w:t>1</w:t>
      </w:r>
      <w:r>
        <w:rPr>
          <w:bCs/>
        </w:rPr>
        <w:t xml:space="preserve">  </w:t>
      </w:r>
      <w:r>
        <w:t>始发井的最小净长度按顶管机长度确定时，宜满足下式要求：</w:t>
      </w:r>
    </w:p>
    <w:p w14:paraId="3BB11F23">
      <w:pPr>
        <w:ind w:firstLine="960" w:firstLineChars="400"/>
        <w:jc w:val="right"/>
      </w:pPr>
      <w:r>
        <w:rPr>
          <w:i/>
        </w:rPr>
        <w:t>L≥L</w:t>
      </w:r>
      <w:r>
        <w:rPr>
          <w:vertAlign w:val="subscript"/>
        </w:rPr>
        <w:t>1</w:t>
      </w:r>
      <w:r>
        <w:t>+</w:t>
      </w:r>
      <w:r>
        <w:rPr>
          <w:i/>
        </w:rPr>
        <w:t>L</w:t>
      </w:r>
      <w:r>
        <w:rPr>
          <w:vertAlign w:val="subscript"/>
        </w:rPr>
        <w:t>3</w:t>
      </w:r>
      <w:r>
        <w:t>+</w:t>
      </w:r>
      <w:r>
        <w:rPr>
          <w:i/>
        </w:rPr>
        <w:t>L</w:t>
      </w:r>
      <w:r>
        <w:rPr>
          <w:vertAlign w:val="subscript"/>
        </w:rPr>
        <w:t>4</w:t>
      </w:r>
      <w:r>
        <w:t>+</w:t>
      </w:r>
      <w:r>
        <w:rPr>
          <w:i/>
        </w:rPr>
        <w:t>S</w:t>
      </w:r>
      <w:r>
        <w:rPr>
          <w:vertAlign w:val="subscript"/>
        </w:rPr>
        <w:t>1</w:t>
      </w:r>
      <w:r>
        <w:t>+</w:t>
      </w:r>
      <w:r>
        <w:rPr>
          <w:i/>
        </w:rPr>
        <w:t>S</w:t>
      </w:r>
      <w:r>
        <w:rPr>
          <w:vertAlign w:val="subscript"/>
        </w:rPr>
        <w:t>2</w:t>
      </w:r>
      <w:r>
        <w:t>+</w:t>
      </w:r>
      <w:r>
        <w:rPr>
          <w:i/>
        </w:rPr>
        <w:t>S</w:t>
      </w:r>
      <w:r>
        <w:rPr>
          <w:vertAlign w:val="subscript"/>
        </w:rPr>
        <w:t>3</w:t>
      </w:r>
      <w:r>
        <w:t xml:space="preserve">                  </w:t>
      </w:r>
      <w:bookmarkStart w:id="245" w:name="_Hlk511053143"/>
      <w:r>
        <w:t>（5.</w:t>
      </w:r>
      <w:r>
        <w:rPr>
          <w:rFonts w:hint="eastAsia"/>
        </w:rPr>
        <w:t>7</w:t>
      </w:r>
      <w:r>
        <w:t>.5-1）</w:t>
      </w:r>
      <w:bookmarkEnd w:id="245"/>
    </w:p>
    <w:p w14:paraId="1DDF072D">
      <w:pPr>
        <w:snapToGrid w:val="0"/>
      </w:pPr>
      <w:r>
        <w:t>式中：</w:t>
      </w:r>
      <w:r>
        <w:rPr>
          <w:i/>
        </w:rPr>
        <w:t>L</w:t>
      </w:r>
      <w:r>
        <w:t>——始发井最小净长度（m）；</w:t>
      </w:r>
    </w:p>
    <w:p w14:paraId="50844375">
      <w:pPr>
        <w:snapToGrid w:val="0"/>
        <w:ind w:firstLine="708" w:firstLineChars="295"/>
        <w:jc w:val="left"/>
      </w:pPr>
      <w:r>
        <w:rPr>
          <w:i/>
        </w:rPr>
        <w:t>L</w:t>
      </w:r>
      <w:r>
        <w:rPr>
          <w:vertAlign w:val="subscript"/>
        </w:rPr>
        <w:t>1</w:t>
      </w:r>
      <w:r>
        <w:rPr>
          <w:i/>
        </w:rPr>
        <w:t>——</w:t>
      </w:r>
      <w:r>
        <w:t>顶管机长度（m）；</w:t>
      </w:r>
    </w:p>
    <w:p w14:paraId="794FCE1C">
      <w:pPr>
        <w:snapToGrid w:val="0"/>
        <w:ind w:firstLine="708" w:firstLineChars="295"/>
        <w:jc w:val="left"/>
      </w:pPr>
      <w:r>
        <w:rPr>
          <w:i/>
        </w:rPr>
        <w:t>L</w:t>
      </w:r>
      <w:r>
        <w:rPr>
          <w:vertAlign w:val="subscript"/>
        </w:rPr>
        <w:t>3</w:t>
      </w:r>
      <w:r>
        <w:t>——液压缸长度（m）；</w:t>
      </w:r>
    </w:p>
    <w:p w14:paraId="273F835C">
      <w:pPr>
        <w:snapToGrid w:val="0"/>
        <w:ind w:firstLine="708" w:firstLineChars="295"/>
        <w:jc w:val="left"/>
      </w:pPr>
      <w:r>
        <w:rPr>
          <w:i/>
        </w:rPr>
        <w:t>L</w:t>
      </w:r>
      <w:r>
        <w:rPr>
          <w:vertAlign w:val="subscript"/>
        </w:rPr>
        <w:t>4</w:t>
      </w:r>
      <w:r>
        <w:t>——后座及扩散段厚度（m）；</w:t>
      </w:r>
    </w:p>
    <w:p w14:paraId="775D4BA0">
      <w:pPr>
        <w:snapToGrid w:val="0"/>
        <w:ind w:firstLine="708" w:firstLineChars="295"/>
        <w:jc w:val="left"/>
      </w:pPr>
      <w:r>
        <w:rPr>
          <w:i/>
        </w:rPr>
        <w:t>S</w:t>
      </w:r>
      <w:r>
        <w:rPr>
          <w:vertAlign w:val="subscript"/>
        </w:rPr>
        <w:t>1</w:t>
      </w:r>
      <w:r>
        <w:t>——顶入管节留在导轨上的最小长度（m），取0.5m；</w:t>
      </w:r>
    </w:p>
    <w:p w14:paraId="6A3A152C">
      <w:pPr>
        <w:snapToGrid w:val="0"/>
        <w:ind w:firstLine="708" w:firstLineChars="295"/>
        <w:jc w:val="left"/>
      </w:pPr>
      <w:r>
        <w:rPr>
          <w:i/>
        </w:rPr>
        <w:t>S</w:t>
      </w:r>
      <w:r>
        <w:rPr>
          <w:vertAlign w:val="subscript"/>
        </w:rPr>
        <w:t>2</w:t>
      </w:r>
      <w:r>
        <w:t>——顶铁厚度（m）；</w:t>
      </w:r>
    </w:p>
    <w:p w14:paraId="79451D37">
      <w:pPr>
        <w:snapToGrid w:val="0"/>
        <w:ind w:firstLine="708" w:firstLineChars="295"/>
        <w:jc w:val="left"/>
      </w:pPr>
      <w:r>
        <w:rPr>
          <w:i/>
        </w:rPr>
        <w:t>S</w:t>
      </w:r>
      <w:r>
        <w:rPr>
          <w:vertAlign w:val="subscript"/>
        </w:rPr>
        <w:t>3</w:t>
      </w:r>
      <w:r>
        <w:t>——顶进管节回缩及便于安装管节所留附加间隙（m），取0.2m。</w:t>
      </w:r>
    </w:p>
    <w:p w14:paraId="250017E2">
      <w:pPr>
        <w:snapToGrid w:val="0"/>
        <w:ind w:firstLine="482" w:firstLineChars="200"/>
      </w:pPr>
      <w:r>
        <w:rPr>
          <w:b/>
        </w:rPr>
        <w:t>2</w:t>
      </w:r>
      <w:r>
        <w:t xml:space="preserve">  始发井的最小净长度按管节长度确定时，宜</w:t>
      </w:r>
      <w:r>
        <w:rPr>
          <w:rFonts w:hint="eastAsia"/>
        </w:rPr>
        <w:t>满足</w:t>
      </w:r>
      <w:r>
        <w:t>下式</w:t>
      </w:r>
      <w:r>
        <w:rPr>
          <w:rFonts w:hint="eastAsia"/>
        </w:rPr>
        <w:t>要求</w:t>
      </w:r>
      <w:r>
        <w:t>：</w:t>
      </w:r>
    </w:p>
    <w:p w14:paraId="0333FCD7">
      <w:pPr>
        <w:snapToGrid w:val="0"/>
        <w:ind w:right="84" w:firstLine="480" w:firstLineChars="200"/>
        <w:jc w:val="right"/>
      </w:pPr>
      <w:r>
        <w:rPr>
          <w:i/>
        </w:rPr>
        <w:t>L≥L</w:t>
      </w:r>
      <w:r>
        <w:rPr>
          <w:vertAlign w:val="subscript"/>
        </w:rPr>
        <w:t>2</w:t>
      </w:r>
      <w:r>
        <w:t>+</w:t>
      </w:r>
      <w:r>
        <w:rPr>
          <w:i/>
        </w:rPr>
        <w:t>L</w:t>
      </w:r>
      <w:r>
        <w:rPr>
          <w:vertAlign w:val="subscript"/>
        </w:rPr>
        <w:t>3</w:t>
      </w:r>
      <w:r>
        <w:t>+</w:t>
      </w:r>
      <w:r>
        <w:rPr>
          <w:i/>
        </w:rPr>
        <w:t>L</w:t>
      </w:r>
      <w:r>
        <w:rPr>
          <w:vertAlign w:val="subscript"/>
        </w:rPr>
        <w:t>4</w:t>
      </w:r>
      <w:r>
        <w:t>+</w:t>
      </w:r>
      <w:r>
        <w:rPr>
          <w:i/>
        </w:rPr>
        <w:t>S</w:t>
      </w:r>
      <w:r>
        <w:rPr>
          <w:vertAlign w:val="subscript"/>
        </w:rPr>
        <w:t>1</w:t>
      </w:r>
      <w:r>
        <w:t>+</w:t>
      </w:r>
      <w:r>
        <w:rPr>
          <w:i/>
        </w:rPr>
        <w:t>S</w:t>
      </w:r>
      <w:r>
        <w:rPr>
          <w:vertAlign w:val="subscript"/>
        </w:rPr>
        <w:t>2</w:t>
      </w:r>
      <w:r>
        <w:t>+</w:t>
      </w:r>
      <w:r>
        <w:rPr>
          <w:i/>
        </w:rPr>
        <w:t>S</w:t>
      </w:r>
      <w:r>
        <w:rPr>
          <w:vertAlign w:val="subscript"/>
        </w:rPr>
        <w:t>3</w:t>
      </w:r>
      <w:r>
        <w:t xml:space="preserve">                   （5.</w:t>
      </w:r>
      <w:r>
        <w:rPr>
          <w:rFonts w:hint="eastAsia"/>
        </w:rPr>
        <w:t>7</w:t>
      </w:r>
      <w:r>
        <w:t>.5-2）</w:t>
      </w:r>
    </w:p>
    <w:p w14:paraId="6CD7E30F">
      <w:r>
        <w:t>式中：</w:t>
      </w:r>
      <w:r>
        <w:rPr>
          <w:i/>
        </w:rPr>
        <w:t>L</w:t>
      </w:r>
      <w:r>
        <w:rPr>
          <w:vertAlign w:val="subscript"/>
        </w:rPr>
        <w:t>2</w:t>
      </w:r>
      <w:r>
        <w:t>——管节安装长度，取2.5倍管节长度（m）；</w:t>
      </w:r>
    </w:p>
    <w:p w14:paraId="44BBAE7D">
      <w:pPr>
        <w:snapToGrid w:val="0"/>
        <w:ind w:firstLine="482" w:firstLineChars="200"/>
      </w:pPr>
      <w:r>
        <w:rPr>
          <w:b/>
          <w:bCs/>
        </w:rPr>
        <w:t>3</w:t>
      </w:r>
      <w:r>
        <w:t xml:space="preserve">  始发井的最小净长度应按本条第1款和第2款两种方法计算结果取大值，并</w:t>
      </w:r>
      <w:r>
        <w:rPr>
          <w:rFonts w:hint="eastAsia"/>
        </w:rPr>
        <w:t>应</w:t>
      </w:r>
      <w:r>
        <w:t>与井内接管工艺要求综合确定</w:t>
      </w:r>
      <w:r>
        <w:rPr>
          <w:rFonts w:hint="eastAsia"/>
        </w:rPr>
        <w:t>；</w:t>
      </w:r>
    </w:p>
    <w:p w14:paraId="0F47487A">
      <w:pPr>
        <w:snapToGrid w:val="0"/>
        <w:ind w:firstLine="482" w:firstLineChars="200"/>
      </w:pPr>
      <w:r>
        <w:rPr>
          <w:b/>
        </w:rPr>
        <w:t>4</w:t>
      </w:r>
      <w:r>
        <w:t xml:space="preserve">  始发井的最小净宽度宜按下式计算：</w:t>
      </w:r>
    </w:p>
    <w:p w14:paraId="370E247A">
      <w:pPr>
        <w:snapToGrid w:val="0"/>
        <w:ind w:firstLine="1440" w:firstLineChars="600"/>
        <w:jc w:val="right"/>
      </w:pPr>
      <w:r>
        <w:rPr>
          <w:position w:val="-12"/>
        </w:rPr>
        <w:object>
          <v:shape id="_x0000_i1123" o:spt="75" type="#_x0000_t75" style="height:19.5pt;width:54.75pt;" o:ole="t" filled="f" o:preferrelative="t" stroked="f" coordsize="21600,21600">
            <v:path/>
            <v:fill on="f" focussize="0,0"/>
            <v:stroke on="f" joinstyle="miter"/>
            <v:imagedata r:id="rId205" o:title=""/>
            <o:lock v:ext="edit" aspectratio="t"/>
            <w10:wrap type="none"/>
            <w10:anchorlock/>
          </v:shape>
          <o:OLEObject Type="Embed" ProgID="Equation.DSMT4" ShapeID="_x0000_i1123" DrawAspect="Content" ObjectID="_1468075823" r:id="rId204">
            <o:LockedField>false</o:LockedField>
          </o:OLEObject>
        </w:object>
      </w:r>
      <w:r>
        <w:t xml:space="preserve">                         （5.</w:t>
      </w:r>
      <w:r>
        <w:rPr>
          <w:rFonts w:hint="eastAsia"/>
        </w:rPr>
        <w:t>7</w:t>
      </w:r>
      <w:r>
        <w:t>.5-3）</w:t>
      </w:r>
    </w:p>
    <w:p w14:paraId="4EC2E008">
      <w:pPr>
        <w:snapToGrid w:val="0"/>
      </w:pPr>
      <w:r>
        <w:t>式中：</w:t>
      </w:r>
      <w:r>
        <w:rPr>
          <w:position w:val="-4"/>
        </w:rPr>
        <w:object>
          <v:shape id="_x0000_i1124" o:spt="75" type="#_x0000_t75" style="height:13.5pt;width:12pt;" o:ole="t" filled="f" o:preferrelative="t" stroked="f" coordsize="21600,21600">
            <v:path/>
            <v:fill on="f" focussize="0,0"/>
            <v:stroke on="f" joinstyle="miter"/>
            <v:imagedata r:id="rId14" o:title=""/>
            <o:lock v:ext="edit" aspectratio="t"/>
            <w10:wrap type="none"/>
            <w10:anchorlock/>
          </v:shape>
          <o:OLEObject Type="Embed" ProgID="Equation.DSMT4" ShapeID="_x0000_i1124" DrawAspect="Content" ObjectID="_1468075824" r:id="rId206">
            <o:LockedField>false</o:LockedField>
          </o:OLEObject>
        </w:object>
      </w:r>
      <w:r>
        <w:t>——始发井的最小净宽度（m）；</w:t>
      </w:r>
    </w:p>
    <w:p w14:paraId="7C47B855">
      <w:pPr>
        <w:snapToGrid w:val="0"/>
        <w:ind w:firstLine="708" w:firstLineChars="295"/>
        <w:jc w:val="left"/>
      </w:pPr>
      <w:r>
        <w:rPr>
          <w:position w:val="-10"/>
        </w:rPr>
        <w:object>
          <v:shape id="_x0000_i1125" o:spt="75" type="#_x0000_t75" style="height:16.5pt;width:13.5pt;" o:ole="t" filled="f" o:preferrelative="t" stroked="f" coordsize="21600,21600">
            <v:path/>
            <v:fill on="f" focussize="0,0"/>
            <v:stroke on="f" joinstyle="miter"/>
            <v:imagedata r:id="rId208" o:title=""/>
            <o:lock v:ext="edit" aspectratio="t"/>
            <w10:wrap type="none"/>
            <w10:anchorlock/>
          </v:shape>
          <o:OLEObject Type="Embed" ProgID="Equation.DSMT4" ShapeID="_x0000_i1125" DrawAspect="Content" ObjectID="_1468075825" r:id="rId207">
            <o:LockedField>false</o:LockedField>
          </o:OLEObject>
        </w:object>
      </w:r>
      <w:r>
        <w:t>——矩形管节外边宽（m）；</w:t>
      </w:r>
    </w:p>
    <w:p w14:paraId="1E71510A">
      <w:pPr>
        <w:snapToGrid w:val="0"/>
        <w:ind w:firstLine="708" w:firstLineChars="295"/>
        <w:jc w:val="left"/>
      </w:pPr>
      <w:r>
        <w:rPr>
          <w:i/>
        </w:rPr>
        <w:t>b</w:t>
      </w:r>
      <w:r>
        <w:rPr>
          <w:iCs/>
          <w:vertAlign w:val="subscript"/>
        </w:rPr>
        <w:t>2</w:t>
      </w:r>
      <w:r>
        <w:t>——施工操作空间（m），取0.8m～1.5m。</w:t>
      </w:r>
    </w:p>
    <w:p w14:paraId="1BE65AA6">
      <w:pPr>
        <w:snapToGrid w:val="0"/>
        <w:ind w:firstLine="482" w:firstLineChars="200"/>
        <w:rPr>
          <w:b/>
        </w:rPr>
      </w:pPr>
      <w:r>
        <w:rPr>
          <w:b/>
        </w:rPr>
        <w:t xml:space="preserve">5  </w:t>
      </w:r>
      <w:r>
        <w:t>始发井的最小深度可按下式计算：</w:t>
      </w:r>
    </w:p>
    <w:p w14:paraId="6170223A">
      <w:pPr>
        <w:snapToGrid w:val="0"/>
        <w:ind w:firstLine="1440" w:firstLineChars="600"/>
        <w:jc w:val="right"/>
      </w:pPr>
      <w:r>
        <w:rPr>
          <w:position w:val="-12"/>
        </w:rPr>
        <w:object>
          <v:shape id="_x0000_i1126" o:spt="75" type="#_x0000_t75" style="height:26.25pt;width:87.8pt;" o:ole="t" filled="f" o:preferrelative="t" stroked="f" coordsize="21600,21600">
            <v:path/>
            <v:fill on="f" focussize="0,0"/>
            <v:stroke on="f" joinstyle="miter"/>
            <v:imagedata r:id="rId210" o:title=""/>
            <o:lock v:ext="edit" aspectratio="t"/>
            <w10:wrap type="none"/>
            <w10:anchorlock/>
          </v:shape>
          <o:OLEObject Type="Embed" ProgID="Equation.DSMT4" ShapeID="_x0000_i1126" DrawAspect="Content" ObjectID="_1468075826" r:id="rId209">
            <o:LockedField>false</o:LockedField>
          </o:OLEObject>
        </w:object>
      </w:r>
      <w:r>
        <w:t xml:space="preserve">                     （5.7.5-4）</w:t>
      </w:r>
    </w:p>
    <w:p w14:paraId="77F83D24">
      <w:pPr>
        <w:snapToGrid w:val="0"/>
      </w:pPr>
      <w:r>
        <w:t>式中：</w:t>
      </w:r>
      <w:bookmarkStart w:id="246" w:name="MTBlankEqn"/>
      <w:r>
        <w:rPr>
          <w:position w:val="-4"/>
        </w:rPr>
        <w:object>
          <v:shape id="_x0000_i1127" o:spt="75" type="#_x0000_t75" style="height:15.75pt;width:16.5pt;" o:ole="t" filled="f" o:preferrelative="t" stroked="f" coordsize="21600,21600">
            <v:path/>
            <v:fill on="f" focussize="0,0"/>
            <v:stroke on="f" joinstyle="miter"/>
            <v:imagedata r:id="rId212" o:title=""/>
            <o:lock v:ext="edit" aspectratio="t"/>
            <w10:wrap type="none"/>
            <w10:anchorlock/>
          </v:shape>
          <o:OLEObject Type="Embed" ProgID="Equation.DSMT4" ShapeID="_x0000_i1127" DrawAspect="Content" ObjectID="_1468075827" r:id="rId211">
            <o:LockedField>false</o:LockedField>
          </o:OLEObject>
        </w:object>
      </w:r>
      <w:bookmarkEnd w:id="246"/>
      <w:r>
        <w:t>——始发井最小深度（m）；</w:t>
      </w:r>
    </w:p>
    <w:p w14:paraId="28D7D388">
      <w:pPr>
        <w:snapToGrid w:val="0"/>
        <w:ind w:firstLine="720" w:firstLineChars="300"/>
      </w:pPr>
      <w:r>
        <w:rPr>
          <w:position w:val="-12"/>
        </w:rPr>
        <w:object>
          <v:shape id="_x0000_i1128" o:spt="75" type="#_x0000_t75" style="height:21.75pt;width:16.5pt;" o:ole="t" filled="f" o:preferrelative="t" stroked="f" coordsize="21600,21600">
            <v:path/>
            <v:fill on="f" focussize="0,0"/>
            <v:stroke on="f" joinstyle="miter"/>
            <v:imagedata r:id="rId214" o:title=""/>
            <o:lock v:ext="edit" aspectratio="t"/>
            <w10:wrap type="none"/>
            <w10:anchorlock/>
          </v:shape>
          <o:OLEObject Type="Embed" ProgID="Equation.DSMT4" ShapeID="_x0000_i1128" DrawAspect="Content" ObjectID="_1468075828" r:id="rId213">
            <o:LockedField>false</o:LockedField>
          </o:OLEObject>
        </w:object>
      </w:r>
      <w:r>
        <w:t>——管顶至原状土地面覆土层厚度（m）；</w:t>
      </w:r>
    </w:p>
    <w:p w14:paraId="3EDE49F3">
      <w:pPr>
        <w:snapToGrid w:val="0"/>
        <w:ind w:firstLine="720" w:firstLineChars="300"/>
        <w:rPr>
          <w:sz w:val="21"/>
        </w:rPr>
      </w:pPr>
      <w:r>
        <w:rPr>
          <w:position w:val="-12"/>
        </w:rPr>
        <w:object>
          <v:shape id="_x0000_i1129" o:spt="75" type="#_x0000_t75" style="height:24pt;width:18.75pt;" o:ole="t" filled="f" o:preferrelative="t" stroked="f" coordsize="21600,21600">
            <v:path/>
            <v:fill on="f" focussize="0,0"/>
            <v:stroke on="f" joinstyle="miter"/>
            <v:imagedata r:id="rId32" o:title=""/>
            <o:lock v:ext="edit" aspectratio="t"/>
            <w10:wrap type="none"/>
            <w10:anchorlock/>
          </v:shape>
          <o:OLEObject Type="Embed" ProgID="Equation.DSMT4" ShapeID="_x0000_i1129" DrawAspect="Content" ObjectID="_1468075829" r:id="rId215">
            <o:LockedField>false</o:LockedField>
          </o:OLEObject>
        </w:object>
      </w:r>
      <w:r>
        <w:rPr>
          <w:lang w:bidi="ar"/>
        </w:rPr>
        <w:t>——</w:t>
      </w:r>
      <w:r>
        <w:t>矩形管节外边高（m）；</w:t>
      </w:r>
    </w:p>
    <w:p w14:paraId="6D6FD5C5">
      <w:pPr>
        <w:snapToGrid w:val="0"/>
        <w:ind w:firstLine="720" w:firstLineChars="300"/>
      </w:pPr>
      <w:r>
        <w:rPr>
          <w:i/>
          <w:position w:val="-10"/>
        </w:rPr>
        <w:object>
          <v:shape id="_x0000_i1130" o:spt="75" type="#_x0000_t75" style="height:20.25pt;width:15.75pt;" o:ole="t" filled="f" o:preferrelative="t" stroked="f" coordsize="21600,21600">
            <v:path/>
            <v:fill on="f" focussize="0,0"/>
            <v:stroke on="f" joinstyle="miter"/>
            <v:imagedata r:id="rId217" o:title=""/>
            <o:lock v:ext="edit" aspectratio="t"/>
            <w10:wrap type="none"/>
            <w10:anchorlock/>
          </v:shape>
          <o:OLEObject Type="Embed" ProgID="Equation.3" ShapeID="_x0000_i1130" DrawAspect="Content" ObjectID="_1468075830" r:id="rId216">
            <o:LockedField>false</o:LockedField>
          </o:OLEObject>
        </w:object>
      </w:r>
      <w:r>
        <w:t>——管底下的操作空间（m），取0.4m～0.5m。</w:t>
      </w:r>
    </w:p>
    <w:p w14:paraId="7B4177FA">
      <w:pPr>
        <w:snapToGrid w:val="0"/>
        <w:ind w:firstLine="482" w:firstLineChars="200"/>
      </w:pPr>
      <w:r>
        <w:rPr>
          <w:b/>
        </w:rPr>
        <w:t xml:space="preserve">6  </w:t>
      </w:r>
      <w:r>
        <w:t>始发井的穿墙洞尺寸可按下列公式计算：</w:t>
      </w:r>
    </w:p>
    <w:p w14:paraId="5EB29E43">
      <w:pPr>
        <w:snapToGrid w:val="0"/>
        <w:ind w:firstLine="1440" w:firstLineChars="600"/>
        <w:jc w:val="right"/>
      </w:pPr>
      <w:r>
        <w:rPr>
          <w:position w:val="-12"/>
        </w:rPr>
        <w:object>
          <v:shape id="_x0000_i1131" o:spt="75" type="#_x0000_t75" style="height:18.75pt;width:87.75pt;" o:ole="t" filled="f" o:preferrelative="t" stroked="f" coordsize="21600,21600">
            <v:path/>
            <v:fill on="f" focussize="0,0"/>
            <v:stroke on="f" joinstyle="miter"/>
            <v:imagedata r:id="rId219" o:title=""/>
            <o:lock v:ext="edit" aspectratio="t"/>
            <w10:wrap type="none"/>
            <w10:anchorlock/>
          </v:shape>
          <o:OLEObject Type="Embed" ProgID="Equation.3" ShapeID="_x0000_i1131" DrawAspect="Content" ObjectID="_1468075831" r:id="rId218">
            <o:LockedField>false</o:LockedField>
          </o:OLEObject>
        </w:object>
      </w:r>
      <w:r>
        <w:t xml:space="preserve">                      （5.</w:t>
      </w:r>
      <w:r>
        <w:rPr>
          <w:rFonts w:hint="eastAsia"/>
        </w:rPr>
        <w:t>7</w:t>
      </w:r>
      <w:r>
        <w:t>.5-5）</w:t>
      </w:r>
    </w:p>
    <w:p w14:paraId="398DC0CA">
      <w:pPr>
        <w:snapToGrid w:val="0"/>
        <w:jc w:val="right"/>
      </w:pPr>
      <w:r>
        <w:rPr>
          <w:position w:val="-12"/>
        </w:rPr>
        <w:object>
          <v:shape id="_x0000_i1132" o:spt="75" type="#_x0000_t75" style="height:18.75pt;width:82.5pt;" o:ole="t" filled="f" o:preferrelative="t" stroked="f" coordsize="21600,21600">
            <v:path/>
            <v:fill on="f" focussize="0,0"/>
            <v:stroke on="f" joinstyle="miter"/>
            <v:imagedata r:id="rId221" o:title=""/>
            <o:lock v:ext="edit" aspectratio="t"/>
            <w10:wrap type="none"/>
            <w10:anchorlock/>
          </v:shape>
          <o:OLEObject Type="Embed" ProgID="Equation.3" ShapeID="_x0000_i1132" DrawAspect="Content" ObjectID="_1468075832" r:id="rId220">
            <o:LockedField>false</o:LockedField>
          </o:OLEObject>
        </w:object>
      </w:r>
      <w:r>
        <w:t xml:space="preserve">                       （5.</w:t>
      </w:r>
      <w:r>
        <w:rPr>
          <w:rFonts w:hint="eastAsia"/>
        </w:rPr>
        <w:t>7</w:t>
      </w:r>
      <w:r>
        <w:t>.5-6）</w:t>
      </w:r>
    </w:p>
    <w:p w14:paraId="7FB7D404">
      <w:pPr>
        <w:snapToGrid w:val="0"/>
      </w:pPr>
      <w:r>
        <w:t>式中：</w:t>
      </w:r>
      <w:r>
        <w:rPr>
          <w:position w:val="-12"/>
        </w:rPr>
        <w:object>
          <v:shape id="_x0000_i1133" o:spt="75" type="#_x0000_t75" style="height:18.75pt;width:20.25pt;" o:ole="t" filled="f" o:preferrelative="t" stroked="f" coordsize="21600,21600">
            <v:path/>
            <v:fill on="f" focussize="0,0"/>
            <v:stroke on="f" joinstyle="miter"/>
            <v:imagedata r:id="rId223" o:title=""/>
            <o:lock v:ext="edit" aspectratio="t"/>
            <w10:wrap type="none"/>
            <w10:anchorlock/>
          </v:shape>
          <o:OLEObject Type="Embed" ProgID="Equation.DSMT4" ShapeID="_x0000_i1133" DrawAspect="Content" ObjectID="_1468075833" r:id="rId222">
            <o:LockedField>false</o:LockedField>
          </o:OLEObject>
        </w:object>
      </w:r>
      <w:r>
        <w:t>——始发井的穿墙洞高度（m）；</w:t>
      </w:r>
    </w:p>
    <w:p w14:paraId="462B3069">
      <w:pPr>
        <w:snapToGrid w:val="0"/>
        <w:ind w:firstLine="720" w:firstLineChars="300"/>
      </w:pPr>
      <w:r>
        <w:rPr>
          <w:position w:val="-12"/>
        </w:rPr>
        <w:object>
          <v:shape id="_x0000_i1134" o:spt="75" type="#_x0000_t75" style="height:18.75pt;width:18.75pt;" o:ole="t" filled="f" o:preferrelative="t" stroked="f" coordsize="21600,21600">
            <v:path/>
            <v:fill on="f" focussize="0,0"/>
            <v:stroke on="f" joinstyle="miter"/>
            <v:imagedata r:id="rId18" o:title=""/>
            <o:lock v:ext="edit" aspectratio="t"/>
            <w10:wrap type="none"/>
            <w10:anchorlock/>
          </v:shape>
          <o:OLEObject Type="Embed" ProgID="Equation.DSMT4" ShapeID="_x0000_i1134" DrawAspect="Content" ObjectID="_1468075834" r:id="rId224">
            <o:LockedField>false</o:LockedField>
          </o:OLEObject>
        </w:object>
      </w:r>
      <w:r>
        <w:t>——始发井的穿墙洞宽度（m）。</w:t>
      </w:r>
    </w:p>
    <w:p w14:paraId="6DB155B3">
      <w:pPr>
        <w:snapToGrid w:val="0"/>
      </w:pPr>
      <w:r>
        <w:rPr>
          <w:b/>
        </w:rPr>
        <w:t>5.</w:t>
      </w:r>
      <w:r>
        <w:rPr>
          <w:rFonts w:hint="eastAsia"/>
          <w:b/>
        </w:rPr>
        <w:t>7</w:t>
      </w:r>
      <w:r>
        <w:rPr>
          <w:b/>
        </w:rPr>
        <w:t xml:space="preserve">.6  </w:t>
      </w:r>
      <w:r>
        <w:t>接</w:t>
      </w:r>
      <w:r>
        <w:rPr>
          <w:rFonts w:hint="eastAsia"/>
        </w:rPr>
        <w:t>收</w:t>
      </w:r>
      <w:r>
        <w:t>井的尺寸应符合下列规定：</w:t>
      </w:r>
    </w:p>
    <w:p w14:paraId="65BF4E0C">
      <w:pPr>
        <w:ind w:firstLine="482" w:firstLineChars="200"/>
      </w:pPr>
      <w:r>
        <w:rPr>
          <w:b/>
        </w:rPr>
        <w:t xml:space="preserve">1  </w:t>
      </w:r>
      <w:r>
        <w:t>接收井的最小净长度和净宽度应满足顶管机在井内拆除和吊出的要求；</w:t>
      </w:r>
    </w:p>
    <w:p w14:paraId="5A13C706">
      <w:pPr>
        <w:ind w:firstLine="482" w:firstLineChars="200"/>
      </w:pPr>
      <w:r>
        <w:rPr>
          <w:b/>
        </w:rPr>
        <w:t xml:space="preserve">2  </w:t>
      </w:r>
      <w:r>
        <w:t>接收井的穿墙洞应满足止水要求，穿墙洞尺寸可按</w:t>
      </w:r>
      <w:r>
        <w:rPr>
          <w:rFonts w:hint="eastAsia"/>
        </w:rPr>
        <w:t>下列公式</w:t>
      </w:r>
      <w:r>
        <w:t>计算：</w:t>
      </w:r>
    </w:p>
    <w:p w14:paraId="2F80F53D">
      <w:pPr>
        <w:ind w:firstLine="1440" w:firstLineChars="600"/>
        <w:jc w:val="right"/>
      </w:pPr>
      <w:r>
        <w:rPr>
          <w:position w:val="-14"/>
        </w:rPr>
        <w:object>
          <v:shape id="_x0000_i1135" o:spt="75" type="#_x0000_t75" style="height:18.75pt;width:81pt;" o:ole="t" filled="f" o:preferrelative="t" stroked="f" coordsize="21600,21600">
            <v:path/>
            <v:fill on="f" focussize="0,0"/>
            <v:stroke on="f" joinstyle="miter"/>
            <v:imagedata r:id="rId226" o:title=""/>
            <o:lock v:ext="edit" aspectratio="t"/>
            <w10:wrap type="none"/>
            <w10:anchorlock/>
          </v:shape>
          <o:OLEObject Type="Embed" ProgID="Equation.3" ShapeID="_x0000_i1135" DrawAspect="Content" ObjectID="_1468075835" r:id="rId225">
            <o:LockedField>false</o:LockedField>
          </o:OLEObject>
        </w:object>
      </w:r>
      <w:r>
        <w:t xml:space="preserve">                       （5.</w:t>
      </w:r>
      <w:r>
        <w:rPr>
          <w:rFonts w:hint="eastAsia"/>
        </w:rPr>
        <w:t>7</w:t>
      </w:r>
      <w:r>
        <w:t>.6-1）</w:t>
      </w:r>
    </w:p>
    <w:p w14:paraId="5EA66550">
      <w:pPr>
        <w:ind w:firstLine="1440" w:firstLineChars="600"/>
        <w:jc w:val="right"/>
      </w:pPr>
      <w:r>
        <w:rPr>
          <w:position w:val="-14"/>
        </w:rPr>
        <w:object>
          <v:shape id="_x0000_i1136" o:spt="75" type="#_x0000_t75" style="height:18.75pt;width:76.5pt;" o:ole="t" filled="f" o:preferrelative="t" stroked="f" coordsize="21600,21600">
            <v:path/>
            <v:fill on="f" focussize="0,0"/>
            <v:stroke on="f" joinstyle="miter"/>
            <v:imagedata r:id="rId228" o:title=""/>
            <o:lock v:ext="edit" aspectratio="t"/>
            <w10:wrap type="none"/>
            <w10:anchorlock/>
          </v:shape>
          <o:OLEObject Type="Embed" ProgID="Equation.3" ShapeID="_x0000_i1136" DrawAspect="Content" ObjectID="_1468075836" r:id="rId227">
            <o:LockedField>false</o:LockedField>
          </o:OLEObject>
        </w:object>
      </w:r>
      <w:r>
        <w:t xml:space="preserve">                        （5.</w:t>
      </w:r>
      <w:r>
        <w:rPr>
          <w:rFonts w:hint="eastAsia"/>
        </w:rPr>
        <w:t>7</w:t>
      </w:r>
      <w:r>
        <w:t>.6-2）</w:t>
      </w:r>
    </w:p>
    <w:p w14:paraId="7F1FDE06">
      <w:pPr>
        <w:snapToGrid w:val="0"/>
      </w:pPr>
      <w:r>
        <w:t>式中：</w:t>
      </w:r>
      <w:r>
        <w:rPr>
          <w:position w:val="-16"/>
        </w:rPr>
        <w:object>
          <v:shape id="_x0000_i1137" o:spt="75" type="#_x0000_t75" style="height:20.25pt;width:20.25pt;" o:ole="t" filled="f" o:preferrelative="t" stroked="f" coordsize="21600,21600">
            <v:path/>
            <v:fill on="f" focussize="0,0"/>
            <v:stroke on="f" joinstyle="miter"/>
            <v:imagedata r:id="rId36" o:title=""/>
            <o:lock v:ext="edit" aspectratio="t"/>
            <w10:wrap type="none"/>
            <w10:anchorlock/>
          </v:shape>
          <o:OLEObject Type="Embed" ProgID="Equation.DSMT4" ShapeID="_x0000_i1137" DrawAspect="Content" ObjectID="_1468075837" r:id="rId229">
            <o:LockedField>false</o:LockedField>
          </o:OLEObject>
        </w:object>
      </w:r>
      <w:r>
        <w:t>——接收井的穿墙洞高（m）；</w:t>
      </w:r>
    </w:p>
    <w:p w14:paraId="068DDCC9">
      <w:pPr>
        <w:snapToGrid w:val="0"/>
        <w:ind w:firstLine="849" w:firstLineChars="354"/>
      </w:pPr>
      <w:r>
        <w:rPr>
          <w:position w:val="-16"/>
        </w:rPr>
        <w:object>
          <v:shape id="_x0000_i1138" o:spt="75" type="#_x0000_t75" style="height:20.25pt;width:16.5pt;" o:ole="t" filled="f" o:preferrelative="t" stroked="f" coordsize="21600,21600">
            <v:path/>
            <v:fill on="f" focussize="0,0"/>
            <v:stroke on="f" joinstyle="miter"/>
            <v:imagedata r:id="rId20" o:title=""/>
            <o:lock v:ext="edit" aspectratio="t"/>
            <w10:wrap type="none"/>
            <w10:anchorlock/>
          </v:shape>
          <o:OLEObject Type="Embed" ProgID="Equation.DSMT4" ShapeID="_x0000_i1138" DrawAspect="Content" ObjectID="_1468075838" r:id="rId230">
            <o:LockedField>false</o:LockedField>
          </o:OLEObject>
        </w:object>
      </w:r>
      <w:r>
        <w:t>——接收井的穿墙洞宽（m）。</w:t>
      </w:r>
    </w:p>
    <w:p w14:paraId="7F7C3A48">
      <w:r>
        <w:rPr>
          <w:b/>
          <w:bCs/>
        </w:rPr>
        <w:t>5.</w:t>
      </w:r>
      <w:r>
        <w:rPr>
          <w:rFonts w:hint="eastAsia"/>
          <w:b/>
          <w:bCs/>
        </w:rPr>
        <w:t>7</w:t>
      </w:r>
      <w:r>
        <w:rPr>
          <w:b/>
          <w:bCs/>
        </w:rPr>
        <w:t xml:space="preserve">.7  </w:t>
      </w:r>
      <w:r>
        <w:t>反力墙设计应符合下列规定：</w:t>
      </w:r>
    </w:p>
    <w:p w14:paraId="73A76056">
      <w:pPr>
        <w:ind w:firstLine="482" w:firstLineChars="200"/>
      </w:pPr>
      <w:r>
        <w:rPr>
          <w:b/>
          <w:bCs/>
        </w:rPr>
        <w:t>1</w:t>
      </w:r>
      <w:r>
        <w:t xml:space="preserve">  墙体在顶管施工中应能承受主顶工作站液压缸的最大反作用力而不致破坏；</w:t>
      </w:r>
    </w:p>
    <w:p w14:paraId="51651851">
      <w:pPr>
        <w:ind w:firstLine="482" w:firstLineChars="200"/>
      </w:pPr>
      <w:r>
        <w:rPr>
          <w:b/>
          <w:bCs/>
        </w:rPr>
        <w:t>2</w:t>
      </w:r>
      <w:r>
        <w:t xml:space="preserve">  反力墙表面应平</w:t>
      </w:r>
      <w:r>
        <w:rPr>
          <w:rFonts w:hint="eastAsia"/>
        </w:rPr>
        <w:t>整</w:t>
      </w:r>
      <w:r>
        <w:t>，并应垂直于顶进管道的轴线；</w:t>
      </w:r>
    </w:p>
    <w:p w14:paraId="0EAFF6D1">
      <w:pPr>
        <w:ind w:firstLine="482" w:firstLineChars="200"/>
      </w:pPr>
      <w:r>
        <w:rPr>
          <w:b/>
          <w:bCs/>
        </w:rPr>
        <w:t>3</w:t>
      </w:r>
      <w:r>
        <w:t xml:space="preserve">  结构应简单</w:t>
      </w:r>
      <w:r>
        <w:rPr>
          <w:rFonts w:hint="eastAsia"/>
        </w:rPr>
        <w:t>，</w:t>
      </w:r>
      <w:r>
        <w:t>装拆</w:t>
      </w:r>
      <w:r>
        <w:rPr>
          <w:rFonts w:hint="eastAsia"/>
        </w:rPr>
        <w:t>应</w:t>
      </w:r>
      <w:r>
        <w:t>方便。</w:t>
      </w:r>
    </w:p>
    <w:p w14:paraId="12384D9D">
      <w:r>
        <w:rPr>
          <w:b/>
          <w:bCs/>
        </w:rPr>
        <w:t>5.</w:t>
      </w:r>
      <w:r>
        <w:rPr>
          <w:rFonts w:hint="eastAsia"/>
          <w:b/>
          <w:bCs/>
        </w:rPr>
        <w:t>7</w:t>
      </w:r>
      <w:r>
        <w:rPr>
          <w:b/>
          <w:bCs/>
        </w:rPr>
        <w:t xml:space="preserve">.8  </w:t>
      </w:r>
      <w:r>
        <w:t>采用装配式反力墙时，应符合下列规定：</w:t>
      </w:r>
    </w:p>
    <w:p w14:paraId="59EDFD9A">
      <w:pPr>
        <w:ind w:firstLine="482" w:firstLineChars="200"/>
      </w:pPr>
      <w:r>
        <w:rPr>
          <w:b/>
          <w:bCs/>
        </w:rPr>
        <w:t>1</w:t>
      </w:r>
      <w:r>
        <w:t xml:space="preserve">  装配式反力墙宜采用型钢、钢板等组装，组装后的反力墙应有足够的强度和刚度；</w:t>
      </w:r>
    </w:p>
    <w:p w14:paraId="661F68E0">
      <w:pPr>
        <w:ind w:firstLine="482" w:firstLineChars="200"/>
      </w:pPr>
      <w:r>
        <w:rPr>
          <w:b/>
          <w:bCs/>
        </w:rPr>
        <w:t>2</w:t>
      </w:r>
      <w:r>
        <w:t xml:space="preserve">  反力墙土体壁面应平整，并</w:t>
      </w:r>
      <w:r>
        <w:rPr>
          <w:rFonts w:hint="eastAsia"/>
        </w:rPr>
        <w:t>应</w:t>
      </w:r>
      <w:r>
        <w:t>与管道顶进方向垂直；</w:t>
      </w:r>
    </w:p>
    <w:p w14:paraId="0A57D937">
      <w:pPr>
        <w:ind w:firstLine="482" w:firstLineChars="200"/>
      </w:pPr>
      <w:r>
        <w:rPr>
          <w:b/>
          <w:bCs/>
        </w:rPr>
        <w:t>3</w:t>
      </w:r>
      <w:r>
        <w:t xml:space="preserve">  装配式反力墙的底端宜在始发井底下不小于50cm；</w:t>
      </w:r>
    </w:p>
    <w:p w14:paraId="4CFC6E95">
      <w:pPr>
        <w:ind w:firstLine="482" w:firstLineChars="200"/>
      </w:pPr>
      <w:r>
        <w:rPr>
          <w:b/>
          <w:bCs/>
        </w:rPr>
        <w:t>4</w:t>
      </w:r>
      <w:r>
        <w:t xml:space="preserve">  反力墙完成后应于</w:t>
      </w:r>
      <w:r>
        <w:rPr>
          <w:rFonts w:hint="eastAsia"/>
        </w:rPr>
        <w:t>始发</w:t>
      </w:r>
      <w:r>
        <w:t>井内衬结构贴紧，有间隙时应采用灌注细石混凝土等方式填塞密实；</w:t>
      </w:r>
    </w:p>
    <w:p w14:paraId="558746FF">
      <w:pPr>
        <w:ind w:firstLine="482" w:firstLineChars="200"/>
      </w:pPr>
      <w:r>
        <w:rPr>
          <w:b/>
          <w:bCs/>
        </w:rPr>
        <w:t>5</w:t>
      </w:r>
      <w:r>
        <w:t xml:space="preserve">  组装反力墙的构件在同层内的规格应一致，各层之间的接触应紧贴，并</w:t>
      </w:r>
      <w:r>
        <w:rPr>
          <w:rFonts w:hint="eastAsia"/>
        </w:rPr>
        <w:t>应</w:t>
      </w:r>
      <w:r>
        <w:t>层层固定。</w:t>
      </w:r>
    </w:p>
    <w:p w14:paraId="66583FF7">
      <w:r>
        <w:rPr>
          <w:b/>
          <w:bCs/>
        </w:rPr>
        <w:t>5.</w:t>
      </w:r>
      <w:r>
        <w:rPr>
          <w:rFonts w:hint="eastAsia"/>
          <w:b/>
          <w:bCs/>
        </w:rPr>
        <w:t>7</w:t>
      </w:r>
      <w:r>
        <w:rPr>
          <w:b/>
          <w:bCs/>
        </w:rPr>
        <w:t>.9</w:t>
      </w:r>
      <w:r>
        <w:t xml:space="preserve">  现场浇筑整体式反力墙抗冲切验算应符合</w:t>
      </w:r>
      <w:bookmarkStart w:id="247" w:name="_Hlk17379249"/>
      <w:r>
        <w:t>现行国家标准《混凝土结构设计规范》GB 5001</w:t>
      </w:r>
      <w:bookmarkEnd w:id="247"/>
      <w:r>
        <w:t>0的有关规定。</w:t>
      </w:r>
    </w:p>
    <w:p w14:paraId="42EAD4C8">
      <w:r>
        <w:rPr>
          <w:b/>
          <w:bCs/>
        </w:rPr>
        <w:t>5.</w:t>
      </w:r>
      <w:r>
        <w:rPr>
          <w:rFonts w:hint="eastAsia"/>
          <w:b/>
          <w:bCs/>
        </w:rPr>
        <w:t>7</w:t>
      </w:r>
      <w:r>
        <w:rPr>
          <w:b/>
          <w:bCs/>
        </w:rPr>
        <w:t xml:space="preserve">.10  </w:t>
      </w:r>
      <w:r>
        <w:t>洞口临时封堵结构的设计应符合下列规定：</w:t>
      </w:r>
    </w:p>
    <w:p w14:paraId="2EEEF68E">
      <w:pPr>
        <w:ind w:firstLine="482" w:firstLineChars="200"/>
      </w:pPr>
      <w:r>
        <w:rPr>
          <w:b/>
          <w:bCs/>
        </w:rPr>
        <w:t>1</w:t>
      </w:r>
      <w:r>
        <w:t xml:space="preserve">  临时封堵结构</w:t>
      </w:r>
      <w:r>
        <w:rPr>
          <w:rFonts w:hint="eastAsia"/>
        </w:rPr>
        <w:t>应</w:t>
      </w:r>
      <w:r>
        <w:t>能支承侧向水土压力；</w:t>
      </w:r>
    </w:p>
    <w:p w14:paraId="348E1FDF">
      <w:pPr>
        <w:ind w:firstLine="482" w:firstLineChars="200"/>
      </w:pPr>
      <w:r>
        <w:rPr>
          <w:b/>
          <w:bCs/>
        </w:rPr>
        <w:t>2</w:t>
      </w:r>
      <w:r>
        <w:t xml:space="preserve">  临时封堵结构</w:t>
      </w:r>
      <w:r>
        <w:rPr>
          <w:rFonts w:hint="eastAsia"/>
        </w:rPr>
        <w:t>应能</w:t>
      </w:r>
      <w:r>
        <w:t>防止地下水侧向渗漏；</w:t>
      </w:r>
    </w:p>
    <w:p w14:paraId="0306080C">
      <w:pPr>
        <w:ind w:firstLine="482" w:firstLineChars="200"/>
      </w:pPr>
      <w:r>
        <w:rPr>
          <w:b/>
          <w:bCs/>
        </w:rPr>
        <w:t>3</w:t>
      </w:r>
      <w:r>
        <w:t xml:space="preserve">  进出洞时</w:t>
      </w:r>
      <w:r>
        <w:rPr>
          <w:rFonts w:hint="eastAsia"/>
        </w:rPr>
        <w:t>应</w:t>
      </w:r>
      <w:r>
        <w:t>方便拆除或打开；</w:t>
      </w:r>
    </w:p>
    <w:p w14:paraId="398337EB">
      <w:pPr>
        <w:ind w:firstLine="482" w:firstLineChars="200"/>
      </w:pPr>
      <w:r>
        <w:rPr>
          <w:b/>
          <w:bCs/>
        </w:rPr>
        <w:t>4</w:t>
      </w:r>
      <w:r>
        <w:t xml:space="preserve">  采用沉井结构时，洞口临时封门可采用钢封门、砖砌封门、钢筋混凝土封门、型钢封门等形式或以上几种</w:t>
      </w:r>
      <w:r>
        <w:rPr>
          <w:rFonts w:hint="eastAsia"/>
        </w:rPr>
        <w:t>形式</w:t>
      </w:r>
      <w:r>
        <w:t>的组合。</w:t>
      </w:r>
    </w:p>
    <w:p w14:paraId="1EB40630">
      <w:r>
        <w:rPr>
          <w:b/>
          <w:bCs/>
        </w:rPr>
        <w:t>5.</w:t>
      </w:r>
      <w:r>
        <w:rPr>
          <w:rFonts w:hint="eastAsia"/>
          <w:b/>
          <w:bCs/>
        </w:rPr>
        <w:t>7</w:t>
      </w:r>
      <w:r>
        <w:rPr>
          <w:b/>
          <w:bCs/>
        </w:rPr>
        <w:t xml:space="preserve">.11  </w:t>
      </w:r>
      <w:r>
        <w:t>洞口土体加固应符合下列规定：</w:t>
      </w:r>
    </w:p>
    <w:p w14:paraId="50223EC5">
      <w:pPr>
        <w:ind w:firstLine="482" w:firstLineChars="200"/>
      </w:pPr>
      <w:r>
        <w:rPr>
          <w:b/>
          <w:bCs/>
        </w:rPr>
        <w:t>1</w:t>
      </w:r>
      <w:r>
        <w:t xml:space="preserve">  土体加固可采用水泥土搅拌桩、高压旋喷桩等形式；</w:t>
      </w:r>
    </w:p>
    <w:p w14:paraId="11B84AA9">
      <w:pPr>
        <w:ind w:firstLine="482" w:firstLineChars="200"/>
      </w:pPr>
      <w:r>
        <w:rPr>
          <w:b/>
          <w:bCs/>
        </w:rPr>
        <w:t>2</w:t>
      </w:r>
      <w:r>
        <w:rPr>
          <w:rFonts w:hint="eastAsia"/>
        </w:rPr>
        <w:t xml:space="preserve"> </w:t>
      </w:r>
      <w:r>
        <w:t xml:space="preserve"> 加固的范围应结合工程地质及水文条件、顶管机型、管</w:t>
      </w:r>
      <w:r>
        <w:rPr>
          <w:rFonts w:hint="eastAsia"/>
        </w:rPr>
        <w:t>节</w:t>
      </w:r>
      <w:r>
        <w:t>尺寸、顶管推进方向、坡度、埋深和周围环境等情况确定；</w:t>
      </w:r>
    </w:p>
    <w:p w14:paraId="2B6837E0">
      <w:pPr>
        <w:ind w:firstLine="482" w:firstLineChars="200"/>
      </w:pPr>
      <w:r>
        <w:rPr>
          <w:b/>
          <w:bCs/>
        </w:rPr>
        <w:t>3</w:t>
      </w:r>
      <w:r>
        <w:t xml:space="preserve">  应对加固土体整体</w:t>
      </w:r>
      <w:r>
        <w:rPr>
          <w:rFonts w:hint="eastAsia"/>
        </w:rPr>
        <w:t>稳定性、安全性</w:t>
      </w:r>
      <w:r>
        <w:t>进行验算</w:t>
      </w:r>
      <w:r>
        <w:rPr>
          <w:rFonts w:hint="eastAsia"/>
        </w:rPr>
        <w:t>；</w:t>
      </w:r>
    </w:p>
    <w:p w14:paraId="76C42E6F">
      <w:pPr>
        <w:ind w:firstLine="482" w:firstLineChars="200"/>
      </w:pPr>
      <w:r>
        <w:rPr>
          <w:b/>
          <w:bCs/>
        </w:rPr>
        <w:t>4</w:t>
      </w:r>
      <w:r>
        <w:t xml:space="preserve">  加固效果应采用钻芯取样的方式进行检验，加固体的无侧限抗压强度不宜</w:t>
      </w:r>
      <w:r>
        <w:rPr>
          <w:rFonts w:hint="eastAsia"/>
        </w:rPr>
        <w:t>小</w:t>
      </w:r>
      <w:r>
        <w:t>于1MPa，渗透系数不宜大于1×10</w:t>
      </w:r>
      <w:r>
        <w:rPr>
          <w:vertAlign w:val="superscript"/>
        </w:rPr>
        <w:t>-6</w:t>
      </w:r>
      <w:r>
        <w:t>cm/s，并应检查加固体的整体性和均匀性；</w:t>
      </w:r>
    </w:p>
    <w:p w14:paraId="5EB8C333">
      <w:pPr>
        <w:ind w:firstLine="482" w:firstLineChars="200"/>
      </w:pPr>
      <w:r>
        <w:rPr>
          <w:b/>
          <w:bCs/>
        </w:rPr>
        <w:t>5</w:t>
      </w:r>
      <w:r>
        <w:t xml:space="preserve">  始发、接收前应在洞门上</w:t>
      </w:r>
      <w:r>
        <w:rPr>
          <w:rFonts w:hint="eastAsia"/>
        </w:rPr>
        <w:t>钻</w:t>
      </w:r>
      <w:r>
        <w:t>打</w:t>
      </w:r>
      <w:r>
        <w:rPr>
          <w:rFonts w:hint="eastAsia"/>
        </w:rPr>
        <w:t>探明土体加固效果的探测孔</w:t>
      </w:r>
      <w:r>
        <w:t>；</w:t>
      </w:r>
    </w:p>
    <w:p w14:paraId="2A78EA8B">
      <w:r>
        <w:rPr>
          <w:b/>
          <w:bCs/>
        </w:rPr>
        <w:t>5.</w:t>
      </w:r>
      <w:r>
        <w:rPr>
          <w:rFonts w:hint="eastAsia"/>
          <w:b/>
          <w:bCs/>
        </w:rPr>
        <w:t>7</w:t>
      </w:r>
      <w:r>
        <w:rPr>
          <w:b/>
          <w:bCs/>
        </w:rPr>
        <w:t xml:space="preserve">.12 </w:t>
      </w:r>
      <w:r>
        <w:t xml:space="preserve"> </w:t>
      </w:r>
      <w:r>
        <w:rPr>
          <w:rFonts w:hint="eastAsia"/>
        </w:rPr>
        <w:t>反力墙后方土体加固</w:t>
      </w:r>
      <w:r>
        <w:t>应满足顶进</w:t>
      </w:r>
      <w:r>
        <w:rPr>
          <w:rFonts w:hint="eastAsia"/>
        </w:rPr>
        <w:t>过程中最大</w:t>
      </w:r>
      <w:r>
        <w:t>顶力的要求</w:t>
      </w:r>
      <w:r>
        <w:rPr>
          <w:rFonts w:hint="eastAsia"/>
        </w:rPr>
        <w:t>。</w:t>
      </w:r>
    </w:p>
    <w:p w14:paraId="6122D273">
      <w:r>
        <w:rPr>
          <w:b/>
          <w:bCs/>
        </w:rPr>
        <w:t>5.</w:t>
      </w:r>
      <w:r>
        <w:rPr>
          <w:rFonts w:hint="eastAsia"/>
          <w:b/>
          <w:bCs/>
        </w:rPr>
        <w:t>7</w:t>
      </w:r>
      <w:r>
        <w:rPr>
          <w:b/>
          <w:bCs/>
        </w:rPr>
        <w:t>.13</w:t>
      </w:r>
      <w:r>
        <w:t xml:space="preserve">  洞口止水装置设计应符合下列规定：</w:t>
      </w:r>
    </w:p>
    <w:p w14:paraId="5E86B546">
      <w:pPr>
        <w:ind w:firstLine="482" w:firstLineChars="200"/>
      </w:pPr>
      <w:r>
        <w:rPr>
          <w:b/>
          <w:bCs/>
        </w:rPr>
        <w:t>1</w:t>
      </w:r>
      <w:r>
        <w:t xml:space="preserve">  应结合工作井的具体条件、地层特点确定止水装置构造形式；</w:t>
      </w:r>
    </w:p>
    <w:p w14:paraId="52E106C0">
      <w:pPr>
        <w:ind w:firstLine="482" w:firstLineChars="200"/>
      </w:pPr>
      <w:r>
        <w:rPr>
          <w:b/>
          <w:bCs/>
        </w:rPr>
        <w:t>2</w:t>
      </w:r>
      <w:r>
        <w:t xml:space="preserve">  始发</w:t>
      </w:r>
      <w:r>
        <w:rPr>
          <w:rFonts w:hint="eastAsia"/>
        </w:rPr>
        <w:t>井</w:t>
      </w:r>
      <w:r>
        <w:t>可根据埋深采用橡胶法兰、帘布橡胶板、气囊、钢丝刷并压注油脂等措施。</w:t>
      </w:r>
    </w:p>
    <w:p w14:paraId="4567B1B0">
      <w:pPr>
        <w:ind w:firstLine="482" w:firstLineChars="200"/>
      </w:pPr>
      <w:r>
        <w:rPr>
          <w:b/>
          <w:bCs/>
        </w:rPr>
        <w:t>3</w:t>
      </w:r>
      <w:r>
        <w:t xml:space="preserve">  接收井可采用加固洞口土体的方式进行止水。</w:t>
      </w:r>
    </w:p>
    <w:p w14:paraId="56862885">
      <w:r>
        <w:rPr>
          <w:b/>
          <w:bCs/>
        </w:rPr>
        <w:t>5.</w:t>
      </w:r>
      <w:r>
        <w:rPr>
          <w:rFonts w:hint="eastAsia"/>
          <w:b/>
          <w:bCs/>
        </w:rPr>
        <w:t>7</w:t>
      </w:r>
      <w:r>
        <w:rPr>
          <w:b/>
          <w:bCs/>
        </w:rPr>
        <w:t xml:space="preserve">.14  </w:t>
      </w:r>
      <w:r>
        <w:t>顶管始发井的预留洞口应安装帘布橡胶板密封，不得有漏泥、漏水现象，并</w:t>
      </w:r>
      <w:r>
        <w:rPr>
          <w:rFonts w:hint="eastAsia"/>
        </w:rPr>
        <w:t>宜</w:t>
      </w:r>
      <w:r>
        <w:t>采用可调节的钢压板作后靠（图5.</w:t>
      </w:r>
      <w:r>
        <w:rPr>
          <w:rFonts w:hint="eastAsia"/>
        </w:rPr>
        <w:t>7</w:t>
      </w:r>
      <w:r>
        <w:t>.14-1）。当覆土深度超过10m且地层为透水层时，应设置井壁预埋钢环，宜采用双层止水橡胶板（</w:t>
      </w:r>
      <w:r>
        <w:rPr>
          <w:bCs/>
        </w:rPr>
        <w:t>图5.</w:t>
      </w:r>
      <w:r>
        <w:rPr>
          <w:rFonts w:hint="eastAsia"/>
          <w:bCs/>
        </w:rPr>
        <w:t>7</w:t>
      </w:r>
      <w:r>
        <w:rPr>
          <w:bCs/>
        </w:rPr>
        <w:t>.14-2）</w:t>
      </w:r>
      <w:r>
        <w:t>。</w:t>
      </w:r>
      <w:r>
        <w:rPr>
          <w:rFonts w:hint="eastAsia"/>
        </w:rPr>
        <w:t>在强透水层</w:t>
      </w:r>
      <w:r>
        <w:t>中当覆土深度超过15m时宜增加钢丝刷止水装置（</w:t>
      </w:r>
      <w:r>
        <w:rPr>
          <w:bCs/>
        </w:rPr>
        <w:t>图5.</w:t>
      </w:r>
      <w:r>
        <w:rPr>
          <w:rFonts w:hint="eastAsia"/>
          <w:bCs/>
        </w:rPr>
        <w:t>7</w:t>
      </w:r>
      <w:r>
        <w:rPr>
          <w:bCs/>
        </w:rPr>
        <w:t>.14-3）</w:t>
      </w:r>
      <w:r>
        <w:t>。</w:t>
      </w:r>
    </w:p>
    <w:p w14:paraId="4FDAD09B">
      <w:pPr>
        <w:jc w:val="center"/>
      </w:pPr>
      <w:r>
        <w:drawing>
          <wp:inline distT="0" distB="0" distL="0" distR="0">
            <wp:extent cx="2411730" cy="1836420"/>
            <wp:effectExtent l="0" t="0" r="7620" b="1143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31"/>
                    <a:stretch>
                      <a:fillRect/>
                    </a:stretch>
                  </pic:blipFill>
                  <pic:spPr>
                    <a:xfrm>
                      <a:off x="0" y="0"/>
                      <a:ext cx="2411730" cy="1836420"/>
                    </a:xfrm>
                    <a:prstGeom prst="rect">
                      <a:avLst/>
                    </a:prstGeom>
                  </pic:spPr>
                </pic:pic>
              </a:graphicData>
            </a:graphic>
          </wp:inline>
        </w:drawing>
      </w:r>
    </w:p>
    <w:p w14:paraId="0A144AAF">
      <w:pPr>
        <w:jc w:val="center"/>
        <w:rPr>
          <w:b/>
          <w:sz w:val="21"/>
          <w:szCs w:val="18"/>
        </w:rPr>
      </w:pPr>
      <w:r>
        <w:rPr>
          <w:b/>
          <w:sz w:val="21"/>
          <w:szCs w:val="18"/>
        </w:rPr>
        <w:t>图5.</w:t>
      </w:r>
      <w:r>
        <w:rPr>
          <w:rFonts w:hint="eastAsia"/>
          <w:b/>
          <w:sz w:val="21"/>
          <w:szCs w:val="18"/>
        </w:rPr>
        <w:t>7</w:t>
      </w:r>
      <w:r>
        <w:rPr>
          <w:b/>
          <w:sz w:val="21"/>
          <w:szCs w:val="18"/>
        </w:rPr>
        <w:t>.14-1  止水装置示意图</w:t>
      </w:r>
    </w:p>
    <w:p w14:paraId="52C0726C">
      <w:pPr>
        <w:spacing w:line="240" w:lineRule="auto"/>
        <w:jc w:val="center"/>
        <w:rPr>
          <w:sz w:val="18"/>
        </w:rPr>
      </w:pPr>
      <w:r>
        <w:rPr>
          <w:sz w:val="18"/>
        </w:rPr>
        <w:t>1—围护结构；2—井内衬墙；3—预埋洞口钢环；4—止水橡胶帘布；5—压板；</w:t>
      </w:r>
    </w:p>
    <w:p w14:paraId="0C7C0F13">
      <w:pPr>
        <w:spacing w:line="240" w:lineRule="auto"/>
        <w:jc w:val="center"/>
        <w:rPr>
          <w:sz w:val="18"/>
        </w:rPr>
      </w:pPr>
      <w:r>
        <w:rPr>
          <w:sz w:val="18"/>
        </w:rPr>
        <w:t>6—固定螺栓；7—翻板；8—2寸管（有压土需要时选用）</w:t>
      </w:r>
    </w:p>
    <w:p w14:paraId="5CAEE3F1">
      <w:pPr>
        <w:jc w:val="center"/>
      </w:pPr>
      <w:r>
        <w:drawing>
          <wp:inline distT="0" distB="0" distL="0" distR="0">
            <wp:extent cx="2401570" cy="1864360"/>
            <wp:effectExtent l="0" t="0" r="17780" b="254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32"/>
                    <a:stretch>
                      <a:fillRect/>
                    </a:stretch>
                  </pic:blipFill>
                  <pic:spPr>
                    <a:xfrm>
                      <a:off x="0" y="0"/>
                      <a:ext cx="2401570" cy="1864360"/>
                    </a:xfrm>
                    <a:prstGeom prst="rect">
                      <a:avLst/>
                    </a:prstGeom>
                  </pic:spPr>
                </pic:pic>
              </a:graphicData>
            </a:graphic>
          </wp:inline>
        </w:drawing>
      </w:r>
    </w:p>
    <w:p w14:paraId="1CF39D8D">
      <w:pPr>
        <w:ind w:firstLine="422" w:firstLineChars="200"/>
        <w:jc w:val="center"/>
        <w:rPr>
          <w:b/>
          <w:bCs/>
          <w:sz w:val="21"/>
          <w:szCs w:val="18"/>
        </w:rPr>
      </w:pPr>
      <w:r>
        <w:rPr>
          <w:b/>
          <w:sz w:val="21"/>
          <w:szCs w:val="18"/>
        </w:rPr>
        <w:t>图5.</w:t>
      </w:r>
      <w:r>
        <w:rPr>
          <w:rFonts w:hint="eastAsia"/>
          <w:b/>
          <w:sz w:val="21"/>
          <w:szCs w:val="18"/>
        </w:rPr>
        <w:t>7</w:t>
      </w:r>
      <w:r>
        <w:rPr>
          <w:b/>
          <w:sz w:val="21"/>
          <w:szCs w:val="18"/>
        </w:rPr>
        <w:t>.14-2</w:t>
      </w:r>
      <w:r>
        <w:rPr>
          <w:b/>
          <w:bCs/>
          <w:sz w:val="21"/>
          <w:szCs w:val="18"/>
        </w:rPr>
        <w:t xml:space="preserve">  洞口双道橡胶止水装置细部构造示意图</w:t>
      </w:r>
    </w:p>
    <w:p w14:paraId="50BC70D8">
      <w:pPr>
        <w:spacing w:line="240" w:lineRule="auto"/>
        <w:jc w:val="center"/>
        <w:rPr>
          <w:sz w:val="18"/>
        </w:rPr>
      </w:pPr>
      <w:r>
        <w:rPr>
          <w:sz w:val="18"/>
        </w:rPr>
        <w:t>1—井壁侧墙；2—锚固钢筋；3—止水橡胶帘布；4—压板；5—翻板；</w:t>
      </w:r>
    </w:p>
    <w:p w14:paraId="7BAB0680">
      <w:pPr>
        <w:spacing w:line="240" w:lineRule="auto"/>
        <w:jc w:val="center"/>
        <w:rPr>
          <w:b/>
          <w:bCs/>
          <w:sz w:val="18"/>
        </w:rPr>
      </w:pPr>
      <w:r>
        <w:rPr>
          <w:sz w:val="18"/>
        </w:rPr>
        <w:t>6—中间止水钢环；7—固定螺栓；8—预埋洞口钢环</w:t>
      </w:r>
    </w:p>
    <w:p w14:paraId="6E66656C">
      <w:pPr>
        <w:jc w:val="center"/>
        <w:rPr>
          <w:b/>
          <w:bCs/>
          <w:sz w:val="21"/>
          <w:szCs w:val="18"/>
        </w:rPr>
      </w:pPr>
      <w:r>
        <w:drawing>
          <wp:inline distT="0" distB="0" distL="0" distR="0">
            <wp:extent cx="2168525" cy="2110105"/>
            <wp:effectExtent l="0" t="0" r="3175"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33"/>
                    <a:stretch>
                      <a:fillRect/>
                    </a:stretch>
                  </pic:blipFill>
                  <pic:spPr>
                    <a:xfrm>
                      <a:off x="0" y="0"/>
                      <a:ext cx="2168525" cy="2110105"/>
                    </a:xfrm>
                    <a:prstGeom prst="rect">
                      <a:avLst/>
                    </a:prstGeom>
                  </pic:spPr>
                </pic:pic>
              </a:graphicData>
            </a:graphic>
          </wp:inline>
        </w:drawing>
      </w:r>
    </w:p>
    <w:p w14:paraId="2A6EC4DB">
      <w:pPr>
        <w:spacing w:line="240" w:lineRule="auto"/>
        <w:jc w:val="center"/>
        <w:rPr>
          <w:b/>
          <w:bCs/>
          <w:sz w:val="21"/>
          <w:szCs w:val="18"/>
        </w:rPr>
      </w:pPr>
      <w:r>
        <w:rPr>
          <w:b/>
          <w:bCs/>
          <w:sz w:val="21"/>
          <w:szCs w:val="18"/>
        </w:rPr>
        <w:t>图5.</w:t>
      </w:r>
      <w:r>
        <w:rPr>
          <w:rFonts w:hint="eastAsia"/>
          <w:b/>
          <w:bCs/>
          <w:sz w:val="21"/>
          <w:szCs w:val="18"/>
        </w:rPr>
        <w:t>7</w:t>
      </w:r>
      <w:r>
        <w:rPr>
          <w:b/>
          <w:bCs/>
          <w:sz w:val="21"/>
          <w:szCs w:val="18"/>
        </w:rPr>
        <w:t>.14-3  带有注浆的洞口双道橡胶止水装置细部构造示意图</w:t>
      </w:r>
    </w:p>
    <w:p w14:paraId="3AF52809">
      <w:pPr>
        <w:jc w:val="center"/>
      </w:pPr>
      <w:r>
        <w:rPr>
          <w:sz w:val="18"/>
        </w:rPr>
        <w:t>1—内衬墙；2—密封</w:t>
      </w:r>
      <w:r>
        <w:rPr>
          <w:rFonts w:hint="eastAsia"/>
          <w:sz w:val="18"/>
        </w:rPr>
        <w:t>油脂</w:t>
      </w:r>
      <w:r>
        <w:rPr>
          <w:sz w:val="18"/>
        </w:rPr>
        <w:t>管路；3—洞口防水门帘；4—钢丝刷</w:t>
      </w:r>
    </w:p>
    <w:p w14:paraId="2BC19EB6">
      <w:pPr>
        <w:rPr>
          <w:rFonts w:eastAsia="华文仿宋"/>
        </w:rPr>
        <w:sectPr>
          <w:pgSz w:w="11906" w:h="16838"/>
          <w:pgMar w:top="1440" w:right="1800" w:bottom="1440" w:left="1800" w:header="851" w:footer="992" w:gutter="0"/>
          <w:cols w:space="425" w:num="1"/>
          <w:docGrid w:type="lines" w:linePitch="312" w:charSpace="0"/>
        </w:sectPr>
      </w:pPr>
    </w:p>
    <w:p w14:paraId="386540FD">
      <w:pPr>
        <w:keepNext/>
        <w:keepLines/>
        <w:jc w:val="center"/>
        <w:outlineLvl w:val="0"/>
        <w:rPr>
          <w:b/>
          <w:bCs/>
          <w:kern w:val="44"/>
          <w:sz w:val="32"/>
          <w:szCs w:val="44"/>
        </w:rPr>
      </w:pPr>
      <w:bookmarkStart w:id="248" w:name="_Toc19466"/>
      <w:bookmarkStart w:id="249" w:name="_Toc9698"/>
      <w:bookmarkStart w:id="250" w:name="_Toc9940"/>
      <w:bookmarkStart w:id="251" w:name="_Toc15621"/>
      <w:bookmarkStart w:id="252" w:name="_Toc3433"/>
      <w:bookmarkStart w:id="253" w:name="_Toc27409"/>
      <w:bookmarkStart w:id="254" w:name="_Toc5981"/>
      <w:r>
        <w:rPr>
          <w:b/>
          <w:bCs/>
          <w:kern w:val="44"/>
          <w:sz w:val="32"/>
          <w:szCs w:val="44"/>
        </w:rPr>
        <w:fldChar w:fldCharType="begin"/>
      </w:r>
      <w:r>
        <w:rPr>
          <w:b/>
          <w:bCs/>
          <w:kern w:val="44"/>
          <w:sz w:val="32"/>
          <w:szCs w:val="44"/>
        </w:rPr>
        <w:instrText xml:space="preserve"> HYPERLINK \l "_Toc9712" </w:instrText>
      </w:r>
      <w:r>
        <w:rPr>
          <w:b/>
          <w:bCs/>
          <w:kern w:val="44"/>
          <w:sz w:val="32"/>
          <w:szCs w:val="44"/>
        </w:rPr>
        <w:fldChar w:fldCharType="separate"/>
      </w:r>
      <w:bookmarkStart w:id="255" w:name="_Toc47692161"/>
      <w:bookmarkStart w:id="256" w:name="_Toc18057043"/>
      <w:bookmarkStart w:id="257" w:name="_Toc60173789"/>
      <w:bookmarkStart w:id="258" w:name="_Toc60172902"/>
      <w:r>
        <w:rPr>
          <w:b/>
          <w:bCs/>
          <w:kern w:val="44"/>
          <w:sz w:val="32"/>
          <w:szCs w:val="44"/>
        </w:rPr>
        <w:t>6  管节</w:t>
      </w:r>
      <w:r>
        <w:rPr>
          <w:b/>
          <w:bCs/>
          <w:kern w:val="44"/>
          <w:sz w:val="32"/>
          <w:szCs w:val="44"/>
        </w:rPr>
        <w:fldChar w:fldCharType="end"/>
      </w:r>
      <w:r>
        <w:rPr>
          <w:b/>
          <w:bCs/>
          <w:kern w:val="44"/>
          <w:sz w:val="32"/>
          <w:szCs w:val="44"/>
        </w:rPr>
        <w:t>制作</w:t>
      </w:r>
      <w:bookmarkEnd w:id="248"/>
      <w:bookmarkEnd w:id="249"/>
      <w:bookmarkEnd w:id="250"/>
      <w:bookmarkEnd w:id="251"/>
      <w:bookmarkEnd w:id="252"/>
      <w:bookmarkEnd w:id="253"/>
      <w:bookmarkEnd w:id="254"/>
      <w:bookmarkEnd w:id="255"/>
      <w:bookmarkEnd w:id="256"/>
      <w:bookmarkEnd w:id="257"/>
      <w:bookmarkEnd w:id="258"/>
    </w:p>
    <w:p w14:paraId="2A8E383F">
      <w:pPr>
        <w:keepNext/>
        <w:keepLines/>
        <w:jc w:val="center"/>
        <w:outlineLvl w:val="1"/>
        <w:rPr>
          <w:rFonts w:eastAsia="黑体"/>
          <w:bCs/>
          <w:sz w:val="28"/>
          <w:szCs w:val="32"/>
        </w:rPr>
      </w:pPr>
      <w:bookmarkStart w:id="259" w:name="_Toc25005"/>
      <w:bookmarkStart w:id="260" w:name="_Toc24444"/>
      <w:bookmarkStart w:id="261" w:name="_Toc6350"/>
      <w:bookmarkStart w:id="262" w:name="_Toc28257"/>
      <w:bookmarkStart w:id="263" w:name="_Toc1711"/>
      <w:bookmarkStart w:id="264" w:name="_Toc1900"/>
      <w:bookmarkStart w:id="265" w:name="_Toc8003"/>
      <w:r>
        <w:rPr>
          <w:rFonts w:eastAsia="黑体"/>
          <w:bCs/>
          <w:sz w:val="28"/>
          <w:szCs w:val="32"/>
        </w:rPr>
        <w:fldChar w:fldCharType="begin"/>
      </w:r>
      <w:r>
        <w:rPr>
          <w:rFonts w:eastAsia="黑体"/>
          <w:bCs/>
          <w:sz w:val="28"/>
          <w:szCs w:val="32"/>
        </w:rPr>
        <w:instrText xml:space="preserve"> HYPERLINK "file:///C:\\Users\\xy155\\Desktop\\矩形顶管工程技术规程2019.3.22.docx" \l "_Toc23090" </w:instrText>
      </w:r>
      <w:r>
        <w:rPr>
          <w:rFonts w:eastAsia="黑体"/>
          <w:bCs/>
          <w:sz w:val="28"/>
          <w:szCs w:val="32"/>
        </w:rPr>
        <w:fldChar w:fldCharType="separate"/>
      </w:r>
      <w:bookmarkStart w:id="266" w:name="_Toc60172903"/>
      <w:bookmarkStart w:id="267" w:name="_Toc60173790"/>
      <w:bookmarkStart w:id="268" w:name="_Toc47692162"/>
      <w:bookmarkStart w:id="269" w:name="_Toc18057044"/>
      <w:r>
        <w:rPr>
          <w:rFonts w:eastAsia="黑体"/>
          <w:b/>
          <w:bCs/>
          <w:sz w:val="28"/>
          <w:szCs w:val="32"/>
        </w:rPr>
        <w:t>6.1</w:t>
      </w:r>
      <w:r>
        <w:rPr>
          <w:rFonts w:eastAsia="黑体"/>
          <w:bCs/>
          <w:sz w:val="28"/>
          <w:szCs w:val="32"/>
        </w:rPr>
        <w:t xml:space="preserve">  一般规定</w:t>
      </w:r>
      <w:bookmarkEnd w:id="266"/>
      <w:bookmarkEnd w:id="267"/>
      <w:bookmarkEnd w:id="268"/>
      <w:bookmarkEnd w:id="269"/>
      <w:r>
        <w:rPr>
          <w:rFonts w:eastAsia="黑体"/>
          <w:bCs/>
          <w:sz w:val="28"/>
          <w:szCs w:val="32"/>
        </w:rPr>
        <w:fldChar w:fldCharType="end"/>
      </w:r>
      <w:bookmarkEnd w:id="259"/>
      <w:bookmarkEnd w:id="260"/>
      <w:bookmarkEnd w:id="261"/>
      <w:bookmarkEnd w:id="262"/>
      <w:bookmarkEnd w:id="263"/>
      <w:bookmarkEnd w:id="264"/>
      <w:bookmarkEnd w:id="265"/>
    </w:p>
    <w:p w14:paraId="14EC1A90">
      <w:pPr>
        <w:rPr>
          <w:b/>
        </w:rPr>
      </w:pPr>
      <w:r>
        <w:rPr>
          <w:b/>
          <w:bCs/>
        </w:rPr>
        <w:t>6.1.1</w:t>
      </w:r>
      <w:r>
        <w:t xml:space="preserve">  管节投入生产前应对生产厂家进行技术交底。技术交底应包括下列内容：</w:t>
      </w:r>
    </w:p>
    <w:p w14:paraId="76CAE2C7">
      <w:pPr>
        <w:ind w:firstLine="482" w:firstLineChars="200"/>
      </w:pPr>
      <w:r>
        <w:rPr>
          <w:b/>
          <w:bCs/>
        </w:rPr>
        <w:t>1</w:t>
      </w:r>
      <w:r>
        <w:t xml:space="preserve">  设计规定的钢筋规格、数量、间距、分布与钢筋之间搭接长度、连接方式、钢筋保护层厚度、插口端和钢承口端钢环的材质和尺寸等；</w:t>
      </w:r>
    </w:p>
    <w:p w14:paraId="2C13D8C8">
      <w:pPr>
        <w:ind w:firstLine="482" w:firstLineChars="200"/>
      </w:pPr>
      <w:r>
        <w:rPr>
          <w:b/>
          <w:bCs/>
        </w:rPr>
        <w:t>2</w:t>
      </w:r>
      <w:r>
        <w:t xml:space="preserve">  各类预埋件尺寸、预埋方式、数量、与管节本体内钢筋连接等；</w:t>
      </w:r>
    </w:p>
    <w:p w14:paraId="470D3CD6">
      <w:pPr>
        <w:ind w:firstLine="482" w:firstLineChars="200"/>
      </w:pPr>
      <w:r>
        <w:rPr>
          <w:b/>
          <w:bCs/>
        </w:rPr>
        <w:t>3</w:t>
      </w:r>
      <w:r>
        <w:t xml:space="preserve">  吊装孔、注浆孔、压浆孔及接驳器的定制尺寸、固定方式等；</w:t>
      </w:r>
    </w:p>
    <w:p w14:paraId="3EC10060">
      <w:pPr>
        <w:ind w:firstLine="482" w:firstLineChars="200"/>
      </w:pPr>
      <w:r>
        <w:rPr>
          <w:b/>
          <w:bCs/>
        </w:rPr>
        <w:t>4</w:t>
      </w:r>
      <w:r>
        <w:t xml:space="preserve">  混凝土的强度等级、</w:t>
      </w:r>
      <w:r>
        <w:rPr>
          <w:rFonts w:hint="eastAsia"/>
        </w:rPr>
        <w:t>抗渗要求、</w:t>
      </w:r>
      <w:r>
        <w:t>管节成型方式以及养护等工艺要求；</w:t>
      </w:r>
    </w:p>
    <w:p w14:paraId="2B7D3A6C">
      <w:pPr>
        <w:ind w:firstLine="482" w:firstLineChars="200"/>
      </w:pPr>
      <w:r>
        <w:rPr>
          <w:b/>
          <w:bCs/>
        </w:rPr>
        <w:t>5</w:t>
      </w:r>
      <w:r>
        <w:t xml:space="preserve">  管节的后期养护与防护</w:t>
      </w:r>
      <w:r>
        <w:rPr>
          <w:rFonts w:hint="eastAsia"/>
        </w:rPr>
        <w:t>、运输保护</w:t>
      </w:r>
      <w:r>
        <w:t>等。</w:t>
      </w:r>
    </w:p>
    <w:p w14:paraId="282F4C13">
      <w:r>
        <w:rPr>
          <w:b/>
          <w:bCs/>
        </w:rPr>
        <w:t xml:space="preserve">6.1.2  </w:t>
      </w:r>
      <w:r>
        <w:t>每套新模具应进行不少于3节管节的生产试制，管节检验合格后方可批量生产。</w:t>
      </w:r>
    </w:p>
    <w:p w14:paraId="054C959B">
      <w:r>
        <w:rPr>
          <w:b/>
          <w:bCs/>
        </w:rPr>
        <w:t xml:space="preserve">6.1.3  </w:t>
      </w:r>
      <w:r>
        <w:t>管节出厂前应对合格的管节进行标识，标识内容应包括生产企业名称、产品商标、产品标志、产品生产日期以及检验合格标识等。</w:t>
      </w:r>
    </w:p>
    <w:p w14:paraId="6D6BD56A"/>
    <w:p w14:paraId="6AA6C5DC">
      <w:pPr>
        <w:keepNext/>
        <w:keepLines/>
        <w:jc w:val="center"/>
        <w:outlineLvl w:val="1"/>
        <w:rPr>
          <w:rFonts w:eastAsia="黑体"/>
          <w:bCs/>
          <w:sz w:val="28"/>
          <w:szCs w:val="32"/>
        </w:rPr>
      </w:pPr>
      <w:bookmarkStart w:id="270" w:name="_Toc13338"/>
      <w:bookmarkStart w:id="271" w:name="_Toc8495"/>
      <w:bookmarkStart w:id="272" w:name="_Toc20735"/>
      <w:bookmarkStart w:id="273" w:name="_Toc25310"/>
      <w:bookmarkStart w:id="274" w:name="_Toc18158"/>
      <w:r>
        <w:rPr>
          <w:rFonts w:eastAsia="黑体"/>
          <w:bCs/>
          <w:sz w:val="28"/>
          <w:szCs w:val="32"/>
        </w:rPr>
        <w:fldChar w:fldCharType="begin"/>
      </w:r>
      <w:r>
        <w:rPr>
          <w:rFonts w:eastAsia="黑体"/>
          <w:bCs/>
          <w:sz w:val="28"/>
          <w:szCs w:val="32"/>
        </w:rPr>
        <w:instrText xml:space="preserve"> HYPERLINK "file:///C:\\Users\\xy155\\Desktop\\矩形顶管工程技术规程2019.3.22.docx" \l "_Toc13214" </w:instrText>
      </w:r>
      <w:r>
        <w:rPr>
          <w:rFonts w:eastAsia="黑体"/>
          <w:bCs/>
          <w:sz w:val="28"/>
          <w:szCs w:val="32"/>
        </w:rPr>
        <w:fldChar w:fldCharType="separate"/>
      </w:r>
      <w:bookmarkStart w:id="275" w:name="_Toc60172904"/>
      <w:bookmarkStart w:id="276" w:name="_Toc47692163"/>
      <w:bookmarkStart w:id="277" w:name="_Toc60173791"/>
      <w:r>
        <w:rPr>
          <w:rFonts w:eastAsia="黑体"/>
          <w:b/>
          <w:bCs/>
          <w:sz w:val="28"/>
          <w:szCs w:val="32"/>
        </w:rPr>
        <w:t>6.2</w:t>
      </w:r>
      <w:r>
        <w:rPr>
          <w:rFonts w:eastAsia="黑体"/>
          <w:bCs/>
          <w:sz w:val="28"/>
          <w:szCs w:val="32"/>
        </w:rPr>
        <w:t xml:space="preserve">  材料</w:t>
      </w:r>
      <w:r>
        <w:rPr>
          <w:rFonts w:eastAsia="黑体"/>
          <w:bCs/>
          <w:sz w:val="28"/>
          <w:szCs w:val="32"/>
        </w:rPr>
        <w:fldChar w:fldCharType="end"/>
      </w:r>
      <w:r>
        <w:rPr>
          <w:rFonts w:eastAsia="黑体"/>
          <w:bCs/>
          <w:sz w:val="28"/>
          <w:szCs w:val="32"/>
        </w:rPr>
        <w:t>性能</w:t>
      </w:r>
      <w:bookmarkEnd w:id="270"/>
      <w:bookmarkEnd w:id="271"/>
      <w:bookmarkEnd w:id="272"/>
      <w:bookmarkEnd w:id="273"/>
      <w:bookmarkEnd w:id="274"/>
      <w:bookmarkEnd w:id="275"/>
      <w:bookmarkEnd w:id="276"/>
      <w:bookmarkEnd w:id="277"/>
    </w:p>
    <w:p w14:paraId="328FCAAC">
      <w:r>
        <w:rPr>
          <w:b/>
        </w:rPr>
        <w:t>6.2.1</w:t>
      </w:r>
      <w:r>
        <w:t xml:space="preserve">  钢筋混凝土管节制作质量应符合现行国家标准《混凝土和钢筋混凝土排水管》GB/T 11836的有关规定，管节及接口的尺寸精度和抗渗性能应满足设计要求。</w:t>
      </w:r>
    </w:p>
    <w:p w14:paraId="5877EE6E">
      <w:r>
        <w:rPr>
          <w:b/>
        </w:rPr>
        <w:t xml:space="preserve">6.2.2  </w:t>
      </w:r>
      <w:r>
        <w:t>管节水泥宜采用强度等级不低于42.5</w:t>
      </w:r>
      <w:r>
        <w:rPr>
          <w:rFonts w:hint="eastAsia"/>
        </w:rPr>
        <w:t>级</w:t>
      </w:r>
      <w:r>
        <w:t>的硅酸盐水泥，水泥性能应符合现行国家标准《通用硅酸盐水泥》GB 175、《抗硫酸盐硅酸盐水泥》GB 748与《硫铝酸盐水泥》GB 20472的有关规定。不同厂商、不同品种和不同等级的水泥不得混用。</w:t>
      </w:r>
    </w:p>
    <w:p w14:paraId="6331214B">
      <w:r>
        <w:rPr>
          <w:b/>
          <w:bCs/>
        </w:rPr>
        <w:t>6.2.3</w:t>
      </w:r>
      <w:r>
        <w:t xml:space="preserve">  管节细骨料宜采用中</w:t>
      </w:r>
      <w:r>
        <w:rPr>
          <w:rFonts w:hint="eastAsia"/>
        </w:rPr>
        <w:t>粗砂</w:t>
      </w:r>
      <w:r>
        <w:t>，细度模数宜为2.3～3.3，含泥量不宜大于2%，骨料性能应符合现行国家标准《建设用砂》GB/T 14684的有关规定。</w:t>
      </w:r>
    </w:p>
    <w:p w14:paraId="70C276FF">
      <w:r>
        <w:rPr>
          <w:b/>
          <w:bCs/>
        </w:rPr>
        <w:t>6.2.4</w:t>
      </w:r>
      <w:r>
        <w:t xml:space="preserve">  管节粗骨料宜采用碎石或卵石，粗骨料最大粒径不宜大于31.5mm，且不应大于钢筋净间距的3/4，含泥量不宜大于1%，骨料性能应符合现行国家标准《建设用碎石、卵石》GB/T 14685的有关规定。</w:t>
      </w:r>
    </w:p>
    <w:p w14:paraId="5FFD8E7B">
      <w:r>
        <w:rPr>
          <w:b/>
          <w:bCs/>
        </w:rPr>
        <w:t>6.2.5</w:t>
      </w:r>
      <w:r>
        <w:t xml:space="preserve">  管节混凝土可掺加外加剂或掺合料，不得使用氯盐类外加剂或其他对钢筋有腐蚀作用的外加剂，且掺加外加剂应符合现行国家标准《混凝土外加剂》GB 8076的有关规定。</w:t>
      </w:r>
    </w:p>
    <w:p w14:paraId="1EBC250E">
      <w:pPr>
        <w:rPr>
          <w:b/>
        </w:rPr>
      </w:pPr>
      <w:r>
        <w:rPr>
          <w:b/>
          <w:bCs/>
        </w:rPr>
        <w:t>6.2.6</w:t>
      </w:r>
      <w:r>
        <w:t xml:space="preserve">  管节混凝土用掺合料应符合下列规定：</w:t>
      </w:r>
    </w:p>
    <w:p w14:paraId="50175F77">
      <w:pPr>
        <w:ind w:firstLine="482" w:firstLineChars="200"/>
      </w:pPr>
      <w:r>
        <w:rPr>
          <w:b/>
          <w:bCs/>
        </w:rPr>
        <w:t>1</w:t>
      </w:r>
      <w:r>
        <w:t xml:space="preserve">  粉煤灰应符合现行国家标准《用于水泥和混凝土中的粉煤灰》GB/T 1596与《粉煤灰混凝土应用技术规范》GB/T 50146的有关规定；</w:t>
      </w:r>
    </w:p>
    <w:p w14:paraId="510FA912">
      <w:pPr>
        <w:ind w:firstLine="482" w:firstLineChars="200"/>
      </w:pPr>
      <w:r>
        <w:rPr>
          <w:b/>
          <w:bCs/>
        </w:rPr>
        <w:t>2</w:t>
      </w:r>
      <w:r>
        <w:t xml:space="preserve">  矿渣粉的技术等级不应低于S95，并应符合现行国家标准《用于水泥、砂浆和混凝土中的粒化高炉矿渣粉》GBT 18046的有关规定；</w:t>
      </w:r>
    </w:p>
    <w:p w14:paraId="333F54AB">
      <w:pPr>
        <w:ind w:firstLine="482" w:firstLineChars="200"/>
      </w:pPr>
      <w:r>
        <w:rPr>
          <w:b/>
          <w:bCs/>
        </w:rPr>
        <w:t>3</w:t>
      </w:r>
      <w:r>
        <w:t xml:space="preserve">  采用其他掺合料不得对产品产生有害影响，使用前应进行试验验证。</w:t>
      </w:r>
    </w:p>
    <w:p w14:paraId="06A778DF">
      <w:r>
        <w:rPr>
          <w:b/>
          <w:bCs/>
        </w:rPr>
        <w:t>6.2.7</w:t>
      </w:r>
      <w:r>
        <w:t xml:space="preserve">  管节混凝土拌合用水应符合现行行业标准《混凝土用水标准》JGJ 63的有关规定。</w:t>
      </w:r>
    </w:p>
    <w:p w14:paraId="5A21C717">
      <w:r>
        <w:rPr>
          <w:b/>
          <w:bCs/>
        </w:rPr>
        <w:t>6.2.8</w:t>
      </w:r>
      <w:r>
        <w:t xml:space="preserve">  管节接头采用弹性橡胶密封圈防水时，宜采用氯丁橡胶、三元乙丙橡胶。弹性橡胶密封圈的硬度、拉伸强度、拉断伸长率、压缩永久变形等性能指标，应</w:t>
      </w:r>
      <w:r>
        <w:rPr>
          <w:rFonts w:hint="eastAsia"/>
        </w:rPr>
        <w:t>符合</w:t>
      </w:r>
      <w:r>
        <w:t>设计</w:t>
      </w:r>
      <w:r>
        <w:rPr>
          <w:rFonts w:hint="eastAsia"/>
        </w:rPr>
        <w:t>文件</w:t>
      </w:r>
      <w:r>
        <w:t>和现行国家标准《橡胶密封件给、排水管及污水管道用接口密封圈  材料规范》GB/T 21873的有关规定</w:t>
      </w:r>
      <w:r>
        <w:rPr>
          <w:rFonts w:hint="eastAsia"/>
        </w:rPr>
        <w:t>，</w:t>
      </w:r>
      <w:r>
        <w:t>且防霉等级应优于二级，抗老化性能应</w:t>
      </w:r>
      <w:r>
        <w:rPr>
          <w:rFonts w:hint="eastAsia"/>
        </w:rPr>
        <w:t>满足</w:t>
      </w:r>
      <w:r>
        <w:t>管节使用寿命</w:t>
      </w:r>
      <w:r>
        <w:rPr>
          <w:rFonts w:hint="eastAsia"/>
        </w:rPr>
        <w:t>的</w:t>
      </w:r>
      <w:r>
        <w:t>要求。</w:t>
      </w:r>
    </w:p>
    <w:p w14:paraId="427F6D15">
      <w:r>
        <w:rPr>
          <w:b/>
          <w:bCs/>
        </w:rPr>
        <w:t>6.2.</w:t>
      </w:r>
      <w:r>
        <w:rPr>
          <w:rFonts w:hint="eastAsia"/>
          <w:b/>
          <w:bCs/>
        </w:rPr>
        <w:t>9</w:t>
      </w:r>
      <w:r>
        <w:t xml:space="preserve">  管节接头采用</w:t>
      </w:r>
      <w:r>
        <w:rPr>
          <w:rFonts w:hint="eastAsia"/>
        </w:rPr>
        <w:t>遇</w:t>
      </w:r>
      <w:r>
        <w:t>水膨胀橡胶圈防水时，遇水膨胀橡胶圈的体积膨胀倍率、硬度、拉伸强度、拉断伸长率等性能指标</w:t>
      </w:r>
      <w:r>
        <w:rPr>
          <w:rFonts w:hint="eastAsia"/>
        </w:rPr>
        <w:t>，</w:t>
      </w:r>
      <w:r>
        <w:t>应满足设计要求和现行国家标准《高分子防水材料  第3部分：遇水膨胀橡胶》GB/T 18173.3的有关规定，且防霉等级应优于二级。</w:t>
      </w:r>
    </w:p>
    <w:p w14:paraId="60541B85">
      <w:r>
        <w:rPr>
          <w:b/>
          <w:bCs/>
        </w:rPr>
        <w:t>6.2.</w:t>
      </w:r>
      <w:r>
        <w:rPr>
          <w:rFonts w:hint="eastAsia"/>
          <w:b/>
          <w:bCs/>
        </w:rPr>
        <w:t>10</w:t>
      </w:r>
      <w:r>
        <w:t xml:space="preserve">  管节接头采用其他密封材料防水时，应满足设计要求。</w:t>
      </w:r>
    </w:p>
    <w:p w14:paraId="461D370E">
      <w:r>
        <w:rPr>
          <w:b/>
          <w:bCs/>
        </w:rPr>
        <w:t>6.2.</w:t>
      </w:r>
      <w:r>
        <w:rPr>
          <w:rFonts w:hint="eastAsia"/>
          <w:b/>
          <w:bCs/>
        </w:rPr>
        <w:t>11</w:t>
      </w:r>
      <w:r>
        <w:t xml:space="preserve">  氯丁橡胶、三元乙丙橡胶及聚氨酯密封胶的物理力学性能指标应符合表6.2.1</w:t>
      </w:r>
      <w:r>
        <w:rPr>
          <w:rFonts w:hint="eastAsia"/>
        </w:rPr>
        <w:t>1</w:t>
      </w:r>
      <w:r>
        <w:t>-1</w:t>
      </w:r>
      <w:r>
        <w:rPr>
          <w:bCs/>
          <w:sz w:val="21"/>
        </w:rPr>
        <w:t>～</w:t>
      </w:r>
      <w:r>
        <w:rPr>
          <w:rFonts w:hint="eastAsia"/>
          <w:bCs/>
          <w:sz w:val="21"/>
        </w:rPr>
        <w:t>表</w:t>
      </w:r>
      <w:r>
        <w:t>6.2.1</w:t>
      </w:r>
      <w:r>
        <w:rPr>
          <w:rFonts w:hint="eastAsia"/>
        </w:rPr>
        <w:t>1</w:t>
      </w:r>
      <w:r>
        <w:t>-3的规定。</w:t>
      </w:r>
    </w:p>
    <w:p w14:paraId="78047335">
      <w:pPr>
        <w:ind w:firstLine="422" w:firstLineChars="200"/>
        <w:jc w:val="center"/>
        <w:rPr>
          <w:b/>
          <w:bCs/>
          <w:sz w:val="21"/>
          <w:szCs w:val="18"/>
        </w:rPr>
      </w:pPr>
      <w:r>
        <w:rPr>
          <w:b/>
          <w:bCs/>
          <w:sz w:val="21"/>
          <w:szCs w:val="18"/>
        </w:rPr>
        <w:t>表6.2.1</w:t>
      </w:r>
      <w:r>
        <w:rPr>
          <w:rFonts w:hint="eastAsia"/>
          <w:b/>
          <w:bCs/>
          <w:sz w:val="21"/>
          <w:szCs w:val="18"/>
        </w:rPr>
        <w:t>1</w:t>
      </w:r>
      <w:r>
        <w:rPr>
          <w:b/>
          <w:bCs/>
          <w:sz w:val="21"/>
          <w:szCs w:val="18"/>
        </w:rPr>
        <w:t>-1  氯丁橡胶的物理力学性能指标</w:t>
      </w:r>
    </w:p>
    <w:tbl>
      <w:tblPr>
        <w:tblStyle w:val="36"/>
        <w:tblW w:w="8572" w:type="dxa"/>
        <w:jc w:val="cente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
      <w:tblGrid>
        <w:gridCol w:w="668"/>
        <w:gridCol w:w="1647"/>
        <w:gridCol w:w="28"/>
        <w:gridCol w:w="1585"/>
        <w:gridCol w:w="741"/>
        <w:gridCol w:w="1402"/>
        <w:gridCol w:w="2501"/>
      </w:tblGrid>
      <w:tr w14:paraId="4D5257AF">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668" w:type="dxa"/>
            <w:vAlign w:val="center"/>
          </w:tcPr>
          <w:p w14:paraId="59E5589A">
            <w:pPr>
              <w:spacing w:line="240" w:lineRule="auto"/>
              <w:jc w:val="center"/>
              <w:rPr>
                <w:sz w:val="21"/>
              </w:rPr>
            </w:pPr>
            <w:r>
              <w:rPr>
                <w:sz w:val="21"/>
              </w:rPr>
              <w:t>序号</w:t>
            </w:r>
          </w:p>
        </w:tc>
        <w:tc>
          <w:tcPr>
            <w:tcW w:w="3260" w:type="dxa"/>
            <w:gridSpan w:val="3"/>
            <w:vAlign w:val="center"/>
          </w:tcPr>
          <w:p w14:paraId="2BF113A0">
            <w:pPr>
              <w:spacing w:line="240" w:lineRule="auto"/>
              <w:jc w:val="center"/>
              <w:rPr>
                <w:sz w:val="21"/>
              </w:rPr>
            </w:pPr>
            <w:r>
              <w:rPr>
                <w:rFonts w:hint="eastAsia"/>
                <w:sz w:val="21"/>
              </w:rPr>
              <w:t>检测</w:t>
            </w:r>
            <w:r>
              <w:rPr>
                <w:sz w:val="21"/>
              </w:rPr>
              <w:t>项目</w:t>
            </w:r>
          </w:p>
        </w:tc>
        <w:tc>
          <w:tcPr>
            <w:tcW w:w="741" w:type="dxa"/>
            <w:vAlign w:val="center"/>
          </w:tcPr>
          <w:p w14:paraId="3B772495">
            <w:pPr>
              <w:spacing w:line="240" w:lineRule="auto"/>
              <w:jc w:val="center"/>
              <w:rPr>
                <w:sz w:val="21"/>
              </w:rPr>
            </w:pPr>
            <w:r>
              <w:rPr>
                <w:sz w:val="21"/>
              </w:rPr>
              <w:t>单位</w:t>
            </w:r>
          </w:p>
        </w:tc>
        <w:tc>
          <w:tcPr>
            <w:tcW w:w="1402" w:type="dxa"/>
            <w:vAlign w:val="center"/>
          </w:tcPr>
          <w:p w14:paraId="432DA7C6">
            <w:pPr>
              <w:spacing w:line="240" w:lineRule="auto"/>
              <w:jc w:val="center"/>
              <w:rPr>
                <w:sz w:val="21"/>
              </w:rPr>
            </w:pPr>
            <w:r>
              <w:rPr>
                <w:sz w:val="21"/>
              </w:rPr>
              <w:t>性能指标</w:t>
            </w:r>
          </w:p>
        </w:tc>
        <w:tc>
          <w:tcPr>
            <w:tcW w:w="2501" w:type="dxa"/>
            <w:vAlign w:val="center"/>
          </w:tcPr>
          <w:p w14:paraId="4E0C3A9F">
            <w:pPr>
              <w:spacing w:line="240" w:lineRule="auto"/>
              <w:jc w:val="center"/>
              <w:rPr>
                <w:sz w:val="21"/>
              </w:rPr>
            </w:pPr>
            <w:r>
              <w:rPr>
                <w:sz w:val="21"/>
              </w:rPr>
              <w:t>检测方法</w:t>
            </w:r>
          </w:p>
        </w:tc>
      </w:tr>
      <w:tr w14:paraId="6BE98403">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668" w:type="dxa"/>
            <w:vAlign w:val="center"/>
          </w:tcPr>
          <w:p w14:paraId="7329FBEC">
            <w:pPr>
              <w:spacing w:line="240" w:lineRule="auto"/>
              <w:jc w:val="center"/>
              <w:rPr>
                <w:sz w:val="21"/>
              </w:rPr>
            </w:pPr>
            <w:r>
              <w:rPr>
                <w:sz w:val="21"/>
              </w:rPr>
              <w:t>1</w:t>
            </w:r>
          </w:p>
        </w:tc>
        <w:tc>
          <w:tcPr>
            <w:tcW w:w="3260" w:type="dxa"/>
            <w:gridSpan w:val="3"/>
            <w:vAlign w:val="center"/>
          </w:tcPr>
          <w:p w14:paraId="7B789882">
            <w:pPr>
              <w:spacing w:line="240" w:lineRule="auto"/>
              <w:jc w:val="center"/>
              <w:rPr>
                <w:sz w:val="21"/>
              </w:rPr>
            </w:pPr>
            <w:r>
              <w:rPr>
                <w:sz w:val="21"/>
              </w:rPr>
              <w:t>硬度（邵尔A）</w:t>
            </w:r>
          </w:p>
        </w:tc>
        <w:tc>
          <w:tcPr>
            <w:tcW w:w="741" w:type="dxa"/>
            <w:vAlign w:val="center"/>
          </w:tcPr>
          <w:p w14:paraId="1833744E">
            <w:pPr>
              <w:spacing w:line="240" w:lineRule="auto"/>
              <w:jc w:val="center"/>
              <w:rPr>
                <w:sz w:val="21"/>
              </w:rPr>
            </w:pPr>
            <w:r>
              <w:rPr>
                <w:sz w:val="21"/>
              </w:rPr>
              <w:t>度</w:t>
            </w:r>
          </w:p>
        </w:tc>
        <w:tc>
          <w:tcPr>
            <w:tcW w:w="1402" w:type="dxa"/>
            <w:vAlign w:val="center"/>
          </w:tcPr>
          <w:p w14:paraId="6FF0EB88">
            <w:pPr>
              <w:spacing w:line="240" w:lineRule="auto"/>
              <w:jc w:val="center"/>
              <w:rPr>
                <w:sz w:val="21"/>
              </w:rPr>
            </w:pPr>
            <w:r>
              <w:rPr>
                <w:sz w:val="21"/>
              </w:rPr>
              <w:t>60±5</w:t>
            </w:r>
          </w:p>
        </w:tc>
        <w:tc>
          <w:tcPr>
            <w:tcW w:w="2501" w:type="dxa"/>
            <w:vMerge w:val="restart"/>
            <w:vAlign w:val="center"/>
          </w:tcPr>
          <w:p w14:paraId="32BC2B91">
            <w:pPr>
              <w:spacing w:line="240" w:lineRule="auto"/>
              <w:jc w:val="left"/>
              <w:rPr>
                <w:sz w:val="21"/>
              </w:rPr>
            </w:pPr>
            <w:r>
              <w:rPr>
                <w:sz w:val="21"/>
              </w:rPr>
              <w:t>现行国家标准《橡胶密封件  给、排水管及污水管道用接口密封圈  材料规范》GB/T 21873</w:t>
            </w:r>
          </w:p>
        </w:tc>
      </w:tr>
      <w:tr w14:paraId="64E71C51">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668" w:type="dxa"/>
            <w:vAlign w:val="center"/>
          </w:tcPr>
          <w:p w14:paraId="1E3EECBB">
            <w:pPr>
              <w:spacing w:line="240" w:lineRule="auto"/>
              <w:jc w:val="center"/>
              <w:rPr>
                <w:sz w:val="21"/>
              </w:rPr>
            </w:pPr>
            <w:r>
              <w:rPr>
                <w:sz w:val="21"/>
              </w:rPr>
              <w:t>2</w:t>
            </w:r>
          </w:p>
        </w:tc>
        <w:tc>
          <w:tcPr>
            <w:tcW w:w="3260" w:type="dxa"/>
            <w:gridSpan w:val="3"/>
            <w:vAlign w:val="center"/>
          </w:tcPr>
          <w:p w14:paraId="681FD2ED">
            <w:pPr>
              <w:spacing w:line="240" w:lineRule="auto"/>
              <w:jc w:val="center"/>
              <w:rPr>
                <w:sz w:val="21"/>
              </w:rPr>
            </w:pPr>
            <w:r>
              <w:rPr>
                <w:sz w:val="21"/>
              </w:rPr>
              <w:t>拉伸强度</w:t>
            </w:r>
          </w:p>
        </w:tc>
        <w:tc>
          <w:tcPr>
            <w:tcW w:w="741" w:type="dxa"/>
            <w:vAlign w:val="center"/>
          </w:tcPr>
          <w:p w14:paraId="33E3CA0C">
            <w:pPr>
              <w:spacing w:line="240" w:lineRule="auto"/>
              <w:jc w:val="center"/>
              <w:rPr>
                <w:sz w:val="21"/>
              </w:rPr>
            </w:pPr>
            <w:r>
              <w:rPr>
                <w:sz w:val="21"/>
              </w:rPr>
              <w:t>MPa</w:t>
            </w:r>
          </w:p>
        </w:tc>
        <w:tc>
          <w:tcPr>
            <w:tcW w:w="1402" w:type="dxa"/>
            <w:vAlign w:val="center"/>
          </w:tcPr>
          <w:p w14:paraId="46A3782C">
            <w:pPr>
              <w:spacing w:line="240" w:lineRule="auto"/>
              <w:jc w:val="center"/>
              <w:rPr>
                <w:sz w:val="21"/>
              </w:rPr>
            </w:pPr>
            <w:r>
              <w:rPr>
                <w:sz w:val="21"/>
              </w:rPr>
              <w:t>≥15</w:t>
            </w:r>
          </w:p>
        </w:tc>
        <w:tc>
          <w:tcPr>
            <w:tcW w:w="2501" w:type="dxa"/>
            <w:vMerge w:val="continue"/>
            <w:vAlign w:val="center"/>
          </w:tcPr>
          <w:p w14:paraId="1B68F93E">
            <w:pPr>
              <w:spacing w:line="240" w:lineRule="auto"/>
              <w:jc w:val="left"/>
              <w:rPr>
                <w:sz w:val="21"/>
              </w:rPr>
            </w:pPr>
          </w:p>
        </w:tc>
      </w:tr>
      <w:tr w14:paraId="588190B1">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668" w:type="dxa"/>
            <w:vAlign w:val="center"/>
          </w:tcPr>
          <w:p w14:paraId="0F4AE6AB">
            <w:pPr>
              <w:spacing w:line="240" w:lineRule="auto"/>
              <w:jc w:val="center"/>
              <w:rPr>
                <w:sz w:val="21"/>
              </w:rPr>
            </w:pPr>
            <w:r>
              <w:rPr>
                <w:sz w:val="21"/>
              </w:rPr>
              <w:t>3</w:t>
            </w:r>
          </w:p>
        </w:tc>
        <w:tc>
          <w:tcPr>
            <w:tcW w:w="3260" w:type="dxa"/>
            <w:gridSpan w:val="3"/>
            <w:vAlign w:val="center"/>
          </w:tcPr>
          <w:p w14:paraId="47D74970">
            <w:pPr>
              <w:spacing w:line="240" w:lineRule="auto"/>
              <w:jc w:val="center"/>
              <w:rPr>
                <w:sz w:val="21"/>
              </w:rPr>
            </w:pPr>
            <w:r>
              <w:rPr>
                <w:sz w:val="21"/>
              </w:rPr>
              <w:t>扯断延伸率</w:t>
            </w:r>
          </w:p>
        </w:tc>
        <w:tc>
          <w:tcPr>
            <w:tcW w:w="741" w:type="dxa"/>
            <w:vAlign w:val="center"/>
          </w:tcPr>
          <w:p w14:paraId="41F08495">
            <w:pPr>
              <w:spacing w:line="240" w:lineRule="auto"/>
              <w:jc w:val="center"/>
              <w:rPr>
                <w:sz w:val="21"/>
              </w:rPr>
            </w:pPr>
            <w:r>
              <w:rPr>
                <w:sz w:val="21"/>
              </w:rPr>
              <w:t>%</w:t>
            </w:r>
          </w:p>
        </w:tc>
        <w:tc>
          <w:tcPr>
            <w:tcW w:w="1402" w:type="dxa"/>
            <w:vAlign w:val="center"/>
          </w:tcPr>
          <w:p w14:paraId="0A20CACD">
            <w:pPr>
              <w:spacing w:line="240" w:lineRule="auto"/>
              <w:jc w:val="center"/>
              <w:rPr>
                <w:sz w:val="21"/>
              </w:rPr>
            </w:pPr>
            <w:r>
              <w:rPr>
                <w:sz w:val="21"/>
              </w:rPr>
              <w:t>≥380</w:t>
            </w:r>
          </w:p>
        </w:tc>
        <w:tc>
          <w:tcPr>
            <w:tcW w:w="2501" w:type="dxa"/>
            <w:vMerge w:val="continue"/>
            <w:vAlign w:val="center"/>
          </w:tcPr>
          <w:p w14:paraId="14271A87">
            <w:pPr>
              <w:spacing w:line="240" w:lineRule="auto"/>
              <w:jc w:val="left"/>
              <w:rPr>
                <w:sz w:val="21"/>
              </w:rPr>
            </w:pPr>
          </w:p>
        </w:tc>
      </w:tr>
      <w:tr w14:paraId="3E27DCA1">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668" w:type="dxa"/>
            <w:vMerge w:val="restart"/>
            <w:vAlign w:val="center"/>
          </w:tcPr>
          <w:p w14:paraId="1C213BAB">
            <w:pPr>
              <w:spacing w:line="240" w:lineRule="auto"/>
              <w:jc w:val="center"/>
              <w:rPr>
                <w:sz w:val="21"/>
              </w:rPr>
            </w:pPr>
            <w:r>
              <w:rPr>
                <w:sz w:val="21"/>
              </w:rPr>
              <w:t>4</w:t>
            </w:r>
          </w:p>
        </w:tc>
        <w:tc>
          <w:tcPr>
            <w:tcW w:w="1675" w:type="dxa"/>
            <w:gridSpan w:val="2"/>
            <w:vMerge w:val="restart"/>
            <w:tcBorders>
              <w:right w:val="single" w:color="000000" w:sz="6" w:space="0"/>
            </w:tcBorders>
            <w:vAlign w:val="center"/>
          </w:tcPr>
          <w:p w14:paraId="4FA8951B">
            <w:pPr>
              <w:spacing w:line="240" w:lineRule="auto"/>
              <w:jc w:val="center"/>
              <w:rPr>
                <w:sz w:val="21"/>
              </w:rPr>
            </w:pPr>
            <w:r>
              <w:rPr>
                <w:sz w:val="21"/>
              </w:rPr>
              <w:t>压缩永久变形</w:t>
            </w:r>
          </w:p>
        </w:tc>
        <w:tc>
          <w:tcPr>
            <w:tcW w:w="1585" w:type="dxa"/>
            <w:tcBorders>
              <w:top w:val="single" w:color="000000" w:sz="6" w:space="0"/>
              <w:left w:val="single" w:color="000000" w:sz="6" w:space="0"/>
              <w:bottom w:val="single" w:color="000000" w:sz="6" w:space="0"/>
            </w:tcBorders>
            <w:vAlign w:val="center"/>
          </w:tcPr>
          <w:p w14:paraId="1E6B1E3E">
            <w:pPr>
              <w:spacing w:line="240" w:lineRule="auto"/>
              <w:jc w:val="center"/>
              <w:rPr>
                <w:sz w:val="21"/>
              </w:rPr>
            </w:pPr>
            <w:r>
              <w:rPr>
                <w:sz w:val="21"/>
              </w:rPr>
              <w:t>70°C×24h</w:t>
            </w:r>
          </w:p>
        </w:tc>
        <w:tc>
          <w:tcPr>
            <w:tcW w:w="741" w:type="dxa"/>
            <w:vAlign w:val="center"/>
          </w:tcPr>
          <w:p w14:paraId="63690376">
            <w:pPr>
              <w:spacing w:line="240" w:lineRule="auto"/>
              <w:jc w:val="center"/>
              <w:rPr>
                <w:sz w:val="21"/>
              </w:rPr>
            </w:pPr>
            <w:r>
              <w:rPr>
                <w:sz w:val="21"/>
              </w:rPr>
              <w:t>%</w:t>
            </w:r>
          </w:p>
        </w:tc>
        <w:tc>
          <w:tcPr>
            <w:tcW w:w="1402" w:type="dxa"/>
            <w:vAlign w:val="center"/>
          </w:tcPr>
          <w:p w14:paraId="72D6179D">
            <w:pPr>
              <w:spacing w:line="240" w:lineRule="auto"/>
              <w:jc w:val="center"/>
              <w:rPr>
                <w:sz w:val="21"/>
              </w:rPr>
            </w:pPr>
            <w:r>
              <w:rPr>
                <w:sz w:val="21"/>
              </w:rPr>
              <w:t>≤35</w:t>
            </w:r>
          </w:p>
        </w:tc>
        <w:tc>
          <w:tcPr>
            <w:tcW w:w="2501" w:type="dxa"/>
            <w:vMerge w:val="restart"/>
            <w:vAlign w:val="center"/>
          </w:tcPr>
          <w:p w14:paraId="1AF5B794">
            <w:pPr>
              <w:spacing w:line="240" w:lineRule="auto"/>
              <w:jc w:val="left"/>
              <w:rPr>
                <w:sz w:val="21"/>
              </w:rPr>
            </w:pPr>
            <w:r>
              <w:rPr>
                <w:sz w:val="21"/>
              </w:rPr>
              <w:t>现行国家标准《硫化橡胶或热塑性橡胶  压缩永久变形的测定  第1部分：在常温及高温条件下》GB/T 7759.1</w:t>
            </w:r>
          </w:p>
        </w:tc>
      </w:tr>
      <w:tr w14:paraId="1D537A24">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668" w:type="dxa"/>
            <w:vMerge w:val="continue"/>
            <w:vAlign w:val="center"/>
          </w:tcPr>
          <w:p w14:paraId="1F96762E">
            <w:pPr>
              <w:spacing w:line="240" w:lineRule="auto"/>
              <w:jc w:val="center"/>
              <w:rPr>
                <w:sz w:val="21"/>
              </w:rPr>
            </w:pPr>
          </w:p>
        </w:tc>
        <w:tc>
          <w:tcPr>
            <w:tcW w:w="1675" w:type="dxa"/>
            <w:gridSpan w:val="2"/>
            <w:vMerge w:val="continue"/>
            <w:tcBorders>
              <w:right w:val="single" w:color="000000" w:sz="6" w:space="0"/>
            </w:tcBorders>
            <w:vAlign w:val="center"/>
          </w:tcPr>
          <w:p w14:paraId="6108C069">
            <w:pPr>
              <w:spacing w:line="240" w:lineRule="auto"/>
              <w:jc w:val="center"/>
              <w:rPr>
                <w:sz w:val="21"/>
              </w:rPr>
            </w:pPr>
          </w:p>
        </w:tc>
        <w:tc>
          <w:tcPr>
            <w:tcW w:w="1585" w:type="dxa"/>
            <w:tcBorders>
              <w:top w:val="single" w:color="000000" w:sz="6" w:space="0"/>
              <w:left w:val="single" w:color="000000" w:sz="6" w:space="0"/>
              <w:bottom w:val="single" w:color="000000" w:sz="6" w:space="0"/>
            </w:tcBorders>
            <w:vAlign w:val="center"/>
          </w:tcPr>
          <w:p w14:paraId="54E9C811">
            <w:pPr>
              <w:spacing w:line="240" w:lineRule="auto"/>
              <w:jc w:val="center"/>
              <w:rPr>
                <w:sz w:val="21"/>
              </w:rPr>
            </w:pPr>
            <w:r>
              <w:rPr>
                <w:sz w:val="21"/>
              </w:rPr>
              <w:t>23°C×168h</w:t>
            </w:r>
          </w:p>
        </w:tc>
        <w:tc>
          <w:tcPr>
            <w:tcW w:w="741" w:type="dxa"/>
            <w:vAlign w:val="center"/>
          </w:tcPr>
          <w:p w14:paraId="34A3B8CC">
            <w:pPr>
              <w:spacing w:line="240" w:lineRule="auto"/>
              <w:jc w:val="center"/>
              <w:rPr>
                <w:sz w:val="21"/>
              </w:rPr>
            </w:pPr>
            <w:r>
              <w:rPr>
                <w:sz w:val="21"/>
              </w:rPr>
              <w:t>%</w:t>
            </w:r>
          </w:p>
        </w:tc>
        <w:tc>
          <w:tcPr>
            <w:tcW w:w="1402" w:type="dxa"/>
            <w:vAlign w:val="center"/>
          </w:tcPr>
          <w:p w14:paraId="21D8E2A4">
            <w:pPr>
              <w:spacing w:line="240" w:lineRule="auto"/>
              <w:jc w:val="center"/>
              <w:rPr>
                <w:sz w:val="21"/>
              </w:rPr>
            </w:pPr>
            <w:r>
              <w:rPr>
                <w:sz w:val="21"/>
              </w:rPr>
              <w:t>≤20</w:t>
            </w:r>
          </w:p>
        </w:tc>
        <w:tc>
          <w:tcPr>
            <w:tcW w:w="2501" w:type="dxa"/>
            <w:vMerge w:val="continue"/>
            <w:vAlign w:val="center"/>
          </w:tcPr>
          <w:p w14:paraId="264D7D15">
            <w:pPr>
              <w:spacing w:line="240" w:lineRule="auto"/>
              <w:jc w:val="left"/>
              <w:rPr>
                <w:sz w:val="21"/>
              </w:rPr>
            </w:pPr>
          </w:p>
        </w:tc>
      </w:tr>
      <w:tr w14:paraId="563CE69F">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668" w:type="dxa"/>
            <w:vAlign w:val="center"/>
          </w:tcPr>
          <w:p w14:paraId="5EC32D3D">
            <w:pPr>
              <w:spacing w:line="240" w:lineRule="auto"/>
              <w:jc w:val="center"/>
              <w:rPr>
                <w:sz w:val="21"/>
              </w:rPr>
            </w:pPr>
            <w:r>
              <w:rPr>
                <w:sz w:val="21"/>
              </w:rPr>
              <w:t>5</w:t>
            </w:r>
          </w:p>
        </w:tc>
        <w:tc>
          <w:tcPr>
            <w:tcW w:w="3260" w:type="dxa"/>
            <w:gridSpan w:val="3"/>
            <w:vAlign w:val="center"/>
          </w:tcPr>
          <w:p w14:paraId="638B0381">
            <w:pPr>
              <w:spacing w:line="240" w:lineRule="auto"/>
              <w:jc w:val="center"/>
              <w:rPr>
                <w:sz w:val="21"/>
              </w:rPr>
            </w:pPr>
            <w:r>
              <w:rPr>
                <w:sz w:val="21"/>
              </w:rPr>
              <w:t>撕裂强度</w:t>
            </w:r>
          </w:p>
        </w:tc>
        <w:tc>
          <w:tcPr>
            <w:tcW w:w="741" w:type="dxa"/>
            <w:vAlign w:val="center"/>
          </w:tcPr>
          <w:p w14:paraId="04D4E126">
            <w:pPr>
              <w:spacing w:line="240" w:lineRule="auto"/>
              <w:jc w:val="center"/>
              <w:rPr>
                <w:sz w:val="21"/>
              </w:rPr>
            </w:pPr>
            <w:r>
              <w:rPr>
                <w:sz w:val="21"/>
              </w:rPr>
              <w:t>kN/m</w:t>
            </w:r>
          </w:p>
        </w:tc>
        <w:tc>
          <w:tcPr>
            <w:tcW w:w="1402" w:type="dxa"/>
            <w:vAlign w:val="center"/>
          </w:tcPr>
          <w:p w14:paraId="23C8300C">
            <w:pPr>
              <w:spacing w:line="240" w:lineRule="auto"/>
              <w:jc w:val="center"/>
              <w:rPr>
                <w:sz w:val="21"/>
              </w:rPr>
            </w:pPr>
            <w:r>
              <w:rPr>
                <w:sz w:val="21"/>
              </w:rPr>
              <w:t>≥30</w:t>
            </w:r>
          </w:p>
        </w:tc>
        <w:tc>
          <w:tcPr>
            <w:tcW w:w="2501" w:type="dxa"/>
            <w:vAlign w:val="center"/>
          </w:tcPr>
          <w:p w14:paraId="326D748C">
            <w:pPr>
              <w:spacing w:line="240" w:lineRule="auto"/>
              <w:jc w:val="left"/>
              <w:rPr>
                <w:sz w:val="21"/>
              </w:rPr>
            </w:pPr>
            <w:r>
              <w:rPr>
                <w:sz w:val="21"/>
              </w:rPr>
              <w:t>现行国家标准《硫化橡胶或热塑性橡胶撕裂强度的测定（裤形、直角形和新月形试样）》GB/T 529</w:t>
            </w:r>
          </w:p>
        </w:tc>
      </w:tr>
      <w:tr w14:paraId="0EC6E176">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668" w:type="dxa"/>
            <w:vAlign w:val="center"/>
          </w:tcPr>
          <w:p w14:paraId="75809D81">
            <w:pPr>
              <w:spacing w:line="240" w:lineRule="auto"/>
              <w:jc w:val="center"/>
              <w:rPr>
                <w:sz w:val="21"/>
              </w:rPr>
            </w:pPr>
            <w:r>
              <w:rPr>
                <w:sz w:val="21"/>
              </w:rPr>
              <w:t>6</w:t>
            </w:r>
          </w:p>
        </w:tc>
        <w:tc>
          <w:tcPr>
            <w:tcW w:w="3260" w:type="dxa"/>
            <w:gridSpan w:val="3"/>
            <w:vAlign w:val="center"/>
          </w:tcPr>
          <w:p w14:paraId="0DF1FD01">
            <w:pPr>
              <w:spacing w:line="240" w:lineRule="auto"/>
              <w:jc w:val="center"/>
              <w:rPr>
                <w:sz w:val="21"/>
              </w:rPr>
            </w:pPr>
            <w:r>
              <w:rPr>
                <w:sz w:val="21"/>
              </w:rPr>
              <w:t>脆性温度</w:t>
            </w:r>
          </w:p>
        </w:tc>
        <w:tc>
          <w:tcPr>
            <w:tcW w:w="741" w:type="dxa"/>
            <w:vAlign w:val="center"/>
          </w:tcPr>
          <w:p w14:paraId="1FED322E">
            <w:pPr>
              <w:spacing w:line="240" w:lineRule="auto"/>
              <w:jc w:val="center"/>
              <w:rPr>
                <w:sz w:val="21"/>
              </w:rPr>
            </w:pPr>
            <w:r>
              <w:rPr>
                <w:sz w:val="21"/>
              </w:rPr>
              <w:t>℃</w:t>
            </w:r>
          </w:p>
        </w:tc>
        <w:tc>
          <w:tcPr>
            <w:tcW w:w="1402" w:type="dxa"/>
            <w:vAlign w:val="center"/>
          </w:tcPr>
          <w:p w14:paraId="0B92A1CA">
            <w:pPr>
              <w:spacing w:line="240" w:lineRule="auto"/>
              <w:jc w:val="center"/>
              <w:rPr>
                <w:sz w:val="21"/>
              </w:rPr>
            </w:pPr>
            <w:r>
              <w:rPr>
                <w:sz w:val="21"/>
              </w:rPr>
              <w:t>≤-45</w:t>
            </w:r>
          </w:p>
        </w:tc>
        <w:tc>
          <w:tcPr>
            <w:tcW w:w="2501" w:type="dxa"/>
            <w:vAlign w:val="center"/>
          </w:tcPr>
          <w:p w14:paraId="0E3C2F3E">
            <w:pPr>
              <w:spacing w:line="240" w:lineRule="auto"/>
              <w:jc w:val="left"/>
              <w:rPr>
                <w:sz w:val="21"/>
              </w:rPr>
            </w:pPr>
            <w:r>
              <w:rPr>
                <w:sz w:val="21"/>
              </w:rPr>
              <w:t>现行国家标准《硫化橡胶或热塑性橡胶  低温脆性的测定（多试样法）》GB/T 15256</w:t>
            </w:r>
          </w:p>
        </w:tc>
      </w:tr>
      <w:tr w14:paraId="3E731EAD">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668" w:type="dxa"/>
            <w:vMerge w:val="restart"/>
            <w:vAlign w:val="center"/>
          </w:tcPr>
          <w:p w14:paraId="7588AFF3">
            <w:pPr>
              <w:spacing w:line="240" w:lineRule="auto"/>
              <w:jc w:val="center"/>
              <w:rPr>
                <w:sz w:val="21"/>
              </w:rPr>
            </w:pPr>
            <w:r>
              <w:rPr>
                <w:sz w:val="21"/>
              </w:rPr>
              <w:t>7</w:t>
            </w:r>
          </w:p>
        </w:tc>
        <w:tc>
          <w:tcPr>
            <w:tcW w:w="1647" w:type="dxa"/>
            <w:vMerge w:val="restart"/>
            <w:vAlign w:val="center"/>
          </w:tcPr>
          <w:p w14:paraId="3D989FBD">
            <w:pPr>
              <w:spacing w:line="240" w:lineRule="auto"/>
              <w:jc w:val="center"/>
              <w:rPr>
                <w:sz w:val="21"/>
              </w:rPr>
            </w:pPr>
            <w:r>
              <w:rPr>
                <w:sz w:val="21"/>
              </w:rPr>
              <w:t>热空气老化</w:t>
            </w:r>
          </w:p>
        </w:tc>
        <w:tc>
          <w:tcPr>
            <w:tcW w:w="1613" w:type="dxa"/>
            <w:gridSpan w:val="2"/>
            <w:vAlign w:val="center"/>
          </w:tcPr>
          <w:p w14:paraId="40D45299">
            <w:pPr>
              <w:spacing w:line="240" w:lineRule="auto"/>
              <w:jc w:val="center"/>
              <w:rPr>
                <w:sz w:val="21"/>
              </w:rPr>
            </w:pPr>
            <w:r>
              <w:rPr>
                <w:sz w:val="21"/>
              </w:rPr>
              <w:t>硬度（邵尔A）</w:t>
            </w:r>
          </w:p>
        </w:tc>
        <w:tc>
          <w:tcPr>
            <w:tcW w:w="741" w:type="dxa"/>
            <w:vAlign w:val="center"/>
          </w:tcPr>
          <w:p w14:paraId="335C7BF0">
            <w:pPr>
              <w:spacing w:line="240" w:lineRule="auto"/>
              <w:jc w:val="center"/>
              <w:rPr>
                <w:sz w:val="21"/>
              </w:rPr>
            </w:pPr>
            <w:r>
              <w:rPr>
                <w:sz w:val="21"/>
              </w:rPr>
              <w:t>度</w:t>
            </w:r>
          </w:p>
        </w:tc>
        <w:tc>
          <w:tcPr>
            <w:tcW w:w="1402" w:type="dxa"/>
            <w:vAlign w:val="center"/>
          </w:tcPr>
          <w:p w14:paraId="686303DA">
            <w:pPr>
              <w:spacing w:line="240" w:lineRule="auto"/>
              <w:jc w:val="center"/>
              <w:rPr>
                <w:sz w:val="21"/>
              </w:rPr>
            </w:pPr>
            <w:r>
              <w:rPr>
                <w:sz w:val="21"/>
              </w:rPr>
              <w:t>≤8</w:t>
            </w:r>
          </w:p>
        </w:tc>
        <w:tc>
          <w:tcPr>
            <w:tcW w:w="2501" w:type="dxa"/>
            <w:vMerge w:val="restart"/>
            <w:vAlign w:val="center"/>
          </w:tcPr>
          <w:p w14:paraId="0061B3B5">
            <w:pPr>
              <w:spacing w:line="240" w:lineRule="auto"/>
              <w:jc w:val="left"/>
              <w:rPr>
                <w:sz w:val="21"/>
              </w:rPr>
            </w:pPr>
            <w:r>
              <w:rPr>
                <w:sz w:val="21"/>
              </w:rPr>
              <w:t>现行国家标准《橡胶密封件  给、排水管及污水管道用接口密封圈  材料规范》GB/T 21873</w:t>
            </w:r>
          </w:p>
        </w:tc>
      </w:tr>
      <w:tr w14:paraId="18A9A268">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668" w:type="dxa"/>
            <w:vMerge w:val="continue"/>
            <w:vAlign w:val="center"/>
          </w:tcPr>
          <w:p w14:paraId="206552D0">
            <w:pPr>
              <w:spacing w:line="240" w:lineRule="auto"/>
              <w:jc w:val="center"/>
              <w:rPr>
                <w:sz w:val="21"/>
              </w:rPr>
            </w:pPr>
          </w:p>
        </w:tc>
        <w:tc>
          <w:tcPr>
            <w:tcW w:w="1647" w:type="dxa"/>
            <w:vMerge w:val="continue"/>
            <w:vAlign w:val="center"/>
          </w:tcPr>
          <w:p w14:paraId="456F59C8">
            <w:pPr>
              <w:spacing w:line="240" w:lineRule="auto"/>
              <w:jc w:val="center"/>
              <w:rPr>
                <w:sz w:val="21"/>
              </w:rPr>
            </w:pPr>
          </w:p>
        </w:tc>
        <w:tc>
          <w:tcPr>
            <w:tcW w:w="1613" w:type="dxa"/>
            <w:gridSpan w:val="2"/>
            <w:vAlign w:val="center"/>
          </w:tcPr>
          <w:p w14:paraId="4E4C6EC8">
            <w:pPr>
              <w:spacing w:line="240" w:lineRule="auto"/>
              <w:jc w:val="center"/>
              <w:rPr>
                <w:sz w:val="21"/>
              </w:rPr>
            </w:pPr>
            <w:r>
              <w:rPr>
                <w:sz w:val="21"/>
              </w:rPr>
              <w:t>拉伸强度</w:t>
            </w:r>
          </w:p>
        </w:tc>
        <w:tc>
          <w:tcPr>
            <w:tcW w:w="741" w:type="dxa"/>
            <w:vAlign w:val="center"/>
          </w:tcPr>
          <w:p w14:paraId="50264617">
            <w:pPr>
              <w:spacing w:line="240" w:lineRule="auto"/>
              <w:jc w:val="center"/>
              <w:rPr>
                <w:sz w:val="21"/>
              </w:rPr>
            </w:pPr>
            <w:r>
              <w:rPr>
                <w:sz w:val="21"/>
              </w:rPr>
              <w:t>MPa</w:t>
            </w:r>
          </w:p>
        </w:tc>
        <w:tc>
          <w:tcPr>
            <w:tcW w:w="1402" w:type="dxa"/>
            <w:vAlign w:val="center"/>
          </w:tcPr>
          <w:p w14:paraId="1B3D15F2">
            <w:pPr>
              <w:spacing w:line="240" w:lineRule="auto"/>
              <w:jc w:val="center"/>
              <w:rPr>
                <w:sz w:val="21"/>
              </w:rPr>
            </w:pPr>
            <w:r>
              <w:rPr>
                <w:sz w:val="21"/>
              </w:rPr>
              <w:t>≥12</w:t>
            </w:r>
          </w:p>
        </w:tc>
        <w:tc>
          <w:tcPr>
            <w:tcW w:w="2501" w:type="dxa"/>
            <w:vMerge w:val="continue"/>
            <w:vAlign w:val="center"/>
          </w:tcPr>
          <w:p w14:paraId="411F4008">
            <w:pPr>
              <w:spacing w:line="240" w:lineRule="auto"/>
              <w:jc w:val="left"/>
              <w:rPr>
                <w:sz w:val="21"/>
              </w:rPr>
            </w:pPr>
          </w:p>
        </w:tc>
      </w:tr>
      <w:tr w14:paraId="6CAA9587">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668" w:type="dxa"/>
            <w:vMerge w:val="continue"/>
            <w:vAlign w:val="center"/>
          </w:tcPr>
          <w:p w14:paraId="34DE7BF6">
            <w:pPr>
              <w:spacing w:line="240" w:lineRule="auto"/>
              <w:jc w:val="center"/>
              <w:rPr>
                <w:sz w:val="21"/>
              </w:rPr>
            </w:pPr>
          </w:p>
        </w:tc>
        <w:tc>
          <w:tcPr>
            <w:tcW w:w="1647" w:type="dxa"/>
            <w:vAlign w:val="center"/>
          </w:tcPr>
          <w:p w14:paraId="2CD5AEDD">
            <w:pPr>
              <w:spacing w:line="240" w:lineRule="auto"/>
              <w:jc w:val="center"/>
              <w:rPr>
                <w:sz w:val="21"/>
              </w:rPr>
            </w:pPr>
            <w:r>
              <w:rPr>
                <w:sz w:val="21"/>
              </w:rPr>
              <w:t>70°C×168h</w:t>
            </w:r>
          </w:p>
        </w:tc>
        <w:tc>
          <w:tcPr>
            <w:tcW w:w="1613" w:type="dxa"/>
            <w:gridSpan w:val="2"/>
            <w:vAlign w:val="center"/>
          </w:tcPr>
          <w:p w14:paraId="03B12E40">
            <w:pPr>
              <w:spacing w:line="240" w:lineRule="auto"/>
              <w:jc w:val="center"/>
              <w:rPr>
                <w:sz w:val="21"/>
              </w:rPr>
            </w:pPr>
            <w:r>
              <w:rPr>
                <w:sz w:val="21"/>
              </w:rPr>
              <w:t>扯断伸长率</w:t>
            </w:r>
          </w:p>
        </w:tc>
        <w:tc>
          <w:tcPr>
            <w:tcW w:w="741" w:type="dxa"/>
            <w:vAlign w:val="center"/>
          </w:tcPr>
          <w:p w14:paraId="398B32AC">
            <w:pPr>
              <w:spacing w:line="240" w:lineRule="auto"/>
              <w:jc w:val="center"/>
              <w:rPr>
                <w:sz w:val="21"/>
              </w:rPr>
            </w:pPr>
            <w:r>
              <w:rPr>
                <w:sz w:val="21"/>
              </w:rPr>
              <w:t>%</w:t>
            </w:r>
          </w:p>
        </w:tc>
        <w:tc>
          <w:tcPr>
            <w:tcW w:w="1402" w:type="dxa"/>
            <w:vAlign w:val="center"/>
          </w:tcPr>
          <w:p w14:paraId="30C71160">
            <w:pPr>
              <w:spacing w:line="240" w:lineRule="auto"/>
              <w:jc w:val="center"/>
              <w:rPr>
                <w:sz w:val="21"/>
              </w:rPr>
            </w:pPr>
            <w:r>
              <w:rPr>
                <w:sz w:val="21"/>
              </w:rPr>
              <w:t>≥300</w:t>
            </w:r>
          </w:p>
        </w:tc>
        <w:tc>
          <w:tcPr>
            <w:tcW w:w="2501" w:type="dxa"/>
            <w:vMerge w:val="continue"/>
            <w:vAlign w:val="center"/>
          </w:tcPr>
          <w:p w14:paraId="124EF29B">
            <w:pPr>
              <w:spacing w:line="240" w:lineRule="auto"/>
              <w:jc w:val="left"/>
              <w:rPr>
                <w:sz w:val="21"/>
              </w:rPr>
            </w:pPr>
          </w:p>
        </w:tc>
      </w:tr>
      <w:tr w14:paraId="7C2B6E36">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668" w:type="dxa"/>
            <w:vAlign w:val="center"/>
          </w:tcPr>
          <w:p w14:paraId="5770B7D6">
            <w:pPr>
              <w:spacing w:line="240" w:lineRule="auto"/>
              <w:jc w:val="center"/>
              <w:rPr>
                <w:sz w:val="21"/>
              </w:rPr>
            </w:pPr>
            <w:r>
              <w:rPr>
                <w:sz w:val="21"/>
              </w:rPr>
              <w:t>8</w:t>
            </w:r>
          </w:p>
        </w:tc>
        <w:tc>
          <w:tcPr>
            <w:tcW w:w="3260" w:type="dxa"/>
            <w:gridSpan w:val="3"/>
            <w:vAlign w:val="center"/>
          </w:tcPr>
          <w:p w14:paraId="226CD56B">
            <w:pPr>
              <w:spacing w:line="240" w:lineRule="auto"/>
              <w:jc w:val="center"/>
              <w:rPr>
                <w:sz w:val="21"/>
              </w:rPr>
            </w:pPr>
            <w:r>
              <w:rPr>
                <w:sz w:val="21"/>
              </w:rPr>
              <w:t>臭氧老化50pphm，20%，48h</w:t>
            </w:r>
          </w:p>
        </w:tc>
        <w:tc>
          <w:tcPr>
            <w:tcW w:w="741" w:type="dxa"/>
            <w:vAlign w:val="center"/>
          </w:tcPr>
          <w:p w14:paraId="40FB8CF5">
            <w:pPr>
              <w:spacing w:line="240" w:lineRule="auto"/>
              <w:jc w:val="center"/>
              <w:rPr>
                <w:sz w:val="21"/>
              </w:rPr>
            </w:pPr>
          </w:p>
        </w:tc>
        <w:tc>
          <w:tcPr>
            <w:tcW w:w="1402" w:type="dxa"/>
            <w:vAlign w:val="center"/>
          </w:tcPr>
          <w:p w14:paraId="737A88FB">
            <w:pPr>
              <w:spacing w:line="240" w:lineRule="auto"/>
              <w:jc w:val="center"/>
              <w:rPr>
                <w:sz w:val="21"/>
              </w:rPr>
            </w:pPr>
            <w:r>
              <w:rPr>
                <w:sz w:val="21"/>
              </w:rPr>
              <w:t>2级</w:t>
            </w:r>
          </w:p>
        </w:tc>
        <w:tc>
          <w:tcPr>
            <w:tcW w:w="2501" w:type="dxa"/>
            <w:vAlign w:val="center"/>
          </w:tcPr>
          <w:p w14:paraId="5A519B9A">
            <w:pPr>
              <w:spacing w:line="240" w:lineRule="auto"/>
              <w:jc w:val="left"/>
              <w:rPr>
                <w:sz w:val="21"/>
              </w:rPr>
            </w:pPr>
            <w:r>
              <w:rPr>
                <w:sz w:val="21"/>
              </w:rPr>
              <w:t>现行国家标准《硫化橡胶或热塑性橡胶  耐臭氧龟裂  静态拉伸试验》GB/T 7762</w:t>
            </w:r>
          </w:p>
        </w:tc>
      </w:tr>
    </w:tbl>
    <w:p w14:paraId="4C24A286">
      <w:pPr>
        <w:jc w:val="left"/>
      </w:pPr>
    </w:p>
    <w:p w14:paraId="3B8DD57B">
      <w:pPr>
        <w:jc w:val="center"/>
        <w:rPr>
          <w:b/>
          <w:bCs/>
          <w:sz w:val="21"/>
          <w:szCs w:val="18"/>
        </w:rPr>
      </w:pPr>
      <w:r>
        <w:rPr>
          <w:b/>
          <w:bCs/>
          <w:sz w:val="21"/>
          <w:szCs w:val="18"/>
        </w:rPr>
        <w:t>表6.2.1</w:t>
      </w:r>
      <w:r>
        <w:rPr>
          <w:rFonts w:hint="eastAsia"/>
          <w:b/>
          <w:bCs/>
          <w:sz w:val="21"/>
          <w:szCs w:val="18"/>
        </w:rPr>
        <w:t>1</w:t>
      </w:r>
      <w:r>
        <w:rPr>
          <w:b/>
          <w:bCs/>
          <w:sz w:val="21"/>
          <w:szCs w:val="18"/>
        </w:rPr>
        <w:t>-2  三元乙丙橡胶的物理力学性能指标</w:t>
      </w:r>
    </w:p>
    <w:tbl>
      <w:tblPr>
        <w:tblStyle w:val="36"/>
        <w:tblW w:w="8522"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71"/>
        <w:gridCol w:w="1600"/>
        <w:gridCol w:w="1669"/>
        <w:gridCol w:w="741"/>
        <w:gridCol w:w="1384"/>
        <w:gridCol w:w="2457"/>
      </w:tblGrid>
      <w:tr w14:paraId="1DD4715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20" w:hRule="atLeast"/>
        </w:trPr>
        <w:tc>
          <w:tcPr>
            <w:tcW w:w="671" w:type="dxa"/>
            <w:vAlign w:val="center"/>
          </w:tcPr>
          <w:p w14:paraId="02A169CF">
            <w:pPr>
              <w:spacing w:line="240" w:lineRule="auto"/>
              <w:jc w:val="center"/>
              <w:rPr>
                <w:sz w:val="21"/>
              </w:rPr>
            </w:pPr>
            <w:r>
              <w:rPr>
                <w:rFonts w:hint="eastAsia"/>
                <w:sz w:val="21"/>
              </w:rPr>
              <w:t>序号</w:t>
            </w:r>
          </w:p>
        </w:tc>
        <w:tc>
          <w:tcPr>
            <w:tcW w:w="3269" w:type="dxa"/>
            <w:gridSpan w:val="2"/>
            <w:vAlign w:val="center"/>
          </w:tcPr>
          <w:p w14:paraId="2198F0D2">
            <w:pPr>
              <w:spacing w:line="240" w:lineRule="auto"/>
              <w:jc w:val="center"/>
              <w:rPr>
                <w:sz w:val="21"/>
              </w:rPr>
            </w:pPr>
            <w:r>
              <w:rPr>
                <w:rFonts w:hint="eastAsia"/>
                <w:sz w:val="21"/>
              </w:rPr>
              <w:t>检测项目</w:t>
            </w:r>
          </w:p>
        </w:tc>
        <w:tc>
          <w:tcPr>
            <w:tcW w:w="741" w:type="dxa"/>
            <w:vAlign w:val="center"/>
          </w:tcPr>
          <w:p w14:paraId="622648A5">
            <w:pPr>
              <w:spacing w:line="240" w:lineRule="auto"/>
              <w:jc w:val="center"/>
              <w:rPr>
                <w:sz w:val="21"/>
              </w:rPr>
            </w:pPr>
            <w:r>
              <w:rPr>
                <w:rFonts w:hint="eastAsia"/>
                <w:sz w:val="21"/>
              </w:rPr>
              <w:t>单位</w:t>
            </w:r>
          </w:p>
        </w:tc>
        <w:tc>
          <w:tcPr>
            <w:tcW w:w="1384" w:type="dxa"/>
            <w:vAlign w:val="center"/>
          </w:tcPr>
          <w:p w14:paraId="2011600C">
            <w:pPr>
              <w:spacing w:line="240" w:lineRule="auto"/>
              <w:jc w:val="center"/>
              <w:rPr>
                <w:sz w:val="21"/>
              </w:rPr>
            </w:pPr>
            <w:r>
              <w:rPr>
                <w:rFonts w:hint="eastAsia"/>
                <w:sz w:val="21"/>
              </w:rPr>
              <w:t>性能指标</w:t>
            </w:r>
          </w:p>
        </w:tc>
        <w:tc>
          <w:tcPr>
            <w:tcW w:w="2457" w:type="dxa"/>
            <w:vAlign w:val="center"/>
          </w:tcPr>
          <w:p w14:paraId="087D54C1">
            <w:pPr>
              <w:spacing w:line="240" w:lineRule="auto"/>
              <w:jc w:val="center"/>
              <w:rPr>
                <w:sz w:val="21"/>
              </w:rPr>
            </w:pPr>
            <w:r>
              <w:rPr>
                <w:rFonts w:hint="eastAsia"/>
                <w:sz w:val="21"/>
              </w:rPr>
              <w:t>检测方法</w:t>
            </w:r>
          </w:p>
        </w:tc>
      </w:tr>
      <w:tr w14:paraId="5011EF7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7" w:hRule="atLeast"/>
        </w:trPr>
        <w:tc>
          <w:tcPr>
            <w:tcW w:w="671" w:type="dxa"/>
            <w:vAlign w:val="center"/>
          </w:tcPr>
          <w:p w14:paraId="5F4EB294">
            <w:pPr>
              <w:spacing w:line="240" w:lineRule="auto"/>
              <w:jc w:val="center"/>
              <w:rPr>
                <w:sz w:val="21"/>
              </w:rPr>
            </w:pPr>
            <w:r>
              <w:rPr>
                <w:rFonts w:hint="eastAsia"/>
                <w:sz w:val="21"/>
              </w:rPr>
              <w:t>1</w:t>
            </w:r>
          </w:p>
        </w:tc>
        <w:tc>
          <w:tcPr>
            <w:tcW w:w="3269" w:type="dxa"/>
            <w:gridSpan w:val="2"/>
            <w:vAlign w:val="center"/>
          </w:tcPr>
          <w:p w14:paraId="489ECFD2">
            <w:pPr>
              <w:spacing w:line="240" w:lineRule="auto"/>
              <w:jc w:val="center"/>
              <w:rPr>
                <w:sz w:val="21"/>
              </w:rPr>
            </w:pPr>
            <w:r>
              <w:rPr>
                <w:rFonts w:hint="eastAsia"/>
                <w:sz w:val="21"/>
              </w:rPr>
              <w:t>硬度（邵氏A）</w:t>
            </w:r>
          </w:p>
        </w:tc>
        <w:tc>
          <w:tcPr>
            <w:tcW w:w="741" w:type="dxa"/>
            <w:vAlign w:val="center"/>
          </w:tcPr>
          <w:p w14:paraId="2AEEB058">
            <w:pPr>
              <w:spacing w:line="240" w:lineRule="auto"/>
              <w:jc w:val="center"/>
              <w:rPr>
                <w:sz w:val="21"/>
              </w:rPr>
            </w:pPr>
            <w:r>
              <w:rPr>
                <w:rFonts w:hint="eastAsia"/>
                <w:sz w:val="21"/>
              </w:rPr>
              <w:t>度</w:t>
            </w:r>
          </w:p>
        </w:tc>
        <w:tc>
          <w:tcPr>
            <w:tcW w:w="1384" w:type="dxa"/>
            <w:vAlign w:val="center"/>
          </w:tcPr>
          <w:p w14:paraId="68F637F1">
            <w:pPr>
              <w:spacing w:line="240" w:lineRule="auto"/>
              <w:jc w:val="center"/>
              <w:rPr>
                <w:sz w:val="21"/>
              </w:rPr>
            </w:pPr>
            <w:r>
              <w:rPr>
                <w:rFonts w:hint="eastAsia"/>
                <w:sz w:val="21"/>
              </w:rPr>
              <w:t>50</w:t>
            </w:r>
            <w:r>
              <w:rPr>
                <w:rFonts w:hint="eastAsia" w:ascii="宋体" w:hAnsi="宋体"/>
                <w:sz w:val="21"/>
              </w:rPr>
              <w:t>±</w:t>
            </w:r>
            <w:r>
              <w:rPr>
                <w:rFonts w:hint="eastAsia"/>
                <w:sz w:val="21"/>
              </w:rPr>
              <w:t>5</w:t>
            </w:r>
          </w:p>
        </w:tc>
        <w:tc>
          <w:tcPr>
            <w:tcW w:w="2457" w:type="dxa"/>
            <w:vMerge w:val="restart"/>
            <w:vAlign w:val="center"/>
          </w:tcPr>
          <w:p w14:paraId="533753CE">
            <w:pPr>
              <w:spacing w:line="240" w:lineRule="auto"/>
              <w:jc w:val="left"/>
              <w:rPr>
                <w:sz w:val="21"/>
              </w:rPr>
            </w:pPr>
            <w:r>
              <w:rPr>
                <w:sz w:val="21"/>
              </w:rPr>
              <w:t>现行国家标准《橡胶密封件  给、排水管及污水管道用接口密封圈  材料规范》GB/T 21873</w:t>
            </w:r>
          </w:p>
        </w:tc>
      </w:tr>
      <w:tr w14:paraId="2EE71B5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7" w:hRule="atLeast"/>
        </w:trPr>
        <w:tc>
          <w:tcPr>
            <w:tcW w:w="671" w:type="dxa"/>
            <w:vAlign w:val="center"/>
          </w:tcPr>
          <w:p w14:paraId="44328FF4">
            <w:pPr>
              <w:spacing w:line="240" w:lineRule="auto"/>
              <w:jc w:val="center"/>
              <w:rPr>
                <w:sz w:val="21"/>
              </w:rPr>
            </w:pPr>
            <w:r>
              <w:rPr>
                <w:rFonts w:hint="eastAsia"/>
                <w:sz w:val="21"/>
              </w:rPr>
              <w:t>2</w:t>
            </w:r>
          </w:p>
        </w:tc>
        <w:tc>
          <w:tcPr>
            <w:tcW w:w="3269" w:type="dxa"/>
            <w:gridSpan w:val="2"/>
            <w:vAlign w:val="center"/>
          </w:tcPr>
          <w:p w14:paraId="1BC833D9">
            <w:pPr>
              <w:spacing w:line="240" w:lineRule="auto"/>
              <w:jc w:val="center"/>
              <w:rPr>
                <w:sz w:val="21"/>
              </w:rPr>
            </w:pPr>
            <w:r>
              <w:rPr>
                <w:rFonts w:hint="eastAsia"/>
                <w:sz w:val="21"/>
              </w:rPr>
              <w:t>拉伸强度</w:t>
            </w:r>
          </w:p>
        </w:tc>
        <w:tc>
          <w:tcPr>
            <w:tcW w:w="741" w:type="dxa"/>
            <w:vAlign w:val="center"/>
          </w:tcPr>
          <w:p w14:paraId="777FFDD1">
            <w:pPr>
              <w:spacing w:line="240" w:lineRule="auto"/>
              <w:jc w:val="center"/>
              <w:rPr>
                <w:sz w:val="21"/>
              </w:rPr>
            </w:pPr>
            <w:r>
              <w:rPr>
                <w:rFonts w:hint="eastAsia"/>
                <w:sz w:val="21"/>
              </w:rPr>
              <w:t>MPa</w:t>
            </w:r>
          </w:p>
        </w:tc>
        <w:tc>
          <w:tcPr>
            <w:tcW w:w="1384" w:type="dxa"/>
            <w:vAlign w:val="center"/>
          </w:tcPr>
          <w:p w14:paraId="5C5860E8">
            <w:pPr>
              <w:spacing w:line="240" w:lineRule="auto"/>
              <w:jc w:val="center"/>
              <w:rPr>
                <w:sz w:val="21"/>
              </w:rPr>
            </w:pPr>
            <w:r>
              <w:rPr>
                <w:rFonts w:hint="eastAsia" w:asciiTheme="minorEastAsia" w:hAnsiTheme="minorEastAsia"/>
                <w:sz w:val="21"/>
              </w:rPr>
              <w:t>≥</w:t>
            </w:r>
            <w:r>
              <w:rPr>
                <w:rFonts w:hint="eastAsia"/>
                <w:sz w:val="21"/>
              </w:rPr>
              <w:t>9</w:t>
            </w:r>
          </w:p>
        </w:tc>
        <w:tc>
          <w:tcPr>
            <w:tcW w:w="2457" w:type="dxa"/>
            <w:vMerge w:val="continue"/>
            <w:vAlign w:val="center"/>
          </w:tcPr>
          <w:p w14:paraId="0E94DC8C">
            <w:pPr>
              <w:spacing w:line="240" w:lineRule="auto"/>
              <w:jc w:val="left"/>
              <w:rPr>
                <w:sz w:val="21"/>
              </w:rPr>
            </w:pPr>
          </w:p>
        </w:tc>
      </w:tr>
      <w:tr w14:paraId="5EA7010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7" w:hRule="atLeast"/>
        </w:trPr>
        <w:tc>
          <w:tcPr>
            <w:tcW w:w="671" w:type="dxa"/>
            <w:vAlign w:val="center"/>
          </w:tcPr>
          <w:p w14:paraId="06E88091">
            <w:pPr>
              <w:spacing w:line="240" w:lineRule="auto"/>
              <w:jc w:val="center"/>
              <w:rPr>
                <w:sz w:val="21"/>
              </w:rPr>
            </w:pPr>
            <w:r>
              <w:rPr>
                <w:rFonts w:hint="eastAsia"/>
                <w:sz w:val="21"/>
              </w:rPr>
              <w:t>3</w:t>
            </w:r>
          </w:p>
        </w:tc>
        <w:tc>
          <w:tcPr>
            <w:tcW w:w="3269" w:type="dxa"/>
            <w:gridSpan w:val="2"/>
            <w:vAlign w:val="center"/>
          </w:tcPr>
          <w:p w14:paraId="742809F2">
            <w:pPr>
              <w:spacing w:line="240" w:lineRule="auto"/>
              <w:jc w:val="center"/>
              <w:rPr>
                <w:sz w:val="21"/>
              </w:rPr>
            </w:pPr>
            <w:r>
              <w:rPr>
                <w:rFonts w:hint="eastAsia"/>
                <w:sz w:val="21"/>
              </w:rPr>
              <w:t>拉伸伸长率</w:t>
            </w:r>
          </w:p>
        </w:tc>
        <w:tc>
          <w:tcPr>
            <w:tcW w:w="741" w:type="dxa"/>
            <w:vAlign w:val="center"/>
          </w:tcPr>
          <w:p w14:paraId="762538AC">
            <w:pPr>
              <w:spacing w:line="240" w:lineRule="auto"/>
              <w:jc w:val="center"/>
              <w:rPr>
                <w:sz w:val="21"/>
              </w:rPr>
            </w:pPr>
            <w:r>
              <w:rPr>
                <w:rFonts w:hint="eastAsia"/>
                <w:sz w:val="21"/>
              </w:rPr>
              <w:t>%</w:t>
            </w:r>
          </w:p>
        </w:tc>
        <w:tc>
          <w:tcPr>
            <w:tcW w:w="1384" w:type="dxa"/>
            <w:vAlign w:val="center"/>
          </w:tcPr>
          <w:p w14:paraId="56500D55">
            <w:pPr>
              <w:spacing w:line="240" w:lineRule="auto"/>
              <w:jc w:val="center"/>
              <w:rPr>
                <w:sz w:val="21"/>
              </w:rPr>
            </w:pPr>
            <w:r>
              <w:rPr>
                <w:rFonts w:hint="eastAsia" w:asciiTheme="minorEastAsia" w:hAnsiTheme="minorEastAsia"/>
                <w:sz w:val="21"/>
              </w:rPr>
              <w:t>≥375</w:t>
            </w:r>
          </w:p>
        </w:tc>
        <w:tc>
          <w:tcPr>
            <w:tcW w:w="2457" w:type="dxa"/>
            <w:vMerge w:val="continue"/>
            <w:vAlign w:val="center"/>
          </w:tcPr>
          <w:p w14:paraId="09338B7D">
            <w:pPr>
              <w:spacing w:line="240" w:lineRule="auto"/>
              <w:jc w:val="left"/>
              <w:rPr>
                <w:sz w:val="21"/>
              </w:rPr>
            </w:pPr>
          </w:p>
        </w:tc>
      </w:tr>
      <w:tr w14:paraId="3F67286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7" w:hRule="atLeast"/>
        </w:trPr>
        <w:tc>
          <w:tcPr>
            <w:tcW w:w="671" w:type="dxa"/>
            <w:vMerge w:val="restart"/>
            <w:vAlign w:val="center"/>
          </w:tcPr>
          <w:p w14:paraId="1C166615">
            <w:pPr>
              <w:spacing w:line="240" w:lineRule="auto"/>
              <w:jc w:val="center"/>
              <w:rPr>
                <w:sz w:val="21"/>
              </w:rPr>
            </w:pPr>
            <w:r>
              <w:rPr>
                <w:rFonts w:hint="eastAsia"/>
                <w:sz w:val="21"/>
              </w:rPr>
              <w:t>4</w:t>
            </w:r>
          </w:p>
        </w:tc>
        <w:tc>
          <w:tcPr>
            <w:tcW w:w="1600" w:type="dxa"/>
            <w:vMerge w:val="restart"/>
            <w:vAlign w:val="center"/>
          </w:tcPr>
          <w:p w14:paraId="472CBBD2">
            <w:pPr>
              <w:spacing w:line="240" w:lineRule="auto"/>
              <w:jc w:val="center"/>
              <w:rPr>
                <w:sz w:val="21"/>
              </w:rPr>
            </w:pPr>
            <w:r>
              <w:rPr>
                <w:rFonts w:hint="eastAsia"/>
                <w:sz w:val="21"/>
              </w:rPr>
              <w:t>压缩永久变形</w:t>
            </w:r>
          </w:p>
        </w:tc>
        <w:tc>
          <w:tcPr>
            <w:tcW w:w="1669" w:type="dxa"/>
            <w:vAlign w:val="center"/>
          </w:tcPr>
          <w:p w14:paraId="0AF62839">
            <w:pPr>
              <w:spacing w:line="240" w:lineRule="auto"/>
              <w:jc w:val="center"/>
              <w:rPr>
                <w:sz w:val="21"/>
              </w:rPr>
            </w:pPr>
            <w:r>
              <w:rPr>
                <w:rFonts w:hint="eastAsia"/>
                <w:sz w:val="21"/>
              </w:rPr>
              <w:t>70</w:t>
            </w:r>
            <w:r>
              <w:rPr>
                <w:bCs/>
                <w:sz w:val="21"/>
              </w:rPr>
              <w:t>℃×</w:t>
            </w:r>
            <w:r>
              <w:rPr>
                <w:rFonts w:hint="eastAsia"/>
                <w:bCs/>
                <w:sz w:val="21"/>
              </w:rPr>
              <w:t>24h</w:t>
            </w:r>
          </w:p>
        </w:tc>
        <w:tc>
          <w:tcPr>
            <w:tcW w:w="741" w:type="dxa"/>
            <w:vAlign w:val="center"/>
          </w:tcPr>
          <w:p w14:paraId="75665913">
            <w:pPr>
              <w:spacing w:line="240" w:lineRule="auto"/>
              <w:jc w:val="center"/>
              <w:rPr>
                <w:sz w:val="21"/>
              </w:rPr>
            </w:pPr>
            <w:r>
              <w:rPr>
                <w:rFonts w:hint="eastAsia"/>
                <w:sz w:val="21"/>
              </w:rPr>
              <w:t>%</w:t>
            </w:r>
          </w:p>
        </w:tc>
        <w:tc>
          <w:tcPr>
            <w:tcW w:w="1384" w:type="dxa"/>
            <w:vAlign w:val="center"/>
          </w:tcPr>
          <w:p w14:paraId="310B1647">
            <w:pPr>
              <w:spacing w:line="240" w:lineRule="auto"/>
              <w:jc w:val="center"/>
              <w:rPr>
                <w:sz w:val="21"/>
              </w:rPr>
            </w:pPr>
            <w:r>
              <w:rPr>
                <w:rFonts w:hint="eastAsia" w:asciiTheme="minorEastAsia" w:hAnsiTheme="minorEastAsia"/>
                <w:sz w:val="21"/>
              </w:rPr>
              <w:t>≤</w:t>
            </w:r>
            <w:r>
              <w:rPr>
                <w:rFonts w:hint="eastAsia"/>
                <w:sz w:val="21"/>
              </w:rPr>
              <w:t>40</w:t>
            </w:r>
          </w:p>
        </w:tc>
        <w:tc>
          <w:tcPr>
            <w:tcW w:w="2457" w:type="dxa"/>
            <w:vMerge w:val="restart"/>
            <w:vAlign w:val="center"/>
          </w:tcPr>
          <w:p w14:paraId="29276600">
            <w:pPr>
              <w:spacing w:line="240" w:lineRule="auto"/>
              <w:jc w:val="left"/>
              <w:rPr>
                <w:sz w:val="21"/>
              </w:rPr>
            </w:pPr>
            <w:r>
              <w:rPr>
                <w:sz w:val="21"/>
              </w:rPr>
              <w:t>现行国家标准《硫化橡胶或热塑性橡胶  压缩永久变形的测定  第1部分：在常温及高温条件下》GB/T 7759.1</w:t>
            </w:r>
          </w:p>
        </w:tc>
      </w:tr>
      <w:tr w14:paraId="0DB45C4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7" w:hRule="atLeast"/>
        </w:trPr>
        <w:tc>
          <w:tcPr>
            <w:tcW w:w="671" w:type="dxa"/>
            <w:vMerge w:val="continue"/>
            <w:vAlign w:val="center"/>
          </w:tcPr>
          <w:p w14:paraId="165F05FD">
            <w:pPr>
              <w:spacing w:line="240" w:lineRule="auto"/>
              <w:jc w:val="center"/>
              <w:rPr>
                <w:sz w:val="21"/>
              </w:rPr>
            </w:pPr>
          </w:p>
        </w:tc>
        <w:tc>
          <w:tcPr>
            <w:tcW w:w="1600" w:type="dxa"/>
            <w:vMerge w:val="continue"/>
            <w:vAlign w:val="center"/>
          </w:tcPr>
          <w:p w14:paraId="1E47440E">
            <w:pPr>
              <w:spacing w:line="240" w:lineRule="auto"/>
              <w:jc w:val="center"/>
              <w:rPr>
                <w:sz w:val="21"/>
              </w:rPr>
            </w:pPr>
          </w:p>
        </w:tc>
        <w:tc>
          <w:tcPr>
            <w:tcW w:w="1669" w:type="dxa"/>
            <w:vAlign w:val="center"/>
          </w:tcPr>
          <w:p w14:paraId="7BF3750C">
            <w:pPr>
              <w:spacing w:line="240" w:lineRule="auto"/>
              <w:jc w:val="center"/>
              <w:rPr>
                <w:sz w:val="21"/>
              </w:rPr>
            </w:pPr>
            <w:r>
              <w:rPr>
                <w:rFonts w:hint="eastAsia"/>
                <w:sz w:val="21"/>
              </w:rPr>
              <w:t>23</w:t>
            </w:r>
            <w:r>
              <w:rPr>
                <w:bCs/>
                <w:sz w:val="21"/>
              </w:rPr>
              <w:t>℃×</w:t>
            </w:r>
            <w:r>
              <w:rPr>
                <w:rFonts w:hint="eastAsia"/>
                <w:bCs/>
                <w:sz w:val="21"/>
              </w:rPr>
              <w:t>168h</w:t>
            </w:r>
          </w:p>
        </w:tc>
        <w:tc>
          <w:tcPr>
            <w:tcW w:w="741" w:type="dxa"/>
            <w:vAlign w:val="center"/>
          </w:tcPr>
          <w:p w14:paraId="39168ABD">
            <w:pPr>
              <w:spacing w:line="240" w:lineRule="auto"/>
              <w:jc w:val="center"/>
              <w:rPr>
                <w:sz w:val="21"/>
              </w:rPr>
            </w:pPr>
            <w:r>
              <w:rPr>
                <w:rFonts w:hint="eastAsia"/>
                <w:sz w:val="21"/>
              </w:rPr>
              <w:t>%</w:t>
            </w:r>
          </w:p>
        </w:tc>
        <w:tc>
          <w:tcPr>
            <w:tcW w:w="1384" w:type="dxa"/>
            <w:vAlign w:val="center"/>
          </w:tcPr>
          <w:p w14:paraId="49ECAF7F">
            <w:pPr>
              <w:spacing w:line="240" w:lineRule="auto"/>
              <w:jc w:val="center"/>
              <w:rPr>
                <w:sz w:val="21"/>
              </w:rPr>
            </w:pPr>
            <w:r>
              <w:rPr>
                <w:rFonts w:hint="eastAsia" w:asciiTheme="minorEastAsia" w:hAnsiTheme="minorEastAsia"/>
                <w:sz w:val="21"/>
              </w:rPr>
              <w:t>≤</w:t>
            </w:r>
            <w:r>
              <w:rPr>
                <w:rFonts w:hint="eastAsia"/>
                <w:sz w:val="21"/>
              </w:rPr>
              <w:t>20</w:t>
            </w:r>
          </w:p>
        </w:tc>
        <w:tc>
          <w:tcPr>
            <w:tcW w:w="2457" w:type="dxa"/>
            <w:vMerge w:val="continue"/>
            <w:vAlign w:val="center"/>
          </w:tcPr>
          <w:p w14:paraId="0FCBAE07">
            <w:pPr>
              <w:spacing w:line="240" w:lineRule="auto"/>
              <w:jc w:val="left"/>
              <w:rPr>
                <w:sz w:val="21"/>
              </w:rPr>
            </w:pPr>
          </w:p>
        </w:tc>
      </w:tr>
      <w:tr w14:paraId="31288E1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7" w:hRule="atLeast"/>
        </w:trPr>
        <w:tc>
          <w:tcPr>
            <w:tcW w:w="671" w:type="dxa"/>
            <w:vAlign w:val="center"/>
          </w:tcPr>
          <w:p w14:paraId="3A65A02F">
            <w:pPr>
              <w:spacing w:line="240" w:lineRule="auto"/>
              <w:jc w:val="center"/>
              <w:rPr>
                <w:sz w:val="21"/>
              </w:rPr>
            </w:pPr>
            <w:r>
              <w:rPr>
                <w:rFonts w:hint="eastAsia"/>
                <w:sz w:val="21"/>
              </w:rPr>
              <w:t>5</w:t>
            </w:r>
          </w:p>
        </w:tc>
        <w:tc>
          <w:tcPr>
            <w:tcW w:w="3269" w:type="dxa"/>
            <w:gridSpan w:val="2"/>
            <w:vAlign w:val="center"/>
          </w:tcPr>
          <w:p w14:paraId="463D6C95">
            <w:pPr>
              <w:spacing w:line="240" w:lineRule="auto"/>
              <w:jc w:val="center"/>
              <w:rPr>
                <w:sz w:val="21"/>
              </w:rPr>
            </w:pPr>
            <w:r>
              <w:rPr>
                <w:rFonts w:hint="eastAsia"/>
                <w:sz w:val="21"/>
              </w:rPr>
              <w:t>撕裂强度</w:t>
            </w:r>
          </w:p>
        </w:tc>
        <w:tc>
          <w:tcPr>
            <w:tcW w:w="741" w:type="dxa"/>
            <w:vAlign w:val="center"/>
          </w:tcPr>
          <w:p w14:paraId="5F56CCA3">
            <w:pPr>
              <w:spacing w:line="240" w:lineRule="auto"/>
              <w:jc w:val="center"/>
              <w:rPr>
                <w:sz w:val="21"/>
              </w:rPr>
            </w:pPr>
            <w:r>
              <w:rPr>
                <w:sz w:val="21"/>
              </w:rPr>
              <w:t>kN</w:t>
            </w:r>
            <w:r>
              <w:rPr>
                <w:rFonts w:hint="eastAsia"/>
                <w:sz w:val="21"/>
              </w:rPr>
              <w:t>/m</w:t>
            </w:r>
          </w:p>
        </w:tc>
        <w:tc>
          <w:tcPr>
            <w:tcW w:w="1384" w:type="dxa"/>
            <w:vAlign w:val="center"/>
          </w:tcPr>
          <w:p w14:paraId="0A72B67F">
            <w:pPr>
              <w:spacing w:line="240" w:lineRule="auto"/>
              <w:jc w:val="center"/>
              <w:rPr>
                <w:sz w:val="21"/>
              </w:rPr>
            </w:pPr>
            <w:r>
              <w:rPr>
                <w:rFonts w:hint="eastAsia" w:asciiTheme="minorEastAsia" w:hAnsiTheme="minorEastAsia"/>
                <w:sz w:val="21"/>
              </w:rPr>
              <w:t>≥19</w:t>
            </w:r>
          </w:p>
        </w:tc>
        <w:tc>
          <w:tcPr>
            <w:tcW w:w="2457" w:type="dxa"/>
            <w:vAlign w:val="center"/>
          </w:tcPr>
          <w:p w14:paraId="430CAA18">
            <w:pPr>
              <w:spacing w:line="240" w:lineRule="auto"/>
              <w:jc w:val="left"/>
              <w:rPr>
                <w:sz w:val="21"/>
              </w:rPr>
            </w:pPr>
            <w:r>
              <w:rPr>
                <w:sz w:val="21"/>
              </w:rPr>
              <w:t>现行国家标准《硫化橡胶或热塑性橡胶撕裂强度的测定（裤形、直角形和新月形试样）》GB/T 529</w:t>
            </w:r>
          </w:p>
        </w:tc>
      </w:tr>
      <w:tr w14:paraId="13797E1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7" w:hRule="atLeast"/>
        </w:trPr>
        <w:tc>
          <w:tcPr>
            <w:tcW w:w="671" w:type="dxa"/>
            <w:vAlign w:val="center"/>
          </w:tcPr>
          <w:p w14:paraId="5C289815">
            <w:pPr>
              <w:spacing w:line="240" w:lineRule="auto"/>
              <w:jc w:val="center"/>
              <w:rPr>
                <w:sz w:val="21"/>
              </w:rPr>
            </w:pPr>
            <w:r>
              <w:rPr>
                <w:rFonts w:hint="eastAsia"/>
                <w:sz w:val="21"/>
              </w:rPr>
              <w:t>6</w:t>
            </w:r>
          </w:p>
        </w:tc>
        <w:tc>
          <w:tcPr>
            <w:tcW w:w="3269" w:type="dxa"/>
            <w:gridSpan w:val="2"/>
            <w:vAlign w:val="center"/>
          </w:tcPr>
          <w:p w14:paraId="12961D4E">
            <w:pPr>
              <w:spacing w:line="240" w:lineRule="auto"/>
              <w:jc w:val="center"/>
              <w:rPr>
                <w:sz w:val="21"/>
              </w:rPr>
            </w:pPr>
            <w:r>
              <w:rPr>
                <w:rFonts w:hint="eastAsia"/>
                <w:sz w:val="21"/>
              </w:rPr>
              <w:t>脆性温度</w:t>
            </w:r>
          </w:p>
        </w:tc>
        <w:tc>
          <w:tcPr>
            <w:tcW w:w="741" w:type="dxa"/>
            <w:vAlign w:val="center"/>
          </w:tcPr>
          <w:p w14:paraId="7292D25B">
            <w:pPr>
              <w:spacing w:line="240" w:lineRule="auto"/>
              <w:jc w:val="center"/>
              <w:rPr>
                <w:sz w:val="21"/>
              </w:rPr>
            </w:pPr>
            <w:r>
              <w:rPr>
                <w:bCs/>
                <w:sz w:val="21"/>
              </w:rPr>
              <w:t>℃</w:t>
            </w:r>
          </w:p>
        </w:tc>
        <w:tc>
          <w:tcPr>
            <w:tcW w:w="1384" w:type="dxa"/>
            <w:vAlign w:val="center"/>
          </w:tcPr>
          <w:p w14:paraId="6983F9A3">
            <w:pPr>
              <w:spacing w:line="240" w:lineRule="auto"/>
              <w:jc w:val="center"/>
              <w:rPr>
                <w:sz w:val="21"/>
              </w:rPr>
            </w:pPr>
            <w:r>
              <w:rPr>
                <w:rFonts w:hint="eastAsia" w:asciiTheme="minorEastAsia" w:hAnsiTheme="minorEastAsia"/>
                <w:sz w:val="21"/>
              </w:rPr>
              <w:t>≤-45</w:t>
            </w:r>
          </w:p>
        </w:tc>
        <w:tc>
          <w:tcPr>
            <w:tcW w:w="2457" w:type="dxa"/>
            <w:vAlign w:val="center"/>
          </w:tcPr>
          <w:p w14:paraId="785408F1">
            <w:pPr>
              <w:spacing w:line="240" w:lineRule="auto"/>
              <w:jc w:val="left"/>
              <w:rPr>
                <w:sz w:val="21"/>
              </w:rPr>
            </w:pPr>
            <w:r>
              <w:rPr>
                <w:sz w:val="21"/>
              </w:rPr>
              <w:t>现行国家标准《硫化橡胶或热塑性橡胶  低温脆性的测定（多试样法）》GB/T 15256</w:t>
            </w:r>
          </w:p>
        </w:tc>
      </w:tr>
      <w:tr w14:paraId="248450F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66" w:hRule="atLeast"/>
        </w:trPr>
        <w:tc>
          <w:tcPr>
            <w:tcW w:w="671" w:type="dxa"/>
            <w:vMerge w:val="restart"/>
            <w:vAlign w:val="center"/>
          </w:tcPr>
          <w:p w14:paraId="5BFE4482">
            <w:pPr>
              <w:spacing w:line="240" w:lineRule="auto"/>
              <w:jc w:val="center"/>
              <w:rPr>
                <w:sz w:val="21"/>
              </w:rPr>
            </w:pPr>
            <w:r>
              <w:rPr>
                <w:rFonts w:hint="eastAsia"/>
                <w:sz w:val="21"/>
              </w:rPr>
              <w:t>7</w:t>
            </w:r>
          </w:p>
        </w:tc>
        <w:tc>
          <w:tcPr>
            <w:tcW w:w="1600" w:type="dxa"/>
            <w:vMerge w:val="restart"/>
            <w:vAlign w:val="center"/>
          </w:tcPr>
          <w:p w14:paraId="061F0F8F">
            <w:pPr>
              <w:spacing w:line="240" w:lineRule="auto"/>
              <w:jc w:val="center"/>
              <w:rPr>
                <w:sz w:val="21"/>
              </w:rPr>
            </w:pPr>
            <w:r>
              <w:rPr>
                <w:rFonts w:hint="eastAsia"/>
                <w:sz w:val="21"/>
              </w:rPr>
              <w:t>热空气老化（70</w:t>
            </w:r>
            <w:r>
              <w:rPr>
                <w:bCs/>
                <w:sz w:val="21"/>
              </w:rPr>
              <w:t>℃×</w:t>
            </w:r>
            <w:r>
              <w:rPr>
                <w:rFonts w:hint="eastAsia"/>
                <w:bCs/>
                <w:sz w:val="21"/>
              </w:rPr>
              <w:t>168h</w:t>
            </w:r>
            <w:r>
              <w:rPr>
                <w:rFonts w:hint="eastAsia"/>
                <w:sz w:val="21"/>
              </w:rPr>
              <w:t>）</w:t>
            </w:r>
          </w:p>
        </w:tc>
        <w:tc>
          <w:tcPr>
            <w:tcW w:w="1669" w:type="dxa"/>
            <w:vAlign w:val="center"/>
          </w:tcPr>
          <w:p w14:paraId="4BFED1D8">
            <w:pPr>
              <w:spacing w:line="240" w:lineRule="auto"/>
              <w:jc w:val="center"/>
              <w:rPr>
                <w:sz w:val="21"/>
              </w:rPr>
            </w:pPr>
            <w:r>
              <w:rPr>
                <w:rFonts w:hint="eastAsia"/>
                <w:sz w:val="21"/>
              </w:rPr>
              <w:t>硬度变化</w:t>
            </w:r>
          </w:p>
        </w:tc>
        <w:tc>
          <w:tcPr>
            <w:tcW w:w="741" w:type="dxa"/>
            <w:vAlign w:val="center"/>
          </w:tcPr>
          <w:p w14:paraId="1E7DBA05">
            <w:pPr>
              <w:spacing w:line="240" w:lineRule="auto"/>
              <w:jc w:val="center"/>
              <w:rPr>
                <w:sz w:val="21"/>
              </w:rPr>
            </w:pPr>
            <w:r>
              <w:rPr>
                <w:rFonts w:hint="eastAsia"/>
                <w:sz w:val="21"/>
              </w:rPr>
              <w:t>度</w:t>
            </w:r>
          </w:p>
        </w:tc>
        <w:tc>
          <w:tcPr>
            <w:tcW w:w="1384" w:type="dxa"/>
            <w:vAlign w:val="center"/>
          </w:tcPr>
          <w:p w14:paraId="5AA353E2">
            <w:pPr>
              <w:spacing w:line="240" w:lineRule="auto"/>
              <w:jc w:val="center"/>
              <w:rPr>
                <w:sz w:val="21"/>
              </w:rPr>
            </w:pPr>
            <w:r>
              <w:rPr>
                <w:rFonts w:hint="eastAsia"/>
                <w:sz w:val="21"/>
              </w:rPr>
              <w:t>-5~+8</w:t>
            </w:r>
          </w:p>
        </w:tc>
        <w:tc>
          <w:tcPr>
            <w:tcW w:w="2457" w:type="dxa"/>
            <w:vMerge w:val="restart"/>
            <w:vAlign w:val="center"/>
          </w:tcPr>
          <w:p w14:paraId="47C82FDF">
            <w:pPr>
              <w:spacing w:line="240" w:lineRule="auto"/>
              <w:jc w:val="left"/>
              <w:rPr>
                <w:sz w:val="21"/>
              </w:rPr>
            </w:pPr>
            <w:r>
              <w:rPr>
                <w:sz w:val="21"/>
              </w:rPr>
              <w:t>现行国家标准《橡胶密封件  给、排水管及污水管道用接口密封圈  材料规范》GB/T 21873</w:t>
            </w:r>
          </w:p>
        </w:tc>
      </w:tr>
      <w:tr w14:paraId="711C187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16" w:hRule="atLeast"/>
        </w:trPr>
        <w:tc>
          <w:tcPr>
            <w:tcW w:w="671" w:type="dxa"/>
            <w:vMerge w:val="continue"/>
            <w:vAlign w:val="center"/>
          </w:tcPr>
          <w:p w14:paraId="28DB4BE5">
            <w:pPr>
              <w:spacing w:line="240" w:lineRule="auto"/>
              <w:jc w:val="center"/>
              <w:rPr>
                <w:sz w:val="21"/>
              </w:rPr>
            </w:pPr>
          </w:p>
        </w:tc>
        <w:tc>
          <w:tcPr>
            <w:tcW w:w="1600" w:type="dxa"/>
            <w:vMerge w:val="continue"/>
            <w:vAlign w:val="center"/>
          </w:tcPr>
          <w:p w14:paraId="0BE3AC1A">
            <w:pPr>
              <w:spacing w:line="240" w:lineRule="auto"/>
              <w:jc w:val="center"/>
              <w:rPr>
                <w:sz w:val="21"/>
              </w:rPr>
            </w:pPr>
          </w:p>
        </w:tc>
        <w:tc>
          <w:tcPr>
            <w:tcW w:w="1669" w:type="dxa"/>
            <w:vAlign w:val="center"/>
          </w:tcPr>
          <w:p w14:paraId="027A9A43">
            <w:pPr>
              <w:spacing w:line="240" w:lineRule="auto"/>
              <w:jc w:val="center"/>
              <w:rPr>
                <w:sz w:val="21"/>
              </w:rPr>
            </w:pPr>
            <w:r>
              <w:rPr>
                <w:rFonts w:hint="eastAsia"/>
                <w:sz w:val="21"/>
              </w:rPr>
              <w:t>拉升强度变率</w:t>
            </w:r>
          </w:p>
        </w:tc>
        <w:tc>
          <w:tcPr>
            <w:tcW w:w="741" w:type="dxa"/>
            <w:vAlign w:val="center"/>
          </w:tcPr>
          <w:p w14:paraId="3DD539B2">
            <w:pPr>
              <w:spacing w:line="240" w:lineRule="auto"/>
              <w:jc w:val="center"/>
              <w:rPr>
                <w:sz w:val="21"/>
              </w:rPr>
            </w:pPr>
            <w:r>
              <w:rPr>
                <w:rFonts w:hint="eastAsia"/>
                <w:sz w:val="21"/>
              </w:rPr>
              <w:t>%</w:t>
            </w:r>
          </w:p>
        </w:tc>
        <w:tc>
          <w:tcPr>
            <w:tcW w:w="1384" w:type="dxa"/>
            <w:vAlign w:val="center"/>
          </w:tcPr>
          <w:p w14:paraId="5FBAF3AB">
            <w:pPr>
              <w:spacing w:line="240" w:lineRule="auto"/>
              <w:jc w:val="center"/>
              <w:rPr>
                <w:sz w:val="21"/>
              </w:rPr>
            </w:pPr>
            <w:r>
              <w:rPr>
                <w:rFonts w:hint="eastAsia" w:asciiTheme="minorEastAsia" w:hAnsiTheme="minorEastAsia"/>
                <w:sz w:val="21"/>
              </w:rPr>
              <w:t>≤-20</w:t>
            </w:r>
          </w:p>
        </w:tc>
        <w:tc>
          <w:tcPr>
            <w:tcW w:w="2457" w:type="dxa"/>
            <w:vMerge w:val="continue"/>
            <w:vAlign w:val="center"/>
          </w:tcPr>
          <w:p w14:paraId="330CD6A7">
            <w:pPr>
              <w:spacing w:line="240" w:lineRule="auto"/>
              <w:jc w:val="left"/>
              <w:rPr>
                <w:sz w:val="21"/>
              </w:rPr>
            </w:pPr>
          </w:p>
        </w:tc>
      </w:tr>
      <w:tr w14:paraId="12E4CF1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71" w:type="dxa"/>
            <w:vMerge w:val="continue"/>
            <w:vAlign w:val="center"/>
          </w:tcPr>
          <w:p w14:paraId="4F0E9F70">
            <w:pPr>
              <w:spacing w:line="240" w:lineRule="auto"/>
              <w:jc w:val="center"/>
              <w:rPr>
                <w:sz w:val="21"/>
              </w:rPr>
            </w:pPr>
          </w:p>
        </w:tc>
        <w:tc>
          <w:tcPr>
            <w:tcW w:w="1600" w:type="dxa"/>
            <w:vMerge w:val="continue"/>
            <w:vAlign w:val="center"/>
          </w:tcPr>
          <w:p w14:paraId="3BE0C66F">
            <w:pPr>
              <w:spacing w:line="240" w:lineRule="auto"/>
              <w:jc w:val="center"/>
              <w:rPr>
                <w:sz w:val="21"/>
              </w:rPr>
            </w:pPr>
          </w:p>
        </w:tc>
        <w:tc>
          <w:tcPr>
            <w:tcW w:w="1669" w:type="dxa"/>
            <w:vAlign w:val="center"/>
          </w:tcPr>
          <w:p w14:paraId="0931C547">
            <w:pPr>
              <w:spacing w:line="240" w:lineRule="auto"/>
              <w:jc w:val="center"/>
              <w:rPr>
                <w:sz w:val="21"/>
              </w:rPr>
            </w:pPr>
            <w:r>
              <w:rPr>
                <w:rFonts w:hint="eastAsia"/>
                <w:sz w:val="21"/>
              </w:rPr>
              <w:t>断裂伸长变率</w:t>
            </w:r>
          </w:p>
        </w:tc>
        <w:tc>
          <w:tcPr>
            <w:tcW w:w="741" w:type="dxa"/>
            <w:vAlign w:val="center"/>
          </w:tcPr>
          <w:p w14:paraId="417ADF65">
            <w:pPr>
              <w:spacing w:line="240" w:lineRule="auto"/>
              <w:jc w:val="center"/>
              <w:rPr>
                <w:sz w:val="21"/>
              </w:rPr>
            </w:pPr>
            <w:r>
              <w:rPr>
                <w:rFonts w:hint="eastAsia"/>
                <w:sz w:val="21"/>
              </w:rPr>
              <w:t>%</w:t>
            </w:r>
          </w:p>
        </w:tc>
        <w:tc>
          <w:tcPr>
            <w:tcW w:w="1384" w:type="dxa"/>
            <w:vAlign w:val="center"/>
          </w:tcPr>
          <w:p w14:paraId="6B3ACCF2">
            <w:pPr>
              <w:spacing w:line="240" w:lineRule="auto"/>
              <w:jc w:val="center"/>
              <w:rPr>
                <w:sz w:val="21"/>
              </w:rPr>
            </w:pPr>
            <w:r>
              <w:rPr>
                <w:rFonts w:hint="eastAsia"/>
                <w:sz w:val="21"/>
              </w:rPr>
              <w:t>-30~+10</w:t>
            </w:r>
          </w:p>
        </w:tc>
        <w:tc>
          <w:tcPr>
            <w:tcW w:w="2457" w:type="dxa"/>
            <w:vMerge w:val="continue"/>
            <w:vAlign w:val="center"/>
          </w:tcPr>
          <w:p w14:paraId="65D22DE2">
            <w:pPr>
              <w:spacing w:line="240" w:lineRule="auto"/>
              <w:jc w:val="left"/>
              <w:rPr>
                <w:sz w:val="21"/>
              </w:rPr>
            </w:pPr>
          </w:p>
        </w:tc>
      </w:tr>
    </w:tbl>
    <w:p w14:paraId="267F1FC4">
      <w:pPr>
        <w:jc w:val="center"/>
        <w:rPr>
          <w:b/>
          <w:bCs/>
          <w:sz w:val="21"/>
          <w:szCs w:val="18"/>
        </w:rPr>
      </w:pPr>
    </w:p>
    <w:p w14:paraId="25CE2A12">
      <w:pPr>
        <w:jc w:val="center"/>
        <w:rPr>
          <w:b/>
          <w:bCs/>
          <w:sz w:val="21"/>
          <w:szCs w:val="18"/>
        </w:rPr>
      </w:pPr>
      <w:r>
        <w:rPr>
          <w:b/>
          <w:bCs/>
          <w:sz w:val="21"/>
          <w:szCs w:val="18"/>
        </w:rPr>
        <w:t>表6.2.1</w:t>
      </w:r>
      <w:r>
        <w:rPr>
          <w:rFonts w:hint="eastAsia"/>
          <w:b/>
          <w:bCs/>
          <w:sz w:val="21"/>
          <w:szCs w:val="18"/>
        </w:rPr>
        <w:t>1</w:t>
      </w:r>
      <w:r>
        <w:rPr>
          <w:b/>
          <w:bCs/>
          <w:sz w:val="21"/>
          <w:szCs w:val="18"/>
        </w:rPr>
        <w:t>-3  聚氨酯建筑密封胶的物理力学性能指标</w:t>
      </w:r>
    </w:p>
    <w:tbl>
      <w:tblPr>
        <w:tblStyle w:val="36"/>
        <w:tblW w:w="8522"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675"/>
        <w:gridCol w:w="1560"/>
        <w:gridCol w:w="1701"/>
        <w:gridCol w:w="708"/>
        <w:gridCol w:w="1418"/>
        <w:gridCol w:w="2460"/>
      </w:tblGrid>
      <w:tr w14:paraId="132819A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43" w:hRule="atLeast"/>
          <w:jc w:val="center"/>
        </w:trPr>
        <w:tc>
          <w:tcPr>
            <w:tcW w:w="675" w:type="dxa"/>
            <w:vAlign w:val="center"/>
          </w:tcPr>
          <w:p w14:paraId="641FE5E9">
            <w:pPr>
              <w:spacing w:line="240" w:lineRule="auto"/>
              <w:jc w:val="center"/>
              <w:rPr>
                <w:sz w:val="21"/>
              </w:rPr>
            </w:pPr>
            <w:r>
              <w:rPr>
                <w:sz w:val="21"/>
              </w:rPr>
              <w:t>序号</w:t>
            </w:r>
          </w:p>
        </w:tc>
        <w:tc>
          <w:tcPr>
            <w:tcW w:w="3261" w:type="dxa"/>
            <w:gridSpan w:val="2"/>
            <w:vAlign w:val="center"/>
          </w:tcPr>
          <w:p w14:paraId="5F2A532A">
            <w:pPr>
              <w:spacing w:line="240" w:lineRule="auto"/>
              <w:jc w:val="center"/>
              <w:rPr>
                <w:sz w:val="21"/>
              </w:rPr>
            </w:pPr>
            <w:r>
              <w:rPr>
                <w:sz w:val="21"/>
              </w:rPr>
              <w:t>检测项目</w:t>
            </w:r>
          </w:p>
        </w:tc>
        <w:tc>
          <w:tcPr>
            <w:tcW w:w="708" w:type="dxa"/>
            <w:vAlign w:val="center"/>
          </w:tcPr>
          <w:p w14:paraId="4E9FBA4C">
            <w:pPr>
              <w:spacing w:line="240" w:lineRule="auto"/>
              <w:jc w:val="center"/>
              <w:rPr>
                <w:sz w:val="21"/>
              </w:rPr>
            </w:pPr>
            <w:r>
              <w:rPr>
                <w:rFonts w:hint="eastAsia"/>
                <w:sz w:val="21"/>
              </w:rPr>
              <w:t>单位</w:t>
            </w:r>
          </w:p>
        </w:tc>
        <w:tc>
          <w:tcPr>
            <w:tcW w:w="1418" w:type="dxa"/>
            <w:vAlign w:val="center"/>
          </w:tcPr>
          <w:p w14:paraId="3923E9FC">
            <w:pPr>
              <w:spacing w:line="240" w:lineRule="auto"/>
              <w:jc w:val="center"/>
              <w:rPr>
                <w:sz w:val="21"/>
              </w:rPr>
            </w:pPr>
            <w:r>
              <w:rPr>
                <w:sz w:val="21"/>
              </w:rPr>
              <w:t>性能指标</w:t>
            </w:r>
          </w:p>
        </w:tc>
        <w:tc>
          <w:tcPr>
            <w:tcW w:w="2460" w:type="dxa"/>
            <w:vAlign w:val="center"/>
          </w:tcPr>
          <w:p w14:paraId="66232662">
            <w:pPr>
              <w:spacing w:line="240" w:lineRule="auto"/>
              <w:jc w:val="center"/>
              <w:rPr>
                <w:sz w:val="21"/>
              </w:rPr>
            </w:pPr>
            <w:r>
              <w:rPr>
                <w:bCs/>
                <w:sz w:val="21"/>
              </w:rPr>
              <w:t>检测方法</w:t>
            </w:r>
          </w:p>
        </w:tc>
      </w:tr>
      <w:tr w14:paraId="4DBA1B4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0" w:hRule="atLeast"/>
          <w:jc w:val="center"/>
        </w:trPr>
        <w:tc>
          <w:tcPr>
            <w:tcW w:w="675" w:type="dxa"/>
            <w:vAlign w:val="center"/>
          </w:tcPr>
          <w:p w14:paraId="0E2C08C9">
            <w:pPr>
              <w:spacing w:line="240" w:lineRule="auto"/>
              <w:jc w:val="center"/>
              <w:rPr>
                <w:sz w:val="21"/>
              </w:rPr>
            </w:pPr>
            <w:r>
              <w:rPr>
                <w:sz w:val="21"/>
              </w:rPr>
              <w:t>1</w:t>
            </w:r>
          </w:p>
        </w:tc>
        <w:tc>
          <w:tcPr>
            <w:tcW w:w="3261" w:type="dxa"/>
            <w:gridSpan w:val="2"/>
            <w:vAlign w:val="center"/>
          </w:tcPr>
          <w:p w14:paraId="7744B7B0">
            <w:pPr>
              <w:spacing w:line="240" w:lineRule="auto"/>
              <w:jc w:val="center"/>
              <w:rPr>
                <w:sz w:val="21"/>
                <w:vertAlign w:val="superscript"/>
              </w:rPr>
            </w:pPr>
            <w:r>
              <w:rPr>
                <w:sz w:val="21"/>
              </w:rPr>
              <w:t>密度</w:t>
            </w:r>
          </w:p>
        </w:tc>
        <w:tc>
          <w:tcPr>
            <w:tcW w:w="708" w:type="dxa"/>
            <w:vAlign w:val="center"/>
          </w:tcPr>
          <w:p w14:paraId="18D04B48">
            <w:pPr>
              <w:spacing w:line="240" w:lineRule="auto"/>
              <w:jc w:val="center"/>
              <w:rPr>
                <w:sz w:val="21"/>
              </w:rPr>
            </w:pPr>
            <w:r>
              <w:rPr>
                <w:sz w:val="21"/>
              </w:rPr>
              <w:t>g/cm</w:t>
            </w:r>
            <w:r>
              <w:rPr>
                <w:sz w:val="21"/>
                <w:vertAlign w:val="superscript"/>
              </w:rPr>
              <w:t>3</w:t>
            </w:r>
          </w:p>
        </w:tc>
        <w:tc>
          <w:tcPr>
            <w:tcW w:w="1418" w:type="dxa"/>
            <w:vAlign w:val="center"/>
          </w:tcPr>
          <w:p w14:paraId="2CB3FFDC">
            <w:pPr>
              <w:spacing w:line="240" w:lineRule="auto"/>
              <w:jc w:val="center"/>
              <w:rPr>
                <w:sz w:val="21"/>
              </w:rPr>
            </w:pPr>
            <w:r>
              <w:rPr>
                <w:sz w:val="21"/>
              </w:rPr>
              <w:t>规定值±0.1</w:t>
            </w:r>
          </w:p>
        </w:tc>
        <w:tc>
          <w:tcPr>
            <w:tcW w:w="2460" w:type="dxa"/>
            <w:vMerge w:val="restart"/>
            <w:vAlign w:val="center"/>
          </w:tcPr>
          <w:p w14:paraId="7EF72EAB">
            <w:pPr>
              <w:spacing w:line="240" w:lineRule="auto"/>
              <w:jc w:val="left"/>
              <w:rPr>
                <w:sz w:val="21"/>
              </w:rPr>
            </w:pPr>
            <w:r>
              <w:rPr>
                <w:sz w:val="21"/>
              </w:rPr>
              <w:t>现行行业标准《聚氨酯建筑密封胶》JC/T 482</w:t>
            </w:r>
          </w:p>
        </w:tc>
      </w:tr>
      <w:tr w14:paraId="734908B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0" w:hRule="atLeast"/>
          <w:jc w:val="center"/>
        </w:trPr>
        <w:tc>
          <w:tcPr>
            <w:tcW w:w="675" w:type="dxa"/>
            <w:vAlign w:val="center"/>
          </w:tcPr>
          <w:p w14:paraId="6C8BE1DE">
            <w:pPr>
              <w:spacing w:line="240" w:lineRule="auto"/>
              <w:jc w:val="center"/>
              <w:rPr>
                <w:sz w:val="21"/>
              </w:rPr>
            </w:pPr>
            <w:r>
              <w:rPr>
                <w:sz w:val="21"/>
              </w:rPr>
              <w:t>2</w:t>
            </w:r>
          </w:p>
        </w:tc>
        <w:tc>
          <w:tcPr>
            <w:tcW w:w="3261" w:type="dxa"/>
            <w:gridSpan w:val="2"/>
            <w:vAlign w:val="center"/>
          </w:tcPr>
          <w:p w14:paraId="59287C54">
            <w:pPr>
              <w:spacing w:line="240" w:lineRule="auto"/>
              <w:jc w:val="center"/>
              <w:rPr>
                <w:sz w:val="21"/>
              </w:rPr>
            </w:pPr>
            <w:r>
              <w:rPr>
                <w:sz w:val="21"/>
              </w:rPr>
              <w:t>下垂度</w:t>
            </w:r>
          </w:p>
        </w:tc>
        <w:tc>
          <w:tcPr>
            <w:tcW w:w="708" w:type="dxa"/>
            <w:vAlign w:val="center"/>
          </w:tcPr>
          <w:p w14:paraId="23F65608">
            <w:pPr>
              <w:spacing w:line="240" w:lineRule="auto"/>
              <w:jc w:val="center"/>
              <w:rPr>
                <w:sz w:val="21"/>
              </w:rPr>
            </w:pPr>
            <w:r>
              <w:rPr>
                <w:sz w:val="21"/>
              </w:rPr>
              <w:t>mm</w:t>
            </w:r>
          </w:p>
        </w:tc>
        <w:tc>
          <w:tcPr>
            <w:tcW w:w="1418" w:type="dxa"/>
            <w:vAlign w:val="center"/>
          </w:tcPr>
          <w:p w14:paraId="2F2A2BA0">
            <w:pPr>
              <w:spacing w:line="240" w:lineRule="auto"/>
              <w:jc w:val="center"/>
              <w:rPr>
                <w:sz w:val="21"/>
              </w:rPr>
            </w:pPr>
            <w:r>
              <w:rPr>
                <w:sz w:val="21"/>
              </w:rPr>
              <w:t>≤3</w:t>
            </w:r>
          </w:p>
        </w:tc>
        <w:tc>
          <w:tcPr>
            <w:tcW w:w="2460" w:type="dxa"/>
            <w:vMerge w:val="continue"/>
            <w:vAlign w:val="center"/>
          </w:tcPr>
          <w:p w14:paraId="6893F587">
            <w:pPr>
              <w:spacing w:line="240" w:lineRule="auto"/>
              <w:jc w:val="center"/>
              <w:rPr>
                <w:sz w:val="21"/>
              </w:rPr>
            </w:pPr>
          </w:p>
        </w:tc>
      </w:tr>
      <w:tr w14:paraId="3828484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0" w:hRule="atLeast"/>
          <w:jc w:val="center"/>
        </w:trPr>
        <w:tc>
          <w:tcPr>
            <w:tcW w:w="675" w:type="dxa"/>
            <w:vAlign w:val="center"/>
          </w:tcPr>
          <w:p w14:paraId="1914A7E3">
            <w:pPr>
              <w:spacing w:line="240" w:lineRule="auto"/>
              <w:jc w:val="center"/>
              <w:rPr>
                <w:sz w:val="21"/>
              </w:rPr>
            </w:pPr>
            <w:r>
              <w:rPr>
                <w:sz w:val="21"/>
              </w:rPr>
              <w:t>3</w:t>
            </w:r>
          </w:p>
        </w:tc>
        <w:tc>
          <w:tcPr>
            <w:tcW w:w="3261" w:type="dxa"/>
            <w:gridSpan w:val="2"/>
            <w:vAlign w:val="center"/>
          </w:tcPr>
          <w:p w14:paraId="56EC885A">
            <w:pPr>
              <w:spacing w:line="240" w:lineRule="auto"/>
              <w:jc w:val="center"/>
              <w:rPr>
                <w:sz w:val="21"/>
              </w:rPr>
            </w:pPr>
            <w:r>
              <w:rPr>
                <w:sz w:val="21"/>
              </w:rPr>
              <w:t>表干时间</w:t>
            </w:r>
          </w:p>
        </w:tc>
        <w:tc>
          <w:tcPr>
            <w:tcW w:w="708" w:type="dxa"/>
            <w:vAlign w:val="center"/>
          </w:tcPr>
          <w:p w14:paraId="6229F087">
            <w:pPr>
              <w:spacing w:line="240" w:lineRule="auto"/>
              <w:jc w:val="center"/>
              <w:rPr>
                <w:sz w:val="21"/>
              </w:rPr>
            </w:pPr>
            <w:r>
              <w:rPr>
                <w:sz w:val="21"/>
              </w:rPr>
              <w:t>h</w:t>
            </w:r>
          </w:p>
        </w:tc>
        <w:tc>
          <w:tcPr>
            <w:tcW w:w="1418" w:type="dxa"/>
            <w:vAlign w:val="center"/>
          </w:tcPr>
          <w:p w14:paraId="4A4E8582">
            <w:pPr>
              <w:spacing w:line="240" w:lineRule="auto"/>
              <w:jc w:val="center"/>
              <w:rPr>
                <w:sz w:val="21"/>
              </w:rPr>
            </w:pPr>
            <w:r>
              <w:rPr>
                <w:sz w:val="21"/>
              </w:rPr>
              <w:t>≤24</w:t>
            </w:r>
          </w:p>
        </w:tc>
        <w:tc>
          <w:tcPr>
            <w:tcW w:w="2460" w:type="dxa"/>
            <w:vMerge w:val="continue"/>
            <w:vAlign w:val="center"/>
          </w:tcPr>
          <w:p w14:paraId="369F9F41">
            <w:pPr>
              <w:spacing w:line="240" w:lineRule="auto"/>
              <w:jc w:val="center"/>
              <w:rPr>
                <w:sz w:val="21"/>
              </w:rPr>
            </w:pPr>
          </w:p>
        </w:tc>
      </w:tr>
      <w:tr w14:paraId="615E33B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0" w:hRule="atLeast"/>
          <w:jc w:val="center"/>
        </w:trPr>
        <w:tc>
          <w:tcPr>
            <w:tcW w:w="675" w:type="dxa"/>
            <w:vAlign w:val="center"/>
          </w:tcPr>
          <w:p w14:paraId="5748F01E">
            <w:pPr>
              <w:spacing w:line="240" w:lineRule="auto"/>
              <w:jc w:val="center"/>
              <w:rPr>
                <w:sz w:val="21"/>
              </w:rPr>
            </w:pPr>
            <w:r>
              <w:rPr>
                <w:sz w:val="21"/>
              </w:rPr>
              <w:t>4</w:t>
            </w:r>
          </w:p>
        </w:tc>
        <w:tc>
          <w:tcPr>
            <w:tcW w:w="3261" w:type="dxa"/>
            <w:gridSpan w:val="2"/>
            <w:vAlign w:val="center"/>
          </w:tcPr>
          <w:p w14:paraId="0DA556DF">
            <w:pPr>
              <w:spacing w:line="240" w:lineRule="auto"/>
              <w:jc w:val="center"/>
              <w:rPr>
                <w:sz w:val="21"/>
              </w:rPr>
            </w:pPr>
            <w:r>
              <w:rPr>
                <w:sz w:val="21"/>
              </w:rPr>
              <w:t>挤出性</w:t>
            </w:r>
          </w:p>
        </w:tc>
        <w:tc>
          <w:tcPr>
            <w:tcW w:w="708" w:type="dxa"/>
            <w:vAlign w:val="center"/>
          </w:tcPr>
          <w:p w14:paraId="0688A615">
            <w:pPr>
              <w:spacing w:line="240" w:lineRule="auto"/>
              <w:jc w:val="center"/>
              <w:rPr>
                <w:sz w:val="21"/>
              </w:rPr>
            </w:pPr>
            <w:r>
              <w:rPr>
                <w:sz w:val="21"/>
              </w:rPr>
              <w:t>ml/min</w:t>
            </w:r>
          </w:p>
        </w:tc>
        <w:tc>
          <w:tcPr>
            <w:tcW w:w="1418" w:type="dxa"/>
            <w:vAlign w:val="center"/>
          </w:tcPr>
          <w:p w14:paraId="79BEC59A">
            <w:pPr>
              <w:spacing w:line="240" w:lineRule="auto"/>
              <w:jc w:val="center"/>
              <w:rPr>
                <w:sz w:val="21"/>
              </w:rPr>
            </w:pPr>
            <w:r>
              <w:rPr>
                <w:sz w:val="21"/>
              </w:rPr>
              <w:t>≥80</w:t>
            </w:r>
          </w:p>
        </w:tc>
        <w:tc>
          <w:tcPr>
            <w:tcW w:w="2460" w:type="dxa"/>
            <w:vMerge w:val="continue"/>
            <w:vAlign w:val="center"/>
          </w:tcPr>
          <w:p w14:paraId="68C64E86">
            <w:pPr>
              <w:spacing w:line="240" w:lineRule="auto"/>
              <w:jc w:val="center"/>
              <w:rPr>
                <w:sz w:val="21"/>
              </w:rPr>
            </w:pPr>
          </w:p>
        </w:tc>
      </w:tr>
      <w:tr w14:paraId="2EE7766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0" w:hRule="atLeast"/>
          <w:jc w:val="center"/>
        </w:trPr>
        <w:tc>
          <w:tcPr>
            <w:tcW w:w="675" w:type="dxa"/>
            <w:vAlign w:val="center"/>
          </w:tcPr>
          <w:p w14:paraId="4434A700">
            <w:pPr>
              <w:spacing w:line="240" w:lineRule="auto"/>
              <w:jc w:val="center"/>
              <w:rPr>
                <w:sz w:val="21"/>
              </w:rPr>
            </w:pPr>
            <w:r>
              <w:rPr>
                <w:sz w:val="21"/>
              </w:rPr>
              <w:t>5</w:t>
            </w:r>
          </w:p>
        </w:tc>
        <w:tc>
          <w:tcPr>
            <w:tcW w:w="3261" w:type="dxa"/>
            <w:gridSpan w:val="2"/>
            <w:vAlign w:val="center"/>
          </w:tcPr>
          <w:p w14:paraId="14E75B39">
            <w:pPr>
              <w:spacing w:line="240" w:lineRule="auto"/>
              <w:jc w:val="center"/>
              <w:rPr>
                <w:sz w:val="21"/>
              </w:rPr>
            </w:pPr>
            <w:r>
              <w:rPr>
                <w:sz w:val="21"/>
              </w:rPr>
              <w:t>适用期</w:t>
            </w:r>
          </w:p>
        </w:tc>
        <w:tc>
          <w:tcPr>
            <w:tcW w:w="708" w:type="dxa"/>
            <w:vAlign w:val="center"/>
          </w:tcPr>
          <w:p w14:paraId="1C5B0BFD">
            <w:pPr>
              <w:spacing w:line="240" w:lineRule="auto"/>
              <w:jc w:val="center"/>
              <w:rPr>
                <w:sz w:val="21"/>
              </w:rPr>
            </w:pPr>
            <w:r>
              <w:rPr>
                <w:sz w:val="21"/>
              </w:rPr>
              <w:t>h</w:t>
            </w:r>
          </w:p>
        </w:tc>
        <w:tc>
          <w:tcPr>
            <w:tcW w:w="1418" w:type="dxa"/>
            <w:vAlign w:val="center"/>
          </w:tcPr>
          <w:p w14:paraId="46B9DC73">
            <w:pPr>
              <w:spacing w:line="240" w:lineRule="auto"/>
              <w:jc w:val="center"/>
              <w:rPr>
                <w:sz w:val="21"/>
              </w:rPr>
            </w:pPr>
            <w:r>
              <w:rPr>
                <w:sz w:val="21"/>
              </w:rPr>
              <w:t>≥1</w:t>
            </w:r>
          </w:p>
        </w:tc>
        <w:tc>
          <w:tcPr>
            <w:tcW w:w="2460" w:type="dxa"/>
            <w:vMerge w:val="continue"/>
            <w:vAlign w:val="center"/>
          </w:tcPr>
          <w:p w14:paraId="20A44B96">
            <w:pPr>
              <w:spacing w:line="240" w:lineRule="auto"/>
              <w:jc w:val="center"/>
              <w:rPr>
                <w:sz w:val="21"/>
              </w:rPr>
            </w:pPr>
          </w:p>
        </w:tc>
      </w:tr>
      <w:tr w14:paraId="63C4258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0" w:hRule="atLeast"/>
          <w:jc w:val="center"/>
        </w:trPr>
        <w:tc>
          <w:tcPr>
            <w:tcW w:w="675" w:type="dxa"/>
            <w:vAlign w:val="center"/>
          </w:tcPr>
          <w:p w14:paraId="0372053C">
            <w:pPr>
              <w:spacing w:line="240" w:lineRule="auto"/>
              <w:jc w:val="center"/>
              <w:rPr>
                <w:sz w:val="21"/>
              </w:rPr>
            </w:pPr>
            <w:r>
              <w:rPr>
                <w:sz w:val="21"/>
              </w:rPr>
              <w:t>6</w:t>
            </w:r>
          </w:p>
        </w:tc>
        <w:tc>
          <w:tcPr>
            <w:tcW w:w="3261" w:type="dxa"/>
            <w:gridSpan w:val="2"/>
            <w:vAlign w:val="center"/>
          </w:tcPr>
          <w:p w14:paraId="7D84D642">
            <w:pPr>
              <w:spacing w:line="240" w:lineRule="auto"/>
              <w:jc w:val="center"/>
              <w:rPr>
                <w:sz w:val="21"/>
              </w:rPr>
            </w:pPr>
            <w:r>
              <w:rPr>
                <w:sz w:val="21"/>
              </w:rPr>
              <w:t>弹性回复率</w:t>
            </w:r>
          </w:p>
        </w:tc>
        <w:tc>
          <w:tcPr>
            <w:tcW w:w="708" w:type="dxa"/>
            <w:vAlign w:val="center"/>
          </w:tcPr>
          <w:p w14:paraId="76AA71B4">
            <w:pPr>
              <w:spacing w:line="240" w:lineRule="auto"/>
              <w:jc w:val="center"/>
              <w:rPr>
                <w:sz w:val="21"/>
              </w:rPr>
            </w:pPr>
            <w:r>
              <w:rPr>
                <w:sz w:val="21"/>
              </w:rPr>
              <w:t>%</w:t>
            </w:r>
          </w:p>
        </w:tc>
        <w:tc>
          <w:tcPr>
            <w:tcW w:w="1418" w:type="dxa"/>
            <w:vAlign w:val="center"/>
          </w:tcPr>
          <w:p w14:paraId="2E711393">
            <w:pPr>
              <w:spacing w:line="240" w:lineRule="auto"/>
              <w:jc w:val="center"/>
              <w:rPr>
                <w:sz w:val="21"/>
              </w:rPr>
            </w:pPr>
            <w:r>
              <w:rPr>
                <w:sz w:val="21"/>
              </w:rPr>
              <w:t>70</w:t>
            </w:r>
          </w:p>
        </w:tc>
        <w:tc>
          <w:tcPr>
            <w:tcW w:w="2460" w:type="dxa"/>
            <w:vMerge w:val="continue"/>
            <w:vAlign w:val="center"/>
          </w:tcPr>
          <w:p w14:paraId="2A96A182">
            <w:pPr>
              <w:spacing w:line="240" w:lineRule="auto"/>
              <w:jc w:val="center"/>
              <w:rPr>
                <w:sz w:val="21"/>
              </w:rPr>
            </w:pPr>
          </w:p>
        </w:tc>
      </w:tr>
      <w:tr w14:paraId="563348B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0" w:hRule="atLeast"/>
          <w:jc w:val="center"/>
        </w:trPr>
        <w:tc>
          <w:tcPr>
            <w:tcW w:w="675" w:type="dxa"/>
            <w:vMerge w:val="restart"/>
            <w:vAlign w:val="center"/>
          </w:tcPr>
          <w:p w14:paraId="0C2B897D">
            <w:pPr>
              <w:spacing w:line="240" w:lineRule="auto"/>
              <w:jc w:val="center"/>
              <w:rPr>
                <w:sz w:val="21"/>
              </w:rPr>
            </w:pPr>
            <w:r>
              <w:rPr>
                <w:sz w:val="21"/>
              </w:rPr>
              <w:t>7</w:t>
            </w:r>
          </w:p>
        </w:tc>
        <w:tc>
          <w:tcPr>
            <w:tcW w:w="1560" w:type="dxa"/>
            <w:vMerge w:val="restart"/>
            <w:tcBorders>
              <w:right w:val="single" w:color="auto" w:sz="6" w:space="0"/>
            </w:tcBorders>
            <w:vAlign w:val="center"/>
          </w:tcPr>
          <w:p w14:paraId="6947055C">
            <w:pPr>
              <w:spacing w:line="240" w:lineRule="auto"/>
              <w:jc w:val="center"/>
              <w:rPr>
                <w:sz w:val="21"/>
              </w:rPr>
            </w:pPr>
            <w:r>
              <w:rPr>
                <w:sz w:val="21"/>
              </w:rPr>
              <w:t>拉伸模量</w:t>
            </w:r>
          </w:p>
        </w:tc>
        <w:tc>
          <w:tcPr>
            <w:tcW w:w="1701" w:type="dxa"/>
            <w:tcBorders>
              <w:top w:val="single" w:color="auto" w:sz="6" w:space="0"/>
              <w:left w:val="single" w:color="auto" w:sz="6" w:space="0"/>
              <w:bottom w:val="single" w:color="auto" w:sz="6" w:space="0"/>
            </w:tcBorders>
            <w:vAlign w:val="center"/>
          </w:tcPr>
          <w:p w14:paraId="3ECC926F">
            <w:pPr>
              <w:spacing w:line="240" w:lineRule="auto"/>
              <w:jc w:val="center"/>
              <w:rPr>
                <w:sz w:val="21"/>
              </w:rPr>
            </w:pPr>
            <w:r>
              <w:rPr>
                <w:sz w:val="21"/>
              </w:rPr>
              <w:t>23°C</w:t>
            </w:r>
          </w:p>
        </w:tc>
        <w:tc>
          <w:tcPr>
            <w:tcW w:w="708" w:type="dxa"/>
            <w:vMerge w:val="restart"/>
            <w:vAlign w:val="center"/>
          </w:tcPr>
          <w:p w14:paraId="5763C793">
            <w:pPr>
              <w:spacing w:line="240" w:lineRule="auto"/>
              <w:jc w:val="center"/>
              <w:rPr>
                <w:sz w:val="21"/>
              </w:rPr>
            </w:pPr>
            <w:r>
              <w:rPr>
                <w:sz w:val="21"/>
              </w:rPr>
              <w:t>MPa</w:t>
            </w:r>
          </w:p>
        </w:tc>
        <w:tc>
          <w:tcPr>
            <w:tcW w:w="1418" w:type="dxa"/>
            <w:vAlign w:val="center"/>
          </w:tcPr>
          <w:p w14:paraId="0B2CEC19">
            <w:pPr>
              <w:spacing w:line="240" w:lineRule="auto"/>
              <w:jc w:val="center"/>
              <w:rPr>
                <w:sz w:val="21"/>
              </w:rPr>
            </w:pPr>
            <w:r>
              <w:rPr>
                <w:sz w:val="21"/>
              </w:rPr>
              <w:t>0.4</w:t>
            </w:r>
          </w:p>
        </w:tc>
        <w:tc>
          <w:tcPr>
            <w:tcW w:w="2460" w:type="dxa"/>
            <w:vMerge w:val="continue"/>
            <w:vAlign w:val="center"/>
          </w:tcPr>
          <w:p w14:paraId="587171E1">
            <w:pPr>
              <w:spacing w:line="240" w:lineRule="auto"/>
              <w:jc w:val="center"/>
              <w:rPr>
                <w:sz w:val="21"/>
              </w:rPr>
            </w:pPr>
          </w:p>
        </w:tc>
      </w:tr>
      <w:tr w14:paraId="29AA532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0" w:hRule="atLeast"/>
          <w:jc w:val="center"/>
        </w:trPr>
        <w:tc>
          <w:tcPr>
            <w:tcW w:w="675" w:type="dxa"/>
            <w:vMerge w:val="continue"/>
            <w:vAlign w:val="center"/>
          </w:tcPr>
          <w:p w14:paraId="7A5B79E0">
            <w:pPr>
              <w:spacing w:line="240" w:lineRule="auto"/>
              <w:jc w:val="center"/>
              <w:rPr>
                <w:sz w:val="21"/>
              </w:rPr>
            </w:pPr>
          </w:p>
        </w:tc>
        <w:tc>
          <w:tcPr>
            <w:tcW w:w="1560" w:type="dxa"/>
            <w:vMerge w:val="continue"/>
            <w:tcBorders>
              <w:right w:val="single" w:color="auto" w:sz="6" w:space="0"/>
            </w:tcBorders>
            <w:vAlign w:val="center"/>
          </w:tcPr>
          <w:p w14:paraId="2F119B0A">
            <w:pPr>
              <w:spacing w:line="240" w:lineRule="auto"/>
              <w:jc w:val="center"/>
              <w:rPr>
                <w:sz w:val="21"/>
              </w:rPr>
            </w:pPr>
          </w:p>
        </w:tc>
        <w:tc>
          <w:tcPr>
            <w:tcW w:w="1701" w:type="dxa"/>
            <w:tcBorders>
              <w:top w:val="single" w:color="auto" w:sz="6" w:space="0"/>
              <w:left w:val="single" w:color="auto" w:sz="6" w:space="0"/>
              <w:bottom w:val="single" w:color="auto" w:sz="6" w:space="0"/>
            </w:tcBorders>
            <w:vAlign w:val="center"/>
          </w:tcPr>
          <w:p w14:paraId="0D60277F">
            <w:pPr>
              <w:spacing w:line="240" w:lineRule="auto"/>
              <w:jc w:val="center"/>
              <w:rPr>
                <w:sz w:val="21"/>
              </w:rPr>
            </w:pPr>
            <w:r>
              <w:rPr>
                <w:sz w:val="21"/>
              </w:rPr>
              <w:t>-20°C</w:t>
            </w:r>
          </w:p>
        </w:tc>
        <w:tc>
          <w:tcPr>
            <w:tcW w:w="708" w:type="dxa"/>
            <w:vMerge w:val="continue"/>
            <w:vAlign w:val="center"/>
          </w:tcPr>
          <w:p w14:paraId="686FAB9C">
            <w:pPr>
              <w:spacing w:line="240" w:lineRule="auto"/>
              <w:jc w:val="center"/>
              <w:rPr>
                <w:sz w:val="21"/>
              </w:rPr>
            </w:pPr>
          </w:p>
        </w:tc>
        <w:tc>
          <w:tcPr>
            <w:tcW w:w="1418" w:type="dxa"/>
            <w:vAlign w:val="center"/>
          </w:tcPr>
          <w:p w14:paraId="3140802F">
            <w:pPr>
              <w:spacing w:line="240" w:lineRule="auto"/>
              <w:jc w:val="center"/>
              <w:rPr>
                <w:sz w:val="21"/>
              </w:rPr>
            </w:pPr>
            <w:r>
              <w:rPr>
                <w:sz w:val="21"/>
              </w:rPr>
              <w:t>0.6</w:t>
            </w:r>
          </w:p>
        </w:tc>
        <w:tc>
          <w:tcPr>
            <w:tcW w:w="2460" w:type="dxa"/>
            <w:vMerge w:val="continue"/>
            <w:vAlign w:val="center"/>
          </w:tcPr>
          <w:p w14:paraId="75FC6C73">
            <w:pPr>
              <w:spacing w:line="240" w:lineRule="auto"/>
              <w:jc w:val="center"/>
              <w:rPr>
                <w:sz w:val="21"/>
              </w:rPr>
            </w:pPr>
          </w:p>
        </w:tc>
      </w:tr>
      <w:tr w14:paraId="6F1CB3A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0" w:hRule="atLeast"/>
          <w:jc w:val="center"/>
        </w:trPr>
        <w:tc>
          <w:tcPr>
            <w:tcW w:w="675" w:type="dxa"/>
            <w:vAlign w:val="center"/>
          </w:tcPr>
          <w:p w14:paraId="628E32E7">
            <w:pPr>
              <w:spacing w:line="240" w:lineRule="auto"/>
              <w:jc w:val="center"/>
              <w:rPr>
                <w:sz w:val="21"/>
              </w:rPr>
            </w:pPr>
            <w:r>
              <w:rPr>
                <w:sz w:val="21"/>
              </w:rPr>
              <w:t>8</w:t>
            </w:r>
          </w:p>
        </w:tc>
        <w:tc>
          <w:tcPr>
            <w:tcW w:w="3261" w:type="dxa"/>
            <w:gridSpan w:val="2"/>
            <w:vAlign w:val="center"/>
          </w:tcPr>
          <w:p w14:paraId="4251D656">
            <w:pPr>
              <w:spacing w:line="240" w:lineRule="auto"/>
              <w:jc w:val="center"/>
              <w:rPr>
                <w:sz w:val="21"/>
              </w:rPr>
            </w:pPr>
            <w:r>
              <w:rPr>
                <w:sz w:val="21"/>
              </w:rPr>
              <w:t>定伸粘结性</w:t>
            </w:r>
          </w:p>
        </w:tc>
        <w:tc>
          <w:tcPr>
            <w:tcW w:w="708" w:type="dxa"/>
            <w:vAlign w:val="center"/>
          </w:tcPr>
          <w:p w14:paraId="56590CAB">
            <w:pPr>
              <w:spacing w:line="240" w:lineRule="auto"/>
              <w:jc w:val="center"/>
              <w:rPr>
                <w:sz w:val="21"/>
              </w:rPr>
            </w:pPr>
            <w:r>
              <w:rPr>
                <w:bCs/>
                <w:sz w:val="21"/>
              </w:rPr>
              <w:t>—</w:t>
            </w:r>
          </w:p>
        </w:tc>
        <w:tc>
          <w:tcPr>
            <w:tcW w:w="1418" w:type="dxa"/>
            <w:vAlign w:val="center"/>
          </w:tcPr>
          <w:p w14:paraId="3C97583F">
            <w:pPr>
              <w:spacing w:line="240" w:lineRule="auto"/>
              <w:jc w:val="center"/>
              <w:rPr>
                <w:sz w:val="21"/>
              </w:rPr>
            </w:pPr>
            <w:r>
              <w:rPr>
                <w:sz w:val="21"/>
              </w:rPr>
              <w:t>无破坏</w:t>
            </w:r>
          </w:p>
        </w:tc>
        <w:tc>
          <w:tcPr>
            <w:tcW w:w="2460" w:type="dxa"/>
            <w:vMerge w:val="continue"/>
            <w:vAlign w:val="center"/>
          </w:tcPr>
          <w:p w14:paraId="39D372C0">
            <w:pPr>
              <w:spacing w:line="240" w:lineRule="auto"/>
              <w:jc w:val="center"/>
              <w:rPr>
                <w:sz w:val="21"/>
              </w:rPr>
            </w:pPr>
          </w:p>
        </w:tc>
      </w:tr>
      <w:tr w14:paraId="7211F50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0" w:hRule="atLeast"/>
          <w:jc w:val="center"/>
        </w:trPr>
        <w:tc>
          <w:tcPr>
            <w:tcW w:w="675" w:type="dxa"/>
            <w:vAlign w:val="center"/>
          </w:tcPr>
          <w:p w14:paraId="35C0B54C">
            <w:pPr>
              <w:spacing w:line="240" w:lineRule="auto"/>
              <w:jc w:val="center"/>
              <w:rPr>
                <w:sz w:val="21"/>
              </w:rPr>
            </w:pPr>
            <w:r>
              <w:rPr>
                <w:sz w:val="21"/>
              </w:rPr>
              <w:t>9</w:t>
            </w:r>
          </w:p>
        </w:tc>
        <w:tc>
          <w:tcPr>
            <w:tcW w:w="3261" w:type="dxa"/>
            <w:gridSpan w:val="2"/>
            <w:vAlign w:val="center"/>
          </w:tcPr>
          <w:p w14:paraId="053D9175">
            <w:pPr>
              <w:spacing w:line="240" w:lineRule="auto"/>
              <w:jc w:val="center"/>
              <w:rPr>
                <w:sz w:val="21"/>
              </w:rPr>
            </w:pPr>
            <w:r>
              <w:rPr>
                <w:sz w:val="21"/>
              </w:rPr>
              <w:t>浸水后定伸粘结性</w:t>
            </w:r>
          </w:p>
        </w:tc>
        <w:tc>
          <w:tcPr>
            <w:tcW w:w="708" w:type="dxa"/>
            <w:vAlign w:val="center"/>
          </w:tcPr>
          <w:p w14:paraId="50CEE812">
            <w:pPr>
              <w:spacing w:line="240" w:lineRule="auto"/>
              <w:jc w:val="center"/>
              <w:rPr>
                <w:sz w:val="21"/>
              </w:rPr>
            </w:pPr>
            <w:r>
              <w:rPr>
                <w:bCs/>
                <w:sz w:val="21"/>
              </w:rPr>
              <w:t>—</w:t>
            </w:r>
          </w:p>
        </w:tc>
        <w:tc>
          <w:tcPr>
            <w:tcW w:w="1418" w:type="dxa"/>
            <w:vAlign w:val="center"/>
          </w:tcPr>
          <w:p w14:paraId="223035B0">
            <w:pPr>
              <w:spacing w:line="240" w:lineRule="auto"/>
              <w:jc w:val="center"/>
              <w:rPr>
                <w:sz w:val="21"/>
              </w:rPr>
            </w:pPr>
            <w:r>
              <w:rPr>
                <w:sz w:val="21"/>
              </w:rPr>
              <w:t>无破坏</w:t>
            </w:r>
          </w:p>
        </w:tc>
        <w:tc>
          <w:tcPr>
            <w:tcW w:w="2460" w:type="dxa"/>
            <w:vMerge w:val="continue"/>
            <w:vAlign w:val="center"/>
          </w:tcPr>
          <w:p w14:paraId="5AECCB05">
            <w:pPr>
              <w:spacing w:line="240" w:lineRule="auto"/>
              <w:jc w:val="center"/>
              <w:rPr>
                <w:sz w:val="21"/>
              </w:rPr>
            </w:pPr>
          </w:p>
        </w:tc>
      </w:tr>
      <w:tr w14:paraId="212FAE5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0" w:hRule="atLeast"/>
          <w:jc w:val="center"/>
        </w:trPr>
        <w:tc>
          <w:tcPr>
            <w:tcW w:w="675" w:type="dxa"/>
            <w:vAlign w:val="center"/>
          </w:tcPr>
          <w:p w14:paraId="3CE48D5A">
            <w:pPr>
              <w:spacing w:line="240" w:lineRule="auto"/>
              <w:jc w:val="center"/>
              <w:rPr>
                <w:sz w:val="21"/>
              </w:rPr>
            </w:pPr>
            <w:r>
              <w:rPr>
                <w:sz w:val="21"/>
              </w:rPr>
              <w:t>10</w:t>
            </w:r>
          </w:p>
        </w:tc>
        <w:tc>
          <w:tcPr>
            <w:tcW w:w="3261" w:type="dxa"/>
            <w:gridSpan w:val="2"/>
            <w:vAlign w:val="center"/>
          </w:tcPr>
          <w:p w14:paraId="00A3D7B7">
            <w:pPr>
              <w:spacing w:line="240" w:lineRule="auto"/>
              <w:jc w:val="center"/>
              <w:rPr>
                <w:sz w:val="21"/>
              </w:rPr>
            </w:pPr>
            <w:r>
              <w:rPr>
                <w:sz w:val="21"/>
              </w:rPr>
              <w:t>冷拉-热压后的粘结性</w:t>
            </w:r>
          </w:p>
        </w:tc>
        <w:tc>
          <w:tcPr>
            <w:tcW w:w="708" w:type="dxa"/>
            <w:vAlign w:val="center"/>
          </w:tcPr>
          <w:p w14:paraId="7788F2F0">
            <w:pPr>
              <w:spacing w:line="240" w:lineRule="auto"/>
              <w:jc w:val="center"/>
              <w:rPr>
                <w:sz w:val="21"/>
              </w:rPr>
            </w:pPr>
            <w:r>
              <w:rPr>
                <w:bCs/>
                <w:sz w:val="21"/>
              </w:rPr>
              <w:t>—</w:t>
            </w:r>
          </w:p>
        </w:tc>
        <w:tc>
          <w:tcPr>
            <w:tcW w:w="1418" w:type="dxa"/>
            <w:vAlign w:val="center"/>
          </w:tcPr>
          <w:p w14:paraId="6975FC1E">
            <w:pPr>
              <w:spacing w:line="240" w:lineRule="auto"/>
              <w:jc w:val="center"/>
              <w:rPr>
                <w:sz w:val="21"/>
              </w:rPr>
            </w:pPr>
            <w:r>
              <w:rPr>
                <w:sz w:val="21"/>
              </w:rPr>
              <w:t>无破坏</w:t>
            </w:r>
          </w:p>
        </w:tc>
        <w:tc>
          <w:tcPr>
            <w:tcW w:w="2460" w:type="dxa"/>
            <w:vMerge w:val="continue"/>
            <w:vAlign w:val="center"/>
          </w:tcPr>
          <w:p w14:paraId="582D4A8F">
            <w:pPr>
              <w:spacing w:line="240" w:lineRule="auto"/>
              <w:jc w:val="center"/>
              <w:rPr>
                <w:sz w:val="21"/>
              </w:rPr>
            </w:pPr>
          </w:p>
        </w:tc>
      </w:tr>
      <w:tr w14:paraId="1F3AFAD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0" w:hRule="atLeast"/>
          <w:jc w:val="center"/>
        </w:trPr>
        <w:tc>
          <w:tcPr>
            <w:tcW w:w="675" w:type="dxa"/>
            <w:vAlign w:val="center"/>
          </w:tcPr>
          <w:p w14:paraId="1CDE13A0">
            <w:pPr>
              <w:spacing w:line="240" w:lineRule="auto"/>
              <w:jc w:val="center"/>
              <w:rPr>
                <w:sz w:val="21"/>
              </w:rPr>
            </w:pPr>
            <w:r>
              <w:rPr>
                <w:sz w:val="21"/>
              </w:rPr>
              <w:t>11</w:t>
            </w:r>
          </w:p>
        </w:tc>
        <w:tc>
          <w:tcPr>
            <w:tcW w:w="3261" w:type="dxa"/>
            <w:gridSpan w:val="2"/>
            <w:vAlign w:val="center"/>
          </w:tcPr>
          <w:p w14:paraId="7DBA6028">
            <w:pPr>
              <w:spacing w:line="240" w:lineRule="auto"/>
              <w:jc w:val="center"/>
              <w:rPr>
                <w:sz w:val="21"/>
              </w:rPr>
            </w:pPr>
            <w:r>
              <w:rPr>
                <w:sz w:val="21"/>
              </w:rPr>
              <w:t>质量损失率</w:t>
            </w:r>
          </w:p>
        </w:tc>
        <w:tc>
          <w:tcPr>
            <w:tcW w:w="708" w:type="dxa"/>
            <w:vAlign w:val="center"/>
          </w:tcPr>
          <w:p w14:paraId="5E2A6849">
            <w:pPr>
              <w:spacing w:line="240" w:lineRule="auto"/>
              <w:jc w:val="center"/>
              <w:rPr>
                <w:sz w:val="21"/>
              </w:rPr>
            </w:pPr>
            <w:r>
              <w:rPr>
                <w:sz w:val="21"/>
              </w:rPr>
              <w:t>%</w:t>
            </w:r>
          </w:p>
        </w:tc>
        <w:tc>
          <w:tcPr>
            <w:tcW w:w="1418" w:type="dxa"/>
            <w:vAlign w:val="center"/>
          </w:tcPr>
          <w:p w14:paraId="1883BD37">
            <w:pPr>
              <w:spacing w:line="240" w:lineRule="auto"/>
              <w:jc w:val="center"/>
              <w:rPr>
                <w:sz w:val="21"/>
              </w:rPr>
            </w:pPr>
            <w:r>
              <w:rPr>
                <w:sz w:val="21"/>
              </w:rPr>
              <w:t>≤7</w:t>
            </w:r>
          </w:p>
        </w:tc>
        <w:tc>
          <w:tcPr>
            <w:tcW w:w="2460" w:type="dxa"/>
            <w:vMerge w:val="continue"/>
            <w:vAlign w:val="center"/>
          </w:tcPr>
          <w:p w14:paraId="5CAFF444">
            <w:pPr>
              <w:spacing w:line="240" w:lineRule="auto"/>
              <w:jc w:val="center"/>
              <w:rPr>
                <w:sz w:val="21"/>
              </w:rPr>
            </w:pPr>
          </w:p>
        </w:tc>
      </w:tr>
    </w:tbl>
    <w:p w14:paraId="0871C6C6">
      <w:bookmarkStart w:id="278" w:name="_Toc3645"/>
      <w:bookmarkStart w:id="279" w:name="_Toc2355"/>
      <w:bookmarkStart w:id="280" w:name="_Toc29418"/>
      <w:bookmarkStart w:id="281" w:name="_Toc4249"/>
      <w:bookmarkStart w:id="282" w:name="_Toc27444"/>
      <w:bookmarkStart w:id="283" w:name="_Toc17273"/>
    </w:p>
    <w:p w14:paraId="4FD6498F">
      <w:pPr>
        <w:keepNext/>
        <w:keepLines/>
        <w:jc w:val="center"/>
        <w:outlineLvl w:val="1"/>
        <w:rPr>
          <w:rFonts w:eastAsia="黑体"/>
          <w:bCs/>
          <w:sz w:val="28"/>
          <w:szCs w:val="32"/>
        </w:rPr>
      </w:pPr>
      <w:bookmarkStart w:id="284" w:name="_Toc11840"/>
      <w:r>
        <w:rPr>
          <w:rFonts w:eastAsia="黑体"/>
          <w:bCs/>
          <w:sz w:val="28"/>
          <w:szCs w:val="32"/>
        </w:rPr>
        <w:fldChar w:fldCharType="begin"/>
      </w:r>
      <w:r>
        <w:rPr>
          <w:rFonts w:eastAsia="黑体"/>
          <w:bCs/>
          <w:sz w:val="28"/>
          <w:szCs w:val="32"/>
        </w:rPr>
        <w:instrText xml:space="preserve"> HYPERLINK "file:///C:\\Users\\xy155\\Desktop\\矩形顶管工程技术规程2019.3.22.docx" \l "_Toc8623" </w:instrText>
      </w:r>
      <w:r>
        <w:rPr>
          <w:rFonts w:eastAsia="黑体"/>
          <w:bCs/>
          <w:sz w:val="28"/>
          <w:szCs w:val="32"/>
        </w:rPr>
        <w:fldChar w:fldCharType="separate"/>
      </w:r>
      <w:bookmarkStart w:id="285" w:name="_Toc60172905"/>
      <w:bookmarkStart w:id="286" w:name="_Toc18057045"/>
      <w:bookmarkStart w:id="287" w:name="_Toc47692164"/>
      <w:bookmarkStart w:id="288" w:name="_Toc60173792"/>
      <w:r>
        <w:rPr>
          <w:rFonts w:eastAsia="黑体"/>
          <w:b/>
          <w:bCs/>
          <w:sz w:val="28"/>
          <w:szCs w:val="32"/>
        </w:rPr>
        <w:t>6.3</w:t>
      </w:r>
      <w:r>
        <w:rPr>
          <w:rFonts w:eastAsia="黑体"/>
          <w:bCs/>
          <w:sz w:val="28"/>
          <w:szCs w:val="32"/>
        </w:rPr>
        <w:t xml:space="preserve"> </w:t>
      </w:r>
      <w:r>
        <w:rPr>
          <w:rFonts w:eastAsia="黑体"/>
          <w:bCs/>
          <w:sz w:val="28"/>
          <w:szCs w:val="32"/>
        </w:rPr>
        <w:fldChar w:fldCharType="end"/>
      </w:r>
      <w:r>
        <w:rPr>
          <w:rFonts w:eastAsia="黑体"/>
          <w:bCs/>
          <w:sz w:val="28"/>
          <w:szCs w:val="32"/>
        </w:rPr>
        <w:t xml:space="preserve"> 接头构造</w:t>
      </w:r>
      <w:bookmarkEnd w:id="278"/>
      <w:bookmarkEnd w:id="279"/>
      <w:bookmarkEnd w:id="280"/>
      <w:bookmarkEnd w:id="281"/>
      <w:bookmarkEnd w:id="282"/>
      <w:bookmarkEnd w:id="283"/>
      <w:bookmarkEnd w:id="284"/>
      <w:bookmarkEnd w:id="285"/>
      <w:bookmarkEnd w:id="286"/>
      <w:bookmarkEnd w:id="287"/>
      <w:bookmarkEnd w:id="288"/>
    </w:p>
    <w:p w14:paraId="5A6246A6">
      <w:pPr>
        <w:snapToGrid w:val="0"/>
      </w:pPr>
      <w:r>
        <w:rPr>
          <w:b/>
        </w:rPr>
        <w:t xml:space="preserve">6.3.1  </w:t>
      </w:r>
      <w:r>
        <w:t>管节钢承口端柔性接口可分为单胶圈和双胶圈两种形式（图6.3.1-1</w:t>
      </w:r>
      <w:r>
        <w:rPr>
          <w:rFonts w:hint="eastAsia"/>
        </w:rPr>
        <w:t>、图</w:t>
      </w:r>
      <w:r>
        <w:t>6.3.1-</w:t>
      </w:r>
      <w:r>
        <w:rPr>
          <w:rFonts w:hint="eastAsia"/>
        </w:rPr>
        <w:t>2</w:t>
      </w:r>
      <w:r>
        <w:t>）</w:t>
      </w:r>
      <w:r>
        <w:rPr>
          <w:rFonts w:hint="eastAsia"/>
        </w:rPr>
        <w:t>，密封胶条或遇水膨胀橡胶的尺寸应满足设计要求。</w:t>
      </w:r>
    </w:p>
    <w:p w14:paraId="47BF4078">
      <w:pPr>
        <w:spacing w:line="240" w:lineRule="auto"/>
        <w:jc w:val="center"/>
      </w:pPr>
      <w:r>
        <w:drawing>
          <wp:inline distT="0" distB="0" distL="0" distR="0">
            <wp:extent cx="5486400" cy="2806700"/>
            <wp:effectExtent l="0" t="0" r="0" b="1270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34"/>
                    <a:stretch>
                      <a:fillRect/>
                    </a:stretch>
                  </pic:blipFill>
                  <pic:spPr>
                    <a:xfrm>
                      <a:off x="0" y="0"/>
                      <a:ext cx="5486400" cy="2806700"/>
                    </a:xfrm>
                    <a:prstGeom prst="rect">
                      <a:avLst/>
                    </a:prstGeom>
                  </pic:spPr>
                </pic:pic>
              </a:graphicData>
            </a:graphic>
          </wp:inline>
        </w:drawing>
      </w:r>
    </w:p>
    <w:p w14:paraId="4DB0BA13">
      <w:pPr>
        <w:jc w:val="center"/>
        <w:rPr>
          <w:sz w:val="18"/>
          <w:szCs w:val="18"/>
        </w:rPr>
      </w:pPr>
      <w:r>
        <w:rPr>
          <w:rFonts w:hint="eastAsia"/>
          <w:bCs/>
          <w:sz w:val="21"/>
          <w:szCs w:val="18"/>
        </w:rPr>
        <w:t>（a）</w:t>
      </w:r>
      <w:r>
        <w:rPr>
          <w:bCs/>
          <w:sz w:val="21"/>
          <w:szCs w:val="18"/>
        </w:rPr>
        <w:t>单胶圈</w:t>
      </w:r>
    </w:p>
    <w:p w14:paraId="65467965">
      <w:pPr>
        <w:jc w:val="center"/>
      </w:pPr>
      <w:r>
        <w:drawing>
          <wp:inline distT="0" distB="0" distL="0" distR="0">
            <wp:extent cx="5399405" cy="2776220"/>
            <wp:effectExtent l="0" t="0" r="10795" b="508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35"/>
                    <a:srcRect l="3157" r="3300"/>
                    <a:stretch>
                      <a:fillRect/>
                    </a:stretch>
                  </pic:blipFill>
                  <pic:spPr>
                    <a:xfrm>
                      <a:off x="0" y="0"/>
                      <a:ext cx="5399405" cy="2777180"/>
                    </a:xfrm>
                    <a:prstGeom prst="rect">
                      <a:avLst/>
                    </a:prstGeom>
                    <a:ln>
                      <a:noFill/>
                    </a:ln>
                  </pic:spPr>
                </pic:pic>
              </a:graphicData>
            </a:graphic>
          </wp:inline>
        </w:drawing>
      </w:r>
    </w:p>
    <w:p w14:paraId="4E942E89">
      <w:pPr>
        <w:ind w:firstLine="420" w:firstLineChars="200"/>
        <w:jc w:val="center"/>
        <w:rPr>
          <w:bCs/>
          <w:sz w:val="21"/>
          <w:szCs w:val="18"/>
        </w:rPr>
      </w:pPr>
      <w:r>
        <w:rPr>
          <w:rFonts w:hint="eastAsia"/>
          <w:bCs/>
          <w:sz w:val="21"/>
          <w:szCs w:val="18"/>
        </w:rPr>
        <w:t>（b）</w:t>
      </w:r>
      <w:r>
        <w:rPr>
          <w:bCs/>
          <w:sz w:val="21"/>
          <w:szCs w:val="18"/>
        </w:rPr>
        <w:t>双胶圈</w:t>
      </w:r>
    </w:p>
    <w:p w14:paraId="7EB6D109">
      <w:pPr>
        <w:ind w:firstLine="422" w:firstLineChars="200"/>
        <w:jc w:val="center"/>
        <w:rPr>
          <w:b/>
          <w:bCs/>
          <w:sz w:val="21"/>
          <w:szCs w:val="18"/>
        </w:rPr>
      </w:pPr>
      <w:r>
        <w:rPr>
          <w:b/>
          <w:bCs/>
          <w:sz w:val="21"/>
          <w:szCs w:val="18"/>
        </w:rPr>
        <w:t>图6.3.1-</w:t>
      </w:r>
      <w:r>
        <w:rPr>
          <w:rFonts w:hint="eastAsia"/>
          <w:b/>
          <w:bCs/>
          <w:sz w:val="21"/>
          <w:szCs w:val="18"/>
        </w:rPr>
        <w:t>1</w:t>
      </w:r>
      <w:r>
        <w:rPr>
          <w:b/>
          <w:bCs/>
          <w:sz w:val="21"/>
          <w:szCs w:val="18"/>
        </w:rPr>
        <w:t xml:space="preserve">  管节钢承口管柔性接头示意图</w:t>
      </w:r>
    </w:p>
    <w:p w14:paraId="18C64B05">
      <w:pPr>
        <w:spacing w:line="240" w:lineRule="auto"/>
        <w:ind w:firstLine="318" w:firstLineChars="177"/>
        <w:jc w:val="center"/>
        <w:rPr>
          <w:sz w:val="18"/>
          <w:szCs w:val="18"/>
        </w:rPr>
      </w:pPr>
      <w:r>
        <w:rPr>
          <w:sz w:val="18"/>
          <w:szCs w:val="18"/>
        </w:rPr>
        <w:t>1—</w:t>
      </w:r>
      <w:r>
        <w:rPr>
          <w:rFonts w:hint="eastAsia"/>
          <w:sz w:val="18"/>
          <w:szCs w:val="18"/>
        </w:rPr>
        <w:t>氯丁橡胶或三元乙丙橡胶止水条</w:t>
      </w:r>
      <w:r>
        <w:rPr>
          <w:sz w:val="18"/>
          <w:szCs w:val="18"/>
        </w:rPr>
        <w:t>；2—</w:t>
      </w:r>
      <w:r>
        <w:rPr>
          <w:rFonts w:hint="eastAsia"/>
          <w:sz w:val="18"/>
          <w:szCs w:val="18"/>
        </w:rPr>
        <w:t>聚氨脂密封胶条</w:t>
      </w:r>
      <w:r>
        <w:rPr>
          <w:sz w:val="18"/>
          <w:szCs w:val="18"/>
        </w:rPr>
        <w:t>；3—</w:t>
      </w:r>
      <w:r>
        <w:rPr>
          <w:rFonts w:hint="eastAsia"/>
          <w:sz w:val="18"/>
          <w:szCs w:val="18"/>
        </w:rPr>
        <w:t>遇水膨胀橡胶止水条</w:t>
      </w:r>
      <w:r>
        <w:rPr>
          <w:sz w:val="18"/>
          <w:szCs w:val="18"/>
        </w:rPr>
        <w:t>；</w:t>
      </w:r>
    </w:p>
    <w:p w14:paraId="2CC1181F">
      <w:pPr>
        <w:spacing w:line="240" w:lineRule="auto"/>
        <w:ind w:firstLine="858" w:firstLineChars="477"/>
        <w:jc w:val="center"/>
        <w:rPr>
          <w:sz w:val="18"/>
          <w:szCs w:val="18"/>
        </w:rPr>
      </w:pPr>
      <w:r>
        <w:rPr>
          <w:sz w:val="18"/>
          <w:szCs w:val="18"/>
        </w:rPr>
        <w:t>4—</w:t>
      </w:r>
      <w:r>
        <w:rPr>
          <w:rFonts w:hint="eastAsia"/>
          <w:sz w:val="18"/>
          <w:szCs w:val="18"/>
        </w:rPr>
        <w:t>聚氨脂密封胶条</w:t>
      </w:r>
    </w:p>
    <w:p w14:paraId="308259CE">
      <w:pPr>
        <w:spacing w:line="240" w:lineRule="auto"/>
        <w:ind w:firstLine="1144" w:firstLineChars="477"/>
        <w:rPr>
          <w:sz w:val="18"/>
          <w:szCs w:val="18"/>
        </w:rPr>
      </w:pPr>
      <w:r>
        <w:drawing>
          <wp:inline distT="0" distB="0" distL="0" distR="0">
            <wp:extent cx="1913255" cy="163957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236">
                      <a:extLst>
                        <a:ext uri="{28A0092B-C50C-407E-A947-70E740481C1C}">
                          <a14:useLocalDpi xmlns:a14="http://schemas.microsoft.com/office/drawing/2010/main" val="0"/>
                        </a:ext>
                      </a:extLst>
                    </a:blip>
                    <a:srcRect l="18450" r="19188"/>
                    <a:stretch>
                      <a:fillRect/>
                    </a:stretch>
                  </pic:blipFill>
                  <pic:spPr>
                    <a:xfrm>
                      <a:off x="0" y="0"/>
                      <a:ext cx="1913255" cy="1639570"/>
                    </a:xfrm>
                    <a:prstGeom prst="rect">
                      <a:avLst/>
                    </a:prstGeom>
                    <a:ln>
                      <a:noFill/>
                    </a:ln>
                  </pic:spPr>
                </pic:pic>
              </a:graphicData>
            </a:graphic>
          </wp:inline>
        </w:drawing>
      </w:r>
      <w:r>
        <w:rPr>
          <w:rFonts w:hint="eastAsia"/>
          <w:sz w:val="18"/>
          <w:szCs w:val="18"/>
        </w:rPr>
        <w:t xml:space="preserve">  </w:t>
      </w:r>
      <w:r>
        <w:rPr>
          <w:sz w:val="18"/>
          <w:szCs w:val="18"/>
        </w:rPr>
        <w:t xml:space="preserve"> </w:t>
      </w:r>
      <w:r>
        <w:rPr>
          <w:rFonts w:hint="eastAsia"/>
          <w:sz w:val="18"/>
          <w:szCs w:val="18"/>
        </w:rPr>
        <w:t xml:space="preserve">      </w:t>
      </w:r>
      <w:r>
        <w:drawing>
          <wp:inline distT="0" distB="0" distL="0" distR="0">
            <wp:extent cx="1382395" cy="1062355"/>
            <wp:effectExtent l="0" t="0" r="8255" b="444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237" cstate="print">
                      <a:extLst>
                        <a:ext uri="{28A0092B-C50C-407E-A947-70E740481C1C}">
                          <a14:useLocalDpi xmlns:a14="http://schemas.microsoft.com/office/drawing/2010/main" val="0"/>
                        </a:ext>
                      </a:extLst>
                    </a:blip>
                    <a:srcRect l="15789" r="15789"/>
                    <a:stretch>
                      <a:fillRect/>
                    </a:stretch>
                  </pic:blipFill>
                  <pic:spPr>
                    <a:xfrm>
                      <a:off x="0" y="0"/>
                      <a:ext cx="1382395" cy="1062355"/>
                    </a:xfrm>
                    <a:prstGeom prst="rect">
                      <a:avLst/>
                    </a:prstGeom>
                    <a:ln>
                      <a:noFill/>
                    </a:ln>
                  </pic:spPr>
                </pic:pic>
              </a:graphicData>
            </a:graphic>
          </wp:inline>
        </w:drawing>
      </w:r>
    </w:p>
    <w:p w14:paraId="4BC53CB2">
      <w:pPr>
        <w:ind w:firstLine="1038" w:firstLineChars="577"/>
        <w:jc w:val="left"/>
        <w:rPr>
          <w:sz w:val="18"/>
          <w:szCs w:val="15"/>
        </w:rPr>
      </w:pPr>
      <w:r>
        <w:rPr>
          <w:rFonts w:hint="eastAsia"/>
          <w:sz w:val="18"/>
          <w:szCs w:val="15"/>
        </w:rPr>
        <w:t xml:space="preserve">（a）氯丁橡胶或三元乙丙橡胶止水条截面   </w:t>
      </w:r>
      <w:r>
        <w:rPr>
          <w:sz w:val="18"/>
          <w:szCs w:val="15"/>
        </w:rPr>
        <w:t xml:space="preserve">    </w:t>
      </w:r>
      <w:r>
        <w:rPr>
          <w:rFonts w:hint="eastAsia"/>
          <w:sz w:val="18"/>
          <w:szCs w:val="15"/>
        </w:rPr>
        <w:t>（b）</w:t>
      </w:r>
      <w:r>
        <w:rPr>
          <w:rFonts w:hint="eastAsia"/>
          <w:sz w:val="18"/>
          <w:szCs w:val="18"/>
        </w:rPr>
        <w:t>聚氨脂密封胶条截面</w:t>
      </w:r>
    </w:p>
    <w:p w14:paraId="7E0B51BE">
      <w:pPr>
        <w:ind w:firstLine="424" w:firstLineChars="177"/>
        <w:jc w:val="center"/>
        <w:rPr>
          <w:sz w:val="18"/>
          <w:szCs w:val="18"/>
        </w:rPr>
      </w:pPr>
      <w:r>
        <w:drawing>
          <wp:inline distT="0" distB="0" distL="0" distR="0">
            <wp:extent cx="1711960" cy="1644015"/>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238">
                      <a:extLst>
                        <a:ext uri="{28A0092B-C50C-407E-A947-70E740481C1C}">
                          <a14:useLocalDpi xmlns:a14="http://schemas.microsoft.com/office/drawing/2010/main" val="0"/>
                        </a:ext>
                      </a:extLst>
                    </a:blip>
                    <a:srcRect l="20676" r="18106"/>
                    <a:stretch>
                      <a:fillRect/>
                    </a:stretch>
                  </pic:blipFill>
                  <pic:spPr>
                    <a:xfrm>
                      <a:off x="0" y="0"/>
                      <a:ext cx="1711842" cy="1643822"/>
                    </a:xfrm>
                    <a:prstGeom prst="rect">
                      <a:avLst/>
                    </a:prstGeom>
                    <a:ln>
                      <a:noFill/>
                    </a:ln>
                  </pic:spPr>
                </pic:pic>
              </a:graphicData>
            </a:graphic>
          </wp:inline>
        </w:drawing>
      </w:r>
      <w:r>
        <w:t xml:space="preserve">      </w:t>
      </w:r>
      <w:r>
        <w:drawing>
          <wp:inline distT="0" distB="0" distL="0" distR="0">
            <wp:extent cx="1835150" cy="120142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39" cstate="print">
                      <a:extLst>
                        <a:ext uri="{28A0092B-C50C-407E-A947-70E740481C1C}">
                          <a14:useLocalDpi xmlns:a14="http://schemas.microsoft.com/office/drawing/2010/main" val="0"/>
                        </a:ext>
                      </a:extLst>
                    </a:blip>
                    <a:srcRect l="14732" r="15178"/>
                    <a:stretch>
                      <a:fillRect/>
                    </a:stretch>
                  </pic:blipFill>
                  <pic:spPr>
                    <a:xfrm>
                      <a:off x="0" y="0"/>
                      <a:ext cx="1831910" cy="1199333"/>
                    </a:xfrm>
                    <a:prstGeom prst="rect">
                      <a:avLst/>
                    </a:prstGeom>
                    <a:ln>
                      <a:noFill/>
                    </a:ln>
                  </pic:spPr>
                </pic:pic>
              </a:graphicData>
            </a:graphic>
          </wp:inline>
        </w:drawing>
      </w:r>
    </w:p>
    <w:p w14:paraId="1437464F">
      <w:pPr>
        <w:ind w:firstLine="540" w:firstLineChars="300"/>
        <w:jc w:val="center"/>
        <w:rPr>
          <w:sz w:val="18"/>
          <w:szCs w:val="18"/>
        </w:rPr>
      </w:pPr>
      <w:r>
        <w:rPr>
          <w:rFonts w:hint="eastAsia"/>
          <w:sz w:val="18"/>
          <w:szCs w:val="18"/>
        </w:rPr>
        <w:t xml:space="preserve">（c）聚氨脂密封胶条截面              </w:t>
      </w:r>
      <w:r>
        <w:rPr>
          <w:sz w:val="18"/>
          <w:szCs w:val="18"/>
        </w:rPr>
        <w:t xml:space="preserve">   </w:t>
      </w:r>
      <w:r>
        <w:rPr>
          <w:rFonts w:hint="eastAsia"/>
          <w:sz w:val="18"/>
          <w:szCs w:val="18"/>
        </w:rPr>
        <w:t xml:space="preserve">    （d）遇水膨胀橡胶止水条截面</w:t>
      </w:r>
    </w:p>
    <w:p w14:paraId="7AAA0E44">
      <w:pPr>
        <w:ind w:firstLine="422" w:firstLineChars="200"/>
        <w:jc w:val="center"/>
        <w:rPr>
          <w:b/>
          <w:bCs/>
          <w:sz w:val="21"/>
        </w:rPr>
      </w:pPr>
      <w:r>
        <w:rPr>
          <w:rFonts w:hint="eastAsia"/>
          <w:b/>
          <w:bCs/>
          <w:sz w:val="21"/>
        </w:rPr>
        <w:t>图6.3.1-2  管节防水材料构造示意图</w:t>
      </w:r>
    </w:p>
    <w:p w14:paraId="01B63BAE">
      <w:r>
        <w:rPr>
          <w:b/>
          <w:bCs/>
        </w:rPr>
        <w:t xml:space="preserve">6.3.2  </w:t>
      </w:r>
      <w:r>
        <w:t>矩形管节钢承口细部尺寸可按表6.3.2选用。</w:t>
      </w:r>
    </w:p>
    <w:p w14:paraId="1BCA4B22">
      <w:pPr>
        <w:sectPr>
          <w:pgSz w:w="11906" w:h="16838"/>
          <w:pgMar w:top="1440" w:right="1800" w:bottom="1440" w:left="1800" w:header="851" w:footer="992" w:gutter="0"/>
          <w:cols w:space="425" w:num="1"/>
          <w:docGrid w:type="lines" w:linePitch="312" w:charSpace="0"/>
        </w:sectPr>
      </w:pPr>
    </w:p>
    <w:p w14:paraId="73F44434">
      <w:pPr>
        <w:jc w:val="center"/>
        <w:rPr>
          <w:b/>
          <w:bCs/>
        </w:rPr>
      </w:pPr>
      <w:r>
        <w:rPr>
          <w:b/>
          <w:bCs/>
        </w:rPr>
        <w:t>表6.3.2  矩形管节钢承口接头细部尺寸（mm）</w:t>
      </w:r>
    </w:p>
    <w:tbl>
      <w:tblPr>
        <w:tblStyle w:val="36"/>
        <w:tblW w:w="139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25"/>
        <w:gridCol w:w="744"/>
        <w:gridCol w:w="1418"/>
        <w:gridCol w:w="1417"/>
        <w:gridCol w:w="1418"/>
        <w:gridCol w:w="709"/>
        <w:gridCol w:w="708"/>
        <w:gridCol w:w="1528"/>
        <w:gridCol w:w="908"/>
        <w:gridCol w:w="908"/>
        <w:gridCol w:w="1888"/>
      </w:tblGrid>
      <w:tr w14:paraId="503EA3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325" w:type="dxa"/>
            <w:vMerge w:val="restart"/>
            <w:tcBorders>
              <w:top w:val="single" w:color="000000" w:sz="12" w:space="0"/>
              <w:left w:val="single" w:color="000000" w:sz="12" w:space="0"/>
              <w:bottom w:val="single" w:color="000000" w:sz="6" w:space="0"/>
              <w:right w:val="single" w:color="000000" w:sz="6" w:space="0"/>
            </w:tcBorders>
            <w:vAlign w:val="center"/>
          </w:tcPr>
          <w:p w14:paraId="3BD4A68C">
            <w:pPr>
              <w:spacing w:line="240" w:lineRule="auto"/>
              <w:jc w:val="center"/>
              <w:rPr>
                <w:sz w:val="21"/>
              </w:rPr>
            </w:pPr>
            <w:r>
              <w:rPr>
                <w:sz w:val="21"/>
              </w:rPr>
              <w:t>顶管外部尺寸</w:t>
            </w:r>
          </w:p>
          <w:p w14:paraId="14276466">
            <w:pPr>
              <w:spacing w:line="240" w:lineRule="auto"/>
              <w:jc w:val="center"/>
              <w:rPr>
                <w:sz w:val="21"/>
              </w:rPr>
            </w:pPr>
            <w:r>
              <w:rPr>
                <w:sz w:val="21"/>
              </w:rPr>
              <w:t>（B</w:t>
            </w:r>
            <w:r>
              <w:rPr>
                <w:sz w:val="21"/>
                <w:vertAlign w:val="subscript"/>
              </w:rPr>
              <w:t>1</w:t>
            </w:r>
            <w:r>
              <w:rPr>
                <w:sz w:val="21"/>
              </w:rPr>
              <w:t>×H</w:t>
            </w:r>
            <w:r>
              <w:rPr>
                <w:sz w:val="21"/>
                <w:vertAlign w:val="subscript"/>
              </w:rPr>
              <w:t>1</w:t>
            </w:r>
            <w:r>
              <w:rPr>
                <w:sz w:val="21"/>
              </w:rPr>
              <w:t>）</w:t>
            </w:r>
          </w:p>
        </w:tc>
        <w:tc>
          <w:tcPr>
            <w:tcW w:w="744" w:type="dxa"/>
            <w:vMerge w:val="restart"/>
            <w:tcBorders>
              <w:top w:val="single" w:color="000000" w:sz="12" w:space="0"/>
              <w:left w:val="single" w:color="000000" w:sz="6" w:space="0"/>
              <w:bottom w:val="single" w:color="000000" w:sz="6" w:space="0"/>
              <w:right w:val="single" w:color="000000" w:sz="6" w:space="0"/>
            </w:tcBorders>
            <w:vAlign w:val="center"/>
          </w:tcPr>
          <w:p w14:paraId="30C7708E">
            <w:pPr>
              <w:spacing w:line="240" w:lineRule="auto"/>
              <w:jc w:val="center"/>
              <w:rPr>
                <w:sz w:val="21"/>
              </w:rPr>
            </w:pPr>
            <w:r>
              <w:rPr>
                <w:sz w:val="21"/>
              </w:rPr>
              <w:t>顶管</w:t>
            </w:r>
          </w:p>
          <w:p w14:paraId="5DE1C95F">
            <w:pPr>
              <w:spacing w:line="240" w:lineRule="auto"/>
              <w:jc w:val="center"/>
              <w:rPr>
                <w:sz w:val="21"/>
              </w:rPr>
            </w:pPr>
            <w:r>
              <w:rPr>
                <w:sz w:val="21"/>
              </w:rPr>
              <w:t>壁厚</w:t>
            </w:r>
          </w:p>
          <w:p w14:paraId="1C7B0534">
            <w:pPr>
              <w:spacing w:line="240" w:lineRule="auto"/>
              <w:jc w:val="center"/>
              <w:rPr>
                <w:sz w:val="21"/>
              </w:rPr>
            </w:pPr>
            <w:r>
              <w:rPr>
                <w:sz w:val="21"/>
              </w:rPr>
              <w:t>（t）</w:t>
            </w:r>
          </w:p>
        </w:tc>
        <w:tc>
          <w:tcPr>
            <w:tcW w:w="1418" w:type="dxa"/>
            <w:vMerge w:val="restart"/>
            <w:tcBorders>
              <w:top w:val="single" w:color="000000" w:sz="12" w:space="0"/>
              <w:left w:val="single" w:color="000000" w:sz="6" w:space="0"/>
              <w:bottom w:val="single" w:color="000000" w:sz="6" w:space="0"/>
              <w:right w:val="single" w:color="000000" w:sz="6" w:space="0"/>
            </w:tcBorders>
            <w:vAlign w:val="center"/>
          </w:tcPr>
          <w:p w14:paraId="3BEFA86F">
            <w:pPr>
              <w:spacing w:line="240" w:lineRule="auto"/>
              <w:jc w:val="center"/>
              <w:rPr>
                <w:sz w:val="21"/>
              </w:rPr>
            </w:pPr>
            <w:r>
              <w:rPr>
                <w:sz w:val="21"/>
              </w:rPr>
              <w:t>顶管内</w:t>
            </w:r>
          </w:p>
          <w:p w14:paraId="6095EF20">
            <w:pPr>
              <w:spacing w:line="240" w:lineRule="auto"/>
              <w:jc w:val="center"/>
              <w:rPr>
                <w:sz w:val="21"/>
              </w:rPr>
            </w:pPr>
            <w:r>
              <w:rPr>
                <w:sz w:val="21"/>
              </w:rPr>
              <w:t>部尺寸</w:t>
            </w:r>
          </w:p>
          <w:p w14:paraId="5B745AAC">
            <w:pPr>
              <w:spacing w:line="240" w:lineRule="auto"/>
              <w:jc w:val="center"/>
              <w:rPr>
                <w:sz w:val="21"/>
              </w:rPr>
            </w:pPr>
            <w:r>
              <w:rPr>
                <w:sz w:val="21"/>
              </w:rPr>
              <w:t>（b</w:t>
            </w:r>
            <w:r>
              <w:rPr>
                <w:sz w:val="21"/>
                <w:vertAlign w:val="subscript"/>
              </w:rPr>
              <w:t>2</w:t>
            </w:r>
            <w:r>
              <w:rPr>
                <w:sz w:val="21"/>
              </w:rPr>
              <w:t>×h</w:t>
            </w:r>
            <w:r>
              <w:rPr>
                <w:sz w:val="21"/>
                <w:vertAlign w:val="subscript"/>
              </w:rPr>
              <w:t>2</w:t>
            </w:r>
            <w:r>
              <w:rPr>
                <w:sz w:val="21"/>
              </w:rPr>
              <w:t>）</w:t>
            </w:r>
          </w:p>
        </w:tc>
        <w:tc>
          <w:tcPr>
            <w:tcW w:w="4252" w:type="dxa"/>
            <w:gridSpan w:val="4"/>
            <w:tcBorders>
              <w:top w:val="single" w:color="000000" w:sz="12" w:space="0"/>
              <w:left w:val="single" w:color="000000" w:sz="6" w:space="0"/>
              <w:bottom w:val="single" w:color="000000" w:sz="6" w:space="0"/>
              <w:right w:val="single" w:color="000000" w:sz="6" w:space="0"/>
            </w:tcBorders>
            <w:vAlign w:val="center"/>
          </w:tcPr>
          <w:p w14:paraId="53225CD3">
            <w:pPr>
              <w:spacing w:line="240" w:lineRule="auto"/>
              <w:jc w:val="center"/>
              <w:rPr>
                <w:sz w:val="21"/>
              </w:rPr>
            </w:pPr>
            <w:r>
              <w:rPr>
                <w:sz w:val="21"/>
              </w:rPr>
              <w:t>插口尺寸</w:t>
            </w:r>
          </w:p>
        </w:tc>
        <w:tc>
          <w:tcPr>
            <w:tcW w:w="5232" w:type="dxa"/>
            <w:gridSpan w:val="4"/>
            <w:tcBorders>
              <w:top w:val="single" w:color="000000" w:sz="12" w:space="0"/>
              <w:left w:val="single" w:color="000000" w:sz="6" w:space="0"/>
              <w:bottom w:val="single" w:color="000000" w:sz="6" w:space="0"/>
              <w:right w:val="single" w:color="000000" w:sz="12" w:space="0"/>
            </w:tcBorders>
            <w:vAlign w:val="center"/>
          </w:tcPr>
          <w:p w14:paraId="68D60A39">
            <w:pPr>
              <w:spacing w:line="240" w:lineRule="auto"/>
              <w:jc w:val="center"/>
              <w:rPr>
                <w:sz w:val="21"/>
              </w:rPr>
            </w:pPr>
            <w:r>
              <w:rPr>
                <w:sz w:val="21"/>
              </w:rPr>
              <w:t>钢承口尺寸</w:t>
            </w:r>
          </w:p>
        </w:tc>
      </w:tr>
      <w:tr w14:paraId="362DFD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325" w:type="dxa"/>
            <w:vMerge w:val="continue"/>
            <w:tcBorders>
              <w:top w:val="single" w:color="000000" w:sz="6" w:space="0"/>
              <w:left w:val="single" w:color="000000" w:sz="12" w:space="0"/>
              <w:bottom w:val="single" w:color="000000" w:sz="6" w:space="0"/>
              <w:right w:val="single" w:color="000000" w:sz="6" w:space="0"/>
            </w:tcBorders>
            <w:vAlign w:val="center"/>
          </w:tcPr>
          <w:p w14:paraId="5C444047">
            <w:pPr>
              <w:spacing w:line="240" w:lineRule="auto"/>
              <w:jc w:val="center"/>
              <w:rPr>
                <w:sz w:val="21"/>
              </w:rPr>
            </w:pPr>
          </w:p>
        </w:tc>
        <w:tc>
          <w:tcPr>
            <w:tcW w:w="744" w:type="dxa"/>
            <w:vMerge w:val="continue"/>
            <w:tcBorders>
              <w:top w:val="single" w:color="000000" w:sz="6" w:space="0"/>
              <w:left w:val="single" w:color="000000" w:sz="6" w:space="0"/>
              <w:bottom w:val="single" w:color="000000" w:sz="6" w:space="0"/>
              <w:right w:val="single" w:color="000000" w:sz="6" w:space="0"/>
            </w:tcBorders>
            <w:vAlign w:val="center"/>
          </w:tcPr>
          <w:p w14:paraId="3C13FF5F">
            <w:pPr>
              <w:spacing w:line="240" w:lineRule="auto"/>
              <w:jc w:val="center"/>
              <w:rPr>
                <w:sz w:val="21"/>
              </w:rPr>
            </w:pPr>
          </w:p>
        </w:tc>
        <w:tc>
          <w:tcPr>
            <w:tcW w:w="1418" w:type="dxa"/>
            <w:vMerge w:val="continue"/>
            <w:tcBorders>
              <w:top w:val="single" w:color="000000" w:sz="6" w:space="0"/>
              <w:left w:val="single" w:color="000000" w:sz="6" w:space="0"/>
              <w:bottom w:val="single" w:color="000000" w:sz="6" w:space="0"/>
              <w:right w:val="single" w:color="000000" w:sz="6" w:space="0"/>
            </w:tcBorders>
            <w:vAlign w:val="center"/>
          </w:tcPr>
          <w:p w14:paraId="1901BB14">
            <w:pPr>
              <w:spacing w:line="240" w:lineRule="auto"/>
              <w:jc w:val="center"/>
              <w:rPr>
                <w:sz w:val="21"/>
              </w:rPr>
            </w:pPr>
          </w:p>
        </w:tc>
        <w:tc>
          <w:tcPr>
            <w:tcW w:w="1417" w:type="dxa"/>
            <w:tcBorders>
              <w:top w:val="single" w:color="000000" w:sz="6" w:space="0"/>
              <w:left w:val="single" w:color="000000" w:sz="6" w:space="0"/>
              <w:bottom w:val="single" w:color="000000" w:sz="6" w:space="0"/>
              <w:right w:val="single" w:color="000000" w:sz="6" w:space="0"/>
            </w:tcBorders>
            <w:vAlign w:val="center"/>
          </w:tcPr>
          <w:p w14:paraId="30B5363F">
            <w:pPr>
              <w:spacing w:line="240" w:lineRule="auto"/>
              <w:jc w:val="center"/>
              <w:rPr>
                <w:sz w:val="21"/>
              </w:rPr>
            </w:pPr>
            <w:r>
              <w:rPr>
                <w:sz w:val="21"/>
              </w:rPr>
              <w:t>B</w:t>
            </w:r>
            <w:r>
              <w:rPr>
                <w:sz w:val="21"/>
                <w:vertAlign w:val="subscript"/>
              </w:rPr>
              <w:t>2</w:t>
            </w:r>
            <w:r>
              <w:rPr>
                <w:sz w:val="21"/>
              </w:rPr>
              <w:t>×H</w:t>
            </w:r>
            <w:r>
              <w:rPr>
                <w:sz w:val="21"/>
                <w:vertAlign w:val="subscript"/>
              </w:rPr>
              <w:t>2</w:t>
            </w:r>
          </w:p>
        </w:tc>
        <w:tc>
          <w:tcPr>
            <w:tcW w:w="1418" w:type="dxa"/>
            <w:tcBorders>
              <w:top w:val="single" w:color="000000" w:sz="6" w:space="0"/>
              <w:left w:val="single" w:color="000000" w:sz="6" w:space="0"/>
              <w:bottom w:val="single" w:color="000000" w:sz="6" w:space="0"/>
              <w:right w:val="single" w:color="000000" w:sz="6" w:space="0"/>
            </w:tcBorders>
            <w:vAlign w:val="center"/>
          </w:tcPr>
          <w:p w14:paraId="519AD565">
            <w:pPr>
              <w:spacing w:line="240" w:lineRule="auto"/>
              <w:jc w:val="center"/>
              <w:rPr>
                <w:sz w:val="21"/>
              </w:rPr>
            </w:pPr>
            <w:r>
              <w:rPr>
                <w:sz w:val="21"/>
              </w:rPr>
              <w:t>B</w:t>
            </w:r>
            <w:r>
              <w:rPr>
                <w:sz w:val="21"/>
                <w:vertAlign w:val="subscript"/>
              </w:rPr>
              <w:t>3</w:t>
            </w:r>
            <w:r>
              <w:rPr>
                <w:sz w:val="21"/>
              </w:rPr>
              <w:t>×H</w:t>
            </w:r>
            <w:r>
              <w:rPr>
                <w:sz w:val="21"/>
                <w:vertAlign w:val="subscript"/>
              </w:rPr>
              <w:t>3</w:t>
            </w:r>
          </w:p>
        </w:tc>
        <w:tc>
          <w:tcPr>
            <w:tcW w:w="709" w:type="dxa"/>
            <w:tcBorders>
              <w:top w:val="single" w:color="000000" w:sz="6" w:space="0"/>
              <w:left w:val="single" w:color="000000" w:sz="6" w:space="0"/>
              <w:bottom w:val="single" w:color="000000" w:sz="6" w:space="0"/>
              <w:right w:val="single" w:color="000000" w:sz="6" w:space="0"/>
            </w:tcBorders>
            <w:vAlign w:val="center"/>
          </w:tcPr>
          <w:p w14:paraId="0B8115AF">
            <w:pPr>
              <w:spacing w:line="240" w:lineRule="auto"/>
              <w:jc w:val="center"/>
              <w:rPr>
                <w:sz w:val="21"/>
              </w:rPr>
            </w:pPr>
            <w:r>
              <w:rPr>
                <w:sz w:val="21"/>
              </w:rPr>
              <w:t>t</w:t>
            </w:r>
            <w:r>
              <w:rPr>
                <w:sz w:val="21"/>
                <w:vertAlign w:val="subscript"/>
              </w:rPr>
              <w:t>1</w:t>
            </w:r>
          </w:p>
        </w:tc>
        <w:tc>
          <w:tcPr>
            <w:tcW w:w="708" w:type="dxa"/>
            <w:tcBorders>
              <w:top w:val="single" w:color="000000" w:sz="6" w:space="0"/>
              <w:left w:val="single" w:color="000000" w:sz="6" w:space="0"/>
              <w:bottom w:val="single" w:color="000000" w:sz="6" w:space="0"/>
              <w:right w:val="single" w:color="000000" w:sz="6" w:space="0"/>
            </w:tcBorders>
            <w:vAlign w:val="center"/>
          </w:tcPr>
          <w:p w14:paraId="347BA81D">
            <w:pPr>
              <w:spacing w:line="240" w:lineRule="auto"/>
              <w:jc w:val="center"/>
              <w:rPr>
                <w:sz w:val="21"/>
              </w:rPr>
            </w:pPr>
            <w:r>
              <w:rPr>
                <w:sz w:val="21"/>
              </w:rPr>
              <w:t>L</w:t>
            </w:r>
            <w:r>
              <w:rPr>
                <w:sz w:val="21"/>
                <w:vertAlign w:val="subscript"/>
              </w:rPr>
              <w:t>1</w:t>
            </w:r>
          </w:p>
        </w:tc>
        <w:tc>
          <w:tcPr>
            <w:tcW w:w="1528" w:type="dxa"/>
            <w:tcBorders>
              <w:top w:val="single" w:color="000000" w:sz="6" w:space="0"/>
              <w:left w:val="single" w:color="000000" w:sz="6" w:space="0"/>
              <w:bottom w:val="single" w:color="000000" w:sz="6" w:space="0"/>
              <w:right w:val="single" w:color="000000" w:sz="6" w:space="0"/>
            </w:tcBorders>
            <w:vAlign w:val="center"/>
          </w:tcPr>
          <w:p w14:paraId="367EBE79">
            <w:pPr>
              <w:spacing w:line="240" w:lineRule="auto"/>
              <w:jc w:val="center"/>
              <w:rPr>
                <w:sz w:val="21"/>
              </w:rPr>
            </w:pPr>
            <w:r>
              <w:rPr>
                <w:sz w:val="21"/>
              </w:rPr>
              <w:t>b</w:t>
            </w:r>
            <w:r>
              <w:rPr>
                <w:sz w:val="21"/>
                <w:vertAlign w:val="subscript"/>
              </w:rPr>
              <w:t>3</w:t>
            </w:r>
            <w:r>
              <w:rPr>
                <w:sz w:val="21"/>
              </w:rPr>
              <w:t>×h</w:t>
            </w:r>
            <w:r>
              <w:rPr>
                <w:sz w:val="21"/>
                <w:vertAlign w:val="subscript"/>
              </w:rPr>
              <w:t>3</w:t>
            </w:r>
          </w:p>
        </w:tc>
        <w:tc>
          <w:tcPr>
            <w:tcW w:w="908" w:type="dxa"/>
            <w:tcBorders>
              <w:top w:val="single" w:color="000000" w:sz="6" w:space="0"/>
              <w:left w:val="single" w:color="000000" w:sz="6" w:space="0"/>
              <w:bottom w:val="single" w:color="000000" w:sz="6" w:space="0"/>
              <w:right w:val="single" w:color="000000" w:sz="6" w:space="0"/>
            </w:tcBorders>
            <w:vAlign w:val="center"/>
          </w:tcPr>
          <w:p w14:paraId="17DDEE1A">
            <w:pPr>
              <w:spacing w:line="240" w:lineRule="auto"/>
              <w:jc w:val="center"/>
              <w:rPr>
                <w:sz w:val="21"/>
              </w:rPr>
            </w:pPr>
            <w:r>
              <w:rPr>
                <w:sz w:val="21"/>
              </w:rPr>
              <w:t>t</w:t>
            </w:r>
            <w:r>
              <w:rPr>
                <w:sz w:val="21"/>
                <w:vertAlign w:val="subscript"/>
              </w:rPr>
              <w:t>2</w:t>
            </w:r>
          </w:p>
        </w:tc>
        <w:tc>
          <w:tcPr>
            <w:tcW w:w="908" w:type="dxa"/>
            <w:tcBorders>
              <w:top w:val="single" w:color="000000" w:sz="6" w:space="0"/>
              <w:left w:val="single" w:color="000000" w:sz="6" w:space="0"/>
              <w:bottom w:val="single" w:color="000000" w:sz="6" w:space="0"/>
              <w:right w:val="single" w:color="000000" w:sz="6" w:space="0"/>
            </w:tcBorders>
            <w:vAlign w:val="center"/>
          </w:tcPr>
          <w:p w14:paraId="5645B199">
            <w:pPr>
              <w:spacing w:line="240" w:lineRule="auto"/>
              <w:jc w:val="center"/>
              <w:rPr>
                <w:sz w:val="21"/>
              </w:rPr>
            </w:pPr>
            <w:r>
              <w:rPr>
                <w:sz w:val="21"/>
              </w:rPr>
              <w:t>L</w:t>
            </w:r>
            <w:r>
              <w:rPr>
                <w:sz w:val="21"/>
                <w:vertAlign w:val="subscript"/>
              </w:rPr>
              <w:t>2</w:t>
            </w:r>
          </w:p>
        </w:tc>
        <w:tc>
          <w:tcPr>
            <w:tcW w:w="1888" w:type="dxa"/>
            <w:tcBorders>
              <w:top w:val="single" w:color="000000" w:sz="6" w:space="0"/>
              <w:left w:val="single" w:color="000000" w:sz="6" w:space="0"/>
              <w:bottom w:val="single" w:color="000000" w:sz="6" w:space="0"/>
              <w:right w:val="single" w:color="000000" w:sz="12" w:space="0"/>
            </w:tcBorders>
            <w:vAlign w:val="center"/>
          </w:tcPr>
          <w:p w14:paraId="677DDD1C">
            <w:pPr>
              <w:spacing w:line="240" w:lineRule="auto"/>
              <w:jc w:val="center"/>
              <w:rPr>
                <w:sz w:val="21"/>
              </w:rPr>
            </w:pPr>
            <w:r>
              <w:rPr>
                <w:sz w:val="21"/>
              </w:rPr>
              <w:t>L</w:t>
            </w:r>
            <w:r>
              <w:rPr>
                <w:sz w:val="21"/>
                <w:vertAlign w:val="subscript"/>
              </w:rPr>
              <w:t>3</w:t>
            </w:r>
          </w:p>
        </w:tc>
      </w:tr>
      <w:tr w14:paraId="7DC53D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6" w:hRule="atLeast"/>
          <w:jc w:val="center"/>
        </w:trPr>
        <w:tc>
          <w:tcPr>
            <w:tcW w:w="2325" w:type="dxa"/>
            <w:tcBorders>
              <w:top w:val="single" w:color="000000" w:sz="6" w:space="0"/>
              <w:left w:val="single" w:color="000000" w:sz="12" w:space="0"/>
              <w:bottom w:val="single" w:color="000000" w:sz="6" w:space="0"/>
              <w:right w:val="single" w:color="000000" w:sz="6" w:space="0"/>
            </w:tcBorders>
            <w:vAlign w:val="center"/>
          </w:tcPr>
          <w:p w14:paraId="07B7EF09">
            <w:pPr>
              <w:spacing w:line="240" w:lineRule="auto"/>
              <w:jc w:val="center"/>
              <w:rPr>
                <w:sz w:val="21"/>
              </w:rPr>
            </w:pPr>
            <w:r>
              <w:rPr>
                <w:sz w:val="21"/>
              </w:rPr>
              <w:t>6000×4300</w:t>
            </w:r>
          </w:p>
        </w:tc>
        <w:tc>
          <w:tcPr>
            <w:tcW w:w="744" w:type="dxa"/>
            <w:tcBorders>
              <w:top w:val="single" w:color="000000" w:sz="6" w:space="0"/>
              <w:left w:val="single" w:color="000000" w:sz="6" w:space="0"/>
              <w:bottom w:val="single" w:color="000000" w:sz="6" w:space="0"/>
              <w:right w:val="single" w:color="000000" w:sz="6" w:space="0"/>
            </w:tcBorders>
            <w:vAlign w:val="center"/>
          </w:tcPr>
          <w:p w14:paraId="38A409F6">
            <w:pPr>
              <w:spacing w:line="240" w:lineRule="auto"/>
              <w:jc w:val="center"/>
              <w:rPr>
                <w:sz w:val="21"/>
              </w:rPr>
            </w:pPr>
            <w:r>
              <w:rPr>
                <w:sz w:val="21"/>
              </w:rPr>
              <w:t>500</w:t>
            </w:r>
          </w:p>
        </w:tc>
        <w:tc>
          <w:tcPr>
            <w:tcW w:w="1418" w:type="dxa"/>
            <w:tcBorders>
              <w:top w:val="single" w:color="000000" w:sz="6" w:space="0"/>
              <w:left w:val="single" w:color="000000" w:sz="6" w:space="0"/>
              <w:bottom w:val="single" w:color="000000" w:sz="6" w:space="0"/>
              <w:right w:val="single" w:color="000000" w:sz="6" w:space="0"/>
            </w:tcBorders>
            <w:vAlign w:val="center"/>
          </w:tcPr>
          <w:p w14:paraId="120F1CD9">
            <w:pPr>
              <w:spacing w:line="240" w:lineRule="auto"/>
              <w:jc w:val="center"/>
              <w:rPr>
                <w:sz w:val="21"/>
              </w:rPr>
            </w:pPr>
            <w:r>
              <w:rPr>
                <w:sz w:val="21"/>
              </w:rPr>
              <w:t>5000×3300</w:t>
            </w:r>
          </w:p>
        </w:tc>
        <w:tc>
          <w:tcPr>
            <w:tcW w:w="1417" w:type="dxa"/>
            <w:tcBorders>
              <w:top w:val="single" w:color="000000" w:sz="6" w:space="0"/>
              <w:left w:val="single" w:color="000000" w:sz="6" w:space="0"/>
              <w:bottom w:val="single" w:color="000000" w:sz="6" w:space="0"/>
              <w:right w:val="single" w:color="000000" w:sz="6" w:space="0"/>
            </w:tcBorders>
            <w:vAlign w:val="center"/>
          </w:tcPr>
          <w:p w14:paraId="32649539">
            <w:pPr>
              <w:spacing w:line="240" w:lineRule="auto"/>
              <w:jc w:val="center"/>
              <w:rPr>
                <w:sz w:val="21"/>
              </w:rPr>
            </w:pPr>
            <w:r>
              <w:rPr>
                <w:sz w:val="21"/>
              </w:rPr>
              <w:t>5957×4257</w:t>
            </w:r>
          </w:p>
        </w:tc>
        <w:tc>
          <w:tcPr>
            <w:tcW w:w="1418" w:type="dxa"/>
            <w:tcBorders>
              <w:top w:val="single" w:color="000000" w:sz="6" w:space="0"/>
              <w:left w:val="single" w:color="000000" w:sz="6" w:space="0"/>
              <w:bottom w:val="single" w:color="000000" w:sz="6" w:space="0"/>
              <w:right w:val="single" w:color="000000" w:sz="6" w:space="0"/>
            </w:tcBorders>
            <w:vAlign w:val="center"/>
          </w:tcPr>
          <w:p w14:paraId="646233F6">
            <w:pPr>
              <w:spacing w:line="240" w:lineRule="auto"/>
              <w:jc w:val="center"/>
              <w:rPr>
                <w:sz w:val="21"/>
              </w:rPr>
            </w:pPr>
            <w:r>
              <w:rPr>
                <w:sz w:val="21"/>
              </w:rPr>
              <w:t>5930×4230</w:t>
            </w:r>
          </w:p>
        </w:tc>
        <w:tc>
          <w:tcPr>
            <w:tcW w:w="709" w:type="dxa"/>
            <w:tcBorders>
              <w:top w:val="single" w:color="000000" w:sz="6" w:space="0"/>
              <w:left w:val="single" w:color="000000" w:sz="6" w:space="0"/>
              <w:bottom w:val="single" w:color="000000" w:sz="6" w:space="0"/>
              <w:right w:val="single" w:color="000000" w:sz="6" w:space="0"/>
            </w:tcBorders>
            <w:vAlign w:val="center"/>
          </w:tcPr>
          <w:p w14:paraId="3BEBD20A">
            <w:pPr>
              <w:spacing w:line="240" w:lineRule="auto"/>
              <w:jc w:val="center"/>
              <w:rPr>
                <w:sz w:val="21"/>
              </w:rPr>
            </w:pPr>
            <w:r>
              <w:rPr>
                <w:sz w:val="21"/>
              </w:rPr>
              <w:t>≥8</w:t>
            </w:r>
          </w:p>
        </w:tc>
        <w:tc>
          <w:tcPr>
            <w:tcW w:w="708" w:type="dxa"/>
            <w:tcBorders>
              <w:top w:val="single" w:color="000000" w:sz="6" w:space="0"/>
              <w:left w:val="single" w:color="000000" w:sz="6" w:space="0"/>
              <w:bottom w:val="single" w:color="000000" w:sz="6" w:space="0"/>
              <w:right w:val="single" w:color="000000" w:sz="6" w:space="0"/>
            </w:tcBorders>
            <w:vAlign w:val="center"/>
          </w:tcPr>
          <w:p w14:paraId="304DA1D6">
            <w:pPr>
              <w:spacing w:line="240" w:lineRule="auto"/>
              <w:jc w:val="center"/>
              <w:rPr>
                <w:sz w:val="21"/>
              </w:rPr>
            </w:pPr>
            <w:r>
              <w:rPr>
                <w:sz w:val="21"/>
              </w:rPr>
              <w:t>191</w:t>
            </w:r>
          </w:p>
        </w:tc>
        <w:tc>
          <w:tcPr>
            <w:tcW w:w="1528" w:type="dxa"/>
            <w:tcBorders>
              <w:top w:val="single" w:color="000000" w:sz="6" w:space="0"/>
              <w:left w:val="single" w:color="000000" w:sz="6" w:space="0"/>
              <w:bottom w:val="single" w:color="000000" w:sz="6" w:space="0"/>
              <w:right w:val="single" w:color="000000" w:sz="6" w:space="0"/>
            </w:tcBorders>
            <w:vAlign w:val="center"/>
          </w:tcPr>
          <w:p w14:paraId="79433640">
            <w:pPr>
              <w:spacing w:line="240" w:lineRule="auto"/>
              <w:jc w:val="center"/>
              <w:rPr>
                <w:sz w:val="21"/>
              </w:rPr>
            </w:pPr>
            <w:r>
              <w:rPr>
                <w:sz w:val="21"/>
              </w:rPr>
              <w:t>5972×4272</w:t>
            </w:r>
          </w:p>
        </w:tc>
        <w:tc>
          <w:tcPr>
            <w:tcW w:w="908" w:type="dxa"/>
            <w:vMerge w:val="restart"/>
            <w:tcBorders>
              <w:top w:val="single" w:color="000000" w:sz="6" w:space="0"/>
              <w:left w:val="single" w:color="000000" w:sz="6" w:space="0"/>
              <w:bottom w:val="single" w:color="000000" w:sz="6" w:space="0"/>
              <w:right w:val="single" w:color="000000" w:sz="6" w:space="0"/>
            </w:tcBorders>
            <w:vAlign w:val="center"/>
          </w:tcPr>
          <w:p w14:paraId="44614BE2">
            <w:pPr>
              <w:spacing w:line="240" w:lineRule="auto"/>
              <w:jc w:val="center"/>
              <w:rPr>
                <w:sz w:val="21"/>
              </w:rPr>
            </w:pPr>
            <w:r>
              <w:rPr>
                <w:sz w:val="21"/>
              </w:rPr>
              <w:t>≥12</w:t>
            </w:r>
          </w:p>
        </w:tc>
        <w:tc>
          <w:tcPr>
            <w:tcW w:w="908" w:type="dxa"/>
            <w:vMerge w:val="restart"/>
            <w:tcBorders>
              <w:top w:val="single" w:color="000000" w:sz="6" w:space="0"/>
              <w:left w:val="single" w:color="000000" w:sz="6" w:space="0"/>
              <w:bottom w:val="single" w:color="000000" w:sz="6" w:space="0"/>
              <w:right w:val="single" w:color="000000" w:sz="6" w:space="0"/>
            </w:tcBorders>
            <w:vAlign w:val="center"/>
          </w:tcPr>
          <w:p w14:paraId="4DB0C2C2">
            <w:pPr>
              <w:spacing w:line="240" w:lineRule="auto"/>
              <w:jc w:val="center"/>
              <w:rPr>
                <w:sz w:val="21"/>
              </w:rPr>
            </w:pPr>
            <w:r>
              <w:rPr>
                <w:sz w:val="21"/>
              </w:rPr>
              <w:t>≥175</w:t>
            </w:r>
          </w:p>
        </w:tc>
        <w:tc>
          <w:tcPr>
            <w:tcW w:w="1888" w:type="dxa"/>
            <w:vMerge w:val="restart"/>
            <w:tcBorders>
              <w:top w:val="single" w:color="000000" w:sz="6" w:space="0"/>
              <w:left w:val="single" w:color="000000" w:sz="6" w:space="0"/>
              <w:bottom w:val="single" w:color="000000" w:sz="6" w:space="0"/>
              <w:right w:val="single" w:color="000000" w:sz="12" w:space="0"/>
            </w:tcBorders>
            <w:vAlign w:val="center"/>
          </w:tcPr>
          <w:p w14:paraId="5AEE8554">
            <w:pPr>
              <w:spacing w:line="240" w:lineRule="auto"/>
              <w:jc w:val="center"/>
              <w:rPr>
                <w:sz w:val="21"/>
              </w:rPr>
            </w:pPr>
            <w:r>
              <w:rPr>
                <w:sz w:val="21"/>
              </w:rPr>
              <w:t>≥325</w:t>
            </w:r>
          </w:p>
        </w:tc>
      </w:tr>
      <w:tr w14:paraId="25C148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4" w:hRule="atLeast"/>
          <w:jc w:val="center"/>
        </w:trPr>
        <w:tc>
          <w:tcPr>
            <w:tcW w:w="2325" w:type="dxa"/>
            <w:tcBorders>
              <w:top w:val="single" w:color="000000" w:sz="6" w:space="0"/>
              <w:left w:val="single" w:color="000000" w:sz="12" w:space="0"/>
              <w:bottom w:val="single" w:color="000000" w:sz="6" w:space="0"/>
              <w:right w:val="single" w:color="000000" w:sz="6" w:space="0"/>
            </w:tcBorders>
            <w:vAlign w:val="center"/>
          </w:tcPr>
          <w:p w14:paraId="27FEB742">
            <w:pPr>
              <w:spacing w:line="240" w:lineRule="auto"/>
              <w:jc w:val="center"/>
              <w:rPr>
                <w:sz w:val="21"/>
              </w:rPr>
            </w:pPr>
            <w:r>
              <w:rPr>
                <w:sz w:val="21"/>
              </w:rPr>
              <w:t>6900×4200</w:t>
            </w:r>
          </w:p>
        </w:tc>
        <w:tc>
          <w:tcPr>
            <w:tcW w:w="744" w:type="dxa"/>
            <w:tcBorders>
              <w:top w:val="single" w:color="000000" w:sz="6" w:space="0"/>
              <w:left w:val="single" w:color="000000" w:sz="6" w:space="0"/>
              <w:bottom w:val="single" w:color="000000" w:sz="6" w:space="0"/>
              <w:right w:val="single" w:color="000000" w:sz="6" w:space="0"/>
            </w:tcBorders>
            <w:vAlign w:val="center"/>
          </w:tcPr>
          <w:p w14:paraId="331314B8">
            <w:pPr>
              <w:spacing w:line="240" w:lineRule="auto"/>
              <w:jc w:val="center"/>
              <w:rPr>
                <w:sz w:val="21"/>
              </w:rPr>
            </w:pPr>
            <w:r>
              <w:rPr>
                <w:sz w:val="21"/>
              </w:rPr>
              <w:t>450</w:t>
            </w:r>
          </w:p>
        </w:tc>
        <w:tc>
          <w:tcPr>
            <w:tcW w:w="1418" w:type="dxa"/>
            <w:tcBorders>
              <w:top w:val="single" w:color="000000" w:sz="6" w:space="0"/>
              <w:left w:val="single" w:color="000000" w:sz="6" w:space="0"/>
              <w:bottom w:val="single" w:color="000000" w:sz="6" w:space="0"/>
              <w:right w:val="single" w:color="000000" w:sz="6" w:space="0"/>
            </w:tcBorders>
            <w:vAlign w:val="center"/>
          </w:tcPr>
          <w:p w14:paraId="6E693995">
            <w:pPr>
              <w:spacing w:line="240" w:lineRule="auto"/>
              <w:jc w:val="center"/>
              <w:rPr>
                <w:sz w:val="21"/>
              </w:rPr>
            </w:pPr>
            <w:r>
              <w:rPr>
                <w:sz w:val="21"/>
              </w:rPr>
              <w:t>6000×3300</w:t>
            </w:r>
          </w:p>
        </w:tc>
        <w:tc>
          <w:tcPr>
            <w:tcW w:w="1417" w:type="dxa"/>
            <w:tcBorders>
              <w:top w:val="single" w:color="000000" w:sz="6" w:space="0"/>
              <w:left w:val="single" w:color="000000" w:sz="6" w:space="0"/>
              <w:bottom w:val="single" w:color="000000" w:sz="6" w:space="0"/>
              <w:right w:val="single" w:color="000000" w:sz="6" w:space="0"/>
            </w:tcBorders>
            <w:vAlign w:val="center"/>
          </w:tcPr>
          <w:p w14:paraId="723A054F">
            <w:pPr>
              <w:spacing w:line="240" w:lineRule="auto"/>
              <w:jc w:val="center"/>
              <w:rPr>
                <w:sz w:val="21"/>
              </w:rPr>
            </w:pPr>
            <w:r>
              <w:rPr>
                <w:sz w:val="21"/>
              </w:rPr>
              <w:t>6857×4157</w:t>
            </w:r>
          </w:p>
        </w:tc>
        <w:tc>
          <w:tcPr>
            <w:tcW w:w="1418" w:type="dxa"/>
            <w:tcBorders>
              <w:top w:val="single" w:color="000000" w:sz="6" w:space="0"/>
              <w:left w:val="single" w:color="000000" w:sz="6" w:space="0"/>
              <w:bottom w:val="single" w:color="000000" w:sz="6" w:space="0"/>
              <w:right w:val="single" w:color="000000" w:sz="6" w:space="0"/>
            </w:tcBorders>
            <w:vAlign w:val="center"/>
          </w:tcPr>
          <w:p w14:paraId="61FA97E0">
            <w:pPr>
              <w:spacing w:line="240" w:lineRule="auto"/>
              <w:jc w:val="center"/>
              <w:rPr>
                <w:sz w:val="21"/>
              </w:rPr>
            </w:pPr>
            <w:r>
              <w:rPr>
                <w:sz w:val="21"/>
              </w:rPr>
              <w:t>6830×4130</w:t>
            </w:r>
          </w:p>
        </w:tc>
        <w:tc>
          <w:tcPr>
            <w:tcW w:w="709" w:type="dxa"/>
            <w:tcBorders>
              <w:top w:val="single" w:color="000000" w:sz="6" w:space="0"/>
              <w:left w:val="single" w:color="000000" w:sz="6" w:space="0"/>
              <w:bottom w:val="single" w:color="000000" w:sz="6" w:space="0"/>
              <w:right w:val="single" w:color="000000" w:sz="6" w:space="0"/>
            </w:tcBorders>
            <w:vAlign w:val="center"/>
          </w:tcPr>
          <w:p w14:paraId="16E25E94">
            <w:pPr>
              <w:spacing w:line="240" w:lineRule="auto"/>
              <w:jc w:val="center"/>
              <w:rPr>
                <w:sz w:val="21"/>
              </w:rPr>
            </w:pPr>
            <w:r>
              <w:rPr>
                <w:sz w:val="21"/>
              </w:rPr>
              <w:t>≥8</w:t>
            </w:r>
          </w:p>
        </w:tc>
        <w:tc>
          <w:tcPr>
            <w:tcW w:w="708" w:type="dxa"/>
            <w:tcBorders>
              <w:top w:val="single" w:color="000000" w:sz="6" w:space="0"/>
              <w:left w:val="single" w:color="000000" w:sz="6" w:space="0"/>
              <w:bottom w:val="single" w:color="000000" w:sz="6" w:space="0"/>
              <w:right w:val="single" w:color="000000" w:sz="6" w:space="0"/>
            </w:tcBorders>
            <w:vAlign w:val="center"/>
          </w:tcPr>
          <w:p w14:paraId="077DA5AF">
            <w:pPr>
              <w:spacing w:line="240" w:lineRule="auto"/>
              <w:jc w:val="center"/>
              <w:rPr>
                <w:sz w:val="21"/>
              </w:rPr>
            </w:pPr>
            <w:r>
              <w:rPr>
                <w:sz w:val="21"/>
              </w:rPr>
              <w:t>191</w:t>
            </w:r>
          </w:p>
        </w:tc>
        <w:tc>
          <w:tcPr>
            <w:tcW w:w="1528" w:type="dxa"/>
            <w:tcBorders>
              <w:top w:val="single" w:color="000000" w:sz="6" w:space="0"/>
              <w:left w:val="single" w:color="000000" w:sz="6" w:space="0"/>
              <w:bottom w:val="single" w:color="000000" w:sz="6" w:space="0"/>
              <w:right w:val="single" w:color="000000" w:sz="6" w:space="0"/>
            </w:tcBorders>
            <w:vAlign w:val="center"/>
          </w:tcPr>
          <w:p w14:paraId="04C396DB">
            <w:pPr>
              <w:spacing w:line="240" w:lineRule="auto"/>
              <w:jc w:val="center"/>
              <w:rPr>
                <w:sz w:val="21"/>
              </w:rPr>
            </w:pPr>
            <w:r>
              <w:rPr>
                <w:sz w:val="21"/>
              </w:rPr>
              <w:t>6872×4172</w:t>
            </w:r>
          </w:p>
        </w:tc>
        <w:tc>
          <w:tcPr>
            <w:tcW w:w="908" w:type="dxa"/>
            <w:vMerge w:val="continue"/>
            <w:tcBorders>
              <w:top w:val="single" w:color="000000" w:sz="6" w:space="0"/>
              <w:left w:val="single" w:color="000000" w:sz="6" w:space="0"/>
              <w:bottom w:val="single" w:color="000000" w:sz="6" w:space="0"/>
              <w:right w:val="single" w:color="000000" w:sz="6" w:space="0"/>
            </w:tcBorders>
            <w:vAlign w:val="center"/>
          </w:tcPr>
          <w:p w14:paraId="19A6E1C8">
            <w:pPr>
              <w:spacing w:line="240" w:lineRule="auto"/>
              <w:jc w:val="center"/>
              <w:rPr>
                <w:sz w:val="21"/>
              </w:rPr>
            </w:pPr>
          </w:p>
        </w:tc>
        <w:tc>
          <w:tcPr>
            <w:tcW w:w="908" w:type="dxa"/>
            <w:vMerge w:val="continue"/>
            <w:tcBorders>
              <w:top w:val="single" w:color="000000" w:sz="6" w:space="0"/>
              <w:left w:val="single" w:color="000000" w:sz="6" w:space="0"/>
              <w:bottom w:val="single" w:color="000000" w:sz="6" w:space="0"/>
              <w:right w:val="single" w:color="000000" w:sz="6" w:space="0"/>
            </w:tcBorders>
            <w:vAlign w:val="center"/>
          </w:tcPr>
          <w:p w14:paraId="344A5786">
            <w:pPr>
              <w:spacing w:line="240" w:lineRule="auto"/>
              <w:jc w:val="center"/>
              <w:rPr>
                <w:sz w:val="21"/>
              </w:rPr>
            </w:pPr>
          </w:p>
        </w:tc>
        <w:tc>
          <w:tcPr>
            <w:tcW w:w="1888" w:type="dxa"/>
            <w:vMerge w:val="continue"/>
            <w:tcBorders>
              <w:top w:val="single" w:color="000000" w:sz="6" w:space="0"/>
              <w:left w:val="single" w:color="000000" w:sz="6" w:space="0"/>
              <w:bottom w:val="single" w:color="000000" w:sz="6" w:space="0"/>
              <w:right w:val="single" w:color="000000" w:sz="12" w:space="0"/>
            </w:tcBorders>
            <w:vAlign w:val="center"/>
          </w:tcPr>
          <w:p w14:paraId="1579AFC1">
            <w:pPr>
              <w:spacing w:line="240" w:lineRule="auto"/>
              <w:jc w:val="center"/>
              <w:rPr>
                <w:sz w:val="21"/>
              </w:rPr>
            </w:pPr>
          </w:p>
        </w:tc>
      </w:tr>
      <w:tr w14:paraId="7890A5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8" w:hRule="atLeast"/>
          <w:jc w:val="center"/>
        </w:trPr>
        <w:tc>
          <w:tcPr>
            <w:tcW w:w="2325" w:type="dxa"/>
            <w:tcBorders>
              <w:top w:val="single" w:color="000000" w:sz="6" w:space="0"/>
              <w:left w:val="single" w:color="000000" w:sz="12" w:space="0"/>
              <w:bottom w:val="single" w:color="000000" w:sz="6" w:space="0"/>
              <w:right w:val="single" w:color="000000" w:sz="6" w:space="0"/>
            </w:tcBorders>
            <w:vAlign w:val="center"/>
          </w:tcPr>
          <w:p w14:paraId="73B74B76">
            <w:pPr>
              <w:spacing w:line="240" w:lineRule="auto"/>
              <w:jc w:val="center"/>
              <w:rPr>
                <w:sz w:val="21"/>
              </w:rPr>
            </w:pPr>
            <w:r>
              <w:rPr>
                <w:sz w:val="21"/>
              </w:rPr>
              <w:t>6900×4900</w:t>
            </w:r>
          </w:p>
        </w:tc>
        <w:tc>
          <w:tcPr>
            <w:tcW w:w="744" w:type="dxa"/>
            <w:tcBorders>
              <w:top w:val="single" w:color="000000" w:sz="6" w:space="0"/>
              <w:left w:val="single" w:color="000000" w:sz="6" w:space="0"/>
              <w:bottom w:val="single" w:color="000000" w:sz="6" w:space="0"/>
              <w:right w:val="single" w:color="000000" w:sz="6" w:space="0"/>
            </w:tcBorders>
            <w:vAlign w:val="center"/>
          </w:tcPr>
          <w:p w14:paraId="331E1C17">
            <w:pPr>
              <w:spacing w:line="240" w:lineRule="auto"/>
              <w:jc w:val="center"/>
              <w:rPr>
                <w:sz w:val="21"/>
              </w:rPr>
            </w:pPr>
            <w:r>
              <w:rPr>
                <w:sz w:val="21"/>
              </w:rPr>
              <w:t>450</w:t>
            </w:r>
          </w:p>
        </w:tc>
        <w:tc>
          <w:tcPr>
            <w:tcW w:w="1418" w:type="dxa"/>
            <w:tcBorders>
              <w:top w:val="single" w:color="000000" w:sz="6" w:space="0"/>
              <w:left w:val="single" w:color="000000" w:sz="6" w:space="0"/>
              <w:bottom w:val="single" w:color="000000" w:sz="6" w:space="0"/>
              <w:right w:val="single" w:color="000000" w:sz="6" w:space="0"/>
            </w:tcBorders>
            <w:vAlign w:val="center"/>
          </w:tcPr>
          <w:p w14:paraId="6C5E7B3E">
            <w:pPr>
              <w:spacing w:line="240" w:lineRule="auto"/>
              <w:jc w:val="center"/>
              <w:rPr>
                <w:sz w:val="21"/>
              </w:rPr>
            </w:pPr>
            <w:r>
              <w:rPr>
                <w:sz w:val="21"/>
              </w:rPr>
              <w:t>6000×4000</w:t>
            </w:r>
          </w:p>
        </w:tc>
        <w:tc>
          <w:tcPr>
            <w:tcW w:w="1417" w:type="dxa"/>
            <w:tcBorders>
              <w:top w:val="single" w:color="000000" w:sz="6" w:space="0"/>
              <w:left w:val="single" w:color="000000" w:sz="6" w:space="0"/>
              <w:bottom w:val="single" w:color="000000" w:sz="6" w:space="0"/>
              <w:right w:val="single" w:color="000000" w:sz="6" w:space="0"/>
            </w:tcBorders>
            <w:vAlign w:val="center"/>
          </w:tcPr>
          <w:p w14:paraId="2AF56283">
            <w:pPr>
              <w:spacing w:line="240" w:lineRule="auto"/>
              <w:jc w:val="center"/>
              <w:rPr>
                <w:sz w:val="21"/>
              </w:rPr>
            </w:pPr>
            <w:r>
              <w:rPr>
                <w:sz w:val="21"/>
              </w:rPr>
              <w:t>6857×4857</w:t>
            </w:r>
          </w:p>
        </w:tc>
        <w:tc>
          <w:tcPr>
            <w:tcW w:w="1418" w:type="dxa"/>
            <w:tcBorders>
              <w:top w:val="single" w:color="000000" w:sz="6" w:space="0"/>
              <w:left w:val="single" w:color="000000" w:sz="6" w:space="0"/>
              <w:bottom w:val="single" w:color="000000" w:sz="6" w:space="0"/>
              <w:right w:val="single" w:color="000000" w:sz="6" w:space="0"/>
            </w:tcBorders>
            <w:vAlign w:val="center"/>
          </w:tcPr>
          <w:p w14:paraId="6FF25C57">
            <w:pPr>
              <w:spacing w:line="240" w:lineRule="auto"/>
              <w:jc w:val="center"/>
              <w:rPr>
                <w:sz w:val="21"/>
              </w:rPr>
            </w:pPr>
            <w:r>
              <w:rPr>
                <w:sz w:val="21"/>
              </w:rPr>
              <w:t>6830×4830</w:t>
            </w:r>
          </w:p>
        </w:tc>
        <w:tc>
          <w:tcPr>
            <w:tcW w:w="709" w:type="dxa"/>
            <w:tcBorders>
              <w:top w:val="single" w:color="000000" w:sz="6" w:space="0"/>
              <w:left w:val="single" w:color="000000" w:sz="6" w:space="0"/>
              <w:bottom w:val="single" w:color="000000" w:sz="6" w:space="0"/>
              <w:right w:val="single" w:color="000000" w:sz="6" w:space="0"/>
            </w:tcBorders>
          </w:tcPr>
          <w:p w14:paraId="41D93F7C">
            <w:pPr>
              <w:spacing w:line="240" w:lineRule="auto"/>
              <w:jc w:val="center"/>
              <w:rPr>
                <w:sz w:val="21"/>
              </w:rPr>
            </w:pPr>
            <w:r>
              <w:rPr>
                <w:sz w:val="21"/>
              </w:rPr>
              <w:t>≥8</w:t>
            </w:r>
          </w:p>
        </w:tc>
        <w:tc>
          <w:tcPr>
            <w:tcW w:w="708" w:type="dxa"/>
            <w:tcBorders>
              <w:top w:val="single" w:color="000000" w:sz="6" w:space="0"/>
              <w:left w:val="single" w:color="000000" w:sz="6" w:space="0"/>
              <w:bottom w:val="single" w:color="000000" w:sz="6" w:space="0"/>
              <w:right w:val="single" w:color="000000" w:sz="6" w:space="0"/>
            </w:tcBorders>
            <w:vAlign w:val="center"/>
          </w:tcPr>
          <w:p w14:paraId="301E5ACD">
            <w:pPr>
              <w:spacing w:line="240" w:lineRule="auto"/>
              <w:jc w:val="center"/>
              <w:rPr>
                <w:sz w:val="21"/>
              </w:rPr>
            </w:pPr>
            <w:r>
              <w:rPr>
                <w:sz w:val="21"/>
              </w:rPr>
              <w:t>191</w:t>
            </w:r>
          </w:p>
        </w:tc>
        <w:tc>
          <w:tcPr>
            <w:tcW w:w="1528" w:type="dxa"/>
            <w:tcBorders>
              <w:top w:val="single" w:color="000000" w:sz="6" w:space="0"/>
              <w:left w:val="single" w:color="000000" w:sz="6" w:space="0"/>
              <w:bottom w:val="single" w:color="000000" w:sz="6" w:space="0"/>
              <w:right w:val="single" w:color="000000" w:sz="6" w:space="0"/>
            </w:tcBorders>
            <w:vAlign w:val="center"/>
          </w:tcPr>
          <w:p w14:paraId="54DF9FE6">
            <w:pPr>
              <w:spacing w:line="240" w:lineRule="auto"/>
              <w:jc w:val="center"/>
              <w:rPr>
                <w:sz w:val="21"/>
              </w:rPr>
            </w:pPr>
            <w:r>
              <w:rPr>
                <w:sz w:val="21"/>
              </w:rPr>
              <w:t>6872×4872</w:t>
            </w:r>
          </w:p>
        </w:tc>
        <w:tc>
          <w:tcPr>
            <w:tcW w:w="908" w:type="dxa"/>
            <w:vMerge w:val="continue"/>
            <w:tcBorders>
              <w:top w:val="single" w:color="000000" w:sz="6" w:space="0"/>
              <w:left w:val="single" w:color="000000" w:sz="6" w:space="0"/>
              <w:bottom w:val="single" w:color="000000" w:sz="6" w:space="0"/>
              <w:right w:val="single" w:color="000000" w:sz="6" w:space="0"/>
            </w:tcBorders>
            <w:vAlign w:val="center"/>
          </w:tcPr>
          <w:p w14:paraId="55D3BEBA">
            <w:pPr>
              <w:spacing w:line="240" w:lineRule="auto"/>
              <w:jc w:val="center"/>
              <w:rPr>
                <w:sz w:val="21"/>
              </w:rPr>
            </w:pPr>
          </w:p>
        </w:tc>
        <w:tc>
          <w:tcPr>
            <w:tcW w:w="908" w:type="dxa"/>
            <w:vMerge w:val="continue"/>
            <w:tcBorders>
              <w:top w:val="single" w:color="000000" w:sz="6" w:space="0"/>
              <w:left w:val="single" w:color="000000" w:sz="6" w:space="0"/>
              <w:bottom w:val="single" w:color="000000" w:sz="6" w:space="0"/>
              <w:right w:val="single" w:color="000000" w:sz="6" w:space="0"/>
            </w:tcBorders>
            <w:vAlign w:val="center"/>
          </w:tcPr>
          <w:p w14:paraId="0FD4FC63">
            <w:pPr>
              <w:spacing w:line="240" w:lineRule="auto"/>
              <w:jc w:val="center"/>
              <w:rPr>
                <w:sz w:val="21"/>
              </w:rPr>
            </w:pPr>
          </w:p>
        </w:tc>
        <w:tc>
          <w:tcPr>
            <w:tcW w:w="1888" w:type="dxa"/>
            <w:vMerge w:val="continue"/>
            <w:tcBorders>
              <w:top w:val="single" w:color="000000" w:sz="6" w:space="0"/>
              <w:left w:val="single" w:color="000000" w:sz="6" w:space="0"/>
              <w:bottom w:val="single" w:color="000000" w:sz="6" w:space="0"/>
              <w:right w:val="single" w:color="000000" w:sz="12" w:space="0"/>
            </w:tcBorders>
            <w:vAlign w:val="center"/>
          </w:tcPr>
          <w:p w14:paraId="46DAF3E4">
            <w:pPr>
              <w:spacing w:line="240" w:lineRule="auto"/>
              <w:jc w:val="center"/>
              <w:rPr>
                <w:sz w:val="21"/>
              </w:rPr>
            </w:pPr>
          </w:p>
        </w:tc>
      </w:tr>
      <w:tr w14:paraId="422E22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6" w:hRule="atLeast"/>
          <w:jc w:val="center"/>
        </w:trPr>
        <w:tc>
          <w:tcPr>
            <w:tcW w:w="2325" w:type="dxa"/>
            <w:tcBorders>
              <w:top w:val="single" w:color="000000" w:sz="6" w:space="0"/>
              <w:left w:val="single" w:color="000000" w:sz="12" w:space="0"/>
              <w:bottom w:val="single" w:color="000000" w:sz="6" w:space="0"/>
              <w:right w:val="single" w:color="000000" w:sz="6" w:space="0"/>
            </w:tcBorders>
            <w:vAlign w:val="center"/>
          </w:tcPr>
          <w:p w14:paraId="3308C7AD">
            <w:pPr>
              <w:spacing w:line="240" w:lineRule="auto"/>
              <w:jc w:val="center"/>
              <w:rPr>
                <w:sz w:val="21"/>
              </w:rPr>
            </w:pPr>
            <w:r>
              <w:rPr>
                <w:sz w:val="21"/>
              </w:rPr>
              <w:t>7000×5000</w:t>
            </w:r>
          </w:p>
        </w:tc>
        <w:tc>
          <w:tcPr>
            <w:tcW w:w="744" w:type="dxa"/>
            <w:tcBorders>
              <w:top w:val="single" w:color="000000" w:sz="6" w:space="0"/>
              <w:left w:val="single" w:color="000000" w:sz="6" w:space="0"/>
              <w:bottom w:val="single" w:color="000000" w:sz="6" w:space="0"/>
              <w:right w:val="single" w:color="000000" w:sz="6" w:space="0"/>
            </w:tcBorders>
            <w:vAlign w:val="center"/>
          </w:tcPr>
          <w:p w14:paraId="1244EB7A">
            <w:pPr>
              <w:spacing w:line="240" w:lineRule="auto"/>
              <w:jc w:val="center"/>
              <w:rPr>
                <w:sz w:val="21"/>
              </w:rPr>
            </w:pPr>
            <w:r>
              <w:rPr>
                <w:sz w:val="21"/>
              </w:rPr>
              <w:t>600</w:t>
            </w:r>
          </w:p>
        </w:tc>
        <w:tc>
          <w:tcPr>
            <w:tcW w:w="1418" w:type="dxa"/>
            <w:tcBorders>
              <w:top w:val="single" w:color="000000" w:sz="6" w:space="0"/>
              <w:left w:val="single" w:color="000000" w:sz="6" w:space="0"/>
              <w:bottom w:val="single" w:color="000000" w:sz="6" w:space="0"/>
              <w:right w:val="single" w:color="000000" w:sz="6" w:space="0"/>
            </w:tcBorders>
            <w:vAlign w:val="center"/>
          </w:tcPr>
          <w:p w14:paraId="2E289C7A">
            <w:pPr>
              <w:spacing w:line="240" w:lineRule="auto"/>
              <w:jc w:val="center"/>
              <w:rPr>
                <w:sz w:val="21"/>
              </w:rPr>
            </w:pPr>
            <w:r>
              <w:rPr>
                <w:sz w:val="21"/>
              </w:rPr>
              <w:t>5800×3800</w:t>
            </w:r>
          </w:p>
        </w:tc>
        <w:tc>
          <w:tcPr>
            <w:tcW w:w="1417" w:type="dxa"/>
            <w:tcBorders>
              <w:top w:val="single" w:color="000000" w:sz="6" w:space="0"/>
              <w:left w:val="single" w:color="000000" w:sz="6" w:space="0"/>
              <w:bottom w:val="single" w:color="000000" w:sz="6" w:space="0"/>
              <w:right w:val="single" w:color="000000" w:sz="6" w:space="0"/>
            </w:tcBorders>
            <w:vAlign w:val="center"/>
          </w:tcPr>
          <w:p w14:paraId="35D36B7E">
            <w:pPr>
              <w:spacing w:line="240" w:lineRule="auto"/>
              <w:jc w:val="center"/>
              <w:rPr>
                <w:sz w:val="21"/>
              </w:rPr>
            </w:pPr>
            <w:r>
              <w:rPr>
                <w:sz w:val="21"/>
              </w:rPr>
              <w:t>6957×4957</w:t>
            </w:r>
          </w:p>
        </w:tc>
        <w:tc>
          <w:tcPr>
            <w:tcW w:w="1418" w:type="dxa"/>
            <w:tcBorders>
              <w:top w:val="single" w:color="000000" w:sz="6" w:space="0"/>
              <w:left w:val="single" w:color="000000" w:sz="6" w:space="0"/>
              <w:bottom w:val="single" w:color="000000" w:sz="6" w:space="0"/>
              <w:right w:val="single" w:color="000000" w:sz="6" w:space="0"/>
            </w:tcBorders>
            <w:vAlign w:val="center"/>
          </w:tcPr>
          <w:p w14:paraId="62E66EC4">
            <w:pPr>
              <w:spacing w:line="240" w:lineRule="auto"/>
              <w:jc w:val="center"/>
              <w:rPr>
                <w:sz w:val="21"/>
              </w:rPr>
            </w:pPr>
            <w:r>
              <w:rPr>
                <w:sz w:val="21"/>
              </w:rPr>
              <w:t>6930×4930</w:t>
            </w:r>
          </w:p>
        </w:tc>
        <w:tc>
          <w:tcPr>
            <w:tcW w:w="709" w:type="dxa"/>
            <w:tcBorders>
              <w:top w:val="single" w:color="000000" w:sz="6" w:space="0"/>
              <w:left w:val="single" w:color="000000" w:sz="6" w:space="0"/>
              <w:bottom w:val="single" w:color="000000" w:sz="6" w:space="0"/>
              <w:right w:val="single" w:color="000000" w:sz="6" w:space="0"/>
            </w:tcBorders>
          </w:tcPr>
          <w:p w14:paraId="45B5ECE9">
            <w:pPr>
              <w:spacing w:line="240" w:lineRule="auto"/>
              <w:jc w:val="center"/>
              <w:rPr>
                <w:sz w:val="21"/>
              </w:rPr>
            </w:pPr>
            <w:r>
              <w:rPr>
                <w:sz w:val="21"/>
              </w:rPr>
              <w:t>≥8</w:t>
            </w:r>
          </w:p>
        </w:tc>
        <w:tc>
          <w:tcPr>
            <w:tcW w:w="708" w:type="dxa"/>
            <w:tcBorders>
              <w:top w:val="single" w:color="000000" w:sz="6" w:space="0"/>
              <w:left w:val="single" w:color="000000" w:sz="6" w:space="0"/>
              <w:bottom w:val="single" w:color="000000" w:sz="6" w:space="0"/>
              <w:right w:val="single" w:color="000000" w:sz="6" w:space="0"/>
            </w:tcBorders>
            <w:vAlign w:val="center"/>
          </w:tcPr>
          <w:p w14:paraId="6B94153B">
            <w:pPr>
              <w:spacing w:line="240" w:lineRule="auto"/>
              <w:jc w:val="center"/>
              <w:rPr>
                <w:sz w:val="21"/>
              </w:rPr>
            </w:pPr>
            <w:r>
              <w:rPr>
                <w:sz w:val="21"/>
              </w:rPr>
              <w:t>191</w:t>
            </w:r>
          </w:p>
        </w:tc>
        <w:tc>
          <w:tcPr>
            <w:tcW w:w="1528" w:type="dxa"/>
            <w:tcBorders>
              <w:top w:val="single" w:color="000000" w:sz="6" w:space="0"/>
              <w:left w:val="single" w:color="000000" w:sz="6" w:space="0"/>
              <w:bottom w:val="single" w:color="000000" w:sz="6" w:space="0"/>
              <w:right w:val="single" w:color="000000" w:sz="6" w:space="0"/>
            </w:tcBorders>
            <w:vAlign w:val="center"/>
          </w:tcPr>
          <w:p w14:paraId="0CE193F2">
            <w:pPr>
              <w:spacing w:line="240" w:lineRule="auto"/>
              <w:jc w:val="center"/>
              <w:rPr>
                <w:sz w:val="21"/>
              </w:rPr>
            </w:pPr>
            <w:r>
              <w:rPr>
                <w:sz w:val="21"/>
              </w:rPr>
              <w:t>6972×4972</w:t>
            </w:r>
          </w:p>
        </w:tc>
        <w:tc>
          <w:tcPr>
            <w:tcW w:w="908" w:type="dxa"/>
            <w:vMerge w:val="continue"/>
            <w:tcBorders>
              <w:top w:val="single" w:color="000000" w:sz="6" w:space="0"/>
              <w:left w:val="single" w:color="000000" w:sz="6" w:space="0"/>
              <w:bottom w:val="single" w:color="000000" w:sz="6" w:space="0"/>
              <w:right w:val="single" w:color="000000" w:sz="6" w:space="0"/>
            </w:tcBorders>
            <w:vAlign w:val="center"/>
          </w:tcPr>
          <w:p w14:paraId="29940162">
            <w:pPr>
              <w:spacing w:line="240" w:lineRule="auto"/>
              <w:jc w:val="center"/>
              <w:rPr>
                <w:sz w:val="21"/>
              </w:rPr>
            </w:pPr>
          </w:p>
        </w:tc>
        <w:tc>
          <w:tcPr>
            <w:tcW w:w="908" w:type="dxa"/>
            <w:vMerge w:val="continue"/>
            <w:tcBorders>
              <w:top w:val="single" w:color="000000" w:sz="6" w:space="0"/>
              <w:left w:val="single" w:color="000000" w:sz="6" w:space="0"/>
              <w:bottom w:val="single" w:color="000000" w:sz="6" w:space="0"/>
              <w:right w:val="single" w:color="000000" w:sz="6" w:space="0"/>
            </w:tcBorders>
            <w:vAlign w:val="center"/>
          </w:tcPr>
          <w:p w14:paraId="44AF314D">
            <w:pPr>
              <w:spacing w:line="240" w:lineRule="auto"/>
              <w:jc w:val="center"/>
              <w:rPr>
                <w:sz w:val="21"/>
              </w:rPr>
            </w:pPr>
          </w:p>
        </w:tc>
        <w:tc>
          <w:tcPr>
            <w:tcW w:w="1888" w:type="dxa"/>
            <w:vMerge w:val="continue"/>
            <w:tcBorders>
              <w:top w:val="single" w:color="000000" w:sz="6" w:space="0"/>
              <w:left w:val="single" w:color="000000" w:sz="6" w:space="0"/>
              <w:bottom w:val="single" w:color="000000" w:sz="6" w:space="0"/>
              <w:right w:val="single" w:color="000000" w:sz="12" w:space="0"/>
            </w:tcBorders>
            <w:vAlign w:val="center"/>
          </w:tcPr>
          <w:p w14:paraId="051582E2">
            <w:pPr>
              <w:spacing w:line="240" w:lineRule="auto"/>
              <w:jc w:val="center"/>
              <w:rPr>
                <w:sz w:val="21"/>
              </w:rPr>
            </w:pPr>
          </w:p>
        </w:tc>
      </w:tr>
      <w:tr w14:paraId="08F056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325" w:type="dxa"/>
            <w:tcBorders>
              <w:top w:val="single" w:color="000000" w:sz="6" w:space="0"/>
              <w:left w:val="single" w:color="000000" w:sz="12" w:space="0"/>
              <w:right w:val="single" w:color="000000" w:sz="6" w:space="0"/>
            </w:tcBorders>
            <w:vAlign w:val="center"/>
          </w:tcPr>
          <w:p w14:paraId="1C9D9522">
            <w:pPr>
              <w:spacing w:line="240" w:lineRule="auto"/>
              <w:jc w:val="center"/>
              <w:rPr>
                <w:sz w:val="21"/>
              </w:rPr>
            </w:pPr>
            <w:r>
              <w:rPr>
                <w:sz w:val="21"/>
              </w:rPr>
              <w:t>7400×4400</w:t>
            </w:r>
          </w:p>
        </w:tc>
        <w:tc>
          <w:tcPr>
            <w:tcW w:w="744" w:type="dxa"/>
            <w:tcBorders>
              <w:top w:val="single" w:color="000000" w:sz="6" w:space="0"/>
              <w:left w:val="single" w:color="000000" w:sz="6" w:space="0"/>
              <w:right w:val="single" w:color="000000" w:sz="6" w:space="0"/>
            </w:tcBorders>
            <w:vAlign w:val="center"/>
          </w:tcPr>
          <w:p w14:paraId="571A70FD">
            <w:pPr>
              <w:spacing w:line="240" w:lineRule="auto"/>
              <w:jc w:val="center"/>
              <w:rPr>
                <w:sz w:val="21"/>
              </w:rPr>
            </w:pPr>
            <w:r>
              <w:rPr>
                <w:sz w:val="21"/>
              </w:rPr>
              <w:t>600</w:t>
            </w:r>
          </w:p>
        </w:tc>
        <w:tc>
          <w:tcPr>
            <w:tcW w:w="1418" w:type="dxa"/>
            <w:tcBorders>
              <w:top w:val="single" w:color="000000" w:sz="6" w:space="0"/>
              <w:left w:val="single" w:color="000000" w:sz="6" w:space="0"/>
              <w:right w:val="single" w:color="000000" w:sz="6" w:space="0"/>
            </w:tcBorders>
            <w:vAlign w:val="center"/>
          </w:tcPr>
          <w:p w14:paraId="46D2DE76">
            <w:pPr>
              <w:spacing w:line="240" w:lineRule="auto"/>
              <w:jc w:val="center"/>
              <w:rPr>
                <w:sz w:val="21"/>
              </w:rPr>
            </w:pPr>
            <w:r>
              <w:rPr>
                <w:sz w:val="21"/>
              </w:rPr>
              <w:t>6200×3200</w:t>
            </w:r>
          </w:p>
        </w:tc>
        <w:tc>
          <w:tcPr>
            <w:tcW w:w="1417" w:type="dxa"/>
            <w:tcBorders>
              <w:top w:val="single" w:color="000000" w:sz="6" w:space="0"/>
              <w:left w:val="single" w:color="000000" w:sz="6" w:space="0"/>
              <w:right w:val="single" w:color="000000" w:sz="6" w:space="0"/>
            </w:tcBorders>
            <w:vAlign w:val="center"/>
          </w:tcPr>
          <w:p w14:paraId="2FB9B7BC">
            <w:pPr>
              <w:spacing w:line="240" w:lineRule="auto"/>
              <w:jc w:val="center"/>
              <w:rPr>
                <w:sz w:val="21"/>
              </w:rPr>
            </w:pPr>
            <w:r>
              <w:rPr>
                <w:sz w:val="21"/>
              </w:rPr>
              <w:t>7357×4357</w:t>
            </w:r>
          </w:p>
        </w:tc>
        <w:tc>
          <w:tcPr>
            <w:tcW w:w="1418" w:type="dxa"/>
            <w:tcBorders>
              <w:top w:val="single" w:color="000000" w:sz="6" w:space="0"/>
              <w:left w:val="single" w:color="000000" w:sz="6" w:space="0"/>
              <w:right w:val="single" w:color="000000" w:sz="6" w:space="0"/>
            </w:tcBorders>
            <w:vAlign w:val="center"/>
          </w:tcPr>
          <w:p w14:paraId="0DC2D475">
            <w:pPr>
              <w:spacing w:line="240" w:lineRule="auto"/>
              <w:jc w:val="center"/>
              <w:rPr>
                <w:sz w:val="21"/>
              </w:rPr>
            </w:pPr>
            <w:r>
              <w:rPr>
                <w:sz w:val="21"/>
              </w:rPr>
              <w:t>7330×4330</w:t>
            </w:r>
          </w:p>
        </w:tc>
        <w:tc>
          <w:tcPr>
            <w:tcW w:w="709" w:type="dxa"/>
            <w:tcBorders>
              <w:top w:val="single" w:color="000000" w:sz="6" w:space="0"/>
              <w:left w:val="single" w:color="000000" w:sz="6" w:space="0"/>
              <w:right w:val="single" w:color="000000" w:sz="6" w:space="0"/>
            </w:tcBorders>
            <w:vAlign w:val="center"/>
          </w:tcPr>
          <w:p w14:paraId="161FACCC">
            <w:pPr>
              <w:spacing w:line="240" w:lineRule="auto"/>
              <w:jc w:val="center"/>
              <w:rPr>
                <w:sz w:val="21"/>
              </w:rPr>
            </w:pPr>
            <w:r>
              <w:rPr>
                <w:sz w:val="21"/>
              </w:rPr>
              <w:t>≥8</w:t>
            </w:r>
          </w:p>
        </w:tc>
        <w:tc>
          <w:tcPr>
            <w:tcW w:w="708" w:type="dxa"/>
            <w:tcBorders>
              <w:top w:val="single" w:color="000000" w:sz="6" w:space="0"/>
              <w:left w:val="single" w:color="000000" w:sz="6" w:space="0"/>
              <w:right w:val="single" w:color="000000" w:sz="6" w:space="0"/>
            </w:tcBorders>
            <w:vAlign w:val="center"/>
          </w:tcPr>
          <w:p w14:paraId="7CEA9340">
            <w:pPr>
              <w:spacing w:line="240" w:lineRule="auto"/>
              <w:jc w:val="center"/>
              <w:rPr>
                <w:sz w:val="21"/>
              </w:rPr>
            </w:pPr>
            <w:r>
              <w:rPr>
                <w:sz w:val="21"/>
              </w:rPr>
              <w:t>191</w:t>
            </w:r>
          </w:p>
        </w:tc>
        <w:tc>
          <w:tcPr>
            <w:tcW w:w="1528" w:type="dxa"/>
            <w:tcBorders>
              <w:top w:val="single" w:color="000000" w:sz="6" w:space="0"/>
              <w:left w:val="single" w:color="000000" w:sz="6" w:space="0"/>
              <w:right w:val="single" w:color="000000" w:sz="6" w:space="0"/>
            </w:tcBorders>
            <w:vAlign w:val="center"/>
          </w:tcPr>
          <w:p w14:paraId="6D13EB88">
            <w:pPr>
              <w:spacing w:line="240" w:lineRule="auto"/>
              <w:jc w:val="center"/>
              <w:rPr>
                <w:sz w:val="21"/>
              </w:rPr>
            </w:pPr>
            <w:r>
              <w:rPr>
                <w:sz w:val="21"/>
              </w:rPr>
              <w:t>7372×4372</w:t>
            </w:r>
          </w:p>
        </w:tc>
        <w:tc>
          <w:tcPr>
            <w:tcW w:w="908" w:type="dxa"/>
            <w:vMerge w:val="continue"/>
            <w:tcBorders>
              <w:top w:val="single" w:color="000000" w:sz="6" w:space="0"/>
              <w:left w:val="single" w:color="000000" w:sz="6" w:space="0"/>
              <w:bottom w:val="single" w:color="000000" w:sz="6" w:space="0"/>
              <w:right w:val="single" w:color="000000" w:sz="6" w:space="0"/>
            </w:tcBorders>
            <w:vAlign w:val="center"/>
          </w:tcPr>
          <w:p w14:paraId="02C36E17">
            <w:pPr>
              <w:spacing w:line="240" w:lineRule="auto"/>
              <w:jc w:val="center"/>
              <w:rPr>
                <w:sz w:val="21"/>
              </w:rPr>
            </w:pPr>
          </w:p>
        </w:tc>
        <w:tc>
          <w:tcPr>
            <w:tcW w:w="908" w:type="dxa"/>
            <w:vMerge w:val="continue"/>
            <w:tcBorders>
              <w:top w:val="single" w:color="000000" w:sz="6" w:space="0"/>
              <w:left w:val="single" w:color="000000" w:sz="6" w:space="0"/>
              <w:bottom w:val="single" w:color="000000" w:sz="6" w:space="0"/>
              <w:right w:val="single" w:color="000000" w:sz="6" w:space="0"/>
            </w:tcBorders>
            <w:vAlign w:val="center"/>
          </w:tcPr>
          <w:p w14:paraId="5CF575CD">
            <w:pPr>
              <w:spacing w:line="240" w:lineRule="auto"/>
              <w:jc w:val="center"/>
              <w:rPr>
                <w:sz w:val="21"/>
              </w:rPr>
            </w:pPr>
          </w:p>
        </w:tc>
        <w:tc>
          <w:tcPr>
            <w:tcW w:w="1888" w:type="dxa"/>
            <w:vMerge w:val="continue"/>
            <w:tcBorders>
              <w:top w:val="single" w:color="000000" w:sz="6" w:space="0"/>
              <w:left w:val="single" w:color="000000" w:sz="6" w:space="0"/>
              <w:bottom w:val="single" w:color="000000" w:sz="6" w:space="0"/>
              <w:right w:val="single" w:color="000000" w:sz="12" w:space="0"/>
            </w:tcBorders>
            <w:vAlign w:val="center"/>
          </w:tcPr>
          <w:p w14:paraId="5357E830">
            <w:pPr>
              <w:spacing w:line="240" w:lineRule="auto"/>
              <w:jc w:val="center"/>
              <w:rPr>
                <w:sz w:val="21"/>
              </w:rPr>
            </w:pPr>
          </w:p>
        </w:tc>
      </w:tr>
      <w:tr w14:paraId="7425FB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2" w:hRule="atLeast"/>
          <w:jc w:val="center"/>
        </w:trPr>
        <w:tc>
          <w:tcPr>
            <w:tcW w:w="2325" w:type="dxa"/>
            <w:tcBorders>
              <w:top w:val="single" w:color="000000" w:sz="6" w:space="0"/>
              <w:left w:val="single" w:color="000000" w:sz="12" w:space="0"/>
              <w:bottom w:val="single" w:color="000000" w:sz="6" w:space="0"/>
              <w:right w:val="single" w:color="000000" w:sz="6" w:space="0"/>
            </w:tcBorders>
            <w:vAlign w:val="center"/>
          </w:tcPr>
          <w:p w14:paraId="6EED87F7">
            <w:pPr>
              <w:spacing w:line="240" w:lineRule="auto"/>
              <w:jc w:val="center"/>
              <w:rPr>
                <w:sz w:val="21"/>
              </w:rPr>
            </w:pPr>
            <w:r>
              <w:rPr>
                <w:sz w:val="21"/>
              </w:rPr>
              <w:t>7500×4300</w:t>
            </w:r>
          </w:p>
        </w:tc>
        <w:tc>
          <w:tcPr>
            <w:tcW w:w="744" w:type="dxa"/>
            <w:tcBorders>
              <w:top w:val="single" w:color="000000" w:sz="6" w:space="0"/>
              <w:left w:val="single" w:color="000000" w:sz="6" w:space="0"/>
              <w:bottom w:val="single" w:color="000000" w:sz="6" w:space="0"/>
              <w:right w:val="single" w:color="000000" w:sz="6" w:space="0"/>
            </w:tcBorders>
            <w:vAlign w:val="center"/>
          </w:tcPr>
          <w:p w14:paraId="4FA6D795">
            <w:pPr>
              <w:spacing w:line="240" w:lineRule="auto"/>
              <w:jc w:val="center"/>
              <w:rPr>
                <w:sz w:val="21"/>
              </w:rPr>
            </w:pPr>
            <w:r>
              <w:rPr>
                <w:sz w:val="21"/>
              </w:rPr>
              <w:t>500</w:t>
            </w:r>
          </w:p>
        </w:tc>
        <w:tc>
          <w:tcPr>
            <w:tcW w:w="1418" w:type="dxa"/>
            <w:tcBorders>
              <w:top w:val="single" w:color="000000" w:sz="6" w:space="0"/>
              <w:left w:val="single" w:color="000000" w:sz="6" w:space="0"/>
              <w:bottom w:val="single" w:color="000000" w:sz="6" w:space="0"/>
              <w:right w:val="single" w:color="000000" w:sz="6" w:space="0"/>
            </w:tcBorders>
            <w:vAlign w:val="center"/>
          </w:tcPr>
          <w:p w14:paraId="2330AAE9">
            <w:pPr>
              <w:spacing w:line="240" w:lineRule="auto"/>
              <w:jc w:val="center"/>
              <w:rPr>
                <w:sz w:val="21"/>
              </w:rPr>
            </w:pPr>
            <w:r>
              <w:rPr>
                <w:sz w:val="21"/>
              </w:rPr>
              <w:t>6500×3300</w:t>
            </w:r>
          </w:p>
        </w:tc>
        <w:tc>
          <w:tcPr>
            <w:tcW w:w="1417" w:type="dxa"/>
            <w:tcBorders>
              <w:top w:val="single" w:color="000000" w:sz="6" w:space="0"/>
              <w:left w:val="single" w:color="000000" w:sz="6" w:space="0"/>
              <w:bottom w:val="single" w:color="000000" w:sz="6" w:space="0"/>
              <w:right w:val="single" w:color="000000" w:sz="6" w:space="0"/>
            </w:tcBorders>
            <w:vAlign w:val="center"/>
          </w:tcPr>
          <w:p w14:paraId="3B69C6C5">
            <w:pPr>
              <w:spacing w:line="240" w:lineRule="auto"/>
              <w:jc w:val="center"/>
              <w:rPr>
                <w:sz w:val="21"/>
              </w:rPr>
            </w:pPr>
            <w:r>
              <w:rPr>
                <w:sz w:val="21"/>
              </w:rPr>
              <w:t>7457×4257</w:t>
            </w:r>
          </w:p>
        </w:tc>
        <w:tc>
          <w:tcPr>
            <w:tcW w:w="1418" w:type="dxa"/>
            <w:tcBorders>
              <w:top w:val="single" w:color="000000" w:sz="6" w:space="0"/>
              <w:left w:val="single" w:color="000000" w:sz="6" w:space="0"/>
              <w:bottom w:val="single" w:color="000000" w:sz="6" w:space="0"/>
              <w:right w:val="single" w:color="000000" w:sz="6" w:space="0"/>
            </w:tcBorders>
            <w:vAlign w:val="center"/>
          </w:tcPr>
          <w:p w14:paraId="38A2F6CF">
            <w:pPr>
              <w:spacing w:line="240" w:lineRule="auto"/>
              <w:jc w:val="center"/>
              <w:rPr>
                <w:sz w:val="21"/>
              </w:rPr>
            </w:pPr>
            <w:r>
              <w:rPr>
                <w:sz w:val="21"/>
              </w:rPr>
              <w:t>7430×4230</w:t>
            </w:r>
          </w:p>
        </w:tc>
        <w:tc>
          <w:tcPr>
            <w:tcW w:w="709" w:type="dxa"/>
            <w:tcBorders>
              <w:top w:val="single" w:color="000000" w:sz="6" w:space="0"/>
              <w:left w:val="single" w:color="000000" w:sz="6" w:space="0"/>
              <w:bottom w:val="single" w:color="000000" w:sz="6" w:space="0"/>
              <w:right w:val="single" w:color="000000" w:sz="6" w:space="0"/>
            </w:tcBorders>
          </w:tcPr>
          <w:p w14:paraId="63BFE53E">
            <w:pPr>
              <w:spacing w:line="240" w:lineRule="auto"/>
              <w:jc w:val="center"/>
              <w:rPr>
                <w:sz w:val="21"/>
              </w:rPr>
            </w:pPr>
            <w:r>
              <w:rPr>
                <w:sz w:val="21"/>
              </w:rPr>
              <w:t>≥8</w:t>
            </w:r>
          </w:p>
        </w:tc>
        <w:tc>
          <w:tcPr>
            <w:tcW w:w="708" w:type="dxa"/>
            <w:tcBorders>
              <w:top w:val="single" w:color="000000" w:sz="6" w:space="0"/>
              <w:left w:val="single" w:color="000000" w:sz="6" w:space="0"/>
              <w:bottom w:val="single" w:color="000000" w:sz="6" w:space="0"/>
              <w:right w:val="single" w:color="000000" w:sz="6" w:space="0"/>
            </w:tcBorders>
            <w:vAlign w:val="center"/>
          </w:tcPr>
          <w:p w14:paraId="0EE5878E">
            <w:pPr>
              <w:spacing w:line="240" w:lineRule="auto"/>
              <w:jc w:val="center"/>
              <w:rPr>
                <w:sz w:val="21"/>
              </w:rPr>
            </w:pPr>
            <w:r>
              <w:rPr>
                <w:sz w:val="21"/>
              </w:rPr>
              <w:t>191</w:t>
            </w:r>
          </w:p>
        </w:tc>
        <w:tc>
          <w:tcPr>
            <w:tcW w:w="1528" w:type="dxa"/>
            <w:tcBorders>
              <w:top w:val="single" w:color="000000" w:sz="6" w:space="0"/>
              <w:left w:val="single" w:color="000000" w:sz="6" w:space="0"/>
              <w:bottom w:val="single" w:color="000000" w:sz="6" w:space="0"/>
              <w:right w:val="single" w:color="000000" w:sz="6" w:space="0"/>
            </w:tcBorders>
            <w:vAlign w:val="center"/>
          </w:tcPr>
          <w:p w14:paraId="088B211A">
            <w:pPr>
              <w:spacing w:line="240" w:lineRule="auto"/>
              <w:jc w:val="center"/>
              <w:rPr>
                <w:sz w:val="21"/>
              </w:rPr>
            </w:pPr>
            <w:r>
              <w:rPr>
                <w:sz w:val="21"/>
              </w:rPr>
              <w:t>7472×4272</w:t>
            </w:r>
          </w:p>
        </w:tc>
        <w:tc>
          <w:tcPr>
            <w:tcW w:w="908" w:type="dxa"/>
            <w:vMerge w:val="continue"/>
            <w:tcBorders>
              <w:top w:val="single" w:color="000000" w:sz="6" w:space="0"/>
              <w:left w:val="single" w:color="000000" w:sz="6" w:space="0"/>
              <w:bottom w:val="single" w:color="000000" w:sz="6" w:space="0"/>
              <w:right w:val="single" w:color="000000" w:sz="6" w:space="0"/>
            </w:tcBorders>
            <w:vAlign w:val="center"/>
          </w:tcPr>
          <w:p w14:paraId="2A3CAED2">
            <w:pPr>
              <w:spacing w:line="240" w:lineRule="auto"/>
              <w:jc w:val="center"/>
              <w:rPr>
                <w:sz w:val="21"/>
              </w:rPr>
            </w:pPr>
          </w:p>
        </w:tc>
        <w:tc>
          <w:tcPr>
            <w:tcW w:w="908" w:type="dxa"/>
            <w:vMerge w:val="continue"/>
            <w:tcBorders>
              <w:top w:val="single" w:color="000000" w:sz="6" w:space="0"/>
              <w:left w:val="single" w:color="000000" w:sz="6" w:space="0"/>
              <w:bottom w:val="single" w:color="000000" w:sz="6" w:space="0"/>
              <w:right w:val="single" w:color="000000" w:sz="6" w:space="0"/>
            </w:tcBorders>
            <w:vAlign w:val="center"/>
          </w:tcPr>
          <w:p w14:paraId="621185BF">
            <w:pPr>
              <w:spacing w:line="240" w:lineRule="auto"/>
              <w:jc w:val="center"/>
              <w:rPr>
                <w:sz w:val="21"/>
              </w:rPr>
            </w:pPr>
          </w:p>
        </w:tc>
        <w:tc>
          <w:tcPr>
            <w:tcW w:w="1888" w:type="dxa"/>
            <w:vMerge w:val="continue"/>
            <w:tcBorders>
              <w:top w:val="single" w:color="000000" w:sz="6" w:space="0"/>
              <w:left w:val="single" w:color="000000" w:sz="6" w:space="0"/>
              <w:bottom w:val="single" w:color="000000" w:sz="6" w:space="0"/>
              <w:right w:val="single" w:color="000000" w:sz="12" w:space="0"/>
            </w:tcBorders>
            <w:vAlign w:val="center"/>
          </w:tcPr>
          <w:p w14:paraId="19FF03FE">
            <w:pPr>
              <w:spacing w:line="240" w:lineRule="auto"/>
              <w:jc w:val="center"/>
              <w:rPr>
                <w:sz w:val="21"/>
              </w:rPr>
            </w:pPr>
          </w:p>
        </w:tc>
      </w:tr>
      <w:tr w14:paraId="55B435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0" w:hRule="atLeast"/>
          <w:jc w:val="center"/>
        </w:trPr>
        <w:tc>
          <w:tcPr>
            <w:tcW w:w="2325" w:type="dxa"/>
            <w:tcBorders>
              <w:top w:val="single" w:color="000000" w:sz="6" w:space="0"/>
              <w:left w:val="single" w:color="000000" w:sz="12" w:space="0"/>
              <w:bottom w:val="single" w:color="000000" w:sz="6" w:space="0"/>
              <w:right w:val="single" w:color="000000" w:sz="6" w:space="0"/>
            </w:tcBorders>
            <w:vAlign w:val="center"/>
          </w:tcPr>
          <w:p w14:paraId="332CE13D">
            <w:pPr>
              <w:spacing w:line="240" w:lineRule="auto"/>
              <w:jc w:val="center"/>
              <w:rPr>
                <w:sz w:val="21"/>
              </w:rPr>
            </w:pPr>
            <w:r>
              <w:rPr>
                <w:sz w:val="21"/>
              </w:rPr>
              <w:t>7700×4300</w:t>
            </w:r>
          </w:p>
        </w:tc>
        <w:tc>
          <w:tcPr>
            <w:tcW w:w="744" w:type="dxa"/>
            <w:tcBorders>
              <w:top w:val="single" w:color="000000" w:sz="6" w:space="0"/>
              <w:left w:val="single" w:color="000000" w:sz="6" w:space="0"/>
              <w:bottom w:val="single" w:color="000000" w:sz="6" w:space="0"/>
              <w:right w:val="single" w:color="000000" w:sz="6" w:space="0"/>
            </w:tcBorders>
            <w:vAlign w:val="center"/>
          </w:tcPr>
          <w:p w14:paraId="2F6F2C30">
            <w:pPr>
              <w:spacing w:line="240" w:lineRule="auto"/>
              <w:jc w:val="center"/>
              <w:rPr>
                <w:sz w:val="21"/>
              </w:rPr>
            </w:pPr>
            <w:r>
              <w:rPr>
                <w:sz w:val="21"/>
              </w:rPr>
              <w:t>600</w:t>
            </w:r>
          </w:p>
        </w:tc>
        <w:tc>
          <w:tcPr>
            <w:tcW w:w="1418" w:type="dxa"/>
            <w:tcBorders>
              <w:top w:val="single" w:color="000000" w:sz="6" w:space="0"/>
              <w:left w:val="single" w:color="000000" w:sz="6" w:space="0"/>
              <w:bottom w:val="single" w:color="000000" w:sz="6" w:space="0"/>
              <w:right w:val="single" w:color="000000" w:sz="6" w:space="0"/>
            </w:tcBorders>
            <w:vAlign w:val="center"/>
          </w:tcPr>
          <w:p w14:paraId="56D2AA17">
            <w:pPr>
              <w:spacing w:line="240" w:lineRule="auto"/>
              <w:jc w:val="center"/>
              <w:rPr>
                <w:sz w:val="21"/>
              </w:rPr>
            </w:pPr>
            <w:r>
              <w:rPr>
                <w:sz w:val="21"/>
              </w:rPr>
              <w:t>6500×3100</w:t>
            </w:r>
          </w:p>
        </w:tc>
        <w:tc>
          <w:tcPr>
            <w:tcW w:w="1417" w:type="dxa"/>
            <w:tcBorders>
              <w:top w:val="single" w:color="000000" w:sz="6" w:space="0"/>
              <w:left w:val="single" w:color="000000" w:sz="6" w:space="0"/>
              <w:bottom w:val="single" w:color="000000" w:sz="6" w:space="0"/>
              <w:right w:val="single" w:color="000000" w:sz="6" w:space="0"/>
            </w:tcBorders>
            <w:vAlign w:val="center"/>
          </w:tcPr>
          <w:p w14:paraId="24187E87">
            <w:pPr>
              <w:spacing w:line="240" w:lineRule="auto"/>
              <w:jc w:val="center"/>
              <w:rPr>
                <w:sz w:val="21"/>
              </w:rPr>
            </w:pPr>
            <w:r>
              <w:rPr>
                <w:sz w:val="21"/>
              </w:rPr>
              <w:t>7657×4257</w:t>
            </w:r>
          </w:p>
        </w:tc>
        <w:tc>
          <w:tcPr>
            <w:tcW w:w="1418" w:type="dxa"/>
            <w:tcBorders>
              <w:top w:val="single" w:color="000000" w:sz="6" w:space="0"/>
              <w:left w:val="single" w:color="000000" w:sz="6" w:space="0"/>
              <w:bottom w:val="single" w:color="000000" w:sz="6" w:space="0"/>
              <w:right w:val="single" w:color="000000" w:sz="6" w:space="0"/>
            </w:tcBorders>
            <w:vAlign w:val="center"/>
          </w:tcPr>
          <w:p w14:paraId="4BB33219">
            <w:pPr>
              <w:spacing w:line="240" w:lineRule="auto"/>
              <w:jc w:val="center"/>
              <w:rPr>
                <w:sz w:val="21"/>
              </w:rPr>
            </w:pPr>
            <w:r>
              <w:rPr>
                <w:sz w:val="21"/>
              </w:rPr>
              <w:t>7630×4230</w:t>
            </w:r>
          </w:p>
        </w:tc>
        <w:tc>
          <w:tcPr>
            <w:tcW w:w="709" w:type="dxa"/>
            <w:tcBorders>
              <w:top w:val="single" w:color="000000" w:sz="6" w:space="0"/>
              <w:left w:val="single" w:color="000000" w:sz="6" w:space="0"/>
              <w:bottom w:val="single" w:color="000000" w:sz="6" w:space="0"/>
              <w:right w:val="single" w:color="000000" w:sz="6" w:space="0"/>
            </w:tcBorders>
          </w:tcPr>
          <w:p w14:paraId="3C34CB77">
            <w:pPr>
              <w:spacing w:line="240" w:lineRule="auto"/>
              <w:jc w:val="center"/>
              <w:rPr>
                <w:sz w:val="21"/>
              </w:rPr>
            </w:pPr>
            <w:r>
              <w:rPr>
                <w:sz w:val="21"/>
              </w:rPr>
              <w:t>≥8</w:t>
            </w:r>
          </w:p>
        </w:tc>
        <w:tc>
          <w:tcPr>
            <w:tcW w:w="708" w:type="dxa"/>
            <w:tcBorders>
              <w:top w:val="single" w:color="000000" w:sz="6" w:space="0"/>
              <w:left w:val="single" w:color="000000" w:sz="6" w:space="0"/>
              <w:bottom w:val="single" w:color="000000" w:sz="6" w:space="0"/>
              <w:right w:val="single" w:color="000000" w:sz="6" w:space="0"/>
            </w:tcBorders>
            <w:vAlign w:val="center"/>
          </w:tcPr>
          <w:p w14:paraId="2A092E8D">
            <w:pPr>
              <w:spacing w:line="240" w:lineRule="auto"/>
              <w:jc w:val="center"/>
              <w:rPr>
                <w:sz w:val="21"/>
              </w:rPr>
            </w:pPr>
            <w:r>
              <w:rPr>
                <w:sz w:val="21"/>
              </w:rPr>
              <w:t>191</w:t>
            </w:r>
          </w:p>
        </w:tc>
        <w:tc>
          <w:tcPr>
            <w:tcW w:w="1528" w:type="dxa"/>
            <w:tcBorders>
              <w:top w:val="single" w:color="000000" w:sz="6" w:space="0"/>
              <w:left w:val="single" w:color="000000" w:sz="6" w:space="0"/>
              <w:bottom w:val="single" w:color="000000" w:sz="6" w:space="0"/>
              <w:right w:val="single" w:color="000000" w:sz="6" w:space="0"/>
            </w:tcBorders>
            <w:vAlign w:val="center"/>
          </w:tcPr>
          <w:p w14:paraId="07A8CAB6">
            <w:pPr>
              <w:spacing w:line="240" w:lineRule="auto"/>
              <w:jc w:val="center"/>
              <w:rPr>
                <w:sz w:val="21"/>
              </w:rPr>
            </w:pPr>
            <w:r>
              <w:rPr>
                <w:sz w:val="21"/>
              </w:rPr>
              <w:t>7672×4272</w:t>
            </w:r>
          </w:p>
        </w:tc>
        <w:tc>
          <w:tcPr>
            <w:tcW w:w="908" w:type="dxa"/>
            <w:vMerge w:val="continue"/>
            <w:tcBorders>
              <w:top w:val="single" w:color="000000" w:sz="6" w:space="0"/>
              <w:left w:val="single" w:color="000000" w:sz="6" w:space="0"/>
              <w:bottom w:val="single" w:color="000000" w:sz="6" w:space="0"/>
              <w:right w:val="single" w:color="000000" w:sz="6" w:space="0"/>
            </w:tcBorders>
            <w:vAlign w:val="center"/>
          </w:tcPr>
          <w:p w14:paraId="0C99220F">
            <w:pPr>
              <w:spacing w:line="240" w:lineRule="auto"/>
              <w:jc w:val="center"/>
              <w:rPr>
                <w:sz w:val="21"/>
              </w:rPr>
            </w:pPr>
          </w:p>
        </w:tc>
        <w:tc>
          <w:tcPr>
            <w:tcW w:w="908" w:type="dxa"/>
            <w:vMerge w:val="continue"/>
            <w:tcBorders>
              <w:top w:val="single" w:color="000000" w:sz="6" w:space="0"/>
              <w:left w:val="single" w:color="000000" w:sz="6" w:space="0"/>
              <w:bottom w:val="single" w:color="000000" w:sz="6" w:space="0"/>
              <w:right w:val="single" w:color="000000" w:sz="6" w:space="0"/>
            </w:tcBorders>
            <w:vAlign w:val="center"/>
          </w:tcPr>
          <w:p w14:paraId="36658A54">
            <w:pPr>
              <w:spacing w:line="240" w:lineRule="auto"/>
              <w:jc w:val="center"/>
              <w:rPr>
                <w:sz w:val="21"/>
              </w:rPr>
            </w:pPr>
          </w:p>
        </w:tc>
        <w:tc>
          <w:tcPr>
            <w:tcW w:w="1888" w:type="dxa"/>
            <w:vMerge w:val="continue"/>
            <w:tcBorders>
              <w:top w:val="single" w:color="000000" w:sz="6" w:space="0"/>
              <w:left w:val="single" w:color="000000" w:sz="6" w:space="0"/>
              <w:bottom w:val="single" w:color="000000" w:sz="6" w:space="0"/>
              <w:right w:val="single" w:color="000000" w:sz="12" w:space="0"/>
            </w:tcBorders>
            <w:vAlign w:val="center"/>
          </w:tcPr>
          <w:p w14:paraId="5EC46237">
            <w:pPr>
              <w:spacing w:line="240" w:lineRule="auto"/>
              <w:jc w:val="center"/>
              <w:rPr>
                <w:sz w:val="21"/>
              </w:rPr>
            </w:pPr>
          </w:p>
        </w:tc>
      </w:tr>
      <w:tr w14:paraId="060387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6" w:hRule="atLeast"/>
          <w:jc w:val="center"/>
        </w:trPr>
        <w:tc>
          <w:tcPr>
            <w:tcW w:w="2325" w:type="dxa"/>
            <w:tcBorders>
              <w:top w:val="single" w:color="000000" w:sz="6" w:space="0"/>
              <w:left w:val="single" w:color="000000" w:sz="12" w:space="0"/>
              <w:bottom w:val="single" w:color="000000" w:sz="6" w:space="0"/>
              <w:right w:val="single" w:color="000000" w:sz="6" w:space="0"/>
            </w:tcBorders>
            <w:vAlign w:val="center"/>
          </w:tcPr>
          <w:p w14:paraId="2DD5755F">
            <w:pPr>
              <w:spacing w:line="240" w:lineRule="auto"/>
              <w:jc w:val="center"/>
              <w:rPr>
                <w:sz w:val="21"/>
              </w:rPr>
            </w:pPr>
            <w:r>
              <w:rPr>
                <w:sz w:val="21"/>
              </w:rPr>
              <w:t>7700×</w:t>
            </w:r>
            <w:r>
              <w:rPr>
                <w:rFonts w:hint="eastAsia"/>
                <w:sz w:val="21"/>
              </w:rPr>
              <w:t>51</w:t>
            </w:r>
            <w:r>
              <w:rPr>
                <w:sz w:val="21"/>
              </w:rPr>
              <w:t>00</w:t>
            </w:r>
          </w:p>
        </w:tc>
        <w:tc>
          <w:tcPr>
            <w:tcW w:w="744" w:type="dxa"/>
            <w:tcBorders>
              <w:top w:val="single" w:color="000000" w:sz="6" w:space="0"/>
              <w:left w:val="single" w:color="000000" w:sz="6" w:space="0"/>
              <w:bottom w:val="single" w:color="000000" w:sz="6" w:space="0"/>
              <w:right w:val="single" w:color="000000" w:sz="6" w:space="0"/>
            </w:tcBorders>
            <w:vAlign w:val="center"/>
          </w:tcPr>
          <w:p w14:paraId="57419B9B">
            <w:pPr>
              <w:spacing w:line="240" w:lineRule="auto"/>
              <w:jc w:val="center"/>
              <w:rPr>
                <w:sz w:val="21"/>
              </w:rPr>
            </w:pPr>
            <w:r>
              <w:rPr>
                <w:rFonts w:hint="eastAsia"/>
                <w:sz w:val="21"/>
              </w:rPr>
              <w:t>550</w:t>
            </w:r>
          </w:p>
        </w:tc>
        <w:tc>
          <w:tcPr>
            <w:tcW w:w="1418" w:type="dxa"/>
            <w:tcBorders>
              <w:top w:val="single" w:color="000000" w:sz="6" w:space="0"/>
              <w:left w:val="single" w:color="000000" w:sz="6" w:space="0"/>
              <w:bottom w:val="single" w:color="000000" w:sz="6" w:space="0"/>
              <w:right w:val="single" w:color="000000" w:sz="6" w:space="0"/>
            </w:tcBorders>
            <w:vAlign w:val="center"/>
          </w:tcPr>
          <w:p w14:paraId="74AB790D">
            <w:pPr>
              <w:spacing w:line="240" w:lineRule="auto"/>
              <w:jc w:val="center"/>
              <w:rPr>
                <w:sz w:val="21"/>
              </w:rPr>
            </w:pPr>
            <w:r>
              <w:rPr>
                <w:rFonts w:hint="eastAsia"/>
                <w:sz w:val="21"/>
              </w:rPr>
              <w:t>6600</w:t>
            </w:r>
            <w:r>
              <w:rPr>
                <w:sz w:val="21"/>
              </w:rPr>
              <w:t>×</w:t>
            </w:r>
            <w:r>
              <w:rPr>
                <w:rFonts w:hint="eastAsia"/>
                <w:sz w:val="21"/>
              </w:rPr>
              <w:t>4000</w:t>
            </w:r>
          </w:p>
        </w:tc>
        <w:tc>
          <w:tcPr>
            <w:tcW w:w="1417" w:type="dxa"/>
            <w:tcBorders>
              <w:top w:val="single" w:color="000000" w:sz="6" w:space="0"/>
              <w:left w:val="single" w:color="000000" w:sz="6" w:space="0"/>
              <w:bottom w:val="single" w:color="000000" w:sz="6" w:space="0"/>
              <w:right w:val="single" w:color="000000" w:sz="6" w:space="0"/>
            </w:tcBorders>
            <w:vAlign w:val="center"/>
          </w:tcPr>
          <w:p w14:paraId="7D97E044">
            <w:pPr>
              <w:spacing w:line="240" w:lineRule="auto"/>
              <w:jc w:val="center"/>
              <w:rPr>
                <w:sz w:val="21"/>
              </w:rPr>
            </w:pPr>
            <w:r>
              <w:rPr>
                <w:sz w:val="21"/>
              </w:rPr>
              <w:t>7657×</w:t>
            </w:r>
            <w:r>
              <w:rPr>
                <w:rFonts w:hint="eastAsia"/>
                <w:sz w:val="21"/>
              </w:rPr>
              <w:t>5057</w:t>
            </w:r>
          </w:p>
        </w:tc>
        <w:tc>
          <w:tcPr>
            <w:tcW w:w="1418" w:type="dxa"/>
            <w:tcBorders>
              <w:top w:val="single" w:color="000000" w:sz="6" w:space="0"/>
              <w:left w:val="single" w:color="000000" w:sz="6" w:space="0"/>
              <w:bottom w:val="single" w:color="000000" w:sz="6" w:space="0"/>
              <w:right w:val="single" w:color="000000" w:sz="6" w:space="0"/>
            </w:tcBorders>
            <w:vAlign w:val="center"/>
          </w:tcPr>
          <w:p w14:paraId="21AE9B08">
            <w:pPr>
              <w:spacing w:line="240" w:lineRule="auto"/>
              <w:jc w:val="center"/>
              <w:rPr>
                <w:sz w:val="21"/>
              </w:rPr>
            </w:pPr>
            <w:r>
              <w:rPr>
                <w:sz w:val="21"/>
              </w:rPr>
              <w:t>7630×</w:t>
            </w:r>
            <w:r>
              <w:rPr>
                <w:rFonts w:hint="eastAsia"/>
                <w:sz w:val="21"/>
              </w:rPr>
              <w:t>5030</w:t>
            </w:r>
          </w:p>
        </w:tc>
        <w:tc>
          <w:tcPr>
            <w:tcW w:w="709" w:type="dxa"/>
            <w:tcBorders>
              <w:top w:val="single" w:color="000000" w:sz="6" w:space="0"/>
              <w:left w:val="single" w:color="000000" w:sz="6" w:space="0"/>
              <w:bottom w:val="single" w:color="000000" w:sz="6" w:space="0"/>
              <w:right w:val="single" w:color="000000" w:sz="6" w:space="0"/>
            </w:tcBorders>
          </w:tcPr>
          <w:p w14:paraId="11A0922C">
            <w:pPr>
              <w:spacing w:line="240" w:lineRule="auto"/>
              <w:jc w:val="center"/>
              <w:rPr>
                <w:sz w:val="21"/>
              </w:rPr>
            </w:pPr>
            <w:r>
              <w:rPr>
                <w:sz w:val="21"/>
              </w:rPr>
              <w:t>≥8</w:t>
            </w:r>
          </w:p>
        </w:tc>
        <w:tc>
          <w:tcPr>
            <w:tcW w:w="708" w:type="dxa"/>
            <w:tcBorders>
              <w:top w:val="single" w:color="000000" w:sz="6" w:space="0"/>
              <w:left w:val="single" w:color="000000" w:sz="6" w:space="0"/>
              <w:bottom w:val="single" w:color="000000" w:sz="6" w:space="0"/>
              <w:right w:val="single" w:color="000000" w:sz="6" w:space="0"/>
            </w:tcBorders>
            <w:vAlign w:val="center"/>
          </w:tcPr>
          <w:p w14:paraId="315A2B79">
            <w:pPr>
              <w:spacing w:line="240" w:lineRule="auto"/>
              <w:jc w:val="center"/>
              <w:rPr>
                <w:sz w:val="21"/>
              </w:rPr>
            </w:pPr>
            <w:r>
              <w:rPr>
                <w:rFonts w:hint="eastAsia"/>
                <w:sz w:val="21"/>
              </w:rPr>
              <w:t>191</w:t>
            </w:r>
          </w:p>
        </w:tc>
        <w:tc>
          <w:tcPr>
            <w:tcW w:w="1528" w:type="dxa"/>
            <w:tcBorders>
              <w:top w:val="single" w:color="000000" w:sz="6" w:space="0"/>
              <w:left w:val="single" w:color="000000" w:sz="6" w:space="0"/>
              <w:bottom w:val="single" w:color="000000" w:sz="6" w:space="0"/>
              <w:right w:val="single" w:color="000000" w:sz="6" w:space="0"/>
            </w:tcBorders>
            <w:vAlign w:val="center"/>
          </w:tcPr>
          <w:p w14:paraId="60B61E24">
            <w:pPr>
              <w:spacing w:line="240" w:lineRule="auto"/>
              <w:jc w:val="center"/>
              <w:rPr>
                <w:sz w:val="21"/>
              </w:rPr>
            </w:pPr>
            <w:r>
              <w:rPr>
                <w:sz w:val="21"/>
              </w:rPr>
              <w:t>7672×</w:t>
            </w:r>
            <w:r>
              <w:rPr>
                <w:rFonts w:hint="eastAsia"/>
                <w:sz w:val="21"/>
              </w:rPr>
              <w:t>5072</w:t>
            </w:r>
          </w:p>
        </w:tc>
        <w:tc>
          <w:tcPr>
            <w:tcW w:w="908" w:type="dxa"/>
            <w:vMerge w:val="continue"/>
            <w:tcBorders>
              <w:top w:val="single" w:color="000000" w:sz="6" w:space="0"/>
              <w:left w:val="single" w:color="000000" w:sz="6" w:space="0"/>
              <w:bottom w:val="single" w:color="000000" w:sz="6" w:space="0"/>
              <w:right w:val="single" w:color="000000" w:sz="6" w:space="0"/>
            </w:tcBorders>
            <w:vAlign w:val="center"/>
          </w:tcPr>
          <w:p w14:paraId="1A83064C">
            <w:pPr>
              <w:spacing w:line="240" w:lineRule="auto"/>
              <w:jc w:val="center"/>
              <w:rPr>
                <w:sz w:val="21"/>
              </w:rPr>
            </w:pPr>
          </w:p>
        </w:tc>
        <w:tc>
          <w:tcPr>
            <w:tcW w:w="908" w:type="dxa"/>
            <w:vMerge w:val="continue"/>
            <w:tcBorders>
              <w:top w:val="single" w:color="000000" w:sz="6" w:space="0"/>
              <w:left w:val="single" w:color="000000" w:sz="6" w:space="0"/>
              <w:bottom w:val="single" w:color="000000" w:sz="6" w:space="0"/>
              <w:right w:val="single" w:color="000000" w:sz="6" w:space="0"/>
            </w:tcBorders>
            <w:vAlign w:val="center"/>
          </w:tcPr>
          <w:p w14:paraId="67321EA1">
            <w:pPr>
              <w:spacing w:line="240" w:lineRule="auto"/>
              <w:jc w:val="center"/>
              <w:rPr>
                <w:sz w:val="21"/>
              </w:rPr>
            </w:pPr>
          </w:p>
        </w:tc>
        <w:tc>
          <w:tcPr>
            <w:tcW w:w="1888" w:type="dxa"/>
            <w:vMerge w:val="continue"/>
            <w:tcBorders>
              <w:top w:val="single" w:color="000000" w:sz="6" w:space="0"/>
              <w:left w:val="single" w:color="000000" w:sz="6" w:space="0"/>
              <w:bottom w:val="single" w:color="000000" w:sz="6" w:space="0"/>
              <w:right w:val="single" w:color="000000" w:sz="12" w:space="0"/>
            </w:tcBorders>
            <w:vAlign w:val="center"/>
          </w:tcPr>
          <w:p w14:paraId="6AC02E8F">
            <w:pPr>
              <w:spacing w:line="240" w:lineRule="auto"/>
              <w:jc w:val="center"/>
              <w:rPr>
                <w:sz w:val="21"/>
              </w:rPr>
            </w:pPr>
          </w:p>
        </w:tc>
      </w:tr>
      <w:tr w14:paraId="54C064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325" w:type="dxa"/>
            <w:vMerge w:val="restart"/>
            <w:tcBorders>
              <w:top w:val="single" w:color="000000" w:sz="6" w:space="0"/>
              <w:left w:val="single" w:color="000000" w:sz="12" w:space="0"/>
              <w:bottom w:val="single" w:color="000000" w:sz="6" w:space="0"/>
              <w:right w:val="single" w:color="000000" w:sz="6" w:space="0"/>
            </w:tcBorders>
            <w:vAlign w:val="center"/>
          </w:tcPr>
          <w:p w14:paraId="7481B010">
            <w:pPr>
              <w:spacing w:line="240" w:lineRule="auto"/>
              <w:jc w:val="center"/>
              <w:rPr>
                <w:sz w:val="21"/>
              </w:rPr>
            </w:pPr>
            <w:r>
              <w:rPr>
                <w:sz w:val="21"/>
              </w:rPr>
              <w:t>7700×4500</w:t>
            </w:r>
          </w:p>
        </w:tc>
        <w:tc>
          <w:tcPr>
            <w:tcW w:w="744" w:type="dxa"/>
            <w:tcBorders>
              <w:top w:val="single" w:color="000000" w:sz="6" w:space="0"/>
              <w:left w:val="single" w:color="000000" w:sz="6" w:space="0"/>
              <w:bottom w:val="single" w:color="000000" w:sz="6" w:space="0"/>
              <w:right w:val="single" w:color="000000" w:sz="6" w:space="0"/>
            </w:tcBorders>
            <w:vAlign w:val="center"/>
          </w:tcPr>
          <w:p w14:paraId="6EE59D11">
            <w:pPr>
              <w:spacing w:line="240" w:lineRule="auto"/>
              <w:jc w:val="center"/>
              <w:rPr>
                <w:sz w:val="21"/>
              </w:rPr>
            </w:pPr>
            <w:r>
              <w:rPr>
                <w:sz w:val="21"/>
              </w:rPr>
              <w:t>500</w:t>
            </w:r>
          </w:p>
        </w:tc>
        <w:tc>
          <w:tcPr>
            <w:tcW w:w="1418" w:type="dxa"/>
            <w:tcBorders>
              <w:top w:val="single" w:color="000000" w:sz="6" w:space="0"/>
              <w:left w:val="single" w:color="000000" w:sz="6" w:space="0"/>
              <w:bottom w:val="single" w:color="000000" w:sz="6" w:space="0"/>
              <w:right w:val="single" w:color="000000" w:sz="6" w:space="0"/>
            </w:tcBorders>
            <w:vAlign w:val="center"/>
          </w:tcPr>
          <w:p w14:paraId="13355CA0">
            <w:pPr>
              <w:spacing w:line="240" w:lineRule="auto"/>
              <w:jc w:val="center"/>
              <w:rPr>
                <w:sz w:val="21"/>
              </w:rPr>
            </w:pPr>
            <w:r>
              <w:rPr>
                <w:sz w:val="21"/>
              </w:rPr>
              <w:t>6700×3500</w:t>
            </w:r>
          </w:p>
        </w:tc>
        <w:tc>
          <w:tcPr>
            <w:tcW w:w="1417" w:type="dxa"/>
            <w:tcBorders>
              <w:top w:val="single" w:color="000000" w:sz="6" w:space="0"/>
              <w:left w:val="single" w:color="000000" w:sz="6" w:space="0"/>
              <w:bottom w:val="single" w:color="000000" w:sz="6" w:space="0"/>
              <w:right w:val="single" w:color="000000" w:sz="6" w:space="0"/>
            </w:tcBorders>
            <w:vAlign w:val="center"/>
          </w:tcPr>
          <w:p w14:paraId="58C90383">
            <w:pPr>
              <w:spacing w:line="240" w:lineRule="auto"/>
              <w:jc w:val="center"/>
              <w:rPr>
                <w:sz w:val="21"/>
              </w:rPr>
            </w:pPr>
            <w:r>
              <w:rPr>
                <w:sz w:val="21"/>
              </w:rPr>
              <w:t>7657×4457</w:t>
            </w:r>
          </w:p>
        </w:tc>
        <w:tc>
          <w:tcPr>
            <w:tcW w:w="1418" w:type="dxa"/>
            <w:tcBorders>
              <w:top w:val="single" w:color="000000" w:sz="6" w:space="0"/>
              <w:left w:val="single" w:color="000000" w:sz="6" w:space="0"/>
              <w:bottom w:val="single" w:color="000000" w:sz="6" w:space="0"/>
              <w:right w:val="single" w:color="000000" w:sz="6" w:space="0"/>
            </w:tcBorders>
            <w:vAlign w:val="center"/>
          </w:tcPr>
          <w:p w14:paraId="3CC28974">
            <w:pPr>
              <w:spacing w:line="240" w:lineRule="auto"/>
              <w:jc w:val="center"/>
              <w:rPr>
                <w:sz w:val="21"/>
              </w:rPr>
            </w:pPr>
            <w:r>
              <w:rPr>
                <w:sz w:val="21"/>
              </w:rPr>
              <w:t>7630×4430</w:t>
            </w:r>
          </w:p>
        </w:tc>
        <w:tc>
          <w:tcPr>
            <w:tcW w:w="709" w:type="dxa"/>
            <w:tcBorders>
              <w:top w:val="single" w:color="000000" w:sz="6" w:space="0"/>
              <w:left w:val="single" w:color="000000" w:sz="6" w:space="0"/>
              <w:bottom w:val="single" w:color="000000" w:sz="6" w:space="0"/>
              <w:right w:val="single" w:color="000000" w:sz="6" w:space="0"/>
            </w:tcBorders>
          </w:tcPr>
          <w:p w14:paraId="06D34144">
            <w:pPr>
              <w:spacing w:line="240" w:lineRule="auto"/>
              <w:jc w:val="center"/>
              <w:rPr>
                <w:sz w:val="21"/>
              </w:rPr>
            </w:pPr>
            <w:r>
              <w:rPr>
                <w:sz w:val="21"/>
              </w:rPr>
              <w:t>≥8</w:t>
            </w:r>
          </w:p>
        </w:tc>
        <w:tc>
          <w:tcPr>
            <w:tcW w:w="708" w:type="dxa"/>
            <w:tcBorders>
              <w:top w:val="single" w:color="000000" w:sz="6" w:space="0"/>
              <w:left w:val="single" w:color="000000" w:sz="6" w:space="0"/>
              <w:bottom w:val="single" w:color="000000" w:sz="6" w:space="0"/>
              <w:right w:val="single" w:color="000000" w:sz="6" w:space="0"/>
            </w:tcBorders>
            <w:vAlign w:val="center"/>
          </w:tcPr>
          <w:p w14:paraId="288994F4">
            <w:pPr>
              <w:spacing w:line="240" w:lineRule="auto"/>
              <w:jc w:val="center"/>
              <w:rPr>
                <w:sz w:val="21"/>
              </w:rPr>
            </w:pPr>
            <w:r>
              <w:rPr>
                <w:sz w:val="21"/>
              </w:rPr>
              <w:t>191</w:t>
            </w:r>
          </w:p>
        </w:tc>
        <w:tc>
          <w:tcPr>
            <w:tcW w:w="1528" w:type="dxa"/>
            <w:tcBorders>
              <w:top w:val="single" w:color="000000" w:sz="6" w:space="0"/>
              <w:left w:val="single" w:color="000000" w:sz="6" w:space="0"/>
              <w:bottom w:val="single" w:color="000000" w:sz="6" w:space="0"/>
              <w:right w:val="single" w:color="000000" w:sz="6" w:space="0"/>
            </w:tcBorders>
            <w:vAlign w:val="center"/>
          </w:tcPr>
          <w:p w14:paraId="7DF3B402">
            <w:pPr>
              <w:spacing w:line="240" w:lineRule="auto"/>
              <w:jc w:val="center"/>
              <w:rPr>
                <w:sz w:val="21"/>
              </w:rPr>
            </w:pPr>
            <w:r>
              <w:rPr>
                <w:sz w:val="21"/>
              </w:rPr>
              <w:t>7672×4472</w:t>
            </w:r>
          </w:p>
        </w:tc>
        <w:tc>
          <w:tcPr>
            <w:tcW w:w="908" w:type="dxa"/>
            <w:vMerge w:val="continue"/>
            <w:tcBorders>
              <w:top w:val="single" w:color="000000" w:sz="6" w:space="0"/>
              <w:left w:val="single" w:color="000000" w:sz="6" w:space="0"/>
              <w:bottom w:val="single" w:color="000000" w:sz="6" w:space="0"/>
              <w:right w:val="single" w:color="000000" w:sz="6" w:space="0"/>
            </w:tcBorders>
            <w:vAlign w:val="center"/>
          </w:tcPr>
          <w:p w14:paraId="14B60B6D">
            <w:pPr>
              <w:spacing w:line="240" w:lineRule="auto"/>
              <w:jc w:val="center"/>
              <w:rPr>
                <w:sz w:val="21"/>
              </w:rPr>
            </w:pPr>
          </w:p>
        </w:tc>
        <w:tc>
          <w:tcPr>
            <w:tcW w:w="908" w:type="dxa"/>
            <w:vMerge w:val="continue"/>
            <w:tcBorders>
              <w:top w:val="single" w:color="000000" w:sz="6" w:space="0"/>
              <w:left w:val="single" w:color="000000" w:sz="6" w:space="0"/>
              <w:bottom w:val="single" w:color="000000" w:sz="6" w:space="0"/>
              <w:right w:val="single" w:color="000000" w:sz="6" w:space="0"/>
            </w:tcBorders>
            <w:vAlign w:val="center"/>
          </w:tcPr>
          <w:p w14:paraId="1A7E83F7">
            <w:pPr>
              <w:spacing w:line="240" w:lineRule="auto"/>
              <w:jc w:val="center"/>
              <w:rPr>
                <w:sz w:val="21"/>
              </w:rPr>
            </w:pPr>
          </w:p>
        </w:tc>
        <w:tc>
          <w:tcPr>
            <w:tcW w:w="1888" w:type="dxa"/>
            <w:vMerge w:val="continue"/>
            <w:tcBorders>
              <w:top w:val="single" w:color="000000" w:sz="6" w:space="0"/>
              <w:left w:val="single" w:color="000000" w:sz="6" w:space="0"/>
              <w:bottom w:val="single" w:color="000000" w:sz="6" w:space="0"/>
              <w:right w:val="single" w:color="000000" w:sz="12" w:space="0"/>
            </w:tcBorders>
            <w:vAlign w:val="center"/>
          </w:tcPr>
          <w:p w14:paraId="6F091388">
            <w:pPr>
              <w:spacing w:line="240" w:lineRule="auto"/>
              <w:jc w:val="center"/>
              <w:rPr>
                <w:sz w:val="21"/>
              </w:rPr>
            </w:pPr>
          </w:p>
        </w:tc>
      </w:tr>
      <w:tr w14:paraId="4D111B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8" w:hRule="atLeast"/>
          <w:jc w:val="center"/>
        </w:trPr>
        <w:tc>
          <w:tcPr>
            <w:tcW w:w="2325" w:type="dxa"/>
            <w:vMerge w:val="continue"/>
            <w:tcBorders>
              <w:top w:val="single" w:color="000000" w:sz="6" w:space="0"/>
              <w:left w:val="single" w:color="000000" w:sz="12" w:space="0"/>
              <w:bottom w:val="single" w:color="000000" w:sz="6" w:space="0"/>
              <w:right w:val="single" w:color="000000" w:sz="6" w:space="0"/>
            </w:tcBorders>
            <w:vAlign w:val="center"/>
          </w:tcPr>
          <w:p w14:paraId="1B3C46A7">
            <w:pPr>
              <w:spacing w:line="240" w:lineRule="auto"/>
              <w:jc w:val="center"/>
              <w:rPr>
                <w:sz w:val="21"/>
              </w:rPr>
            </w:pPr>
          </w:p>
        </w:tc>
        <w:tc>
          <w:tcPr>
            <w:tcW w:w="744" w:type="dxa"/>
            <w:tcBorders>
              <w:top w:val="single" w:color="000000" w:sz="6" w:space="0"/>
              <w:left w:val="single" w:color="000000" w:sz="6" w:space="0"/>
              <w:bottom w:val="single" w:color="000000" w:sz="6" w:space="0"/>
              <w:right w:val="single" w:color="000000" w:sz="6" w:space="0"/>
            </w:tcBorders>
            <w:vAlign w:val="center"/>
          </w:tcPr>
          <w:p w14:paraId="5BBD4E5C">
            <w:pPr>
              <w:spacing w:line="240" w:lineRule="auto"/>
              <w:jc w:val="center"/>
              <w:rPr>
                <w:sz w:val="21"/>
              </w:rPr>
            </w:pPr>
            <w:r>
              <w:rPr>
                <w:sz w:val="21"/>
              </w:rPr>
              <w:t>600</w:t>
            </w:r>
          </w:p>
        </w:tc>
        <w:tc>
          <w:tcPr>
            <w:tcW w:w="1418" w:type="dxa"/>
            <w:tcBorders>
              <w:top w:val="single" w:color="000000" w:sz="6" w:space="0"/>
              <w:left w:val="single" w:color="000000" w:sz="6" w:space="0"/>
              <w:bottom w:val="single" w:color="000000" w:sz="6" w:space="0"/>
              <w:right w:val="single" w:color="000000" w:sz="6" w:space="0"/>
            </w:tcBorders>
            <w:vAlign w:val="center"/>
          </w:tcPr>
          <w:p w14:paraId="32FAEEC2">
            <w:pPr>
              <w:spacing w:line="240" w:lineRule="auto"/>
              <w:jc w:val="center"/>
              <w:rPr>
                <w:sz w:val="21"/>
              </w:rPr>
            </w:pPr>
            <w:r>
              <w:rPr>
                <w:sz w:val="21"/>
              </w:rPr>
              <w:t>6500×3300</w:t>
            </w:r>
          </w:p>
        </w:tc>
        <w:tc>
          <w:tcPr>
            <w:tcW w:w="1417" w:type="dxa"/>
            <w:tcBorders>
              <w:top w:val="single" w:color="000000" w:sz="6" w:space="0"/>
              <w:left w:val="single" w:color="000000" w:sz="6" w:space="0"/>
              <w:bottom w:val="single" w:color="000000" w:sz="6" w:space="0"/>
              <w:right w:val="single" w:color="000000" w:sz="6" w:space="0"/>
            </w:tcBorders>
            <w:vAlign w:val="center"/>
          </w:tcPr>
          <w:p w14:paraId="57C88767">
            <w:pPr>
              <w:spacing w:line="240" w:lineRule="auto"/>
              <w:jc w:val="center"/>
              <w:rPr>
                <w:sz w:val="21"/>
              </w:rPr>
            </w:pPr>
            <w:r>
              <w:rPr>
                <w:sz w:val="21"/>
              </w:rPr>
              <w:t>7657×4457</w:t>
            </w:r>
          </w:p>
        </w:tc>
        <w:tc>
          <w:tcPr>
            <w:tcW w:w="1418" w:type="dxa"/>
            <w:tcBorders>
              <w:top w:val="single" w:color="000000" w:sz="6" w:space="0"/>
              <w:left w:val="single" w:color="000000" w:sz="6" w:space="0"/>
              <w:bottom w:val="single" w:color="000000" w:sz="6" w:space="0"/>
              <w:right w:val="single" w:color="000000" w:sz="6" w:space="0"/>
            </w:tcBorders>
            <w:vAlign w:val="center"/>
          </w:tcPr>
          <w:p w14:paraId="68931896">
            <w:pPr>
              <w:spacing w:line="240" w:lineRule="auto"/>
              <w:jc w:val="center"/>
              <w:rPr>
                <w:sz w:val="21"/>
              </w:rPr>
            </w:pPr>
            <w:r>
              <w:rPr>
                <w:sz w:val="21"/>
              </w:rPr>
              <w:t>7630×4430</w:t>
            </w:r>
          </w:p>
        </w:tc>
        <w:tc>
          <w:tcPr>
            <w:tcW w:w="709" w:type="dxa"/>
            <w:tcBorders>
              <w:top w:val="single" w:color="000000" w:sz="6" w:space="0"/>
              <w:left w:val="single" w:color="000000" w:sz="6" w:space="0"/>
              <w:bottom w:val="single" w:color="000000" w:sz="6" w:space="0"/>
              <w:right w:val="single" w:color="000000" w:sz="6" w:space="0"/>
            </w:tcBorders>
          </w:tcPr>
          <w:p w14:paraId="15479EAD">
            <w:pPr>
              <w:spacing w:line="240" w:lineRule="auto"/>
              <w:jc w:val="center"/>
              <w:rPr>
                <w:sz w:val="21"/>
              </w:rPr>
            </w:pPr>
            <w:r>
              <w:rPr>
                <w:sz w:val="21"/>
              </w:rPr>
              <w:t>≥8</w:t>
            </w:r>
          </w:p>
        </w:tc>
        <w:tc>
          <w:tcPr>
            <w:tcW w:w="708" w:type="dxa"/>
            <w:tcBorders>
              <w:top w:val="single" w:color="000000" w:sz="6" w:space="0"/>
              <w:left w:val="single" w:color="000000" w:sz="6" w:space="0"/>
              <w:bottom w:val="single" w:color="000000" w:sz="6" w:space="0"/>
              <w:right w:val="single" w:color="000000" w:sz="6" w:space="0"/>
            </w:tcBorders>
            <w:vAlign w:val="center"/>
          </w:tcPr>
          <w:p w14:paraId="3DFD8CEE">
            <w:pPr>
              <w:spacing w:line="240" w:lineRule="auto"/>
              <w:jc w:val="center"/>
              <w:rPr>
                <w:sz w:val="21"/>
              </w:rPr>
            </w:pPr>
            <w:r>
              <w:rPr>
                <w:sz w:val="21"/>
              </w:rPr>
              <w:t>191</w:t>
            </w:r>
          </w:p>
        </w:tc>
        <w:tc>
          <w:tcPr>
            <w:tcW w:w="1528" w:type="dxa"/>
            <w:tcBorders>
              <w:top w:val="single" w:color="000000" w:sz="6" w:space="0"/>
              <w:left w:val="single" w:color="000000" w:sz="6" w:space="0"/>
              <w:bottom w:val="single" w:color="000000" w:sz="6" w:space="0"/>
              <w:right w:val="single" w:color="000000" w:sz="6" w:space="0"/>
            </w:tcBorders>
            <w:vAlign w:val="center"/>
          </w:tcPr>
          <w:p w14:paraId="12ADFD24">
            <w:pPr>
              <w:spacing w:line="240" w:lineRule="auto"/>
              <w:jc w:val="center"/>
              <w:rPr>
                <w:sz w:val="21"/>
              </w:rPr>
            </w:pPr>
            <w:r>
              <w:rPr>
                <w:sz w:val="21"/>
              </w:rPr>
              <w:t>7672×4472</w:t>
            </w:r>
          </w:p>
        </w:tc>
        <w:tc>
          <w:tcPr>
            <w:tcW w:w="908" w:type="dxa"/>
            <w:vMerge w:val="continue"/>
            <w:tcBorders>
              <w:top w:val="single" w:color="000000" w:sz="6" w:space="0"/>
              <w:left w:val="single" w:color="000000" w:sz="6" w:space="0"/>
              <w:bottom w:val="single" w:color="000000" w:sz="6" w:space="0"/>
              <w:right w:val="single" w:color="000000" w:sz="6" w:space="0"/>
            </w:tcBorders>
            <w:vAlign w:val="center"/>
          </w:tcPr>
          <w:p w14:paraId="7631A94C">
            <w:pPr>
              <w:spacing w:line="240" w:lineRule="auto"/>
              <w:jc w:val="center"/>
              <w:rPr>
                <w:sz w:val="21"/>
              </w:rPr>
            </w:pPr>
          </w:p>
        </w:tc>
        <w:tc>
          <w:tcPr>
            <w:tcW w:w="908" w:type="dxa"/>
            <w:vMerge w:val="continue"/>
            <w:tcBorders>
              <w:top w:val="single" w:color="000000" w:sz="6" w:space="0"/>
              <w:left w:val="single" w:color="000000" w:sz="6" w:space="0"/>
              <w:bottom w:val="single" w:color="000000" w:sz="6" w:space="0"/>
              <w:right w:val="single" w:color="000000" w:sz="6" w:space="0"/>
            </w:tcBorders>
            <w:vAlign w:val="center"/>
          </w:tcPr>
          <w:p w14:paraId="01270079">
            <w:pPr>
              <w:spacing w:line="240" w:lineRule="auto"/>
              <w:jc w:val="center"/>
              <w:rPr>
                <w:sz w:val="21"/>
              </w:rPr>
            </w:pPr>
          </w:p>
        </w:tc>
        <w:tc>
          <w:tcPr>
            <w:tcW w:w="1888" w:type="dxa"/>
            <w:vMerge w:val="continue"/>
            <w:tcBorders>
              <w:top w:val="single" w:color="000000" w:sz="6" w:space="0"/>
              <w:left w:val="single" w:color="000000" w:sz="6" w:space="0"/>
              <w:bottom w:val="single" w:color="000000" w:sz="6" w:space="0"/>
              <w:right w:val="single" w:color="000000" w:sz="12" w:space="0"/>
            </w:tcBorders>
            <w:vAlign w:val="center"/>
          </w:tcPr>
          <w:p w14:paraId="739B6EF2">
            <w:pPr>
              <w:spacing w:line="240" w:lineRule="auto"/>
              <w:jc w:val="center"/>
              <w:rPr>
                <w:sz w:val="21"/>
              </w:rPr>
            </w:pPr>
          </w:p>
        </w:tc>
      </w:tr>
      <w:tr w14:paraId="74AA4E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325" w:type="dxa"/>
            <w:tcBorders>
              <w:top w:val="single" w:color="000000" w:sz="6" w:space="0"/>
              <w:left w:val="single" w:color="000000" w:sz="12" w:space="0"/>
              <w:bottom w:val="single" w:color="000000" w:sz="6" w:space="0"/>
              <w:right w:val="single" w:color="000000" w:sz="6" w:space="0"/>
            </w:tcBorders>
            <w:vAlign w:val="center"/>
          </w:tcPr>
          <w:p w14:paraId="530ACFE6">
            <w:pPr>
              <w:spacing w:line="240" w:lineRule="auto"/>
              <w:jc w:val="center"/>
              <w:rPr>
                <w:sz w:val="21"/>
              </w:rPr>
            </w:pPr>
            <w:r>
              <w:rPr>
                <w:sz w:val="21"/>
              </w:rPr>
              <w:t>9100×4400</w:t>
            </w:r>
          </w:p>
        </w:tc>
        <w:tc>
          <w:tcPr>
            <w:tcW w:w="744" w:type="dxa"/>
            <w:tcBorders>
              <w:top w:val="single" w:color="000000" w:sz="6" w:space="0"/>
              <w:left w:val="single" w:color="000000" w:sz="6" w:space="0"/>
              <w:bottom w:val="single" w:color="000000" w:sz="6" w:space="0"/>
              <w:right w:val="single" w:color="000000" w:sz="6" w:space="0"/>
            </w:tcBorders>
            <w:vAlign w:val="center"/>
          </w:tcPr>
          <w:p w14:paraId="71C9B94B">
            <w:pPr>
              <w:spacing w:line="240" w:lineRule="auto"/>
              <w:jc w:val="center"/>
              <w:rPr>
                <w:sz w:val="21"/>
              </w:rPr>
            </w:pPr>
            <w:r>
              <w:rPr>
                <w:sz w:val="21"/>
              </w:rPr>
              <w:t>600</w:t>
            </w:r>
          </w:p>
        </w:tc>
        <w:tc>
          <w:tcPr>
            <w:tcW w:w="1418" w:type="dxa"/>
            <w:tcBorders>
              <w:top w:val="single" w:color="000000" w:sz="6" w:space="0"/>
              <w:left w:val="single" w:color="000000" w:sz="6" w:space="0"/>
              <w:bottom w:val="single" w:color="000000" w:sz="6" w:space="0"/>
              <w:right w:val="single" w:color="000000" w:sz="6" w:space="0"/>
            </w:tcBorders>
            <w:vAlign w:val="center"/>
          </w:tcPr>
          <w:p w14:paraId="24344977">
            <w:pPr>
              <w:spacing w:line="240" w:lineRule="auto"/>
              <w:jc w:val="center"/>
              <w:rPr>
                <w:sz w:val="21"/>
              </w:rPr>
            </w:pPr>
            <w:r>
              <w:rPr>
                <w:sz w:val="21"/>
              </w:rPr>
              <w:t>7900×3200</w:t>
            </w:r>
          </w:p>
        </w:tc>
        <w:tc>
          <w:tcPr>
            <w:tcW w:w="1417" w:type="dxa"/>
            <w:tcBorders>
              <w:top w:val="single" w:color="000000" w:sz="6" w:space="0"/>
              <w:left w:val="single" w:color="000000" w:sz="6" w:space="0"/>
              <w:bottom w:val="single" w:color="000000" w:sz="6" w:space="0"/>
              <w:right w:val="single" w:color="000000" w:sz="6" w:space="0"/>
            </w:tcBorders>
            <w:vAlign w:val="center"/>
          </w:tcPr>
          <w:p w14:paraId="606BEBED">
            <w:pPr>
              <w:spacing w:line="240" w:lineRule="auto"/>
              <w:jc w:val="center"/>
              <w:rPr>
                <w:sz w:val="21"/>
              </w:rPr>
            </w:pPr>
            <w:r>
              <w:rPr>
                <w:sz w:val="21"/>
              </w:rPr>
              <w:t>9057×4357</w:t>
            </w:r>
          </w:p>
        </w:tc>
        <w:tc>
          <w:tcPr>
            <w:tcW w:w="1418" w:type="dxa"/>
            <w:tcBorders>
              <w:top w:val="single" w:color="000000" w:sz="6" w:space="0"/>
              <w:left w:val="single" w:color="000000" w:sz="6" w:space="0"/>
              <w:bottom w:val="single" w:color="000000" w:sz="6" w:space="0"/>
              <w:right w:val="single" w:color="000000" w:sz="6" w:space="0"/>
            </w:tcBorders>
            <w:vAlign w:val="center"/>
          </w:tcPr>
          <w:p w14:paraId="51379746">
            <w:pPr>
              <w:spacing w:line="240" w:lineRule="auto"/>
              <w:jc w:val="center"/>
              <w:rPr>
                <w:sz w:val="21"/>
              </w:rPr>
            </w:pPr>
            <w:r>
              <w:rPr>
                <w:sz w:val="21"/>
              </w:rPr>
              <w:t>9030×4330</w:t>
            </w:r>
          </w:p>
        </w:tc>
        <w:tc>
          <w:tcPr>
            <w:tcW w:w="709" w:type="dxa"/>
            <w:tcBorders>
              <w:top w:val="single" w:color="000000" w:sz="6" w:space="0"/>
              <w:left w:val="single" w:color="000000" w:sz="6" w:space="0"/>
              <w:bottom w:val="single" w:color="000000" w:sz="6" w:space="0"/>
              <w:right w:val="single" w:color="000000" w:sz="6" w:space="0"/>
            </w:tcBorders>
            <w:vAlign w:val="center"/>
          </w:tcPr>
          <w:p w14:paraId="730BC69C">
            <w:pPr>
              <w:spacing w:line="240" w:lineRule="auto"/>
              <w:jc w:val="center"/>
              <w:rPr>
                <w:sz w:val="21"/>
              </w:rPr>
            </w:pPr>
            <w:r>
              <w:rPr>
                <w:sz w:val="21"/>
              </w:rPr>
              <w:t>≥8</w:t>
            </w:r>
          </w:p>
        </w:tc>
        <w:tc>
          <w:tcPr>
            <w:tcW w:w="708" w:type="dxa"/>
            <w:tcBorders>
              <w:top w:val="single" w:color="000000" w:sz="6" w:space="0"/>
              <w:left w:val="single" w:color="000000" w:sz="6" w:space="0"/>
              <w:bottom w:val="single" w:color="000000" w:sz="6" w:space="0"/>
              <w:right w:val="single" w:color="000000" w:sz="6" w:space="0"/>
            </w:tcBorders>
            <w:vAlign w:val="center"/>
          </w:tcPr>
          <w:p w14:paraId="5A4A9620">
            <w:pPr>
              <w:spacing w:line="240" w:lineRule="auto"/>
              <w:jc w:val="center"/>
              <w:rPr>
                <w:sz w:val="21"/>
              </w:rPr>
            </w:pPr>
            <w:r>
              <w:rPr>
                <w:sz w:val="21"/>
              </w:rPr>
              <w:t>216</w:t>
            </w:r>
          </w:p>
        </w:tc>
        <w:tc>
          <w:tcPr>
            <w:tcW w:w="1528" w:type="dxa"/>
            <w:tcBorders>
              <w:top w:val="single" w:color="000000" w:sz="6" w:space="0"/>
              <w:left w:val="single" w:color="000000" w:sz="6" w:space="0"/>
              <w:bottom w:val="single" w:color="000000" w:sz="6" w:space="0"/>
              <w:right w:val="single" w:color="000000" w:sz="6" w:space="0"/>
            </w:tcBorders>
            <w:vAlign w:val="center"/>
          </w:tcPr>
          <w:p w14:paraId="78EA95BA">
            <w:pPr>
              <w:spacing w:line="240" w:lineRule="auto"/>
              <w:jc w:val="center"/>
              <w:rPr>
                <w:sz w:val="21"/>
              </w:rPr>
            </w:pPr>
            <w:r>
              <w:rPr>
                <w:sz w:val="21"/>
              </w:rPr>
              <w:t>9068×4368</w:t>
            </w:r>
          </w:p>
        </w:tc>
        <w:tc>
          <w:tcPr>
            <w:tcW w:w="908" w:type="dxa"/>
            <w:vMerge w:val="restart"/>
            <w:tcBorders>
              <w:top w:val="single" w:color="000000" w:sz="6" w:space="0"/>
              <w:left w:val="single" w:color="000000" w:sz="6" w:space="0"/>
              <w:right w:val="single" w:color="000000" w:sz="6" w:space="0"/>
            </w:tcBorders>
            <w:vAlign w:val="center"/>
          </w:tcPr>
          <w:p w14:paraId="14ADA4B4">
            <w:pPr>
              <w:spacing w:line="240" w:lineRule="auto"/>
              <w:jc w:val="center"/>
              <w:rPr>
                <w:sz w:val="21"/>
              </w:rPr>
            </w:pPr>
            <w:r>
              <w:rPr>
                <w:sz w:val="21"/>
              </w:rPr>
              <w:t>≥14</w:t>
            </w:r>
          </w:p>
        </w:tc>
        <w:tc>
          <w:tcPr>
            <w:tcW w:w="908" w:type="dxa"/>
            <w:vMerge w:val="restart"/>
            <w:tcBorders>
              <w:top w:val="single" w:color="000000" w:sz="6" w:space="0"/>
              <w:left w:val="single" w:color="000000" w:sz="6" w:space="0"/>
              <w:right w:val="single" w:color="000000" w:sz="6" w:space="0"/>
            </w:tcBorders>
            <w:vAlign w:val="center"/>
          </w:tcPr>
          <w:p w14:paraId="3875ECAE">
            <w:pPr>
              <w:spacing w:line="240" w:lineRule="auto"/>
              <w:jc w:val="center"/>
              <w:rPr>
                <w:sz w:val="21"/>
              </w:rPr>
            </w:pPr>
            <w:r>
              <w:rPr>
                <w:sz w:val="21"/>
              </w:rPr>
              <w:t>≥200</w:t>
            </w:r>
          </w:p>
        </w:tc>
        <w:tc>
          <w:tcPr>
            <w:tcW w:w="1888" w:type="dxa"/>
            <w:vMerge w:val="restart"/>
            <w:tcBorders>
              <w:top w:val="single" w:color="000000" w:sz="6" w:space="0"/>
              <w:left w:val="single" w:color="000000" w:sz="6" w:space="0"/>
              <w:right w:val="single" w:color="000000" w:sz="12" w:space="0"/>
            </w:tcBorders>
            <w:vAlign w:val="center"/>
          </w:tcPr>
          <w:p w14:paraId="258EE72E">
            <w:pPr>
              <w:spacing w:line="240" w:lineRule="auto"/>
              <w:jc w:val="center"/>
              <w:rPr>
                <w:sz w:val="21"/>
              </w:rPr>
            </w:pPr>
            <w:r>
              <w:rPr>
                <w:sz w:val="21"/>
              </w:rPr>
              <w:t>≥365</w:t>
            </w:r>
          </w:p>
        </w:tc>
      </w:tr>
      <w:tr w14:paraId="57AF88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325" w:type="dxa"/>
            <w:tcBorders>
              <w:top w:val="single" w:color="000000" w:sz="6" w:space="0"/>
              <w:left w:val="single" w:color="000000" w:sz="12" w:space="0"/>
              <w:bottom w:val="single" w:color="000000" w:sz="6" w:space="0"/>
              <w:right w:val="single" w:color="000000" w:sz="6" w:space="0"/>
            </w:tcBorders>
            <w:vAlign w:val="center"/>
          </w:tcPr>
          <w:p w14:paraId="69F4925D">
            <w:pPr>
              <w:spacing w:line="240" w:lineRule="auto"/>
              <w:jc w:val="center"/>
              <w:rPr>
                <w:sz w:val="21"/>
              </w:rPr>
            </w:pPr>
            <w:r>
              <w:rPr>
                <w:sz w:val="21"/>
              </w:rPr>
              <w:t>9100×5500</w:t>
            </w:r>
          </w:p>
        </w:tc>
        <w:tc>
          <w:tcPr>
            <w:tcW w:w="744" w:type="dxa"/>
            <w:tcBorders>
              <w:top w:val="single" w:color="000000" w:sz="6" w:space="0"/>
              <w:left w:val="single" w:color="000000" w:sz="6" w:space="0"/>
              <w:bottom w:val="single" w:color="000000" w:sz="6" w:space="0"/>
              <w:right w:val="single" w:color="000000" w:sz="6" w:space="0"/>
            </w:tcBorders>
            <w:vAlign w:val="center"/>
          </w:tcPr>
          <w:p w14:paraId="708BF86C">
            <w:pPr>
              <w:spacing w:line="240" w:lineRule="auto"/>
              <w:jc w:val="center"/>
              <w:rPr>
                <w:sz w:val="21"/>
              </w:rPr>
            </w:pPr>
            <w:r>
              <w:rPr>
                <w:sz w:val="21"/>
              </w:rPr>
              <w:t>650</w:t>
            </w:r>
          </w:p>
        </w:tc>
        <w:tc>
          <w:tcPr>
            <w:tcW w:w="1418" w:type="dxa"/>
            <w:tcBorders>
              <w:top w:val="single" w:color="000000" w:sz="6" w:space="0"/>
              <w:left w:val="single" w:color="000000" w:sz="6" w:space="0"/>
              <w:bottom w:val="single" w:color="000000" w:sz="6" w:space="0"/>
              <w:right w:val="single" w:color="000000" w:sz="6" w:space="0"/>
            </w:tcBorders>
            <w:vAlign w:val="center"/>
          </w:tcPr>
          <w:p w14:paraId="1D5DE4DE">
            <w:pPr>
              <w:spacing w:line="240" w:lineRule="auto"/>
              <w:jc w:val="center"/>
              <w:rPr>
                <w:sz w:val="21"/>
              </w:rPr>
            </w:pPr>
            <w:r>
              <w:rPr>
                <w:sz w:val="21"/>
              </w:rPr>
              <w:t>7800×4200</w:t>
            </w:r>
          </w:p>
        </w:tc>
        <w:tc>
          <w:tcPr>
            <w:tcW w:w="1417" w:type="dxa"/>
            <w:tcBorders>
              <w:top w:val="single" w:color="000000" w:sz="6" w:space="0"/>
              <w:left w:val="single" w:color="000000" w:sz="6" w:space="0"/>
              <w:bottom w:val="single" w:color="000000" w:sz="6" w:space="0"/>
              <w:right w:val="single" w:color="000000" w:sz="6" w:space="0"/>
            </w:tcBorders>
            <w:vAlign w:val="center"/>
          </w:tcPr>
          <w:p w14:paraId="5C85B9A9">
            <w:pPr>
              <w:spacing w:line="240" w:lineRule="auto"/>
              <w:jc w:val="center"/>
              <w:rPr>
                <w:sz w:val="21"/>
              </w:rPr>
            </w:pPr>
            <w:r>
              <w:rPr>
                <w:sz w:val="21"/>
              </w:rPr>
              <w:t>9057×5457</w:t>
            </w:r>
          </w:p>
        </w:tc>
        <w:tc>
          <w:tcPr>
            <w:tcW w:w="1418" w:type="dxa"/>
            <w:tcBorders>
              <w:top w:val="single" w:color="000000" w:sz="6" w:space="0"/>
              <w:left w:val="single" w:color="000000" w:sz="6" w:space="0"/>
              <w:bottom w:val="single" w:color="000000" w:sz="6" w:space="0"/>
              <w:right w:val="single" w:color="000000" w:sz="6" w:space="0"/>
            </w:tcBorders>
            <w:vAlign w:val="center"/>
          </w:tcPr>
          <w:p w14:paraId="1974046C">
            <w:pPr>
              <w:spacing w:line="240" w:lineRule="auto"/>
              <w:jc w:val="center"/>
              <w:rPr>
                <w:sz w:val="21"/>
              </w:rPr>
            </w:pPr>
            <w:r>
              <w:rPr>
                <w:sz w:val="21"/>
              </w:rPr>
              <w:t>9030×5430</w:t>
            </w:r>
          </w:p>
        </w:tc>
        <w:tc>
          <w:tcPr>
            <w:tcW w:w="709" w:type="dxa"/>
            <w:tcBorders>
              <w:top w:val="single" w:color="000000" w:sz="6" w:space="0"/>
              <w:left w:val="single" w:color="000000" w:sz="6" w:space="0"/>
              <w:bottom w:val="single" w:color="000000" w:sz="6" w:space="0"/>
              <w:right w:val="single" w:color="000000" w:sz="6" w:space="0"/>
            </w:tcBorders>
            <w:vAlign w:val="center"/>
          </w:tcPr>
          <w:p w14:paraId="76564728">
            <w:pPr>
              <w:spacing w:line="240" w:lineRule="auto"/>
              <w:jc w:val="center"/>
              <w:rPr>
                <w:sz w:val="21"/>
              </w:rPr>
            </w:pPr>
            <w:r>
              <w:rPr>
                <w:sz w:val="21"/>
              </w:rPr>
              <w:t>≥8</w:t>
            </w:r>
          </w:p>
        </w:tc>
        <w:tc>
          <w:tcPr>
            <w:tcW w:w="708" w:type="dxa"/>
            <w:tcBorders>
              <w:top w:val="single" w:color="000000" w:sz="6" w:space="0"/>
              <w:left w:val="single" w:color="000000" w:sz="6" w:space="0"/>
              <w:bottom w:val="single" w:color="000000" w:sz="6" w:space="0"/>
              <w:right w:val="single" w:color="000000" w:sz="6" w:space="0"/>
            </w:tcBorders>
            <w:vAlign w:val="center"/>
          </w:tcPr>
          <w:p w14:paraId="3A16F611">
            <w:pPr>
              <w:spacing w:line="240" w:lineRule="auto"/>
              <w:jc w:val="center"/>
              <w:rPr>
                <w:sz w:val="21"/>
              </w:rPr>
            </w:pPr>
            <w:r>
              <w:rPr>
                <w:sz w:val="21"/>
              </w:rPr>
              <w:t>216</w:t>
            </w:r>
          </w:p>
        </w:tc>
        <w:tc>
          <w:tcPr>
            <w:tcW w:w="1528" w:type="dxa"/>
            <w:tcBorders>
              <w:top w:val="single" w:color="000000" w:sz="6" w:space="0"/>
              <w:left w:val="single" w:color="000000" w:sz="6" w:space="0"/>
              <w:bottom w:val="single" w:color="000000" w:sz="6" w:space="0"/>
              <w:right w:val="single" w:color="000000" w:sz="6" w:space="0"/>
            </w:tcBorders>
            <w:vAlign w:val="center"/>
          </w:tcPr>
          <w:p w14:paraId="2252DB1B">
            <w:pPr>
              <w:spacing w:line="240" w:lineRule="auto"/>
              <w:jc w:val="center"/>
              <w:rPr>
                <w:sz w:val="21"/>
              </w:rPr>
            </w:pPr>
            <w:r>
              <w:rPr>
                <w:sz w:val="21"/>
              </w:rPr>
              <w:t>9068×5468</w:t>
            </w:r>
          </w:p>
        </w:tc>
        <w:tc>
          <w:tcPr>
            <w:tcW w:w="908" w:type="dxa"/>
            <w:vMerge w:val="continue"/>
            <w:tcBorders>
              <w:left w:val="single" w:color="000000" w:sz="6" w:space="0"/>
              <w:right w:val="single" w:color="000000" w:sz="6" w:space="0"/>
            </w:tcBorders>
            <w:vAlign w:val="center"/>
          </w:tcPr>
          <w:p w14:paraId="6DA2B5F5">
            <w:pPr>
              <w:spacing w:line="240" w:lineRule="auto"/>
              <w:jc w:val="center"/>
              <w:rPr>
                <w:sz w:val="21"/>
              </w:rPr>
            </w:pPr>
          </w:p>
        </w:tc>
        <w:tc>
          <w:tcPr>
            <w:tcW w:w="908" w:type="dxa"/>
            <w:vMerge w:val="continue"/>
            <w:tcBorders>
              <w:left w:val="single" w:color="000000" w:sz="6" w:space="0"/>
              <w:right w:val="single" w:color="000000" w:sz="6" w:space="0"/>
            </w:tcBorders>
            <w:vAlign w:val="center"/>
          </w:tcPr>
          <w:p w14:paraId="0C876D7F">
            <w:pPr>
              <w:spacing w:line="240" w:lineRule="auto"/>
              <w:jc w:val="center"/>
              <w:rPr>
                <w:sz w:val="21"/>
              </w:rPr>
            </w:pPr>
          </w:p>
        </w:tc>
        <w:tc>
          <w:tcPr>
            <w:tcW w:w="1888" w:type="dxa"/>
            <w:vMerge w:val="continue"/>
            <w:tcBorders>
              <w:left w:val="single" w:color="000000" w:sz="6" w:space="0"/>
              <w:right w:val="single" w:color="000000" w:sz="12" w:space="0"/>
            </w:tcBorders>
            <w:vAlign w:val="center"/>
          </w:tcPr>
          <w:p w14:paraId="18AA21EC">
            <w:pPr>
              <w:spacing w:line="240" w:lineRule="auto"/>
              <w:jc w:val="center"/>
              <w:rPr>
                <w:sz w:val="21"/>
              </w:rPr>
            </w:pPr>
          </w:p>
        </w:tc>
      </w:tr>
      <w:tr w14:paraId="092684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325" w:type="dxa"/>
            <w:tcBorders>
              <w:top w:val="single" w:color="000000" w:sz="6" w:space="0"/>
              <w:left w:val="single" w:color="000000" w:sz="12" w:space="0"/>
              <w:bottom w:val="single" w:color="000000" w:sz="6" w:space="0"/>
              <w:right w:val="single" w:color="000000" w:sz="6" w:space="0"/>
            </w:tcBorders>
            <w:vAlign w:val="center"/>
          </w:tcPr>
          <w:p w14:paraId="24E874BB">
            <w:pPr>
              <w:spacing w:line="240" w:lineRule="auto"/>
              <w:jc w:val="center"/>
              <w:rPr>
                <w:sz w:val="21"/>
              </w:rPr>
            </w:pPr>
            <w:r>
              <w:rPr>
                <w:sz w:val="21"/>
              </w:rPr>
              <w:t>9800×6300</w:t>
            </w:r>
          </w:p>
        </w:tc>
        <w:tc>
          <w:tcPr>
            <w:tcW w:w="744" w:type="dxa"/>
            <w:tcBorders>
              <w:top w:val="single" w:color="000000" w:sz="6" w:space="0"/>
              <w:left w:val="single" w:color="000000" w:sz="6" w:space="0"/>
              <w:bottom w:val="single" w:color="000000" w:sz="6" w:space="0"/>
              <w:right w:val="single" w:color="000000" w:sz="6" w:space="0"/>
            </w:tcBorders>
            <w:vAlign w:val="center"/>
          </w:tcPr>
          <w:p w14:paraId="5161CCCF">
            <w:pPr>
              <w:spacing w:line="240" w:lineRule="auto"/>
              <w:jc w:val="center"/>
              <w:rPr>
                <w:sz w:val="21"/>
              </w:rPr>
            </w:pPr>
            <w:r>
              <w:rPr>
                <w:sz w:val="21"/>
              </w:rPr>
              <w:t>700</w:t>
            </w:r>
          </w:p>
        </w:tc>
        <w:tc>
          <w:tcPr>
            <w:tcW w:w="1418" w:type="dxa"/>
            <w:tcBorders>
              <w:top w:val="single" w:color="000000" w:sz="6" w:space="0"/>
              <w:left w:val="single" w:color="000000" w:sz="6" w:space="0"/>
              <w:bottom w:val="single" w:color="000000" w:sz="6" w:space="0"/>
              <w:right w:val="single" w:color="000000" w:sz="6" w:space="0"/>
            </w:tcBorders>
            <w:vAlign w:val="center"/>
          </w:tcPr>
          <w:p w14:paraId="7B0FF227">
            <w:pPr>
              <w:spacing w:line="240" w:lineRule="auto"/>
              <w:jc w:val="center"/>
              <w:rPr>
                <w:sz w:val="21"/>
              </w:rPr>
            </w:pPr>
            <w:r>
              <w:rPr>
                <w:sz w:val="21"/>
              </w:rPr>
              <w:t>8400×4900</w:t>
            </w:r>
          </w:p>
        </w:tc>
        <w:tc>
          <w:tcPr>
            <w:tcW w:w="1417" w:type="dxa"/>
            <w:tcBorders>
              <w:top w:val="single" w:color="000000" w:sz="6" w:space="0"/>
              <w:left w:val="single" w:color="000000" w:sz="6" w:space="0"/>
              <w:bottom w:val="single" w:color="000000" w:sz="6" w:space="0"/>
              <w:right w:val="single" w:color="000000" w:sz="6" w:space="0"/>
            </w:tcBorders>
            <w:vAlign w:val="center"/>
          </w:tcPr>
          <w:p w14:paraId="63D17E4D">
            <w:pPr>
              <w:spacing w:line="240" w:lineRule="auto"/>
              <w:jc w:val="center"/>
              <w:rPr>
                <w:sz w:val="21"/>
              </w:rPr>
            </w:pPr>
            <w:r>
              <w:rPr>
                <w:sz w:val="21"/>
              </w:rPr>
              <w:t>9757×6257</w:t>
            </w:r>
          </w:p>
        </w:tc>
        <w:tc>
          <w:tcPr>
            <w:tcW w:w="1418" w:type="dxa"/>
            <w:tcBorders>
              <w:top w:val="single" w:color="000000" w:sz="6" w:space="0"/>
              <w:left w:val="single" w:color="000000" w:sz="6" w:space="0"/>
              <w:bottom w:val="single" w:color="000000" w:sz="6" w:space="0"/>
              <w:right w:val="single" w:color="000000" w:sz="6" w:space="0"/>
            </w:tcBorders>
            <w:vAlign w:val="center"/>
          </w:tcPr>
          <w:p w14:paraId="6609B173">
            <w:pPr>
              <w:spacing w:line="240" w:lineRule="auto"/>
              <w:jc w:val="center"/>
              <w:rPr>
                <w:sz w:val="21"/>
              </w:rPr>
            </w:pPr>
            <w:r>
              <w:rPr>
                <w:sz w:val="21"/>
              </w:rPr>
              <w:t>9730×6230</w:t>
            </w:r>
          </w:p>
        </w:tc>
        <w:tc>
          <w:tcPr>
            <w:tcW w:w="709" w:type="dxa"/>
            <w:tcBorders>
              <w:top w:val="single" w:color="000000" w:sz="6" w:space="0"/>
              <w:left w:val="single" w:color="000000" w:sz="6" w:space="0"/>
              <w:bottom w:val="single" w:color="000000" w:sz="6" w:space="0"/>
              <w:right w:val="single" w:color="000000" w:sz="6" w:space="0"/>
            </w:tcBorders>
            <w:vAlign w:val="center"/>
          </w:tcPr>
          <w:p w14:paraId="4DB36097">
            <w:pPr>
              <w:spacing w:line="240" w:lineRule="auto"/>
              <w:jc w:val="center"/>
              <w:rPr>
                <w:sz w:val="21"/>
              </w:rPr>
            </w:pPr>
            <w:r>
              <w:rPr>
                <w:sz w:val="21"/>
              </w:rPr>
              <w:t>≥8</w:t>
            </w:r>
          </w:p>
        </w:tc>
        <w:tc>
          <w:tcPr>
            <w:tcW w:w="708" w:type="dxa"/>
            <w:tcBorders>
              <w:top w:val="single" w:color="000000" w:sz="6" w:space="0"/>
              <w:left w:val="single" w:color="000000" w:sz="6" w:space="0"/>
              <w:bottom w:val="single" w:color="000000" w:sz="6" w:space="0"/>
              <w:right w:val="single" w:color="000000" w:sz="6" w:space="0"/>
            </w:tcBorders>
            <w:vAlign w:val="center"/>
          </w:tcPr>
          <w:p w14:paraId="6C932B57">
            <w:pPr>
              <w:spacing w:line="240" w:lineRule="auto"/>
              <w:jc w:val="center"/>
              <w:rPr>
                <w:sz w:val="21"/>
              </w:rPr>
            </w:pPr>
            <w:r>
              <w:rPr>
                <w:sz w:val="21"/>
              </w:rPr>
              <w:t>216</w:t>
            </w:r>
          </w:p>
        </w:tc>
        <w:tc>
          <w:tcPr>
            <w:tcW w:w="1528" w:type="dxa"/>
            <w:tcBorders>
              <w:top w:val="single" w:color="000000" w:sz="6" w:space="0"/>
              <w:left w:val="single" w:color="000000" w:sz="6" w:space="0"/>
              <w:bottom w:val="single" w:color="000000" w:sz="6" w:space="0"/>
              <w:right w:val="single" w:color="000000" w:sz="6" w:space="0"/>
            </w:tcBorders>
            <w:vAlign w:val="center"/>
          </w:tcPr>
          <w:p w14:paraId="217E6E9E">
            <w:pPr>
              <w:spacing w:line="240" w:lineRule="auto"/>
              <w:jc w:val="center"/>
              <w:rPr>
                <w:sz w:val="21"/>
              </w:rPr>
            </w:pPr>
            <w:r>
              <w:rPr>
                <w:sz w:val="21"/>
              </w:rPr>
              <w:t>9768×6268</w:t>
            </w:r>
          </w:p>
        </w:tc>
        <w:tc>
          <w:tcPr>
            <w:tcW w:w="908" w:type="dxa"/>
            <w:vMerge w:val="continue"/>
            <w:tcBorders>
              <w:left w:val="single" w:color="000000" w:sz="6" w:space="0"/>
              <w:right w:val="single" w:color="000000" w:sz="6" w:space="0"/>
            </w:tcBorders>
            <w:vAlign w:val="center"/>
          </w:tcPr>
          <w:p w14:paraId="00F0DE60">
            <w:pPr>
              <w:spacing w:line="240" w:lineRule="auto"/>
              <w:jc w:val="center"/>
              <w:rPr>
                <w:sz w:val="21"/>
              </w:rPr>
            </w:pPr>
          </w:p>
        </w:tc>
        <w:tc>
          <w:tcPr>
            <w:tcW w:w="908" w:type="dxa"/>
            <w:vMerge w:val="continue"/>
            <w:tcBorders>
              <w:left w:val="single" w:color="000000" w:sz="6" w:space="0"/>
              <w:right w:val="single" w:color="000000" w:sz="6" w:space="0"/>
            </w:tcBorders>
            <w:vAlign w:val="center"/>
          </w:tcPr>
          <w:p w14:paraId="537FB68C">
            <w:pPr>
              <w:spacing w:line="240" w:lineRule="auto"/>
              <w:jc w:val="center"/>
              <w:rPr>
                <w:sz w:val="21"/>
              </w:rPr>
            </w:pPr>
          </w:p>
        </w:tc>
        <w:tc>
          <w:tcPr>
            <w:tcW w:w="1888" w:type="dxa"/>
            <w:vMerge w:val="continue"/>
            <w:tcBorders>
              <w:left w:val="single" w:color="000000" w:sz="6" w:space="0"/>
              <w:right w:val="single" w:color="000000" w:sz="12" w:space="0"/>
            </w:tcBorders>
            <w:vAlign w:val="center"/>
          </w:tcPr>
          <w:p w14:paraId="36E0C7CA">
            <w:pPr>
              <w:spacing w:line="240" w:lineRule="auto"/>
              <w:jc w:val="center"/>
              <w:rPr>
                <w:sz w:val="21"/>
              </w:rPr>
            </w:pPr>
          </w:p>
        </w:tc>
      </w:tr>
      <w:tr w14:paraId="42859C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325" w:type="dxa"/>
            <w:tcBorders>
              <w:top w:val="single" w:color="000000" w:sz="6" w:space="0"/>
              <w:left w:val="single" w:color="000000" w:sz="12" w:space="0"/>
              <w:bottom w:val="single" w:color="000000" w:sz="6" w:space="0"/>
              <w:right w:val="single" w:color="000000" w:sz="6" w:space="0"/>
            </w:tcBorders>
            <w:vAlign w:val="center"/>
          </w:tcPr>
          <w:p w14:paraId="5A180E57">
            <w:pPr>
              <w:spacing w:line="240" w:lineRule="auto"/>
              <w:jc w:val="center"/>
              <w:rPr>
                <w:sz w:val="21"/>
              </w:rPr>
            </w:pPr>
            <w:r>
              <w:rPr>
                <w:sz w:val="21"/>
              </w:rPr>
              <w:t>9900×8150</w:t>
            </w:r>
          </w:p>
        </w:tc>
        <w:tc>
          <w:tcPr>
            <w:tcW w:w="744" w:type="dxa"/>
            <w:tcBorders>
              <w:top w:val="single" w:color="000000" w:sz="6" w:space="0"/>
              <w:left w:val="single" w:color="000000" w:sz="6" w:space="0"/>
              <w:bottom w:val="single" w:color="000000" w:sz="6" w:space="0"/>
              <w:right w:val="single" w:color="000000" w:sz="6" w:space="0"/>
            </w:tcBorders>
            <w:vAlign w:val="center"/>
          </w:tcPr>
          <w:p w14:paraId="3797FE9E">
            <w:pPr>
              <w:spacing w:line="240" w:lineRule="auto"/>
              <w:jc w:val="center"/>
              <w:rPr>
                <w:sz w:val="21"/>
              </w:rPr>
            </w:pPr>
            <w:r>
              <w:rPr>
                <w:sz w:val="21"/>
              </w:rPr>
              <w:t>700</w:t>
            </w:r>
          </w:p>
        </w:tc>
        <w:tc>
          <w:tcPr>
            <w:tcW w:w="1418" w:type="dxa"/>
            <w:tcBorders>
              <w:top w:val="single" w:color="000000" w:sz="6" w:space="0"/>
              <w:left w:val="single" w:color="000000" w:sz="6" w:space="0"/>
              <w:bottom w:val="single" w:color="000000" w:sz="6" w:space="0"/>
              <w:right w:val="single" w:color="000000" w:sz="6" w:space="0"/>
            </w:tcBorders>
            <w:vAlign w:val="center"/>
          </w:tcPr>
          <w:p w14:paraId="10D2D666">
            <w:pPr>
              <w:spacing w:line="240" w:lineRule="auto"/>
              <w:jc w:val="center"/>
              <w:rPr>
                <w:sz w:val="21"/>
              </w:rPr>
            </w:pPr>
            <w:r>
              <w:rPr>
                <w:sz w:val="21"/>
              </w:rPr>
              <w:t>8500×6750</w:t>
            </w:r>
          </w:p>
        </w:tc>
        <w:tc>
          <w:tcPr>
            <w:tcW w:w="1417" w:type="dxa"/>
            <w:tcBorders>
              <w:top w:val="single" w:color="000000" w:sz="6" w:space="0"/>
              <w:left w:val="single" w:color="000000" w:sz="6" w:space="0"/>
              <w:bottom w:val="single" w:color="000000" w:sz="6" w:space="0"/>
              <w:right w:val="single" w:color="000000" w:sz="6" w:space="0"/>
            </w:tcBorders>
            <w:vAlign w:val="center"/>
          </w:tcPr>
          <w:p w14:paraId="4F02C88D">
            <w:pPr>
              <w:spacing w:line="240" w:lineRule="auto"/>
              <w:jc w:val="center"/>
              <w:rPr>
                <w:sz w:val="21"/>
              </w:rPr>
            </w:pPr>
            <w:r>
              <w:rPr>
                <w:sz w:val="21"/>
              </w:rPr>
              <w:t>9857×8107</w:t>
            </w:r>
          </w:p>
        </w:tc>
        <w:tc>
          <w:tcPr>
            <w:tcW w:w="1418" w:type="dxa"/>
            <w:tcBorders>
              <w:top w:val="single" w:color="000000" w:sz="6" w:space="0"/>
              <w:left w:val="single" w:color="000000" w:sz="6" w:space="0"/>
              <w:bottom w:val="single" w:color="000000" w:sz="6" w:space="0"/>
              <w:right w:val="single" w:color="000000" w:sz="6" w:space="0"/>
            </w:tcBorders>
            <w:vAlign w:val="center"/>
          </w:tcPr>
          <w:p w14:paraId="30B25ECA">
            <w:pPr>
              <w:spacing w:line="240" w:lineRule="auto"/>
              <w:jc w:val="center"/>
              <w:rPr>
                <w:sz w:val="21"/>
              </w:rPr>
            </w:pPr>
            <w:r>
              <w:rPr>
                <w:sz w:val="21"/>
              </w:rPr>
              <w:t>9830×8080</w:t>
            </w:r>
          </w:p>
        </w:tc>
        <w:tc>
          <w:tcPr>
            <w:tcW w:w="709" w:type="dxa"/>
            <w:tcBorders>
              <w:top w:val="single" w:color="000000" w:sz="6" w:space="0"/>
              <w:left w:val="single" w:color="000000" w:sz="6" w:space="0"/>
              <w:bottom w:val="single" w:color="000000" w:sz="6" w:space="0"/>
              <w:right w:val="single" w:color="000000" w:sz="6" w:space="0"/>
            </w:tcBorders>
            <w:vAlign w:val="center"/>
          </w:tcPr>
          <w:p w14:paraId="6FADD822">
            <w:pPr>
              <w:spacing w:line="240" w:lineRule="auto"/>
              <w:jc w:val="center"/>
              <w:rPr>
                <w:sz w:val="21"/>
              </w:rPr>
            </w:pPr>
            <w:r>
              <w:rPr>
                <w:sz w:val="21"/>
              </w:rPr>
              <w:t>≥8</w:t>
            </w:r>
          </w:p>
        </w:tc>
        <w:tc>
          <w:tcPr>
            <w:tcW w:w="708" w:type="dxa"/>
            <w:tcBorders>
              <w:top w:val="single" w:color="000000" w:sz="6" w:space="0"/>
              <w:left w:val="single" w:color="000000" w:sz="6" w:space="0"/>
              <w:bottom w:val="single" w:color="000000" w:sz="6" w:space="0"/>
              <w:right w:val="single" w:color="000000" w:sz="6" w:space="0"/>
            </w:tcBorders>
            <w:vAlign w:val="center"/>
          </w:tcPr>
          <w:p w14:paraId="66E7C069">
            <w:pPr>
              <w:spacing w:line="240" w:lineRule="auto"/>
              <w:jc w:val="center"/>
              <w:rPr>
                <w:sz w:val="21"/>
              </w:rPr>
            </w:pPr>
            <w:r>
              <w:rPr>
                <w:sz w:val="21"/>
              </w:rPr>
              <w:t>216</w:t>
            </w:r>
          </w:p>
        </w:tc>
        <w:tc>
          <w:tcPr>
            <w:tcW w:w="1528" w:type="dxa"/>
            <w:tcBorders>
              <w:top w:val="single" w:color="000000" w:sz="6" w:space="0"/>
              <w:left w:val="single" w:color="000000" w:sz="6" w:space="0"/>
              <w:bottom w:val="single" w:color="000000" w:sz="6" w:space="0"/>
              <w:right w:val="single" w:color="000000" w:sz="6" w:space="0"/>
            </w:tcBorders>
            <w:vAlign w:val="center"/>
          </w:tcPr>
          <w:p w14:paraId="71FA75D8">
            <w:pPr>
              <w:spacing w:line="240" w:lineRule="auto"/>
              <w:jc w:val="center"/>
              <w:rPr>
                <w:sz w:val="21"/>
              </w:rPr>
            </w:pPr>
            <w:r>
              <w:rPr>
                <w:sz w:val="21"/>
              </w:rPr>
              <w:t>9868×8118</w:t>
            </w:r>
          </w:p>
        </w:tc>
        <w:tc>
          <w:tcPr>
            <w:tcW w:w="908" w:type="dxa"/>
            <w:vMerge w:val="continue"/>
            <w:tcBorders>
              <w:left w:val="single" w:color="000000" w:sz="6" w:space="0"/>
              <w:bottom w:val="single" w:color="auto" w:sz="4" w:space="0"/>
              <w:right w:val="single" w:color="000000" w:sz="6" w:space="0"/>
            </w:tcBorders>
            <w:vAlign w:val="center"/>
          </w:tcPr>
          <w:p w14:paraId="6078EEF8">
            <w:pPr>
              <w:spacing w:line="240" w:lineRule="auto"/>
              <w:jc w:val="center"/>
              <w:rPr>
                <w:sz w:val="21"/>
              </w:rPr>
            </w:pPr>
          </w:p>
        </w:tc>
        <w:tc>
          <w:tcPr>
            <w:tcW w:w="908" w:type="dxa"/>
            <w:vMerge w:val="continue"/>
            <w:tcBorders>
              <w:left w:val="single" w:color="000000" w:sz="6" w:space="0"/>
              <w:bottom w:val="single" w:color="auto" w:sz="4" w:space="0"/>
              <w:right w:val="single" w:color="000000" w:sz="6" w:space="0"/>
            </w:tcBorders>
            <w:vAlign w:val="center"/>
          </w:tcPr>
          <w:p w14:paraId="1392978A">
            <w:pPr>
              <w:spacing w:line="240" w:lineRule="auto"/>
              <w:jc w:val="center"/>
              <w:rPr>
                <w:sz w:val="21"/>
              </w:rPr>
            </w:pPr>
          </w:p>
        </w:tc>
        <w:tc>
          <w:tcPr>
            <w:tcW w:w="1888" w:type="dxa"/>
            <w:vMerge w:val="continue"/>
            <w:tcBorders>
              <w:left w:val="single" w:color="000000" w:sz="6" w:space="0"/>
              <w:bottom w:val="single" w:color="auto" w:sz="4" w:space="0"/>
              <w:right w:val="single" w:color="000000" w:sz="12" w:space="0"/>
            </w:tcBorders>
            <w:vAlign w:val="center"/>
          </w:tcPr>
          <w:p w14:paraId="53FE75FD">
            <w:pPr>
              <w:spacing w:line="240" w:lineRule="auto"/>
              <w:jc w:val="center"/>
              <w:rPr>
                <w:sz w:val="21"/>
              </w:rPr>
            </w:pPr>
          </w:p>
        </w:tc>
      </w:tr>
      <w:tr w14:paraId="56BBAF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325" w:type="dxa"/>
            <w:tcBorders>
              <w:top w:val="single" w:color="000000" w:sz="6" w:space="0"/>
              <w:left w:val="single" w:color="000000" w:sz="12" w:space="0"/>
              <w:bottom w:val="single" w:color="000000" w:sz="6" w:space="0"/>
              <w:right w:val="single" w:color="000000" w:sz="6" w:space="0"/>
            </w:tcBorders>
            <w:vAlign w:val="center"/>
          </w:tcPr>
          <w:p w14:paraId="08AF935D">
            <w:pPr>
              <w:spacing w:line="240" w:lineRule="auto"/>
              <w:jc w:val="center"/>
              <w:rPr>
                <w:sz w:val="21"/>
              </w:rPr>
            </w:pPr>
            <w:r>
              <w:rPr>
                <w:sz w:val="21"/>
              </w:rPr>
              <w:t>10200×6600</w:t>
            </w:r>
          </w:p>
        </w:tc>
        <w:tc>
          <w:tcPr>
            <w:tcW w:w="744" w:type="dxa"/>
            <w:tcBorders>
              <w:top w:val="single" w:color="000000" w:sz="6" w:space="0"/>
              <w:left w:val="single" w:color="000000" w:sz="6" w:space="0"/>
              <w:bottom w:val="single" w:color="000000" w:sz="6" w:space="0"/>
              <w:right w:val="single" w:color="000000" w:sz="6" w:space="0"/>
            </w:tcBorders>
            <w:vAlign w:val="center"/>
          </w:tcPr>
          <w:p w14:paraId="67393691">
            <w:pPr>
              <w:spacing w:line="240" w:lineRule="auto"/>
              <w:jc w:val="center"/>
              <w:rPr>
                <w:sz w:val="21"/>
              </w:rPr>
            </w:pPr>
            <w:r>
              <w:rPr>
                <w:sz w:val="21"/>
              </w:rPr>
              <w:t>650</w:t>
            </w:r>
          </w:p>
        </w:tc>
        <w:tc>
          <w:tcPr>
            <w:tcW w:w="1418" w:type="dxa"/>
            <w:tcBorders>
              <w:top w:val="single" w:color="000000" w:sz="6" w:space="0"/>
              <w:left w:val="single" w:color="000000" w:sz="6" w:space="0"/>
              <w:bottom w:val="single" w:color="000000" w:sz="6" w:space="0"/>
              <w:right w:val="single" w:color="000000" w:sz="6" w:space="0"/>
            </w:tcBorders>
            <w:vAlign w:val="center"/>
          </w:tcPr>
          <w:p w14:paraId="1E16D716">
            <w:pPr>
              <w:spacing w:line="240" w:lineRule="auto"/>
              <w:jc w:val="center"/>
              <w:rPr>
                <w:sz w:val="21"/>
              </w:rPr>
            </w:pPr>
            <w:r>
              <w:rPr>
                <w:sz w:val="21"/>
              </w:rPr>
              <w:t>8900×5300</w:t>
            </w:r>
          </w:p>
        </w:tc>
        <w:tc>
          <w:tcPr>
            <w:tcW w:w="1417" w:type="dxa"/>
            <w:tcBorders>
              <w:top w:val="single" w:color="000000" w:sz="6" w:space="0"/>
              <w:left w:val="single" w:color="000000" w:sz="6" w:space="0"/>
              <w:bottom w:val="single" w:color="000000" w:sz="6" w:space="0"/>
              <w:right w:val="single" w:color="000000" w:sz="6" w:space="0"/>
            </w:tcBorders>
            <w:vAlign w:val="center"/>
          </w:tcPr>
          <w:p w14:paraId="1B30166B">
            <w:pPr>
              <w:spacing w:line="240" w:lineRule="auto"/>
              <w:jc w:val="center"/>
              <w:rPr>
                <w:sz w:val="21"/>
              </w:rPr>
            </w:pPr>
            <w:r>
              <w:rPr>
                <w:sz w:val="21"/>
              </w:rPr>
              <w:t>10157×6557</w:t>
            </w:r>
          </w:p>
        </w:tc>
        <w:tc>
          <w:tcPr>
            <w:tcW w:w="1418" w:type="dxa"/>
            <w:tcBorders>
              <w:top w:val="single" w:color="000000" w:sz="6" w:space="0"/>
              <w:left w:val="single" w:color="000000" w:sz="6" w:space="0"/>
              <w:bottom w:val="single" w:color="000000" w:sz="6" w:space="0"/>
              <w:right w:val="single" w:color="000000" w:sz="6" w:space="0"/>
            </w:tcBorders>
            <w:vAlign w:val="center"/>
          </w:tcPr>
          <w:p w14:paraId="7D4EFD87">
            <w:pPr>
              <w:spacing w:line="240" w:lineRule="auto"/>
              <w:jc w:val="center"/>
              <w:rPr>
                <w:sz w:val="21"/>
              </w:rPr>
            </w:pPr>
            <w:r>
              <w:rPr>
                <w:sz w:val="21"/>
              </w:rPr>
              <w:t>10130×6530</w:t>
            </w:r>
          </w:p>
        </w:tc>
        <w:tc>
          <w:tcPr>
            <w:tcW w:w="709" w:type="dxa"/>
            <w:tcBorders>
              <w:top w:val="single" w:color="000000" w:sz="6" w:space="0"/>
              <w:left w:val="single" w:color="000000" w:sz="6" w:space="0"/>
              <w:bottom w:val="single" w:color="000000" w:sz="6" w:space="0"/>
              <w:right w:val="single" w:color="000000" w:sz="6" w:space="0"/>
            </w:tcBorders>
            <w:vAlign w:val="center"/>
          </w:tcPr>
          <w:p w14:paraId="00A270D0">
            <w:pPr>
              <w:spacing w:line="240" w:lineRule="auto"/>
              <w:jc w:val="center"/>
              <w:rPr>
                <w:sz w:val="21"/>
              </w:rPr>
            </w:pPr>
            <w:r>
              <w:rPr>
                <w:sz w:val="21"/>
              </w:rPr>
              <w:t>≥8</w:t>
            </w:r>
          </w:p>
        </w:tc>
        <w:tc>
          <w:tcPr>
            <w:tcW w:w="708" w:type="dxa"/>
            <w:tcBorders>
              <w:top w:val="single" w:color="000000" w:sz="6" w:space="0"/>
              <w:left w:val="single" w:color="000000" w:sz="6" w:space="0"/>
              <w:bottom w:val="single" w:color="000000" w:sz="6" w:space="0"/>
              <w:right w:val="single" w:color="000000" w:sz="6" w:space="0"/>
            </w:tcBorders>
            <w:vAlign w:val="center"/>
          </w:tcPr>
          <w:p w14:paraId="36B4DE04">
            <w:pPr>
              <w:spacing w:line="240" w:lineRule="auto"/>
              <w:jc w:val="center"/>
              <w:rPr>
                <w:sz w:val="21"/>
              </w:rPr>
            </w:pPr>
            <w:r>
              <w:rPr>
                <w:sz w:val="21"/>
              </w:rPr>
              <w:t>216</w:t>
            </w:r>
          </w:p>
        </w:tc>
        <w:tc>
          <w:tcPr>
            <w:tcW w:w="1528" w:type="dxa"/>
            <w:tcBorders>
              <w:top w:val="single" w:color="000000" w:sz="6" w:space="0"/>
              <w:left w:val="single" w:color="000000" w:sz="6" w:space="0"/>
              <w:bottom w:val="single" w:color="000000" w:sz="6" w:space="0"/>
              <w:right w:val="single" w:color="000000" w:sz="6" w:space="0"/>
            </w:tcBorders>
            <w:vAlign w:val="center"/>
          </w:tcPr>
          <w:p w14:paraId="57D52C8B">
            <w:pPr>
              <w:spacing w:line="240" w:lineRule="auto"/>
              <w:jc w:val="center"/>
              <w:rPr>
                <w:sz w:val="21"/>
              </w:rPr>
            </w:pPr>
            <w:r>
              <w:rPr>
                <w:sz w:val="21"/>
              </w:rPr>
              <w:t>10164×6564</w:t>
            </w:r>
          </w:p>
        </w:tc>
        <w:tc>
          <w:tcPr>
            <w:tcW w:w="908" w:type="dxa"/>
            <w:vMerge w:val="restart"/>
            <w:tcBorders>
              <w:top w:val="single" w:color="auto" w:sz="4" w:space="0"/>
              <w:left w:val="single" w:color="000000" w:sz="6" w:space="0"/>
              <w:right w:val="single" w:color="000000" w:sz="6" w:space="0"/>
            </w:tcBorders>
            <w:vAlign w:val="center"/>
          </w:tcPr>
          <w:p w14:paraId="6F584873">
            <w:pPr>
              <w:spacing w:line="240" w:lineRule="auto"/>
              <w:jc w:val="center"/>
              <w:rPr>
                <w:sz w:val="21"/>
              </w:rPr>
            </w:pPr>
            <w:r>
              <w:rPr>
                <w:sz w:val="21"/>
              </w:rPr>
              <w:t>≥16</w:t>
            </w:r>
          </w:p>
        </w:tc>
        <w:tc>
          <w:tcPr>
            <w:tcW w:w="908" w:type="dxa"/>
            <w:vMerge w:val="restart"/>
            <w:tcBorders>
              <w:top w:val="single" w:color="auto" w:sz="4" w:space="0"/>
              <w:left w:val="single" w:color="000000" w:sz="6" w:space="0"/>
              <w:right w:val="single" w:color="000000" w:sz="6" w:space="0"/>
            </w:tcBorders>
            <w:vAlign w:val="center"/>
          </w:tcPr>
          <w:p w14:paraId="6724B95F">
            <w:pPr>
              <w:spacing w:line="240" w:lineRule="auto"/>
              <w:jc w:val="center"/>
              <w:rPr>
                <w:sz w:val="21"/>
              </w:rPr>
            </w:pPr>
            <w:r>
              <w:rPr>
                <w:sz w:val="21"/>
              </w:rPr>
              <w:t>≥200</w:t>
            </w:r>
          </w:p>
        </w:tc>
        <w:tc>
          <w:tcPr>
            <w:tcW w:w="1888" w:type="dxa"/>
            <w:vMerge w:val="restart"/>
            <w:tcBorders>
              <w:top w:val="single" w:color="auto" w:sz="4" w:space="0"/>
              <w:left w:val="single" w:color="000000" w:sz="6" w:space="0"/>
              <w:right w:val="single" w:color="000000" w:sz="12" w:space="0"/>
            </w:tcBorders>
            <w:vAlign w:val="center"/>
          </w:tcPr>
          <w:p w14:paraId="6990D715">
            <w:pPr>
              <w:spacing w:line="240" w:lineRule="auto"/>
              <w:jc w:val="center"/>
              <w:rPr>
                <w:sz w:val="21"/>
              </w:rPr>
            </w:pPr>
            <w:r>
              <w:rPr>
                <w:sz w:val="21"/>
              </w:rPr>
              <w:t>≥365</w:t>
            </w:r>
          </w:p>
        </w:tc>
      </w:tr>
      <w:tr w14:paraId="1351D6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325" w:type="dxa"/>
            <w:tcBorders>
              <w:top w:val="single" w:color="000000" w:sz="6" w:space="0"/>
              <w:left w:val="single" w:color="000000" w:sz="12" w:space="0"/>
              <w:bottom w:val="single" w:color="000000" w:sz="6" w:space="0"/>
              <w:right w:val="single" w:color="000000" w:sz="6" w:space="0"/>
            </w:tcBorders>
            <w:vAlign w:val="center"/>
          </w:tcPr>
          <w:p w14:paraId="5D593E23">
            <w:pPr>
              <w:spacing w:line="240" w:lineRule="auto"/>
              <w:jc w:val="center"/>
              <w:rPr>
                <w:sz w:val="21"/>
              </w:rPr>
            </w:pPr>
            <w:r>
              <w:rPr>
                <w:sz w:val="21"/>
              </w:rPr>
              <w:t>10400×7500</w:t>
            </w:r>
          </w:p>
        </w:tc>
        <w:tc>
          <w:tcPr>
            <w:tcW w:w="744" w:type="dxa"/>
            <w:tcBorders>
              <w:top w:val="single" w:color="000000" w:sz="6" w:space="0"/>
              <w:left w:val="single" w:color="000000" w:sz="6" w:space="0"/>
              <w:bottom w:val="single" w:color="000000" w:sz="6" w:space="0"/>
              <w:right w:val="single" w:color="000000" w:sz="6" w:space="0"/>
            </w:tcBorders>
            <w:vAlign w:val="center"/>
          </w:tcPr>
          <w:p w14:paraId="7EE8BF93">
            <w:pPr>
              <w:spacing w:line="240" w:lineRule="auto"/>
              <w:jc w:val="center"/>
              <w:rPr>
                <w:sz w:val="21"/>
              </w:rPr>
            </w:pPr>
            <w:r>
              <w:rPr>
                <w:sz w:val="21"/>
              </w:rPr>
              <w:t>700</w:t>
            </w:r>
          </w:p>
        </w:tc>
        <w:tc>
          <w:tcPr>
            <w:tcW w:w="1418" w:type="dxa"/>
            <w:tcBorders>
              <w:top w:val="single" w:color="000000" w:sz="6" w:space="0"/>
              <w:left w:val="single" w:color="000000" w:sz="6" w:space="0"/>
              <w:bottom w:val="single" w:color="000000" w:sz="6" w:space="0"/>
              <w:right w:val="single" w:color="000000" w:sz="6" w:space="0"/>
            </w:tcBorders>
            <w:vAlign w:val="center"/>
          </w:tcPr>
          <w:p w14:paraId="07F3EC0B">
            <w:pPr>
              <w:spacing w:line="240" w:lineRule="auto"/>
              <w:jc w:val="center"/>
              <w:rPr>
                <w:sz w:val="21"/>
              </w:rPr>
            </w:pPr>
            <w:r>
              <w:rPr>
                <w:sz w:val="21"/>
              </w:rPr>
              <w:t>9000×6100</w:t>
            </w:r>
          </w:p>
        </w:tc>
        <w:tc>
          <w:tcPr>
            <w:tcW w:w="1417" w:type="dxa"/>
            <w:tcBorders>
              <w:top w:val="single" w:color="000000" w:sz="6" w:space="0"/>
              <w:left w:val="single" w:color="000000" w:sz="6" w:space="0"/>
              <w:bottom w:val="single" w:color="000000" w:sz="6" w:space="0"/>
              <w:right w:val="single" w:color="000000" w:sz="6" w:space="0"/>
            </w:tcBorders>
            <w:vAlign w:val="center"/>
          </w:tcPr>
          <w:p w14:paraId="3FD58D0A">
            <w:pPr>
              <w:spacing w:line="240" w:lineRule="auto"/>
              <w:jc w:val="center"/>
              <w:rPr>
                <w:sz w:val="21"/>
              </w:rPr>
            </w:pPr>
            <w:r>
              <w:rPr>
                <w:sz w:val="21"/>
              </w:rPr>
              <w:t>10357×7457</w:t>
            </w:r>
          </w:p>
        </w:tc>
        <w:tc>
          <w:tcPr>
            <w:tcW w:w="1418" w:type="dxa"/>
            <w:tcBorders>
              <w:top w:val="single" w:color="000000" w:sz="6" w:space="0"/>
              <w:left w:val="single" w:color="000000" w:sz="6" w:space="0"/>
              <w:bottom w:val="single" w:color="000000" w:sz="6" w:space="0"/>
              <w:right w:val="single" w:color="000000" w:sz="6" w:space="0"/>
            </w:tcBorders>
            <w:vAlign w:val="center"/>
          </w:tcPr>
          <w:p w14:paraId="6F23AAC8">
            <w:pPr>
              <w:spacing w:line="240" w:lineRule="auto"/>
              <w:jc w:val="center"/>
              <w:rPr>
                <w:sz w:val="21"/>
              </w:rPr>
            </w:pPr>
            <w:r>
              <w:rPr>
                <w:sz w:val="21"/>
              </w:rPr>
              <w:t>10330×7430</w:t>
            </w:r>
          </w:p>
        </w:tc>
        <w:tc>
          <w:tcPr>
            <w:tcW w:w="709" w:type="dxa"/>
            <w:tcBorders>
              <w:top w:val="single" w:color="000000" w:sz="6" w:space="0"/>
              <w:left w:val="single" w:color="000000" w:sz="6" w:space="0"/>
              <w:bottom w:val="single" w:color="000000" w:sz="6" w:space="0"/>
              <w:right w:val="single" w:color="000000" w:sz="6" w:space="0"/>
            </w:tcBorders>
            <w:vAlign w:val="center"/>
          </w:tcPr>
          <w:p w14:paraId="40A72350">
            <w:pPr>
              <w:spacing w:line="240" w:lineRule="auto"/>
              <w:jc w:val="center"/>
              <w:rPr>
                <w:sz w:val="21"/>
              </w:rPr>
            </w:pPr>
            <w:r>
              <w:rPr>
                <w:sz w:val="21"/>
              </w:rPr>
              <w:t>≥8</w:t>
            </w:r>
          </w:p>
        </w:tc>
        <w:tc>
          <w:tcPr>
            <w:tcW w:w="708" w:type="dxa"/>
            <w:tcBorders>
              <w:top w:val="single" w:color="000000" w:sz="6" w:space="0"/>
              <w:left w:val="single" w:color="000000" w:sz="6" w:space="0"/>
              <w:bottom w:val="single" w:color="000000" w:sz="6" w:space="0"/>
              <w:right w:val="single" w:color="000000" w:sz="6" w:space="0"/>
            </w:tcBorders>
            <w:vAlign w:val="center"/>
          </w:tcPr>
          <w:p w14:paraId="52D98D98">
            <w:pPr>
              <w:spacing w:line="240" w:lineRule="auto"/>
              <w:jc w:val="center"/>
              <w:rPr>
                <w:sz w:val="21"/>
              </w:rPr>
            </w:pPr>
            <w:r>
              <w:rPr>
                <w:sz w:val="21"/>
              </w:rPr>
              <w:t>216</w:t>
            </w:r>
          </w:p>
        </w:tc>
        <w:tc>
          <w:tcPr>
            <w:tcW w:w="1528" w:type="dxa"/>
            <w:tcBorders>
              <w:top w:val="single" w:color="000000" w:sz="6" w:space="0"/>
              <w:left w:val="single" w:color="000000" w:sz="6" w:space="0"/>
              <w:bottom w:val="single" w:color="000000" w:sz="6" w:space="0"/>
              <w:right w:val="single" w:color="000000" w:sz="6" w:space="0"/>
            </w:tcBorders>
            <w:vAlign w:val="center"/>
          </w:tcPr>
          <w:p w14:paraId="13BAC276">
            <w:pPr>
              <w:spacing w:line="240" w:lineRule="auto"/>
              <w:jc w:val="center"/>
              <w:rPr>
                <w:sz w:val="21"/>
              </w:rPr>
            </w:pPr>
            <w:r>
              <w:rPr>
                <w:sz w:val="21"/>
              </w:rPr>
              <w:t>10364×7464</w:t>
            </w:r>
          </w:p>
        </w:tc>
        <w:tc>
          <w:tcPr>
            <w:tcW w:w="908" w:type="dxa"/>
            <w:vMerge w:val="continue"/>
            <w:tcBorders>
              <w:left w:val="single" w:color="000000" w:sz="6" w:space="0"/>
              <w:right w:val="single" w:color="000000" w:sz="6" w:space="0"/>
            </w:tcBorders>
            <w:vAlign w:val="center"/>
          </w:tcPr>
          <w:p w14:paraId="3BF45180">
            <w:pPr>
              <w:spacing w:line="240" w:lineRule="auto"/>
              <w:jc w:val="center"/>
              <w:rPr>
                <w:sz w:val="21"/>
              </w:rPr>
            </w:pPr>
          </w:p>
        </w:tc>
        <w:tc>
          <w:tcPr>
            <w:tcW w:w="908" w:type="dxa"/>
            <w:vMerge w:val="continue"/>
            <w:tcBorders>
              <w:left w:val="single" w:color="000000" w:sz="6" w:space="0"/>
              <w:right w:val="single" w:color="000000" w:sz="6" w:space="0"/>
            </w:tcBorders>
            <w:vAlign w:val="center"/>
          </w:tcPr>
          <w:p w14:paraId="00DAAFA9">
            <w:pPr>
              <w:spacing w:line="240" w:lineRule="auto"/>
              <w:jc w:val="center"/>
              <w:rPr>
                <w:sz w:val="21"/>
              </w:rPr>
            </w:pPr>
          </w:p>
        </w:tc>
        <w:tc>
          <w:tcPr>
            <w:tcW w:w="1888" w:type="dxa"/>
            <w:vMerge w:val="continue"/>
            <w:tcBorders>
              <w:left w:val="single" w:color="000000" w:sz="6" w:space="0"/>
              <w:right w:val="single" w:color="000000" w:sz="12" w:space="0"/>
            </w:tcBorders>
            <w:vAlign w:val="center"/>
          </w:tcPr>
          <w:p w14:paraId="143F212F">
            <w:pPr>
              <w:spacing w:line="240" w:lineRule="auto"/>
              <w:jc w:val="center"/>
              <w:rPr>
                <w:sz w:val="21"/>
              </w:rPr>
            </w:pPr>
          </w:p>
        </w:tc>
      </w:tr>
      <w:tr w14:paraId="6CBF0B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325" w:type="dxa"/>
            <w:tcBorders>
              <w:top w:val="single" w:color="000000" w:sz="6" w:space="0"/>
              <w:left w:val="single" w:color="000000" w:sz="12" w:space="0"/>
              <w:bottom w:val="single" w:color="000000" w:sz="6" w:space="0"/>
              <w:right w:val="single" w:color="000000" w:sz="6" w:space="0"/>
            </w:tcBorders>
            <w:vAlign w:val="center"/>
          </w:tcPr>
          <w:p w14:paraId="395C514C">
            <w:pPr>
              <w:spacing w:line="240" w:lineRule="auto"/>
              <w:jc w:val="center"/>
              <w:rPr>
                <w:sz w:val="21"/>
              </w:rPr>
            </w:pPr>
            <w:r>
              <w:rPr>
                <w:rFonts w:hint="eastAsia"/>
                <w:sz w:val="21"/>
              </w:rPr>
              <w:t>14800</w:t>
            </w:r>
            <w:r>
              <w:rPr>
                <w:sz w:val="21"/>
              </w:rPr>
              <w:t>×</w:t>
            </w:r>
            <w:r>
              <w:rPr>
                <w:rFonts w:hint="eastAsia"/>
                <w:sz w:val="21"/>
              </w:rPr>
              <w:t>9426</w:t>
            </w:r>
          </w:p>
        </w:tc>
        <w:tc>
          <w:tcPr>
            <w:tcW w:w="744" w:type="dxa"/>
            <w:tcBorders>
              <w:top w:val="single" w:color="000000" w:sz="6" w:space="0"/>
              <w:left w:val="single" w:color="000000" w:sz="6" w:space="0"/>
              <w:bottom w:val="single" w:color="000000" w:sz="6" w:space="0"/>
              <w:right w:val="single" w:color="000000" w:sz="6" w:space="0"/>
            </w:tcBorders>
            <w:vAlign w:val="center"/>
          </w:tcPr>
          <w:p w14:paraId="7D3C4D9D">
            <w:pPr>
              <w:spacing w:line="240" w:lineRule="auto"/>
              <w:jc w:val="center"/>
              <w:rPr>
                <w:sz w:val="21"/>
              </w:rPr>
            </w:pPr>
            <w:r>
              <w:rPr>
                <w:rFonts w:hint="eastAsia"/>
                <w:sz w:val="21"/>
              </w:rPr>
              <w:t>900</w:t>
            </w:r>
          </w:p>
        </w:tc>
        <w:tc>
          <w:tcPr>
            <w:tcW w:w="1418" w:type="dxa"/>
            <w:tcBorders>
              <w:top w:val="single" w:color="000000" w:sz="6" w:space="0"/>
              <w:left w:val="single" w:color="000000" w:sz="6" w:space="0"/>
              <w:bottom w:val="single" w:color="000000" w:sz="6" w:space="0"/>
              <w:right w:val="single" w:color="000000" w:sz="6" w:space="0"/>
            </w:tcBorders>
            <w:vAlign w:val="center"/>
          </w:tcPr>
          <w:p w14:paraId="1E838B77">
            <w:pPr>
              <w:spacing w:line="240" w:lineRule="auto"/>
              <w:jc w:val="center"/>
              <w:rPr>
                <w:sz w:val="21"/>
              </w:rPr>
            </w:pPr>
            <w:r>
              <w:rPr>
                <w:rFonts w:hint="eastAsia"/>
                <w:sz w:val="21"/>
              </w:rPr>
              <w:t>13000</w:t>
            </w:r>
            <w:r>
              <w:rPr>
                <w:sz w:val="21"/>
              </w:rPr>
              <w:t>×</w:t>
            </w:r>
            <w:r>
              <w:rPr>
                <w:rFonts w:hint="eastAsia"/>
                <w:sz w:val="21"/>
              </w:rPr>
              <w:t>7626</w:t>
            </w:r>
          </w:p>
        </w:tc>
        <w:tc>
          <w:tcPr>
            <w:tcW w:w="1417" w:type="dxa"/>
            <w:tcBorders>
              <w:top w:val="single" w:color="000000" w:sz="6" w:space="0"/>
              <w:left w:val="single" w:color="000000" w:sz="6" w:space="0"/>
              <w:bottom w:val="single" w:color="000000" w:sz="6" w:space="0"/>
              <w:right w:val="single" w:color="000000" w:sz="6" w:space="0"/>
            </w:tcBorders>
            <w:vAlign w:val="center"/>
          </w:tcPr>
          <w:p w14:paraId="33EB8D6E">
            <w:pPr>
              <w:spacing w:line="240" w:lineRule="auto"/>
              <w:jc w:val="center"/>
              <w:rPr>
                <w:sz w:val="21"/>
              </w:rPr>
            </w:pPr>
            <w:r>
              <w:rPr>
                <w:rFonts w:hint="eastAsia"/>
                <w:sz w:val="21"/>
              </w:rPr>
              <w:t>14757</w:t>
            </w:r>
            <w:r>
              <w:rPr>
                <w:sz w:val="21"/>
              </w:rPr>
              <w:t>×</w:t>
            </w:r>
            <w:r>
              <w:rPr>
                <w:rFonts w:hint="eastAsia"/>
                <w:sz w:val="21"/>
              </w:rPr>
              <w:t>9383</w:t>
            </w:r>
          </w:p>
        </w:tc>
        <w:tc>
          <w:tcPr>
            <w:tcW w:w="1418" w:type="dxa"/>
            <w:tcBorders>
              <w:top w:val="single" w:color="000000" w:sz="6" w:space="0"/>
              <w:left w:val="single" w:color="000000" w:sz="6" w:space="0"/>
              <w:bottom w:val="single" w:color="000000" w:sz="6" w:space="0"/>
              <w:right w:val="single" w:color="000000" w:sz="6" w:space="0"/>
            </w:tcBorders>
            <w:vAlign w:val="center"/>
          </w:tcPr>
          <w:p w14:paraId="1FA7C581">
            <w:pPr>
              <w:spacing w:line="240" w:lineRule="auto"/>
              <w:jc w:val="center"/>
              <w:rPr>
                <w:sz w:val="21"/>
              </w:rPr>
            </w:pPr>
            <w:r>
              <w:rPr>
                <w:rFonts w:hint="eastAsia"/>
                <w:sz w:val="21"/>
              </w:rPr>
              <w:t>14730</w:t>
            </w:r>
            <w:r>
              <w:rPr>
                <w:sz w:val="21"/>
              </w:rPr>
              <w:t>×</w:t>
            </w:r>
            <w:r>
              <w:rPr>
                <w:rFonts w:hint="eastAsia"/>
                <w:sz w:val="21"/>
              </w:rPr>
              <w:t>9356</w:t>
            </w:r>
          </w:p>
        </w:tc>
        <w:tc>
          <w:tcPr>
            <w:tcW w:w="709" w:type="dxa"/>
            <w:tcBorders>
              <w:top w:val="single" w:color="000000" w:sz="6" w:space="0"/>
              <w:left w:val="single" w:color="000000" w:sz="6" w:space="0"/>
              <w:bottom w:val="single" w:color="000000" w:sz="6" w:space="0"/>
              <w:right w:val="single" w:color="000000" w:sz="6" w:space="0"/>
            </w:tcBorders>
            <w:vAlign w:val="center"/>
          </w:tcPr>
          <w:p w14:paraId="00E1BC95">
            <w:pPr>
              <w:spacing w:line="240" w:lineRule="auto"/>
              <w:jc w:val="center"/>
              <w:rPr>
                <w:sz w:val="21"/>
              </w:rPr>
            </w:pPr>
            <w:r>
              <w:rPr>
                <w:sz w:val="21"/>
              </w:rPr>
              <w:t>≥8</w:t>
            </w:r>
          </w:p>
        </w:tc>
        <w:tc>
          <w:tcPr>
            <w:tcW w:w="708" w:type="dxa"/>
            <w:tcBorders>
              <w:top w:val="single" w:color="000000" w:sz="6" w:space="0"/>
              <w:left w:val="single" w:color="000000" w:sz="6" w:space="0"/>
              <w:bottom w:val="single" w:color="000000" w:sz="6" w:space="0"/>
              <w:right w:val="single" w:color="000000" w:sz="6" w:space="0"/>
            </w:tcBorders>
            <w:vAlign w:val="center"/>
          </w:tcPr>
          <w:p w14:paraId="0E39E050">
            <w:pPr>
              <w:spacing w:line="240" w:lineRule="auto"/>
              <w:jc w:val="center"/>
              <w:rPr>
                <w:sz w:val="21"/>
              </w:rPr>
            </w:pPr>
            <w:r>
              <w:rPr>
                <w:sz w:val="21"/>
              </w:rPr>
              <w:t>216</w:t>
            </w:r>
          </w:p>
        </w:tc>
        <w:tc>
          <w:tcPr>
            <w:tcW w:w="1528" w:type="dxa"/>
            <w:tcBorders>
              <w:top w:val="single" w:color="000000" w:sz="6" w:space="0"/>
              <w:left w:val="single" w:color="000000" w:sz="6" w:space="0"/>
              <w:bottom w:val="single" w:color="000000" w:sz="6" w:space="0"/>
              <w:right w:val="single" w:color="000000" w:sz="6" w:space="0"/>
            </w:tcBorders>
            <w:vAlign w:val="center"/>
          </w:tcPr>
          <w:p w14:paraId="34A10D6D">
            <w:pPr>
              <w:spacing w:line="240" w:lineRule="auto"/>
              <w:jc w:val="center"/>
              <w:rPr>
                <w:sz w:val="21"/>
              </w:rPr>
            </w:pPr>
            <w:r>
              <w:rPr>
                <w:rFonts w:hint="eastAsia"/>
                <w:sz w:val="21"/>
              </w:rPr>
              <w:t>14764</w:t>
            </w:r>
            <w:r>
              <w:rPr>
                <w:sz w:val="21"/>
              </w:rPr>
              <w:t>×</w:t>
            </w:r>
            <w:r>
              <w:rPr>
                <w:rFonts w:hint="eastAsia"/>
                <w:sz w:val="21"/>
              </w:rPr>
              <w:t>9390</w:t>
            </w:r>
          </w:p>
        </w:tc>
        <w:tc>
          <w:tcPr>
            <w:tcW w:w="908" w:type="dxa"/>
            <w:vMerge w:val="continue"/>
            <w:tcBorders>
              <w:left w:val="single" w:color="000000" w:sz="6" w:space="0"/>
              <w:bottom w:val="single" w:color="000000" w:sz="6" w:space="0"/>
              <w:right w:val="single" w:color="000000" w:sz="6" w:space="0"/>
            </w:tcBorders>
            <w:vAlign w:val="center"/>
          </w:tcPr>
          <w:p w14:paraId="185AB62A">
            <w:pPr>
              <w:spacing w:line="240" w:lineRule="auto"/>
              <w:jc w:val="center"/>
              <w:rPr>
                <w:sz w:val="21"/>
              </w:rPr>
            </w:pPr>
          </w:p>
        </w:tc>
        <w:tc>
          <w:tcPr>
            <w:tcW w:w="908" w:type="dxa"/>
            <w:vMerge w:val="continue"/>
            <w:tcBorders>
              <w:left w:val="single" w:color="000000" w:sz="6" w:space="0"/>
              <w:bottom w:val="single" w:color="000000" w:sz="6" w:space="0"/>
              <w:right w:val="single" w:color="000000" w:sz="6" w:space="0"/>
            </w:tcBorders>
            <w:vAlign w:val="center"/>
          </w:tcPr>
          <w:p w14:paraId="72013AF6">
            <w:pPr>
              <w:spacing w:line="240" w:lineRule="auto"/>
              <w:jc w:val="center"/>
              <w:rPr>
                <w:sz w:val="21"/>
              </w:rPr>
            </w:pPr>
          </w:p>
        </w:tc>
        <w:tc>
          <w:tcPr>
            <w:tcW w:w="1888" w:type="dxa"/>
            <w:vMerge w:val="continue"/>
            <w:tcBorders>
              <w:left w:val="single" w:color="000000" w:sz="6" w:space="0"/>
              <w:bottom w:val="single" w:color="000000" w:sz="6" w:space="0"/>
              <w:right w:val="single" w:color="000000" w:sz="12" w:space="0"/>
            </w:tcBorders>
            <w:vAlign w:val="center"/>
          </w:tcPr>
          <w:p w14:paraId="6B311EC5">
            <w:pPr>
              <w:spacing w:line="240" w:lineRule="auto"/>
              <w:jc w:val="center"/>
              <w:rPr>
                <w:sz w:val="21"/>
              </w:rPr>
            </w:pPr>
          </w:p>
        </w:tc>
      </w:tr>
    </w:tbl>
    <w:p w14:paraId="1559BC9D">
      <w:pPr>
        <w:spacing w:line="240" w:lineRule="auto"/>
        <w:ind w:left="567" w:right="226" w:rightChars="94" w:hanging="567" w:hangingChars="270"/>
        <w:rPr>
          <w:sz w:val="21"/>
        </w:rPr>
      </w:pPr>
      <w:r>
        <w:rPr>
          <w:sz w:val="21"/>
        </w:rPr>
        <w:t>注1  本</w:t>
      </w:r>
      <w:r>
        <w:rPr>
          <w:rFonts w:hint="eastAsia"/>
          <w:sz w:val="21"/>
        </w:rPr>
        <w:t>规程</w:t>
      </w:r>
      <w:r>
        <w:rPr>
          <w:rFonts w:hint="eastAsia" w:ascii="Calibri" w:hAnsi="Calibri"/>
          <w:sz w:val="21"/>
        </w:rPr>
        <w:t>图</w:t>
      </w:r>
      <w:r>
        <w:rPr>
          <w:rFonts w:hint="eastAsia"/>
          <w:sz w:val="21"/>
        </w:rPr>
        <w:t>6.3.1-1</w:t>
      </w:r>
      <w:r>
        <w:rPr>
          <w:sz w:val="21"/>
        </w:rPr>
        <w:t>中，管节宽高尺寸B</w:t>
      </w:r>
      <w:r>
        <w:rPr>
          <w:sz w:val="21"/>
          <w:vertAlign w:val="subscript"/>
        </w:rPr>
        <w:t>1</w:t>
      </w:r>
      <w:r>
        <w:rPr>
          <w:sz w:val="21"/>
        </w:rPr>
        <w:t>×H</w:t>
      </w:r>
      <w:r>
        <w:rPr>
          <w:sz w:val="21"/>
          <w:vertAlign w:val="subscript"/>
        </w:rPr>
        <w:t>1</w:t>
      </w:r>
      <w:r>
        <w:rPr>
          <w:sz w:val="21"/>
        </w:rPr>
        <w:t>、b</w:t>
      </w:r>
      <w:r>
        <w:rPr>
          <w:sz w:val="21"/>
          <w:vertAlign w:val="subscript"/>
        </w:rPr>
        <w:t>2</w:t>
      </w:r>
      <w:r>
        <w:rPr>
          <w:sz w:val="21"/>
        </w:rPr>
        <w:t>×h</w:t>
      </w:r>
      <w:r>
        <w:rPr>
          <w:sz w:val="21"/>
          <w:vertAlign w:val="subscript"/>
        </w:rPr>
        <w:t>2</w:t>
      </w:r>
      <w:r>
        <w:rPr>
          <w:sz w:val="21"/>
        </w:rPr>
        <w:t>、B</w:t>
      </w:r>
      <w:r>
        <w:rPr>
          <w:sz w:val="21"/>
          <w:vertAlign w:val="subscript"/>
        </w:rPr>
        <w:t>2</w:t>
      </w:r>
      <w:r>
        <w:rPr>
          <w:sz w:val="21"/>
        </w:rPr>
        <w:t>×H</w:t>
      </w:r>
      <w:r>
        <w:rPr>
          <w:sz w:val="21"/>
          <w:vertAlign w:val="subscript"/>
        </w:rPr>
        <w:t>2</w:t>
      </w:r>
      <w:r>
        <w:rPr>
          <w:sz w:val="21"/>
        </w:rPr>
        <w:t>、B</w:t>
      </w:r>
      <w:r>
        <w:rPr>
          <w:sz w:val="21"/>
          <w:vertAlign w:val="subscript"/>
        </w:rPr>
        <w:t>3</w:t>
      </w:r>
      <w:r>
        <w:rPr>
          <w:sz w:val="21"/>
        </w:rPr>
        <w:t>×H</w:t>
      </w:r>
      <w:r>
        <w:rPr>
          <w:sz w:val="21"/>
          <w:vertAlign w:val="subscript"/>
        </w:rPr>
        <w:t>3</w:t>
      </w:r>
      <w:r>
        <w:rPr>
          <w:sz w:val="21"/>
        </w:rPr>
        <w:t>、b3×h3和钢承口尺寸t</w:t>
      </w:r>
      <w:r>
        <w:rPr>
          <w:sz w:val="21"/>
          <w:vertAlign w:val="subscript"/>
        </w:rPr>
        <w:t>1</w:t>
      </w:r>
      <w:r>
        <w:rPr>
          <w:sz w:val="21"/>
        </w:rPr>
        <w:t>、t</w:t>
      </w:r>
      <w:r>
        <w:rPr>
          <w:sz w:val="21"/>
          <w:vertAlign w:val="subscript"/>
        </w:rPr>
        <w:t>2</w:t>
      </w:r>
      <w:r>
        <w:rPr>
          <w:sz w:val="21"/>
        </w:rPr>
        <w:t>等对应图表的管节宽高尺寸B</w:t>
      </w:r>
      <w:r>
        <w:rPr>
          <w:sz w:val="21"/>
          <w:vertAlign w:val="subscript"/>
        </w:rPr>
        <w:t>1</w:t>
      </w:r>
      <w:r>
        <w:rPr>
          <w:sz w:val="21"/>
        </w:rPr>
        <w:t>×H</w:t>
      </w:r>
      <w:r>
        <w:rPr>
          <w:sz w:val="21"/>
          <w:vertAlign w:val="subscript"/>
        </w:rPr>
        <w:t>1</w:t>
      </w:r>
      <w:r>
        <w:rPr>
          <w:sz w:val="21"/>
        </w:rPr>
        <w:t>、b</w:t>
      </w:r>
      <w:r>
        <w:rPr>
          <w:sz w:val="21"/>
          <w:vertAlign w:val="subscript"/>
        </w:rPr>
        <w:t>2</w:t>
      </w:r>
      <w:r>
        <w:rPr>
          <w:sz w:val="21"/>
        </w:rPr>
        <w:t>×h</w:t>
      </w:r>
      <w:r>
        <w:rPr>
          <w:sz w:val="21"/>
          <w:vertAlign w:val="subscript"/>
        </w:rPr>
        <w:t>2</w:t>
      </w:r>
      <w:r>
        <w:rPr>
          <w:sz w:val="21"/>
        </w:rPr>
        <w:t>、B</w:t>
      </w:r>
      <w:r>
        <w:rPr>
          <w:sz w:val="21"/>
          <w:vertAlign w:val="subscript"/>
        </w:rPr>
        <w:t>2</w:t>
      </w:r>
      <w:r>
        <w:rPr>
          <w:sz w:val="21"/>
        </w:rPr>
        <w:t>×H</w:t>
      </w:r>
      <w:r>
        <w:rPr>
          <w:sz w:val="21"/>
          <w:vertAlign w:val="subscript"/>
        </w:rPr>
        <w:t>2</w:t>
      </w:r>
      <w:r>
        <w:rPr>
          <w:sz w:val="21"/>
        </w:rPr>
        <w:t>、B</w:t>
      </w:r>
      <w:r>
        <w:rPr>
          <w:sz w:val="21"/>
          <w:vertAlign w:val="subscript"/>
        </w:rPr>
        <w:t>3</w:t>
      </w:r>
      <w:r>
        <w:rPr>
          <w:sz w:val="21"/>
        </w:rPr>
        <w:t>×H</w:t>
      </w:r>
      <w:r>
        <w:rPr>
          <w:sz w:val="21"/>
          <w:vertAlign w:val="subscript"/>
        </w:rPr>
        <w:t>3</w:t>
      </w:r>
      <w:r>
        <w:rPr>
          <w:sz w:val="21"/>
        </w:rPr>
        <w:t>、b</w:t>
      </w:r>
      <w:r>
        <w:rPr>
          <w:sz w:val="21"/>
          <w:vertAlign w:val="subscript"/>
        </w:rPr>
        <w:t>3</w:t>
      </w:r>
      <w:r>
        <w:rPr>
          <w:sz w:val="21"/>
        </w:rPr>
        <w:t>×h</w:t>
      </w:r>
      <w:r>
        <w:rPr>
          <w:sz w:val="21"/>
          <w:vertAlign w:val="subscript"/>
        </w:rPr>
        <w:t>3</w:t>
      </w:r>
      <w:r>
        <w:rPr>
          <w:sz w:val="21"/>
        </w:rPr>
        <w:t>和钢承口尺寸t</w:t>
      </w:r>
      <w:r>
        <w:rPr>
          <w:sz w:val="21"/>
          <w:vertAlign w:val="subscript"/>
        </w:rPr>
        <w:t>1</w:t>
      </w:r>
      <w:r>
        <w:rPr>
          <w:sz w:val="21"/>
        </w:rPr>
        <w:t>、t</w:t>
      </w:r>
      <w:r>
        <w:rPr>
          <w:sz w:val="21"/>
          <w:vertAlign w:val="subscript"/>
        </w:rPr>
        <w:t>2</w:t>
      </w:r>
      <w:r>
        <w:rPr>
          <w:sz w:val="21"/>
        </w:rPr>
        <w:t>，管</w:t>
      </w:r>
      <w:r>
        <w:rPr>
          <w:rFonts w:hint="eastAsia"/>
          <w:sz w:val="21"/>
        </w:rPr>
        <w:t>节</w:t>
      </w:r>
      <w:r>
        <w:rPr>
          <w:sz w:val="21"/>
        </w:rPr>
        <w:t>接头纵向尺寸L</w:t>
      </w:r>
      <w:r>
        <w:rPr>
          <w:sz w:val="21"/>
          <w:vertAlign w:val="subscript"/>
        </w:rPr>
        <w:t>1</w:t>
      </w:r>
      <w:r>
        <w:rPr>
          <w:sz w:val="21"/>
        </w:rPr>
        <w:t>、L</w:t>
      </w:r>
      <w:r>
        <w:rPr>
          <w:sz w:val="21"/>
          <w:vertAlign w:val="subscript"/>
        </w:rPr>
        <w:t>2</w:t>
      </w:r>
      <w:r>
        <w:rPr>
          <w:sz w:val="21"/>
        </w:rPr>
        <w:t>和L</w:t>
      </w:r>
      <w:r>
        <w:rPr>
          <w:sz w:val="21"/>
          <w:vertAlign w:val="subscript"/>
        </w:rPr>
        <w:t>3</w:t>
      </w:r>
      <w:r>
        <w:rPr>
          <w:sz w:val="21"/>
        </w:rPr>
        <w:t>对应图表的L</w:t>
      </w:r>
      <w:r>
        <w:rPr>
          <w:sz w:val="21"/>
          <w:vertAlign w:val="subscript"/>
        </w:rPr>
        <w:t>1</w:t>
      </w:r>
      <w:r>
        <w:rPr>
          <w:sz w:val="21"/>
        </w:rPr>
        <w:t>、L</w:t>
      </w:r>
      <w:r>
        <w:rPr>
          <w:sz w:val="21"/>
          <w:vertAlign w:val="subscript"/>
        </w:rPr>
        <w:t>2</w:t>
      </w:r>
      <w:r>
        <w:rPr>
          <w:sz w:val="21"/>
        </w:rPr>
        <w:t>和L</w:t>
      </w:r>
      <w:r>
        <w:rPr>
          <w:sz w:val="21"/>
          <w:vertAlign w:val="subscript"/>
        </w:rPr>
        <w:t>3</w:t>
      </w:r>
      <w:r>
        <w:rPr>
          <w:sz w:val="21"/>
        </w:rPr>
        <w:t>；</w:t>
      </w:r>
    </w:p>
    <w:p w14:paraId="674C08B3">
      <w:pPr>
        <w:spacing w:line="240" w:lineRule="auto"/>
        <w:ind w:left="597" w:leftChars="100" w:right="226" w:rightChars="94" w:hanging="357" w:hangingChars="170"/>
        <w:rPr>
          <w:sz w:val="21"/>
        </w:rPr>
      </w:pPr>
      <w:r>
        <w:rPr>
          <w:sz w:val="21"/>
        </w:rPr>
        <w:t>2  当采用Q</w:t>
      </w:r>
      <w:r>
        <w:rPr>
          <w:rFonts w:hint="eastAsia"/>
          <w:sz w:val="21"/>
        </w:rPr>
        <w:t>35</w:t>
      </w:r>
      <w:r>
        <w:rPr>
          <w:sz w:val="21"/>
        </w:rPr>
        <w:t>5钢板时钢承口钢板厚度可适当减薄。</w:t>
      </w:r>
    </w:p>
    <w:p w14:paraId="5B6FC6FF">
      <w:pPr>
        <w:spacing w:line="240" w:lineRule="auto"/>
        <w:ind w:left="597" w:leftChars="100" w:right="226" w:rightChars="94" w:hanging="357" w:hangingChars="170"/>
        <w:rPr>
          <w:sz w:val="21"/>
        </w:rPr>
        <w:sectPr>
          <w:pgSz w:w="16838" w:h="11906" w:orient="landscape"/>
          <w:pgMar w:top="1418" w:right="1440" w:bottom="1560" w:left="1440" w:header="851" w:footer="992" w:gutter="0"/>
          <w:cols w:space="425" w:num="1"/>
          <w:docGrid w:type="lines" w:linePitch="326" w:charSpace="0"/>
        </w:sectPr>
      </w:pPr>
    </w:p>
    <w:p w14:paraId="4365C45D">
      <w:r>
        <w:rPr>
          <w:b/>
        </w:rPr>
        <w:t xml:space="preserve">6.3.3  </w:t>
      </w:r>
      <w:r>
        <w:t>管节间密封与防水应符合下列规定：</w:t>
      </w:r>
    </w:p>
    <w:p w14:paraId="269CDFFA">
      <w:pPr>
        <w:ind w:firstLine="482" w:firstLineChars="200"/>
      </w:pPr>
      <w:r>
        <w:rPr>
          <w:b/>
          <w:bCs/>
        </w:rPr>
        <w:t>1</w:t>
      </w:r>
      <w:r>
        <w:t xml:space="preserve">  密封橡胶圈材料应为氯丁橡胶或氯丁橡胶与水膨胀橡胶复合体，并应用黏结剂接于管节基面上，接口处强度应大于10MPa，接口应平整光滑、无痕迹，不得有裂口；</w:t>
      </w:r>
    </w:p>
    <w:p w14:paraId="094A90EE">
      <w:pPr>
        <w:ind w:firstLine="482" w:firstLineChars="200"/>
      </w:pPr>
      <w:r>
        <w:rPr>
          <w:b/>
          <w:bCs/>
        </w:rPr>
        <w:t>2</w:t>
      </w:r>
      <w:r>
        <w:t xml:space="preserve">  在遇有含油的地下水部位，宜选用</w:t>
      </w:r>
      <w:r>
        <w:rPr>
          <w:rFonts w:hint="eastAsia"/>
        </w:rPr>
        <w:t>丁腈橡胶</w:t>
      </w:r>
      <w:r>
        <w:t>；在含油弱酸弱碱地下水时宜选用氯丁橡胶，遇霉菌侵蚀时宜选用防霉等级在二级及以上的橡胶，</w:t>
      </w:r>
      <w:r>
        <w:rPr>
          <w:rFonts w:hint="eastAsia"/>
        </w:rPr>
        <w:t>环境温度低于-25</w:t>
      </w:r>
      <w:r>
        <w:rPr>
          <w:rFonts w:hint="eastAsia" w:ascii="宋体" w:hAnsi="宋体" w:cs="宋体"/>
        </w:rPr>
        <w:t>℃</w:t>
      </w:r>
      <w:r>
        <w:rPr>
          <w:rFonts w:hint="eastAsia"/>
        </w:rPr>
        <w:t>时</w:t>
      </w:r>
      <w:r>
        <w:t>，宜选用三元乙丙橡胶；</w:t>
      </w:r>
    </w:p>
    <w:p w14:paraId="2FDC1832">
      <w:pPr>
        <w:ind w:firstLine="482" w:firstLineChars="200"/>
      </w:pPr>
      <w:r>
        <w:rPr>
          <w:b/>
          <w:bCs/>
        </w:rPr>
        <w:t>3</w:t>
      </w:r>
      <w:r>
        <w:t xml:space="preserve">  管节与钢套环间形成的嵌缝槽</w:t>
      </w:r>
      <w:r>
        <w:rPr>
          <w:rFonts w:hint="eastAsia"/>
        </w:rPr>
        <w:t>应</w:t>
      </w:r>
      <w:r>
        <w:t>采用聚胺脂密封胶嵌注；</w:t>
      </w:r>
    </w:p>
    <w:p w14:paraId="1994E4CA">
      <w:pPr>
        <w:ind w:firstLine="482" w:firstLineChars="200"/>
      </w:pPr>
      <w:r>
        <w:rPr>
          <w:b/>
          <w:bCs/>
        </w:rPr>
        <w:t>4</w:t>
      </w:r>
      <w:r>
        <w:t xml:space="preserve">  在钢承口的两圆筋之间</w:t>
      </w:r>
      <w:r>
        <w:rPr>
          <w:rFonts w:hint="eastAsia"/>
        </w:rPr>
        <w:t>应</w:t>
      </w:r>
      <w:r>
        <w:t>嵌入</w:t>
      </w:r>
      <w:r>
        <w:rPr>
          <w:rFonts w:hint="eastAsia"/>
        </w:rPr>
        <w:t>遇水</w:t>
      </w:r>
      <w:r>
        <w:t>膨胀橡胶止水条；</w:t>
      </w:r>
    </w:p>
    <w:p w14:paraId="3E26B1E8">
      <w:pPr>
        <w:ind w:firstLine="482" w:firstLineChars="200"/>
      </w:pPr>
      <w:r>
        <w:rPr>
          <w:b/>
          <w:bCs/>
        </w:rPr>
        <w:t>5</w:t>
      </w:r>
      <w:r>
        <w:t xml:space="preserve">  弹性密封垫生产前应进行防水试验及耐久性试验；</w:t>
      </w:r>
    </w:p>
    <w:p w14:paraId="3D7AC8CA">
      <w:pPr>
        <w:ind w:firstLine="482" w:firstLineChars="200"/>
      </w:pPr>
      <w:r>
        <w:rPr>
          <w:b/>
          <w:bCs/>
        </w:rPr>
        <w:t>6</w:t>
      </w:r>
      <w:r>
        <w:t xml:space="preserve">  人工收面与弹性密封垫对应的位置应人工打磨光滑。</w:t>
      </w:r>
    </w:p>
    <w:p w14:paraId="7D692F67">
      <w:pPr>
        <w:jc w:val="left"/>
      </w:pPr>
      <w:r>
        <w:rPr>
          <w:b/>
        </w:rPr>
        <w:t xml:space="preserve">6.3.4  </w:t>
      </w:r>
      <w:r>
        <w:t>管节与管节之间接头处传力面应设置环状传力衬垫，衬板宜采用中等硬度的木质材料或多层夹板，板接头处</w:t>
      </w:r>
      <w:r>
        <w:rPr>
          <w:rFonts w:hint="eastAsia"/>
        </w:rPr>
        <w:t>宜采用</w:t>
      </w:r>
      <w:r>
        <w:t>企口方式相接，管节下部的嵌缝槽</w:t>
      </w:r>
      <w:r>
        <w:rPr>
          <w:rFonts w:hint="eastAsia"/>
        </w:rPr>
        <w:t>宜</w:t>
      </w:r>
      <w:r>
        <w:t>采用聚硫密封胶嵌填，传力衬垫应符合下列规定：</w:t>
      </w:r>
    </w:p>
    <w:p w14:paraId="1F8ED6D1">
      <w:pPr>
        <w:ind w:firstLine="482" w:firstLineChars="200"/>
        <w:jc w:val="left"/>
      </w:pPr>
      <w:r>
        <w:rPr>
          <w:b/>
          <w:bCs/>
        </w:rPr>
        <w:t>1</w:t>
      </w:r>
      <w:r>
        <w:t xml:space="preserve">  应选用中等硬度、质地均匀、有弹性的松木、杉木或胶合板；</w:t>
      </w:r>
    </w:p>
    <w:p w14:paraId="30D9E2AF">
      <w:pPr>
        <w:ind w:firstLine="482" w:firstLineChars="200"/>
        <w:jc w:val="left"/>
      </w:pPr>
      <w:r>
        <w:rPr>
          <w:b/>
          <w:bCs/>
        </w:rPr>
        <w:t>2</w:t>
      </w:r>
      <w:r>
        <w:t xml:space="preserve">  衬垫应满足管节之间的缓冲要求；</w:t>
      </w:r>
    </w:p>
    <w:p w14:paraId="7DD75F99">
      <w:pPr>
        <w:ind w:firstLine="482" w:firstLineChars="200"/>
        <w:jc w:val="left"/>
      </w:pPr>
      <w:r>
        <w:rPr>
          <w:b/>
          <w:bCs/>
        </w:rPr>
        <w:t>3</w:t>
      </w:r>
      <w:r>
        <w:t xml:space="preserve">  衬垫厚度宜为15mm～30mm，应根据管道的尺寸和曲率半径确定；</w:t>
      </w:r>
    </w:p>
    <w:p w14:paraId="718C3392">
      <w:pPr>
        <w:ind w:firstLine="482" w:firstLineChars="200"/>
        <w:jc w:val="left"/>
      </w:pPr>
      <w:r>
        <w:rPr>
          <w:b/>
          <w:bCs/>
        </w:rPr>
        <w:t>4</w:t>
      </w:r>
      <w:r>
        <w:t xml:space="preserve">  管节端面的木衬垫板宜使用黏结剂黏贴，黏贴时应位置准确、黏贴牢固、表面平整。</w:t>
      </w:r>
    </w:p>
    <w:p w14:paraId="7033C0D0">
      <w:r>
        <w:rPr>
          <w:b/>
        </w:rPr>
        <w:t>6.3.5</w:t>
      </w:r>
      <w:r>
        <w:t xml:space="preserve">  管节接口型式宜符合下列规定：</w:t>
      </w:r>
    </w:p>
    <w:p w14:paraId="41B490EC">
      <w:pPr>
        <w:ind w:firstLine="482" w:firstLineChars="200"/>
      </w:pPr>
      <w:r>
        <w:rPr>
          <w:b/>
        </w:rPr>
        <w:t xml:space="preserve">1  </w:t>
      </w:r>
      <w:r>
        <w:t>宜选用“F”型钢承口接口型式，接缝防水装置宜采用楔形止水圈和双组份聚硫密封</w:t>
      </w:r>
      <w:r>
        <w:rPr>
          <w:rFonts w:hint="eastAsia"/>
        </w:rPr>
        <w:t>胶</w:t>
      </w:r>
      <w:r>
        <w:t>嵌缝；</w:t>
      </w:r>
    </w:p>
    <w:p w14:paraId="543DA8D9">
      <w:pPr>
        <w:ind w:firstLine="482" w:firstLineChars="200"/>
      </w:pPr>
      <w:r>
        <w:rPr>
          <w:b/>
        </w:rPr>
        <w:t xml:space="preserve">2  </w:t>
      </w:r>
      <w:r>
        <w:t>当顶管需穿越砂层、卵石层等透水性强的地层，以及对沉降要求严格的建筑物或构筑物等情况时，宜采用双道橡胶密封圈的钢承口接口型式。</w:t>
      </w:r>
    </w:p>
    <w:p w14:paraId="2A52CA38">
      <w:r>
        <w:rPr>
          <w:b/>
        </w:rPr>
        <w:t xml:space="preserve">6.3.6  </w:t>
      </w:r>
      <w:r>
        <w:t>管节钢承口应符合下列规定：</w:t>
      </w:r>
    </w:p>
    <w:p w14:paraId="40FB3376">
      <w:pPr>
        <w:ind w:firstLine="482" w:firstLineChars="200"/>
        <w:rPr>
          <w:shd w:val="clear" w:color="auto" w:fill="FFFFFF"/>
        </w:rPr>
      </w:pPr>
      <w:r>
        <w:rPr>
          <w:b/>
        </w:rPr>
        <w:t xml:space="preserve">1  </w:t>
      </w:r>
      <w:r>
        <w:t>钢承口及钢环材料</w:t>
      </w:r>
      <w:r>
        <w:rPr>
          <w:rFonts w:hint="eastAsia"/>
        </w:rPr>
        <w:t>宜</w:t>
      </w:r>
      <w:r>
        <w:t>采用Q</w:t>
      </w:r>
      <w:r>
        <w:rPr>
          <w:rFonts w:hint="eastAsia"/>
        </w:rPr>
        <w:t>355</w:t>
      </w:r>
      <w:r>
        <w:t>钢，钢环表面</w:t>
      </w:r>
      <w:r>
        <w:rPr>
          <w:rFonts w:hint="eastAsia"/>
        </w:rPr>
        <w:t>应涂刷</w:t>
      </w:r>
      <w:r>
        <w:t>环氧富锌底漆二度，每度不</w:t>
      </w:r>
      <w:r>
        <w:rPr>
          <w:rFonts w:hint="eastAsia"/>
        </w:rPr>
        <w:t>应</w:t>
      </w:r>
      <w:r>
        <w:t>低于30</w:t>
      </w:r>
      <w:r>
        <w:rPr>
          <w:shd w:val="clear" w:color="auto" w:fill="FFFFFF"/>
        </w:rPr>
        <w:t>μm，</w:t>
      </w:r>
      <w:r>
        <w:rPr>
          <w:rFonts w:hint="eastAsia"/>
          <w:shd w:val="clear" w:color="auto" w:fill="FFFFFF"/>
        </w:rPr>
        <w:t>涂刷</w:t>
      </w:r>
      <w:r>
        <w:rPr>
          <w:shd w:val="clear" w:color="auto" w:fill="FFFFFF"/>
        </w:rPr>
        <w:t>环氧沥青面漆二度，每度不</w:t>
      </w:r>
      <w:r>
        <w:rPr>
          <w:rFonts w:hint="eastAsia"/>
        </w:rPr>
        <w:t>应</w:t>
      </w:r>
      <w:r>
        <w:rPr>
          <w:shd w:val="clear" w:color="auto" w:fill="FFFFFF"/>
        </w:rPr>
        <w:t>低于80μm，钢承口接头内侧应磨平；</w:t>
      </w:r>
    </w:p>
    <w:p w14:paraId="285ABDB2">
      <w:pPr>
        <w:ind w:firstLine="482" w:firstLineChars="200"/>
        <w:rPr>
          <w:shd w:val="clear" w:color="auto" w:fill="FFFFFF"/>
        </w:rPr>
      </w:pPr>
      <w:r>
        <w:rPr>
          <w:b/>
        </w:rPr>
        <w:t xml:space="preserve">2  </w:t>
      </w:r>
      <w:r>
        <w:rPr>
          <w:shd w:val="clear" w:color="auto" w:fill="FFFFFF"/>
        </w:rPr>
        <w:t>钢承口焊接应满焊，并应采取防止钢承口焊接变形</w:t>
      </w:r>
      <w:r>
        <w:rPr>
          <w:rFonts w:hint="eastAsia"/>
          <w:shd w:val="clear" w:color="auto" w:fill="FFFFFF"/>
        </w:rPr>
        <w:t>的</w:t>
      </w:r>
      <w:r>
        <w:rPr>
          <w:shd w:val="clear" w:color="auto" w:fill="FFFFFF"/>
        </w:rPr>
        <w:t>措施；</w:t>
      </w:r>
    </w:p>
    <w:p w14:paraId="292902FE">
      <w:pPr>
        <w:snapToGrid w:val="0"/>
        <w:ind w:firstLine="482" w:firstLineChars="200"/>
      </w:pPr>
      <w:r>
        <w:rPr>
          <w:b/>
        </w:rPr>
        <w:t xml:space="preserve">3  </w:t>
      </w:r>
      <w:r>
        <w:t>钢承口对角线尺寸误差应小于5mm。</w:t>
      </w:r>
    </w:p>
    <w:p w14:paraId="1CD2CD85">
      <w:r>
        <w:rPr>
          <w:b/>
        </w:rPr>
        <w:t>6.3.</w:t>
      </w:r>
      <w:r>
        <w:rPr>
          <w:rFonts w:hint="eastAsia"/>
          <w:b/>
        </w:rPr>
        <w:t>7</w:t>
      </w:r>
      <w:r>
        <w:rPr>
          <w:b/>
        </w:rPr>
        <w:t xml:space="preserve">  </w:t>
      </w:r>
      <w:r>
        <w:t>进场前应对矩形管节、钢套环、橡胶密封圈及衬垫材料进行检测和验收，对存在问题的管节应责令供应商进行整改，直至验收合格，方可投放工地。</w:t>
      </w:r>
    </w:p>
    <w:p w14:paraId="0B724251">
      <w:pPr>
        <w:rPr>
          <w:bCs/>
        </w:rPr>
      </w:pPr>
      <w:r>
        <w:rPr>
          <w:b/>
        </w:rPr>
        <w:t>6.3.</w:t>
      </w:r>
      <w:r>
        <w:rPr>
          <w:rFonts w:hint="eastAsia"/>
          <w:b/>
        </w:rPr>
        <w:t>8</w:t>
      </w:r>
      <w:r>
        <w:rPr>
          <w:b/>
        </w:rPr>
        <w:t xml:space="preserve">  </w:t>
      </w:r>
      <w:r>
        <w:rPr>
          <w:bCs/>
        </w:rPr>
        <w:t>管节对接前，应使用</w:t>
      </w:r>
      <w:r>
        <w:rPr>
          <w:rFonts w:hint="eastAsia"/>
          <w:bCs/>
        </w:rPr>
        <w:t>黏</w:t>
      </w:r>
      <w:r>
        <w:rPr>
          <w:bCs/>
        </w:rPr>
        <w:t>结剂将橡胶密封圈正确固定在管节胶圈槽内，顶进前应在止水圈斜面上和钢承口斜口面均匀涂抹一层硅油。对接时受力应均匀，对接后橡胶密封圈不应移位和反转。</w:t>
      </w:r>
    </w:p>
    <w:p w14:paraId="1AF93805">
      <w:r>
        <w:rPr>
          <w:b/>
        </w:rPr>
        <w:t>6.3.</w:t>
      </w:r>
      <w:r>
        <w:rPr>
          <w:rFonts w:hint="eastAsia"/>
          <w:b/>
        </w:rPr>
        <w:t>9</w:t>
      </w:r>
      <w:r>
        <w:rPr>
          <w:b/>
        </w:rPr>
        <w:t xml:space="preserve">  </w:t>
      </w:r>
      <w:r>
        <w:t>顶管施工完成后，应先将管节接缝清洗、干燥，再采用聚氨酯建筑密封胶对管节接缝进行嵌缝。</w:t>
      </w:r>
    </w:p>
    <w:p w14:paraId="19CF4721"/>
    <w:p w14:paraId="0B237AA3">
      <w:pPr>
        <w:keepNext/>
        <w:keepLines/>
        <w:jc w:val="center"/>
        <w:outlineLvl w:val="1"/>
        <w:rPr>
          <w:rFonts w:eastAsia="黑体"/>
          <w:bCs/>
          <w:sz w:val="28"/>
          <w:szCs w:val="32"/>
        </w:rPr>
      </w:pPr>
      <w:bookmarkStart w:id="289" w:name="_Toc30922"/>
      <w:bookmarkStart w:id="290" w:name="_Toc10641"/>
      <w:bookmarkStart w:id="291" w:name="_Toc14894"/>
      <w:bookmarkStart w:id="292" w:name="_Toc8976"/>
      <w:bookmarkStart w:id="293" w:name="_Toc16357"/>
      <w:bookmarkStart w:id="294" w:name="_Toc23681"/>
      <w:bookmarkStart w:id="295" w:name="_Toc2861"/>
      <w:r>
        <w:rPr>
          <w:rFonts w:eastAsia="黑体"/>
          <w:bCs/>
          <w:sz w:val="28"/>
          <w:szCs w:val="32"/>
        </w:rPr>
        <w:fldChar w:fldCharType="begin"/>
      </w:r>
      <w:r>
        <w:rPr>
          <w:rFonts w:eastAsia="黑体"/>
          <w:bCs/>
          <w:sz w:val="28"/>
          <w:szCs w:val="32"/>
        </w:rPr>
        <w:instrText xml:space="preserve"> HYPERLINK "file:///C:\\Users\\xy155\\Desktop\\矩形顶管工程技术规程2019.3.22.docx" \l "_Toc17680" </w:instrText>
      </w:r>
      <w:r>
        <w:rPr>
          <w:rFonts w:eastAsia="黑体"/>
          <w:bCs/>
          <w:sz w:val="28"/>
          <w:szCs w:val="32"/>
        </w:rPr>
        <w:fldChar w:fldCharType="separate"/>
      </w:r>
      <w:bookmarkStart w:id="296" w:name="_Toc47692165"/>
      <w:bookmarkStart w:id="297" w:name="_Toc60173793"/>
      <w:bookmarkStart w:id="298" w:name="_Toc60172906"/>
      <w:bookmarkStart w:id="299" w:name="_Toc18057047"/>
      <w:r>
        <w:rPr>
          <w:rFonts w:eastAsia="黑体"/>
          <w:b/>
          <w:bCs/>
          <w:sz w:val="28"/>
          <w:szCs w:val="32"/>
        </w:rPr>
        <w:t>6.4</w:t>
      </w:r>
      <w:r>
        <w:rPr>
          <w:rFonts w:eastAsia="黑体"/>
          <w:bCs/>
          <w:sz w:val="28"/>
          <w:szCs w:val="32"/>
        </w:rPr>
        <w:t xml:space="preserve">  管节防腐</w:t>
      </w:r>
      <w:bookmarkEnd w:id="296"/>
      <w:bookmarkEnd w:id="297"/>
      <w:bookmarkEnd w:id="298"/>
      <w:bookmarkEnd w:id="299"/>
      <w:r>
        <w:rPr>
          <w:rFonts w:eastAsia="黑体"/>
          <w:bCs/>
          <w:sz w:val="28"/>
          <w:szCs w:val="32"/>
        </w:rPr>
        <w:fldChar w:fldCharType="end"/>
      </w:r>
      <w:bookmarkEnd w:id="289"/>
      <w:bookmarkEnd w:id="290"/>
      <w:bookmarkEnd w:id="291"/>
      <w:bookmarkEnd w:id="292"/>
      <w:bookmarkEnd w:id="293"/>
      <w:bookmarkEnd w:id="294"/>
      <w:bookmarkEnd w:id="295"/>
    </w:p>
    <w:p w14:paraId="52A08CC4">
      <w:r>
        <w:rPr>
          <w:b/>
        </w:rPr>
        <w:t xml:space="preserve">6.4.1  </w:t>
      </w:r>
      <w:r>
        <w:t>当地下水或管节内介质对混凝土和钢筋具有腐蚀性时，应对管道内外壁做防腐处理，并应满足设计要求。</w:t>
      </w:r>
    </w:p>
    <w:p w14:paraId="43D2A21E">
      <w:r>
        <w:rPr>
          <w:b/>
        </w:rPr>
        <w:t xml:space="preserve">6.4.2  </w:t>
      </w:r>
      <w:r>
        <w:t>钢筋混凝土管防腐涂料品种的选用、层数、厚度等应符合设计文件的规定，管外壁防腐宜采用环氧类涂料，管内壁防腐宜采用水性涂料、无溶剂涂料等环保型产品。</w:t>
      </w:r>
    </w:p>
    <w:p w14:paraId="58E0F44D">
      <w:r>
        <w:rPr>
          <w:b/>
        </w:rPr>
        <w:t xml:space="preserve">6.4.3  </w:t>
      </w:r>
      <w:r>
        <w:t>钢筋混凝土管内壁防腐施工前，管道接口应按设计要求进行嵌缝密封。</w:t>
      </w:r>
    </w:p>
    <w:p w14:paraId="55B85EAB">
      <w:r>
        <w:rPr>
          <w:b/>
        </w:rPr>
        <w:t xml:space="preserve">6.4.4  </w:t>
      </w:r>
      <w:r>
        <w:t>混凝土内壁涂刷的腻子应具有与混凝土粘结牢固、快速干燥的性能，抗碱渗透底漆与基面和涂料应结合紧密。</w:t>
      </w:r>
    </w:p>
    <w:p w14:paraId="54D2EF43">
      <w:r>
        <w:rPr>
          <w:b/>
        </w:rPr>
        <w:t xml:space="preserve">6.4.5  </w:t>
      </w:r>
      <w:r>
        <w:t>管道内壁防腐涂料工程的混凝土基层应符合下列规定：</w:t>
      </w:r>
    </w:p>
    <w:p w14:paraId="06C07272">
      <w:pPr>
        <w:ind w:firstLine="482" w:firstLineChars="200"/>
      </w:pPr>
      <w:r>
        <w:rPr>
          <w:b/>
          <w:bCs/>
        </w:rPr>
        <w:t>1</w:t>
      </w:r>
      <w:r>
        <w:t xml:space="preserve">  基层表面不得有残留沾污物；</w:t>
      </w:r>
    </w:p>
    <w:p w14:paraId="1B5FCC92">
      <w:pPr>
        <w:ind w:firstLine="482" w:firstLineChars="200"/>
      </w:pPr>
      <w:r>
        <w:rPr>
          <w:b/>
          <w:bCs/>
        </w:rPr>
        <w:t>2</w:t>
      </w:r>
      <w:r>
        <w:t xml:space="preserve">  基层不得有裂缝或凹凸缺陷现象，平整度允许空隙不应大于2mm；</w:t>
      </w:r>
    </w:p>
    <w:p w14:paraId="09949F35">
      <w:pPr>
        <w:ind w:firstLine="482" w:firstLineChars="200"/>
      </w:pPr>
      <w:r>
        <w:rPr>
          <w:b/>
          <w:bCs/>
        </w:rPr>
        <w:t>3</w:t>
      </w:r>
      <w:r>
        <w:t xml:space="preserve">  基层应保持干燥，含水率不应大于6%。</w:t>
      </w:r>
    </w:p>
    <w:p w14:paraId="0413EC43">
      <w:r>
        <w:rPr>
          <w:b/>
        </w:rPr>
        <w:t>6.4.6</w:t>
      </w:r>
      <w:r>
        <w:t xml:space="preserve">  混凝土内壁防腐涂料工程施工应自上而下、分段涂装，底面可不涂装。</w:t>
      </w:r>
    </w:p>
    <w:p w14:paraId="7083CBAE">
      <w:r>
        <w:rPr>
          <w:b/>
        </w:rPr>
        <w:t xml:space="preserve">6.4.7 </w:t>
      </w:r>
      <w:r>
        <w:t xml:space="preserve"> 采用刷涂或滚涂工艺时，宜按“一底二中二面”施工；采用喷涂工艺时宜按“一底三面”施工；后一道涂料施工应在前一道涂料实干后进行。</w:t>
      </w:r>
    </w:p>
    <w:p w14:paraId="0FB7C30C">
      <w:r>
        <w:rPr>
          <w:b/>
        </w:rPr>
        <w:t>6.4.8</w:t>
      </w:r>
      <w:r>
        <w:t xml:space="preserve">  矩形管节内、外金属件应按设计要求进行防腐蚀处理；防腐施工前，应清除金属构件表面的油污、尘土、焊渣、氧化物及疏松的锈蚀物。</w:t>
      </w:r>
    </w:p>
    <w:p w14:paraId="21FF181D">
      <w:r>
        <w:rPr>
          <w:b/>
        </w:rPr>
        <w:t xml:space="preserve">6.4.9  </w:t>
      </w:r>
      <w:r>
        <w:t>钢套环应按设计要求进行防腐处理，防腐材料宜采用环氧煤沥青，防腐层厚度不宜小于0.2mm。钢套环端部应光滑平整。</w:t>
      </w:r>
    </w:p>
    <w:p w14:paraId="478369C5">
      <w:pPr>
        <w:keepNext/>
        <w:keepLines/>
        <w:jc w:val="center"/>
        <w:outlineLvl w:val="1"/>
        <w:rPr>
          <w:rFonts w:eastAsia="黑体"/>
          <w:bCs/>
          <w:sz w:val="28"/>
          <w:szCs w:val="32"/>
        </w:rPr>
      </w:pPr>
      <w:bookmarkStart w:id="300" w:name="_Toc2395"/>
      <w:bookmarkStart w:id="301" w:name="_Toc20072"/>
      <w:bookmarkStart w:id="302" w:name="_Toc60173794"/>
      <w:bookmarkStart w:id="303" w:name="_Toc7038"/>
      <w:bookmarkStart w:id="304" w:name="_Toc21470"/>
      <w:bookmarkStart w:id="305" w:name="_Toc47692166"/>
      <w:bookmarkStart w:id="306" w:name="_Toc60172907"/>
      <w:bookmarkStart w:id="307" w:name="_Toc2892"/>
      <w:bookmarkStart w:id="308" w:name="_Toc3736"/>
      <w:bookmarkStart w:id="309" w:name="_Toc7210"/>
      <w:bookmarkStart w:id="310" w:name="_Toc18057048"/>
      <w:r>
        <w:rPr>
          <w:rFonts w:eastAsia="黑体"/>
          <w:b/>
          <w:bCs/>
          <w:sz w:val="28"/>
          <w:szCs w:val="32"/>
        </w:rPr>
        <w:t>6.5</w:t>
      </w:r>
      <w:r>
        <w:rPr>
          <w:rFonts w:eastAsia="黑体"/>
          <w:bCs/>
          <w:sz w:val="28"/>
          <w:szCs w:val="32"/>
        </w:rPr>
        <w:t xml:space="preserve">  管节预制</w:t>
      </w:r>
      <w:bookmarkEnd w:id="300"/>
      <w:bookmarkEnd w:id="301"/>
      <w:bookmarkEnd w:id="302"/>
      <w:bookmarkEnd w:id="303"/>
      <w:bookmarkEnd w:id="304"/>
      <w:bookmarkEnd w:id="305"/>
      <w:bookmarkEnd w:id="306"/>
      <w:bookmarkEnd w:id="307"/>
      <w:bookmarkEnd w:id="308"/>
      <w:bookmarkEnd w:id="309"/>
      <w:bookmarkEnd w:id="310"/>
    </w:p>
    <w:p w14:paraId="6C590DFD">
      <w:pPr>
        <w:jc w:val="left"/>
      </w:pPr>
      <w:r>
        <w:rPr>
          <w:b/>
        </w:rPr>
        <w:t>6.5.1</w:t>
      </w:r>
      <w:r>
        <w:t xml:space="preserve">  管节生产前应对钢模误差进行检测，若不符合标准</w:t>
      </w:r>
      <w:r>
        <w:rPr>
          <w:rFonts w:hint="eastAsia"/>
        </w:rPr>
        <w:t>应</w:t>
      </w:r>
      <w:r>
        <w:t>进行校正</w:t>
      </w:r>
      <w:r>
        <w:rPr>
          <w:rFonts w:hint="eastAsia"/>
        </w:rPr>
        <w:t>。</w:t>
      </w:r>
      <w:r>
        <w:t>管节生产过程中应</w:t>
      </w:r>
      <w:r>
        <w:rPr>
          <w:rFonts w:hint="eastAsia"/>
        </w:rPr>
        <w:t>确保钢模误差在标准允许范围之内。</w:t>
      </w:r>
    </w:p>
    <w:p w14:paraId="0EE6A95F">
      <w:pPr>
        <w:jc w:val="left"/>
      </w:pPr>
      <w:r>
        <w:rPr>
          <w:b/>
          <w:bCs/>
        </w:rPr>
        <w:t>6.5.2</w:t>
      </w:r>
      <w:r>
        <w:t xml:space="preserve">  混凝土应按顶管管节的设计要求进行级配调整，宜采用振捣方式</w:t>
      </w:r>
      <w:r>
        <w:rPr>
          <w:rFonts w:hint="eastAsia"/>
        </w:rPr>
        <w:t>进行密实处置</w:t>
      </w:r>
      <w:r>
        <w:t>。</w:t>
      </w:r>
    </w:p>
    <w:p w14:paraId="34BAEDE4">
      <w:pPr>
        <w:jc w:val="left"/>
      </w:pPr>
      <w:r>
        <w:rPr>
          <w:b/>
          <w:bCs/>
        </w:rPr>
        <w:t>6.5.3</w:t>
      </w:r>
      <w:r>
        <w:t xml:space="preserve">  当环境温度大于或等于10℃时可采用自然养护，当环境温度小于10℃时宜采用蒸汽养护。</w:t>
      </w:r>
    </w:p>
    <w:p w14:paraId="24A32429">
      <w:r>
        <w:rPr>
          <w:b/>
        </w:rPr>
        <w:t xml:space="preserve">6.5.4  </w:t>
      </w:r>
      <w:r>
        <w:t>混凝土管节构造应符合下列规定：</w:t>
      </w:r>
    </w:p>
    <w:p w14:paraId="1D51F73E">
      <w:pPr>
        <w:ind w:firstLine="482" w:firstLineChars="200"/>
      </w:pPr>
      <w:r>
        <w:rPr>
          <w:b/>
        </w:rPr>
        <w:t xml:space="preserve">1  </w:t>
      </w:r>
      <w:r>
        <w:t>矩形管节基本结构应包括钢筋骨架、吊装装置、注浆孔、压浆孔、内外钢环、预埋件和混凝土等；</w:t>
      </w:r>
    </w:p>
    <w:p w14:paraId="5D149868">
      <w:pPr>
        <w:ind w:firstLine="482" w:firstLineChars="200"/>
      </w:pPr>
      <w:r>
        <w:rPr>
          <w:b/>
        </w:rPr>
        <w:t xml:space="preserve">2  </w:t>
      </w:r>
      <w:r>
        <w:t>矩形管节插口和钢承口的内外钢环应与钢筋骨架钢筋焊接，并</w:t>
      </w:r>
      <w:r>
        <w:rPr>
          <w:rFonts w:hint="eastAsia"/>
        </w:rPr>
        <w:t>应</w:t>
      </w:r>
      <w:r>
        <w:t>紧</w:t>
      </w:r>
      <w:r>
        <w:rPr>
          <w:rFonts w:hint="eastAsia"/>
        </w:rPr>
        <w:t>贴</w:t>
      </w:r>
      <w:r>
        <w:t>模具的内壁；</w:t>
      </w:r>
    </w:p>
    <w:p w14:paraId="4D938EB9">
      <w:pPr>
        <w:ind w:firstLine="482" w:firstLineChars="200"/>
      </w:pPr>
      <w:r>
        <w:rPr>
          <w:b/>
        </w:rPr>
        <w:t>3</w:t>
      </w:r>
      <w:r>
        <w:rPr>
          <w:bCs/>
        </w:rPr>
        <w:t xml:space="preserve">  管节插口端上应根据需要设置减磨注浆孔，数量及管径</w:t>
      </w:r>
      <w:r>
        <w:rPr>
          <w:rFonts w:hint="eastAsia"/>
        </w:rPr>
        <w:t>应</w:t>
      </w:r>
      <w:r>
        <w:rPr>
          <w:bCs/>
        </w:rPr>
        <w:t>根据设计要求</w:t>
      </w:r>
      <w:r>
        <w:rPr>
          <w:rFonts w:hint="eastAsia"/>
          <w:bCs/>
        </w:rPr>
        <w:t>确</w:t>
      </w:r>
      <w:r>
        <w:rPr>
          <w:bCs/>
        </w:rPr>
        <w:t>定；</w:t>
      </w:r>
    </w:p>
    <w:p w14:paraId="6718D013">
      <w:pPr>
        <w:ind w:firstLine="482" w:firstLineChars="200"/>
      </w:pPr>
      <w:r>
        <w:rPr>
          <w:b/>
          <w:bCs/>
        </w:rPr>
        <w:t>4</w:t>
      </w:r>
      <w:r>
        <w:t xml:space="preserve">  每一节管节应设置满足吊装要求的吊装装置。</w:t>
      </w:r>
    </w:p>
    <w:p w14:paraId="11F2575F">
      <w:r>
        <w:rPr>
          <w:b/>
          <w:bCs/>
        </w:rPr>
        <w:t xml:space="preserve">6.5.5 </w:t>
      </w:r>
      <w:r>
        <w:t xml:space="preserve"> 管节预制的混凝土抗压强度应符合下列规定：</w:t>
      </w:r>
    </w:p>
    <w:p w14:paraId="76794FBC">
      <w:pPr>
        <w:ind w:firstLine="482" w:firstLineChars="200"/>
      </w:pPr>
      <w:r>
        <w:rPr>
          <w:b/>
          <w:bCs/>
        </w:rPr>
        <w:t>1</w:t>
      </w:r>
      <w:r>
        <w:t xml:space="preserve">  混凝土拌合物应在相应管节任意</w:t>
      </w:r>
      <w:r>
        <w:rPr>
          <w:rFonts w:hint="eastAsia"/>
        </w:rPr>
        <w:t>一</w:t>
      </w:r>
      <w:r>
        <w:t>拌进行随机取样</w:t>
      </w:r>
      <w:r>
        <w:rPr>
          <w:rFonts w:hint="eastAsia"/>
        </w:rPr>
        <w:t>、</w:t>
      </w:r>
      <w:r>
        <w:t>制作抗压强度试件；</w:t>
      </w:r>
    </w:p>
    <w:p w14:paraId="6958A196">
      <w:pPr>
        <w:ind w:firstLine="482" w:firstLineChars="200"/>
      </w:pPr>
      <w:r>
        <w:rPr>
          <w:b/>
          <w:bCs/>
        </w:rPr>
        <w:t>2</w:t>
      </w:r>
      <w:r>
        <w:t xml:space="preserve">  每节管节取样不得少于1次，每次制作试件不应少于3组，2组与管节同条件养护，1组进行标准养护；</w:t>
      </w:r>
    </w:p>
    <w:p w14:paraId="1246E986">
      <w:pPr>
        <w:ind w:firstLine="482" w:firstLineChars="200"/>
      </w:pPr>
      <w:r>
        <w:rPr>
          <w:b/>
          <w:bCs/>
        </w:rPr>
        <w:t>3</w:t>
      </w:r>
      <w:r>
        <w:t xml:space="preserve">  同条件养护试件应用于脱模强度判定，标准养护试件应用于28d混凝土强度判定；</w:t>
      </w:r>
    </w:p>
    <w:p w14:paraId="10160BE8">
      <w:pPr>
        <w:ind w:firstLine="482" w:firstLineChars="200"/>
      </w:pPr>
      <w:r>
        <w:rPr>
          <w:b/>
          <w:bCs/>
        </w:rPr>
        <w:t>4</w:t>
      </w:r>
      <w:r>
        <w:t xml:space="preserve">  混凝土抗压强度试验方法应符合现行国家标准《混凝土物理力学性能试验方法标准》GB/T 50081的有关规定。</w:t>
      </w:r>
    </w:p>
    <w:p w14:paraId="2E640B94">
      <w:r>
        <w:rPr>
          <w:b/>
          <w:bCs/>
        </w:rPr>
        <w:t xml:space="preserve">6.5.6 </w:t>
      </w:r>
      <w:r>
        <w:t xml:space="preserve"> 管节预制的混凝土抗渗等级应符合下列规定：</w:t>
      </w:r>
    </w:p>
    <w:p w14:paraId="519B98BA">
      <w:pPr>
        <w:ind w:firstLine="482" w:firstLineChars="200"/>
      </w:pPr>
      <w:r>
        <w:rPr>
          <w:b/>
          <w:bCs/>
        </w:rPr>
        <w:t xml:space="preserve">1 </w:t>
      </w:r>
      <w:r>
        <w:t xml:space="preserve"> 混凝土拌合物应在相应管节任意</w:t>
      </w:r>
      <w:r>
        <w:rPr>
          <w:rFonts w:hint="eastAsia"/>
        </w:rPr>
        <w:t>一</w:t>
      </w:r>
      <w:r>
        <w:t>拌进行随机取样</w:t>
      </w:r>
      <w:r>
        <w:rPr>
          <w:rFonts w:hint="eastAsia"/>
        </w:rPr>
        <w:t>、</w:t>
      </w:r>
      <w:r>
        <w:t>制作抗渗试件；</w:t>
      </w:r>
    </w:p>
    <w:p w14:paraId="0497D20D">
      <w:pPr>
        <w:ind w:firstLine="482" w:firstLineChars="200"/>
      </w:pPr>
      <w:r>
        <w:rPr>
          <w:b/>
          <w:bCs/>
        </w:rPr>
        <w:t>2</w:t>
      </w:r>
      <w:r>
        <w:t xml:space="preserve">  相同项目、同一规格</w:t>
      </w:r>
      <w:r>
        <w:rPr>
          <w:rFonts w:hint="eastAsia"/>
        </w:rPr>
        <w:t>数量</w:t>
      </w:r>
      <w:r>
        <w:t>不</w:t>
      </w:r>
      <w:r>
        <w:rPr>
          <w:rFonts w:hint="eastAsia"/>
        </w:rPr>
        <w:t>足</w:t>
      </w:r>
      <w:r>
        <w:t>30节管节</w:t>
      </w:r>
      <w:r>
        <w:rPr>
          <w:rFonts w:hint="eastAsia"/>
        </w:rPr>
        <w:t>时</w:t>
      </w:r>
      <w:r>
        <w:t>应取1组抗渗试件</w:t>
      </w:r>
      <w:r>
        <w:rPr>
          <w:rFonts w:hint="eastAsia"/>
        </w:rPr>
        <w:t>，每增加30节管节宜增加1组抗渗构件；</w:t>
      </w:r>
    </w:p>
    <w:p w14:paraId="139681B0">
      <w:pPr>
        <w:ind w:firstLine="482" w:firstLineChars="200"/>
      </w:pPr>
      <w:r>
        <w:rPr>
          <w:b/>
          <w:bCs/>
        </w:rPr>
        <w:t>3</w:t>
      </w:r>
      <w:r>
        <w:t xml:space="preserve">  混凝土抗渗等级试件的制作及试验方法，应符合现行国家标准《普通混凝土长期性能和耐久性能试验方法标准》GB/T 50082的有关规定。</w:t>
      </w:r>
    </w:p>
    <w:p w14:paraId="707D8F6C">
      <w:r>
        <w:rPr>
          <w:b/>
        </w:rPr>
        <w:t xml:space="preserve">6.5.7  </w:t>
      </w:r>
      <w:r>
        <w:t>成品管节的外观质量应符合下列规定：</w:t>
      </w:r>
    </w:p>
    <w:p w14:paraId="3A71C179">
      <w:pPr>
        <w:ind w:firstLine="482" w:firstLineChars="200"/>
      </w:pPr>
      <w:r>
        <w:rPr>
          <w:b/>
        </w:rPr>
        <w:t xml:space="preserve">1  </w:t>
      </w:r>
      <w:r>
        <w:t>管节钢承口、预埋铁件外表面应光洁，不应粘有混凝土、水泥浆及其他污物；</w:t>
      </w:r>
    </w:p>
    <w:p w14:paraId="73C702F8">
      <w:pPr>
        <w:ind w:firstLine="482" w:firstLineChars="200"/>
        <w:rPr>
          <w:b/>
        </w:rPr>
      </w:pPr>
      <w:r>
        <w:rPr>
          <w:b/>
        </w:rPr>
        <w:t xml:space="preserve">2  </w:t>
      </w:r>
      <w:r>
        <w:t>顶管结构迎土面裂缝宽度不得大于0.2mm，背土面裂缝宽度不得大于0.3mm；</w:t>
      </w:r>
    </w:p>
    <w:p w14:paraId="0F4A5620">
      <w:pPr>
        <w:ind w:firstLine="482" w:firstLineChars="200"/>
      </w:pPr>
      <w:r>
        <w:rPr>
          <w:b/>
        </w:rPr>
        <w:t xml:space="preserve">3  </w:t>
      </w:r>
      <w:r>
        <w:t>管节承、插口端部混凝土不应出现缺料、掉角、露筋、露石及孔洞等瑕疵；</w:t>
      </w:r>
    </w:p>
    <w:p w14:paraId="5C0DED29">
      <w:pPr>
        <w:ind w:firstLine="482" w:firstLineChars="200"/>
      </w:pPr>
      <w:r>
        <w:rPr>
          <w:b/>
        </w:rPr>
        <w:t>4</w:t>
      </w:r>
      <w:r>
        <w:rPr>
          <w:bCs/>
        </w:rPr>
        <w:t xml:space="preserve"> </w:t>
      </w:r>
      <w:r>
        <w:rPr>
          <w:b/>
        </w:rPr>
        <w:t xml:space="preserve"> </w:t>
      </w:r>
      <w:r>
        <w:t>管道内壁混凝土表面应平整光洁，不应出现直径或深度大于10mm的孔洞、凹坑以及蜂窝麻面等不密实现象；</w:t>
      </w:r>
    </w:p>
    <w:p w14:paraId="282EBC8C">
      <w:pPr>
        <w:ind w:firstLine="482" w:firstLineChars="200"/>
      </w:pPr>
      <w:r>
        <w:rPr>
          <w:b/>
        </w:rPr>
        <w:t>5</w:t>
      </w:r>
      <w:r>
        <w:rPr>
          <w:bCs/>
        </w:rPr>
        <w:t xml:space="preserve"> </w:t>
      </w:r>
      <w:r>
        <w:rPr>
          <w:b/>
        </w:rPr>
        <w:t xml:space="preserve"> </w:t>
      </w:r>
      <w:r>
        <w:t>管道外壁混凝土表面应平整，</w:t>
      </w:r>
      <w:r>
        <w:rPr>
          <w:rFonts w:hint="eastAsia"/>
        </w:rPr>
        <w:t>不得有</w:t>
      </w:r>
      <w:r>
        <w:t>粘皮、麻面、蜂窝、塌落、露筋、空鼓，局部凹坑深度不应大于5mm；</w:t>
      </w:r>
    </w:p>
    <w:p w14:paraId="6470CBFA">
      <w:pPr>
        <w:ind w:firstLine="482" w:firstLineChars="200"/>
      </w:pPr>
      <w:r>
        <w:rPr>
          <w:b/>
        </w:rPr>
        <w:t xml:space="preserve">6  </w:t>
      </w:r>
      <w:r>
        <w:t>管节合缝处不得有漏浆现象。</w:t>
      </w:r>
    </w:p>
    <w:p w14:paraId="205A4A0B">
      <w:r>
        <w:rPr>
          <w:b/>
          <w:bCs/>
        </w:rPr>
        <w:t>6.5.8</w:t>
      </w:r>
      <w:r>
        <w:t xml:space="preserve">  预制管节出现下列情况时宜进行修补：</w:t>
      </w:r>
    </w:p>
    <w:p w14:paraId="50E23FF7">
      <w:pPr>
        <w:ind w:firstLine="482" w:firstLineChars="200"/>
      </w:pPr>
      <w:r>
        <w:rPr>
          <w:b/>
          <w:bCs/>
        </w:rPr>
        <w:t>1</w:t>
      </w:r>
      <w:r>
        <w:t xml:space="preserve">  表面凹深不超过5mm，粘皮、麻面、蜂窝深度不超过5mm，且总表面积不超过相应内外表面积的1/20，每块面积不超过100cm</w:t>
      </w:r>
      <w:r>
        <w:rPr>
          <w:vertAlign w:val="superscript"/>
        </w:rPr>
        <w:t>2</w:t>
      </w:r>
      <w:r>
        <w:t>；</w:t>
      </w:r>
    </w:p>
    <w:p w14:paraId="2F9CD381">
      <w:pPr>
        <w:ind w:firstLine="482" w:firstLineChars="200"/>
      </w:pPr>
      <w:r>
        <w:rPr>
          <w:b/>
          <w:bCs/>
        </w:rPr>
        <w:t>2</w:t>
      </w:r>
      <w:r>
        <w:t xml:space="preserve">  表面有局部塌落，但塌落面积不超过相应内外表面积的1/20，每块面积不超过100cm</w:t>
      </w:r>
      <w:r>
        <w:rPr>
          <w:vertAlign w:val="superscript"/>
        </w:rPr>
        <w:t>2</w:t>
      </w:r>
      <w:r>
        <w:t>；</w:t>
      </w:r>
    </w:p>
    <w:p w14:paraId="07B44421">
      <w:pPr>
        <w:ind w:firstLine="482" w:firstLineChars="200"/>
      </w:pPr>
      <w:r>
        <w:rPr>
          <w:b/>
          <w:bCs/>
        </w:rPr>
        <w:t>3</w:t>
      </w:r>
      <w:r>
        <w:t xml:space="preserve">  合缝漏浆深度不超过10mm，且最大长度不超过300mm；</w:t>
      </w:r>
    </w:p>
    <w:p w14:paraId="3AC83314">
      <w:pPr>
        <w:ind w:firstLine="482" w:firstLineChars="200"/>
      </w:pPr>
      <w:r>
        <w:rPr>
          <w:b/>
          <w:bCs/>
        </w:rPr>
        <w:t>4</w:t>
      </w:r>
      <w:r>
        <w:t xml:space="preserve">  端面碰伤横向长度不超过200mm，纵向长度不超过50mm。</w:t>
      </w:r>
    </w:p>
    <w:p w14:paraId="74B5D138">
      <w:pPr>
        <w:ind w:firstLine="480" w:firstLineChars="200"/>
      </w:pPr>
    </w:p>
    <w:p w14:paraId="03F5A090">
      <w:pPr>
        <w:keepNext/>
        <w:keepLines/>
        <w:jc w:val="center"/>
        <w:outlineLvl w:val="1"/>
        <w:rPr>
          <w:rFonts w:eastAsia="黑体"/>
          <w:bCs/>
          <w:sz w:val="28"/>
          <w:szCs w:val="32"/>
        </w:rPr>
      </w:pPr>
      <w:bookmarkStart w:id="311" w:name="_Toc60173795"/>
      <w:bookmarkStart w:id="312" w:name="_Toc47692167"/>
      <w:bookmarkStart w:id="313" w:name="_Toc18057049"/>
      <w:bookmarkStart w:id="314" w:name="_Toc12663"/>
      <w:bookmarkStart w:id="315" w:name="_Toc8558"/>
      <w:bookmarkStart w:id="316" w:name="_Toc27972"/>
      <w:bookmarkStart w:id="317" w:name="_Toc13644"/>
      <w:bookmarkStart w:id="318" w:name="_Toc11245"/>
      <w:bookmarkStart w:id="319" w:name="_Toc27492"/>
      <w:bookmarkStart w:id="320" w:name="_Toc18874"/>
      <w:bookmarkStart w:id="321" w:name="_Toc60172908"/>
      <w:r>
        <w:rPr>
          <w:rFonts w:eastAsia="黑体"/>
          <w:b/>
          <w:bCs/>
          <w:sz w:val="28"/>
          <w:szCs w:val="32"/>
        </w:rPr>
        <w:t>6.6</w:t>
      </w:r>
      <w:r>
        <w:rPr>
          <w:rFonts w:eastAsia="黑体"/>
          <w:bCs/>
          <w:sz w:val="28"/>
          <w:szCs w:val="32"/>
        </w:rPr>
        <w:t xml:space="preserve">  管节标识、堆放、吊装和运输</w:t>
      </w:r>
      <w:bookmarkEnd w:id="311"/>
      <w:bookmarkEnd w:id="312"/>
      <w:bookmarkEnd w:id="313"/>
      <w:bookmarkEnd w:id="314"/>
      <w:bookmarkEnd w:id="315"/>
      <w:bookmarkEnd w:id="316"/>
      <w:bookmarkEnd w:id="317"/>
      <w:bookmarkEnd w:id="318"/>
      <w:bookmarkEnd w:id="319"/>
      <w:bookmarkEnd w:id="320"/>
      <w:bookmarkEnd w:id="321"/>
    </w:p>
    <w:p w14:paraId="5677EC6A">
      <w:r>
        <w:rPr>
          <w:b/>
        </w:rPr>
        <w:t>6.6.1</w:t>
      </w:r>
      <w:r>
        <w:t xml:space="preserve">  管节出厂前应在管节易见位置对合格的管节进行标识，标识内容应包括企业名称、产品商标、产品标记以及生产日期等，喷刷字迹应工整、清晰，不得随意涂改，比例应协调。</w:t>
      </w:r>
    </w:p>
    <w:p w14:paraId="014A513E">
      <w:r>
        <w:rPr>
          <w:b/>
        </w:rPr>
        <w:t xml:space="preserve">6.6.2  </w:t>
      </w:r>
      <w:r>
        <w:t>管节的堆放应符合下列规定：</w:t>
      </w:r>
    </w:p>
    <w:p w14:paraId="36E1D6A3">
      <w:pPr>
        <w:ind w:firstLine="482" w:firstLineChars="200"/>
      </w:pPr>
      <w:r>
        <w:rPr>
          <w:b/>
          <w:bCs/>
        </w:rPr>
        <w:t>1</w:t>
      </w:r>
      <w:r>
        <w:t xml:space="preserve">  不同规格的管节不应混合堆放，并</w:t>
      </w:r>
      <w:r>
        <w:rPr>
          <w:rFonts w:hint="eastAsia"/>
        </w:rPr>
        <w:t>应</w:t>
      </w:r>
      <w:r>
        <w:t>做好标识；</w:t>
      </w:r>
    </w:p>
    <w:p w14:paraId="1D4F579D">
      <w:pPr>
        <w:ind w:firstLine="482" w:firstLineChars="200"/>
      </w:pPr>
      <w:r>
        <w:rPr>
          <w:b/>
          <w:bCs/>
        </w:rPr>
        <w:t>2</w:t>
      </w:r>
      <w:r>
        <w:t xml:space="preserve">  矩形顶管管节堆放的层数不宜超过</w:t>
      </w:r>
      <w:r>
        <w:rPr>
          <w:rFonts w:hint="eastAsia"/>
        </w:rPr>
        <w:t>3</w:t>
      </w:r>
      <w:r>
        <w:t>层，堆放的地面应为实土地面或铺设砂石地面，地面应平整，各管节堆放周边间距不得</w:t>
      </w:r>
      <w:r>
        <w:rPr>
          <w:rFonts w:hint="eastAsia"/>
        </w:rPr>
        <w:t>小</w:t>
      </w:r>
      <w:r>
        <w:t>于1.0m，堆场应预留安全通道，通道宽度不应</w:t>
      </w:r>
      <w:r>
        <w:rPr>
          <w:rFonts w:hint="eastAsia"/>
        </w:rPr>
        <w:t>小</w:t>
      </w:r>
      <w:r>
        <w:t>于1.50m，管节应受力均匀、堆放安全。</w:t>
      </w:r>
    </w:p>
    <w:p w14:paraId="103E19E2">
      <w:pPr>
        <w:ind w:firstLine="482" w:firstLineChars="200"/>
      </w:pPr>
      <w:r>
        <w:rPr>
          <w:b/>
          <w:bCs/>
        </w:rPr>
        <w:t>3</w:t>
      </w:r>
      <w:r>
        <w:t xml:space="preserve">  管节接头上的胶圈</w:t>
      </w:r>
      <w:r>
        <w:rPr>
          <w:rFonts w:hint="eastAsia"/>
        </w:rPr>
        <w:t>宜</w:t>
      </w:r>
      <w:r>
        <w:t>待管节发往工地时</w:t>
      </w:r>
      <w:r>
        <w:rPr>
          <w:rFonts w:hint="eastAsia"/>
        </w:rPr>
        <w:t>再</w:t>
      </w:r>
      <w:r>
        <w:t>套装；</w:t>
      </w:r>
    </w:p>
    <w:p w14:paraId="137AFC82">
      <w:pPr>
        <w:ind w:firstLine="482" w:firstLineChars="200"/>
      </w:pPr>
      <w:r>
        <w:rPr>
          <w:b/>
          <w:bCs/>
        </w:rPr>
        <w:t>4</w:t>
      </w:r>
      <w:r>
        <w:t xml:space="preserve">  在干燥气候条件下，应加强管节的后期洒水养护。</w:t>
      </w:r>
    </w:p>
    <w:p w14:paraId="45A6C198">
      <w:r>
        <w:rPr>
          <w:b/>
        </w:rPr>
        <w:t>6.6.3</w:t>
      </w:r>
      <w:r>
        <w:t xml:space="preserve">  管节吊装应符合下列规定：</w:t>
      </w:r>
    </w:p>
    <w:p w14:paraId="57F7E575">
      <w:pPr>
        <w:ind w:firstLine="482" w:firstLineChars="200"/>
      </w:pPr>
      <w:r>
        <w:rPr>
          <w:b/>
          <w:bCs/>
        </w:rPr>
        <w:t>1</w:t>
      </w:r>
      <w:r>
        <w:t xml:space="preserve">  管节</w:t>
      </w:r>
      <w:r>
        <w:rPr>
          <w:rFonts w:hint="eastAsia"/>
        </w:rPr>
        <w:t>应</w:t>
      </w:r>
      <w:r>
        <w:t>采用专用吊具进行吊装，在吊装前应检查吊具销子的固定情况、钢丝绳的完好情况，吊装时插销应完全插入到吊装孔里面；</w:t>
      </w:r>
    </w:p>
    <w:p w14:paraId="3298BD8E">
      <w:pPr>
        <w:ind w:firstLine="482" w:firstLineChars="200"/>
      </w:pPr>
      <w:r>
        <w:rPr>
          <w:b/>
          <w:bCs/>
        </w:rPr>
        <w:t>2</w:t>
      </w:r>
      <w:r>
        <w:t xml:space="preserve">  吊装时，吊钩吊起管节应缓慢提升高度，在吊运过程中应采取防止管节碰伤的措施。</w:t>
      </w:r>
    </w:p>
    <w:p w14:paraId="25FCC4BF">
      <w:r>
        <w:rPr>
          <w:b/>
        </w:rPr>
        <w:t xml:space="preserve">6.6.4  </w:t>
      </w:r>
      <w:r>
        <w:t>管节运输</w:t>
      </w:r>
      <w:r>
        <w:rPr>
          <w:rFonts w:hint="eastAsia"/>
        </w:rPr>
        <w:t>应评估运输条件，并应符合</w:t>
      </w:r>
      <w:r>
        <w:t>交通运输管理部门的</w:t>
      </w:r>
      <w:r>
        <w:rPr>
          <w:rFonts w:hint="eastAsia"/>
        </w:rPr>
        <w:t>相</w:t>
      </w:r>
      <w:r>
        <w:t>关规定</w:t>
      </w:r>
      <w:r>
        <w:rPr>
          <w:rFonts w:hint="eastAsia"/>
        </w:rPr>
        <w:t>。</w:t>
      </w:r>
    </w:p>
    <w:p w14:paraId="55130BBC"/>
    <w:p w14:paraId="35F85D61">
      <w:pPr>
        <w:keepNext/>
        <w:keepLines/>
        <w:jc w:val="center"/>
        <w:outlineLvl w:val="1"/>
        <w:rPr>
          <w:rFonts w:eastAsia="黑体"/>
          <w:bCs/>
          <w:sz w:val="28"/>
          <w:szCs w:val="32"/>
        </w:rPr>
      </w:pPr>
      <w:bookmarkStart w:id="322" w:name="_Toc27462"/>
      <w:bookmarkStart w:id="323" w:name="_Toc10773"/>
      <w:bookmarkStart w:id="324" w:name="_Toc3055"/>
      <w:bookmarkStart w:id="325" w:name="_Toc16684"/>
      <w:bookmarkStart w:id="326" w:name="_Toc19615"/>
      <w:bookmarkStart w:id="327" w:name="_Toc12432"/>
      <w:bookmarkStart w:id="328" w:name="_Toc3235"/>
      <w:r>
        <w:rPr>
          <w:rFonts w:eastAsia="黑体"/>
          <w:bCs/>
          <w:sz w:val="28"/>
          <w:szCs w:val="32"/>
        </w:rPr>
        <w:fldChar w:fldCharType="begin"/>
      </w:r>
      <w:r>
        <w:rPr>
          <w:rFonts w:eastAsia="黑体"/>
          <w:bCs/>
          <w:sz w:val="28"/>
          <w:szCs w:val="32"/>
        </w:rPr>
        <w:instrText xml:space="preserve"> HYPERLINK \l "_Toc12891" </w:instrText>
      </w:r>
      <w:r>
        <w:rPr>
          <w:rFonts w:eastAsia="黑体"/>
          <w:bCs/>
          <w:sz w:val="28"/>
          <w:szCs w:val="32"/>
        </w:rPr>
        <w:fldChar w:fldCharType="separate"/>
      </w:r>
      <w:bookmarkStart w:id="329" w:name="_Toc60172909"/>
      <w:bookmarkStart w:id="330" w:name="_Toc18057050"/>
      <w:bookmarkStart w:id="331" w:name="_Toc47692168"/>
      <w:bookmarkStart w:id="332" w:name="_Toc60173796"/>
      <w:r>
        <w:rPr>
          <w:rFonts w:eastAsia="黑体"/>
          <w:b/>
          <w:bCs/>
          <w:sz w:val="28"/>
          <w:szCs w:val="32"/>
        </w:rPr>
        <w:t>6.7</w:t>
      </w:r>
      <w:r>
        <w:rPr>
          <w:rFonts w:eastAsia="黑体"/>
          <w:bCs/>
          <w:sz w:val="28"/>
          <w:szCs w:val="32"/>
        </w:rPr>
        <w:t xml:space="preserve">  管节质量控制</w:t>
      </w:r>
      <w:bookmarkEnd w:id="329"/>
      <w:bookmarkEnd w:id="330"/>
      <w:bookmarkEnd w:id="331"/>
      <w:bookmarkEnd w:id="332"/>
      <w:r>
        <w:rPr>
          <w:rFonts w:eastAsia="黑体"/>
          <w:bCs/>
          <w:sz w:val="28"/>
          <w:szCs w:val="32"/>
        </w:rPr>
        <w:fldChar w:fldCharType="end"/>
      </w:r>
      <w:bookmarkEnd w:id="322"/>
      <w:bookmarkEnd w:id="323"/>
      <w:bookmarkEnd w:id="324"/>
      <w:bookmarkEnd w:id="325"/>
      <w:bookmarkEnd w:id="326"/>
      <w:bookmarkEnd w:id="327"/>
      <w:bookmarkEnd w:id="328"/>
    </w:p>
    <w:p w14:paraId="2B3E8870">
      <w:pPr>
        <w:jc w:val="center"/>
        <w:rPr>
          <w:rFonts w:eastAsia="仿宋"/>
          <w:b/>
          <w:bCs/>
        </w:rPr>
      </w:pPr>
      <w:r>
        <w:rPr>
          <w:rFonts w:eastAsia="仿宋"/>
          <w:b/>
          <w:bCs/>
        </w:rPr>
        <w:t>Ⅰ  主控项目</w:t>
      </w:r>
    </w:p>
    <w:p w14:paraId="0870C93F">
      <w:r>
        <w:rPr>
          <w:b/>
          <w:bCs/>
        </w:rPr>
        <w:t>6.7.1</w:t>
      </w:r>
      <w:r>
        <w:t xml:space="preserve">  根据影响结构性能、安装和使用功能的严重程度，</w:t>
      </w:r>
      <w:r>
        <w:rPr>
          <w:rFonts w:hint="eastAsia"/>
        </w:rPr>
        <w:t>预制构件</w:t>
      </w:r>
      <w:r>
        <w:t>外观质量缺陷</w:t>
      </w:r>
      <w:r>
        <w:rPr>
          <w:rFonts w:hint="eastAsia"/>
        </w:rPr>
        <w:t>见</w:t>
      </w:r>
      <w:r>
        <w:t>表6.7.1。</w:t>
      </w:r>
    </w:p>
    <w:p w14:paraId="54D6339B">
      <w:pPr>
        <w:jc w:val="center"/>
        <w:rPr>
          <w:b/>
          <w:bCs/>
          <w:sz w:val="21"/>
          <w:szCs w:val="18"/>
        </w:rPr>
      </w:pPr>
      <w:r>
        <w:rPr>
          <w:b/>
          <w:bCs/>
          <w:sz w:val="21"/>
          <w:szCs w:val="18"/>
        </w:rPr>
        <w:t>表6.7.1  预制构件外观质量缺陷</w:t>
      </w:r>
    </w:p>
    <w:tbl>
      <w:tblPr>
        <w:tblStyle w:val="35"/>
        <w:tblW w:w="8674"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648"/>
        <w:gridCol w:w="1559"/>
        <w:gridCol w:w="3490"/>
        <w:gridCol w:w="2977"/>
      </w:tblGrid>
      <w:tr w14:paraId="50155BC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48" w:type="dxa"/>
            <w:vAlign w:val="center"/>
          </w:tcPr>
          <w:p w14:paraId="48C333DA">
            <w:pPr>
              <w:autoSpaceDE w:val="0"/>
              <w:autoSpaceDN w:val="0"/>
              <w:adjustRightInd w:val="0"/>
              <w:spacing w:line="240" w:lineRule="auto"/>
              <w:jc w:val="center"/>
              <w:rPr>
                <w:kern w:val="0"/>
                <w:sz w:val="21"/>
              </w:rPr>
            </w:pPr>
            <w:r>
              <w:rPr>
                <w:rFonts w:hint="eastAsia"/>
                <w:kern w:val="0"/>
                <w:sz w:val="21"/>
              </w:rPr>
              <w:t>序号</w:t>
            </w:r>
          </w:p>
        </w:tc>
        <w:tc>
          <w:tcPr>
            <w:tcW w:w="1559" w:type="dxa"/>
            <w:vAlign w:val="center"/>
          </w:tcPr>
          <w:p w14:paraId="179F32E3">
            <w:pPr>
              <w:autoSpaceDE w:val="0"/>
              <w:autoSpaceDN w:val="0"/>
              <w:adjustRightInd w:val="0"/>
              <w:spacing w:line="240" w:lineRule="auto"/>
              <w:jc w:val="center"/>
              <w:rPr>
                <w:kern w:val="0"/>
                <w:sz w:val="21"/>
              </w:rPr>
            </w:pPr>
            <w:r>
              <w:rPr>
                <w:kern w:val="0"/>
                <w:sz w:val="21"/>
              </w:rPr>
              <w:t>名</w:t>
            </w:r>
            <w:r>
              <w:rPr>
                <w:rFonts w:hint="eastAsia"/>
                <w:kern w:val="0"/>
                <w:sz w:val="21"/>
              </w:rPr>
              <w:t xml:space="preserve"> </w:t>
            </w:r>
            <w:r>
              <w:rPr>
                <w:kern w:val="0"/>
                <w:sz w:val="21"/>
              </w:rPr>
              <w:t>称</w:t>
            </w:r>
          </w:p>
        </w:tc>
        <w:tc>
          <w:tcPr>
            <w:tcW w:w="3490" w:type="dxa"/>
            <w:vAlign w:val="center"/>
          </w:tcPr>
          <w:p w14:paraId="29912F87">
            <w:pPr>
              <w:autoSpaceDE w:val="0"/>
              <w:autoSpaceDN w:val="0"/>
              <w:adjustRightInd w:val="0"/>
              <w:spacing w:line="240" w:lineRule="auto"/>
              <w:jc w:val="center"/>
              <w:rPr>
                <w:kern w:val="0"/>
                <w:sz w:val="21"/>
              </w:rPr>
            </w:pPr>
            <w:r>
              <w:rPr>
                <w:kern w:val="0"/>
                <w:sz w:val="21"/>
              </w:rPr>
              <w:t>现</w:t>
            </w:r>
            <w:r>
              <w:rPr>
                <w:rFonts w:hint="eastAsia"/>
                <w:kern w:val="0"/>
                <w:sz w:val="21"/>
              </w:rPr>
              <w:t xml:space="preserve">      </w:t>
            </w:r>
            <w:r>
              <w:rPr>
                <w:kern w:val="0"/>
                <w:sz w:val="21"/>
              </w:rPr>
              <w:t>象</w:t>
            </w:r>
          </w:p>
        </w:tc>
        <w:tc>
          <w:tcPr>
            <w:tcW w:w="2977" w:type="dxa"/>
            <w:vAlign w:val="center"/>
          </w:tcPr>
          <w:p w14:paraId="49B86D90">
            <w:pPr>
              <w:autoSpaceDE w:val="0"/>
              <w:autoSpaceDN w:val="0"/>
              <w:adjustRightInd w:val="0"/>
              <w:spacing w:line="240" w:lineRule="auto"/>
              <w:jc w:val="center"/>
              <w:rPr>
                <w:kern w:val="0"/>
                <w:sz w:val="21"/>
              </w:rPr>
            </w:pPr>
            <w:r>
              <w:rPr>
                <w:kern w:val="0"/>
                <w:sz w:val="21"/>
              </w:rPr>
              <w:t>一般缺陷</w:t>
            </w:r>
          </w:p>
        </w:tc>
      </w:tr>
      <w:tr w14:paraId="7FA0323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48" w:type="dxa"/>
            <w:vAlign w:val="center"/>
          </w:tcPr>
          <w:p w14:paraId="2F1ABD4D">
            <w:pPr>
              <w:autoSpaceDE w:val="0"/>
              <w:autoSpaceDN w:val="0"/>
              <w:adjustRightInd w:val="0"/>
              <w:spacing w:line="240" w:lineRule="auto"/>
              <w:jc w:val="center"/>
              <w:rPr>
                <w:kern w:val="0"/>
                <w:sz w:val="21"/>
              </w:rPr>
            </w:pPr>
            <w:r>
              <w:rPr>
                <w:rFonts w:hint="eastAsia"/>
                <w:kern w:val="0"/>
                <w:sz w:val="21"/>
              </w:rPr>
              <w:t>1</w:t>
            </w:r>
          </w:p>
        </w:tc>
        <w:tc>
          <w:tcPr>
            <w:tcW w:w="1559" w:type="dxa"/>
            <w:vAlign w:val="center"/>
          </w:tcPr>
          <w:p w14:paraId="136F3360">
            <w:pPr>
              <w:autoSpaceDE w:val="0"/>
              <w:autoSpaceDN w:val="0"/>
              <w:adjustRightInd w:val="0"/>
              <w:spacing w:line="240" w:lineRule="auto"/>
              <w:jc w:val="center"/>
              <w:rPr>
                <w:kern w:val="0"/>
                <w:sz w:val="21"/>
              </w:rPr>
            </w:pPr>
            <w:r>
              <w:rPr>
                <w:kern w:val="0"/>
                <w:sz w:val="21"/>
              </w:rPr>
              <w:t>露筋</w:t>
            </w:r>
          </w:p>
        </w:tc>
        <w:tc>
          <w:tcPr>
            <w:tcW w:w="3490" w:type="dxa"/>
            <w:vAlign w:val="center"/>
          </w:tcPr>
          <w:p w14:paraId="68F763A0">
            <w:pPr>
              <w:autoSpaceDE w:val="0"/>
              <w:autoSpaceDN w:val="0"/>
              <w:adjustRightInd w:val="0"/>
              <w:spacing w:line="240" w:lineRule="auto"/>
              <w:jc w:val="center"/>
              <w:rPr>
                <w:kern w:val="0"/>
                <w:sz w:val="21"/>
              </w:rPr>
            </w:pPr>
            <w:r>
              <w:rPr>
                <w:kern w:val="0"/>
                <w:sz w:val="21"/>
              </w:rPr>
              <w:t>构件内钢筋未被混凝土包裹而外露</w:t>
            </w:r>
          </w:p>
        </w:tc>
        <w:tc>
          <w:tcPr>
            <w:tcW w:w="2977" w:type="dxa"/>
            <w:vAlign w:val="center"/>
          </w:tcPr>
          <w:p w14:paraId="6B3F15E4">
            <w:pPr>
              <w:autoSpaceDE w:val="0"/>
              <w:autoSpaceDN w:val="0"/>
              <w:adjustRightInd w:val="0"/>
              <w:spacing w:line="240" w:lineRule="auto"/>
              <w:jc w:val="center"/>
              <w:rPr>
                <w:kern w:val="0"/>
                <w:sz w:val="21"/>
              </w:rPr>
            </w:pPr>
            <w:r>
              <w:rPr>
                <w:rFonts w:hint="eastAsia"/>
                <w:kern w:val="0"/>
                <w:sz w:val="21"/>
              </w:rPr>
              <w:t>非受力钢筋存在</w:t>
            </w:r>
            <w:r>
              <w:rPr>
                <w:kern w:val="0"/>
                <w:sz w:val="21"/>
              </w:rPr>
              <w:t>少量露筋</w:t>
            </w:r>
          </w:p>
        </w:tc>
      </w:tr>
      <w:tr w14:paraId="505DAE7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48" w:type="dxa"/>
            <w:vAlign w:val="center"/>
          </w:tcPr>
          <w:p w14:paraId="7EB6A923">
            <w:pPr>
              <w:autoSpaceDE w:val="0"/>
              <w:autoSpaceDN w:val="0"/>
              <w:adjustRightInd w:val="0"/>
              <w:spacing w:line="240" w:lineRule="auto"/>
              <w:jc w:val="center"/>
              <w:rPr>
                <w:kern w:val="0"/>
                <w:sz w:val="21"/>
              </w:rPr>
            </w:pPr>
            <w:r>
              <w:rPr>
                <w:rFonts w:hint="eastAsia"/>
                <w:kern w:val="0"/>
                <w:sz w:val="21"/>
              </w:rPr>
              <w:t>2</w:t>
            </w:r>
          </w:p>
        </w:tc>
        <w:tc>
          <w:tcPr>
            <w:tcW w:w="1559" w:type="dxa"/>
            <w:vAlign w:val="center"/>
          </w:tcPr>
          <w:p w14:paraId="42089091">
            <w:pPr>
              <w:autoSpaceDE w:val="0"/>
              <w:autoSpaceDN w:val="0"/>
              <w:adjustRightInd w:val="0"/>
              <w:spacing w:line="240" w:lineRule="auto"/>
              <w:jc w:val="center"/>
              <w:rPr>
                <w:kern w:val="0"/>
                <w:sz w:val="21"/>
              </w:rPr>
            </w:pPr>
            <w:r>
              <w:rPr>
                <w:rFonts w:hint="eastAsia"/>
                <w:kern w:val="0"/>
                <w:sz w:val="21"/>
              </w:rPr>
              <w:t>气孔</w:t>
            </w:r>
          </w:p>
        </w:tc>
        <w:tc>
          <w:tcPr>
            <w:tcW w:w="3490" w:type="dxa"/>
            <w:vAlign w:val="center"/>
          </w:tcPr>
          <w:p w14:paraId="2D35B13C">
            <w:pPr>
              <w:autoSpaceDE w:val="0"/>
              <w:autoSpaceDN w:val="0"/>
              <w:adjustRightInd w:val="0"/>
              <w:spacing w:line="240" w:lineRule="auto"/>
              <w:jc w:val="center"/>
              <w:rPr>
                <w:kern w:val="0"/>
                <w:sz w:val="21"/>
              </w:rPr>
            </w:pPr>
            <w:r>
              <w:rPr>
                <w:kern w:val="0"/>
                <w:sz w:val="21"/>
              </w:rPr>
              <w:t>混凝土表面</w:t>
            </w:r>
            <w:r>
              <w:rPr>
                <w:rFonts w:hint="eastAsia"/>
                <w:kern w:val="0"/>
                <w:sz w:val="21"/>
              </w:rPr>
              <w:t>存在浅表性小孔</w:t>
            </w:r>
          </w:p>
        </w:tc>
        <w:tc>
          <w:tcPr>
            <w:tcW w:w="2977" w:type="dxa"/>
            <w:vAlign w:val="center"/>
          </w:tcPr>
          <w:p w14:paraId="6BA8437A">
            <w:pPr>
              <w:autoSpaceDE w:val="0"/>
              <w:autoSpaceDN w:val="0"/>
              <w:adjustRightInd w:val="0"/>
              <w:spacing w:line="240" w:lineRule="auto"/>
              <w:jc w:val="center"/>
              <w:rPr>
                <w:kern w:val="0"/>
                <w:sz w:val="21"/>
              </w:rPr>
            </w:pPr>
            <w:r>
              <w:rPr>
                <w:rFonts w:hint="eastAsia"/>
                <w:kern w:val="0"/>
                <w:sz w:val="21"/>
              </w:rPr>
              <w:t>存在</w:t>
            </w:r>
            <w:r>
              <w:rPr>
                <w:kern w:val="0"/>
                <w:sz w:val="21"/>
              </w:rPr>
              <w:t>少量</w:t>
            </w:r>
            <w:r>
              <w:rPr>
                <w:rFonts w:hint="eastAsia"/>
                <w:kern w:val="0"/>
                <w:sz w:val="21"/>
              </w:rPr>
              <w:t>气孔</w:t>
            </w:r>
          </w:p>
        </w:tc>
      </w:tr>
      <w:tr w14:paraId="285D427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48" w:type="dxa"/>
            <w:vAlign w:val="center"/>
          </w:tcPr>
          <w:p w14:paraId="70DA1060">
            <w:pPr>
              <w:autoSpaceDE w:val="0"/>
              <w:autoSpaceDN w:val="0"/>
              <w:adjustRightInd w:val="0"/>
              <w:spacing w:line="240" w:lineRule="auto"/>
              <w:jc w:val="center"/>
              <w:rPr>
                <w:kern w:val="0"/>
                <w:sz w:val="21"/>
              </w:rPr>
            </w:pPr>
            <w:r>
              <w:rPr>
                <w:rFonts w:hint="eastAsia"/>
                <w:kern w:val="0"/>
                <w:sz w:val="21"/>
              </w:rPr>
              <w:t>3</w:t>
            </w:r>
          </w:p>
        </w:tc>
        <w:tc>
          <w:tcPr>
            <w:tcW w:w="1559" w:type="dxa"/>
            <w:vAlign w:val="center"/>
          </w:tcPr>
          <w:p w14:paraId="0B6849AF">
            <w:pPr>
              <w:autoSpaceDE w:val="0"/>
              <w:autoSpaceDN w:val="0"/>
              <w:adjustRightInd w:val="0"/>
              <w:spacing w:line="240" w:lineRule="auto"/>
              <w:jc w:val="center"/>
              <w:rPr>
                <w:kern w:val="0"/>
                <w:sz w:val="21"/>
              </w:rPr>
            </w:pPr>
            <w:r>
              <w:rPr>
                <w:kern w:val="0"/>
                <w:sz w:val="21"/>
              </w:rPr>
              <w:t>裂缝</w:t>
            </w:r>
          </w:p>
        </w:tc>
        <w:tc>
          <w:tcPr>
            <w:tcW w:w="3490" w:type="dxa"/>
            <w:vAlign w:val="center"/>
          </w:tcPr>
          <w:p w14:paraId="213DDA9D">
            <w:pPr>
              <w:autoSpaceDE w:val="0"/>
              <w:autoSpaceDN w:val="0"/>
              <w:adjustRightInd w:val="0"/>
              <w:spacing w:line="240" w:lineRule="auto"/>
              <w:jc w:val="center"/>
              <w:rPr>
                <w:kern w:val="0"/>
                <w:sz w:val="21"/>
              </w:rPr>
            </w:pPr>
            <w:r>
              <w:rPr>
                <w:kern w:val="0"/>
                <w:sz w:val="21"/>
              </w:rPr>
              <w:t>缝隙从混凝土表面延伸至混凝土内部</w:t>
            </w:r>
          </w:p>
        </w:tc>
        <w:tc>
          <w:tcPr>
            <w:tcW w:w="2977" w:type="dxa"/>
            <w:vAlign w:val="center"/>
          </w:tcPr>
          <w:p w14:paraId="3AA1B6C2">
            <w:pPr>
              <w:autoSpaceDE w:val="0"/>
              <w:autoSpaceDN w:val="0"/>
              <w:adjustRightInd w:val="0"/>
              <w:spacing w:line="240" w:lineRule="auto"/>
              <w:jc w:val="center"/>
              <w:rPr>
                <w:kern w:val="0"/>
                <w:sz w:val="21"/>
              </w:rPr>
            </w:pPr>
            <w:r>
              <w:rPr>
                <w:rFonts w:hint="eastAsia"/>
                <w:kern w:val="0"/>
                <w:sz w:val="21"/>
              </w:rPr>
              <w:t>存在</w:t>
            </w:r>
            <w:r>
              <w:rPr>
                <w:kern w:val="0"/>
                <w:sz w:val="21"/>
              </w:rPr>
              <w:t>不影响结构或使用</w:t>
            </w:r>
            <w:r>
              <w:rPr>
                <w:rFonts w:hint="eastAsia"/>
                <w:kern w:val="0"/>
                <w:sz w:val="21"/>
              </w:rPr>
              <w:t>性</w:t>
            </w:r>
            <w:r>
              <w:rPr>
                <w:kern w:val="0"/>
                <w:sz w:val="21"/>
              </w:rPr>
              <w:t>能的裂缝</w:t>
            </w:r>
          </w:p>
        </w:tc>
      </w:tr>
      <w:tr w14:paraId="396134B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48" w:type="dxa"/>
            <w:vAlign w:val="center"/>
          </w:tcPr>
          <w:p w14:paraId="1A8EACCF">
            <w:pPr>
              <w:autoSpaceDE w:val="0"/>
              <w:autoSpaceDN w:val="0"/>
              <w:adjustRightInd w:val="0"/>
              <w:spacing w:line="240" w:lineRule="auto"/>
              <w:jc w:val="center"/>
              <w:rPr>
                <w:kern w:val="0"/>
                <w:sz w:val="21"/>
              </w:rPr>
            </w:pPr>
            <w:r>
              <w:rPr>
                <w:rFonts w:hint="eastAsia"/>
                <w:kern w:val="0"/>
                <w:sz w:val="21"/>
              </w:rPr>
              <w:t>4</w:t>
            </w:r>
          </w:p>
        </w:tc>
        <w:tc>
          <w:tcPr>
            <w:tcW w:w="1559" w:type="dxa"/>
            <w:vAlign w:val="center"/>
          </w:tcPr>
          <w:p w14:paraId="29D7BACA">
            <w:pPr>
              <w:autoSpaceDE w:val="0"/>
              <w:autoSpaceDN w:val="0"/>
              <w:adjustRightInd w:val="0"/>
              <w:spacing w:line="240" w:lineRule="auto"/>
              <w:jc w:val="center"/>
              <w:rPr>
                <w:kern w:val="0"/>
                <w:sz w:val="21"/>
              </w:rPr>
            </w:pPr>
            <w:r>
              <w:rPr>
                <w:kern w:val="0"/>
                <w:sz w:val="21"/>
              </w:rPr>
              <w:t>连</w:t>
            </w:r>
            <w:r>
              <w:rPr>
                <w:rFonts w:hint="eastAsia"/>
                <w:kern w:val="0"/>
                <w:sz w:val="21"/>
              </w:rPr>
              <w:t>接</w:t>
            </w:r>
            <w:r>
              <w:rPr>
                <w:kern w:val="0"/>
                <w:sz w:val="21"/>
              </w:rPr>
              <w:t>部位缺陷</w:t>
            </w:r>
          </w:p>
        </w:tc>
        <w:tc>
          <w:tcPr>
            <w:tcW w:w="3490" w:type="dxa"/>
            <w:vAlign w:val="center"/>
          </w:tcPr>
          <w:p w14:paraId="2246BB70">
            <w:pPr>
              <w:autoSpaceDE w:val="0"/>
              <w:autoSpaceDN w:val="0"/>
              <w:adjustRightInd w:val="0"/>
              <w:spacing w:line="240" w:lineRule="auto"/>
              <w:jc w:val="center"/>
              <w:rPr>
                <w:kern w:val="0"/>
                <w:sz w:val="21"/>
              </w:rPr>
            </w:pPr>
            <w:r>
              <w:rPr>
                <w:kern w:val="0"/>
                <w:sz w:val="21"/>
              </w:rPr>
              <w:t>构件连接处混凝土缺陷及连接钢筋、连接铁件松动</w:t>
            </w:r>
          </w:p>
        </w:tc>
        <w:tc>
          <w:tcPr>
            <w:tcW w:w="2977" w:type="dxa"/>
            <w:vAlign w:val="center"/>
          </w:tcPr>
          <w:p w14:paraId="0A679C22">
            <w:pPr>
              <w:autoSpaceDE w:val="0"/>
              <w:autoSpaceDN w:val="0"/>
              <w:adjustRightInd w:val="0"/>
              <w:spacing w:line="240" w:lineRule="auto"/>
              <w:jc w:val="center"/>
              <w:rPr>
                <w:kern w:val="0"/>
                <w:sz w:val="21"/>
              </w:rPr>
            </w:pPr>
            <w:r>
              <w:rPr>
                <w:kern w:val="0"/>
                <w:sz w:val="21"/>
              </w:rPr>
              <w:t>连接部位有基本不影响结构传力性能的缺陷</w:t>
            </w:r>
          </w:p>
        </w:tc>
      </w:tr>
      <w:tr w14:paraId="34049D4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48" w:type="dxa"/>
            <w:vAlign w:val="center"/>
          </w:tcPr>
          <w:p w14:paraId="4A9A9F3B">
            <w:pPr>
              <w:autoSpaceDE w:val="0"/>
              <w:autoSpaceDN w:val="0"/>
              <w:adjustRightInd w:val="0"/>
              <w:spacing w:line="240" w:lineRule="auto"/>
              <w:jc w:val="center"/>
              <w:rPr>
                <w:kern w:val="0"/>
                <w:sz w:val="21"/>
              </w:rPr>
            </w:pPr>
            <w:r>
              <w:rPr>
                <w:rFonts w:hint="eastAsia"/>
                <w:kern w:val="0"/>
                <w:sz w:val="21"/>
              </w:rPr>
              <w:t>5</w:t>
            </w:r>
          </w:p>
        </w:tc>
        <w:tc>
          <w:tcPr>
            <w:tcW w:w="1559" w:type="dxa"/>
            <w:vAlign w:val="center"/>
          </w:tcPr>
          <w:p w14:paraId="7F0136A2">
            <w:pPr>
              <w:autoSpaceDE w:val="0"/>
              <w:autoSpaceDN w:val="0"/>
              <w:adjustRightInd w:val="0"/>
              <w:spacing w:line="240" w:lineRule="auto"/>
              <w:jc w:val="center"/>
              <w:rPr>
                <w:kern w:val="0"/>
                <w:sz w:val="21"/>
              </w:rPr>
            </w:pPr>
            <w:r>
              <w:rPr>
                <w:kern w:val="0"/>
                <w:sz w:val="21"/>
              </w:rPr>
              <w:t>外形缺陷</w:t>
            </w:r>
          </w:p>
        </w:tc>
        <w:tc>
          <w:tcPr>
            <w:tcW w:w="3490" w:type="dxa"/>
            <w:vAlign w:val="center"/>
          </w:tcPr>
          <w:p w14:paraId="19733ACC">
            <w:pPr>
              <w:autoSpaceDE w:val="0"/>
              <w:autoSpaceDN w:val="0"/>
              <w:adjustRightInd w:val="0"/>
              <w:spacing w:line="240" w:lineRule="auto"/>
              <w:jc w:val="center"/>
              <w:rPr>
                <w:kern w:val="0"/>
                <w:sz w:val="21"/>
              </w:rPr>
            </w:pPr>
            <w:r>
              <w:rPr>
                <w:kern w:val="0"/>
                <w:sz w:val="21"/>
              </w:rPr>
              <w:t>缺棱掉角、棱角不宜、翘曲不平、飞出凸肋等</w:t>
            </w:r>
          </w:p>
        </w:tc>
        <w:tc>
          <w:tcPr>
            <w:tcW w:w="2977" w:type="dxa"/>
            <w:vAlign w:val="center"/>
          </w:tcPr>
          <w:p w14:paraId="2160A581">
            <w:pPr>
              <w:autoSpaceDE w:val="0"/>
              <w:autoSpaceDN w:val="0"/>
              <w:adjustRightInd w:val="0"/>
              <w:spacing w:line="240" w:lineRule="auto"/>
              <w:jc w:val="center"/>
              <w:rPr>
                <w:kern w:val="0"/>
                <w:sz w:val="21"/>
              </w:rPr>
            </w:pPr>
            <w:r>
              <w:rPr>
                <w:rFonts w:hint="eastAsia"/>
                <w:kern w:val="0"/>
                <w:sz w:val="21"/>
              </w:rPr>
              <w:t>存在</w:t>
            </w:r>
            <w:r>
              <w:rPr>
                <w:kern w:val="0"/>
                <w:sz w:val="21"/>
              </w:rPr>
              <w:t>不影响</w:t>
            </w:r>
            <w:r>
              <w:rPr>
                <w:rFonts w:hint="eastAsia"/>
                <w:kern w:val="0"/>
                <w:sz w:val="21"/>
              </w:rPr>
              <w:t>其</w:t>
            </w:r>
            <w:r>
              <w:rPr>
                <w:kern w:val="0"/>
                <w:sz w:val="21"/>
              </w:rPr>
              <w:t>使用功能的外</w:t>
            </w:r>
            <w:r>
              <w:rPr>
                <w:rFonts w:hint="eastAsia"/>
                <w:kern w:val="0"/>
                <w:sz w:val="21"/>
              </w:rPr>
              <w:t>形</w:t>
            </w:r>
            <w:r>
              <w:rPr>
                <w:kern w:val="0"/>
                <w:sz w:val="21"/>
              </w:rPr>
              <w:t>缺陷</w:t>
            </w:r>
          </w:p>
        </w:tc>
      </w:tr>
      <w:tr w14:paraId="368A3E2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48" w:type="dxa"/>
            <w:vAlign w:val="center"/>
          </w:tcPr>
          <w:p w14:paraId="5C2D774E">
            <w:pPr>
              <w:autoSpaceDE w:val="0"/>
              <w:autoSpaceDN w:val="0"/>
              <w:adjustRightInd w:val="0"/>
              <w:spacing w:line="240" w:lineRule="auto"/>
              <w:jc w:val="center"/>
              <w:rPr>
                <w:kern w:val="0"/>
                <w:sz w:val="21"/>
              </w:rPr>
            </w:pPr>
            <w:r>
              <w:rPr>
                <w:rFonts w:hint="eastAsia"/>
                <w:kern w:val="0"/>
                <w:sz w:val="21"/>
              </w:rPr>
              <w:t>6</w:t>
            </w:r>
          </w:p>
        </w:tc>
        <w:tc>
          <w:tcPr>
            <w:tcW w:w="1559" w:type="dxa"/>
            <w:vAlign w:val="center"/>
          </w:tcPr>
          <w:p w14:paraId="5AF57415">
            <w:pPr>
              <w:autoSpaceDE w:val="0"/>
              <w:autoSpaceDN w:val="0"/>
              <w:adjustRightInd w:val="0"/>
              <w:spacing w:line="240" w:lineRule="auto"/>
              <w:jc w:val="center"/>
              <w:rPr>
                <w:kern w:val="0"/>
                <w:sz w:val="21"/>
              </w:rPr>
            </w:pPr>
            <w:r>
              <w:rPr>
                <w:kern w:val="0"/>
                <w:sz w:val="21"/>
              </w:rPr>
              <w:t>外表缺陷</w:t>
            </w:r>
          </w:p>
        </w:tc>
        <w:tc>
          <w:tcPr>
            <w:tcW w:w="3490" w:type="dxa"/>
            <w:vAlign w:val="center"/>
          </w:tcPr>
          <w:p w14:paraId="013C2EF7">
            <w:pPr>
              <w:autoSpaceDE w:val="0"/>
              <w:autoSpaceDN w:val="0"/>
              <w:adjustRightInd w:val="0"/>
              <w:spacing w:line="240" w:lineRule="auto"/>
              <w:jc w:val="center"/>
              <w:rPr>
                <w:kern w:val="0"/>
                <w:sz w:val="21"/>
              </w:rPr>
            </w:pPr>
            <w:r>
              <w:rPr>
                <w:kern w:val="0"/>
                <w:sz w:val="21"/>
              </w:rPr>
              <w:t>构件表面麻面、掉皮、起砂、玷污等</w:t>
            </w:r>
          </w:p>
        </w:tc>
        <w:tc>
          <w:tcPr>
            <w:tcW w:w="2977" w:type="dxa"/>
            <w:vAlign w:val="center"/>
          </w:tcPr>
          <w:p w14:paraId="2117DBAF">
            <w:pPr>
              <w:autoSpaceDE w:val="0"/>
              <w:autoSpaceDN w:val="0"/>
              <w:adjustRightInd w:val="0"/>
              <w:spacing w:line="240" w:lineRule="auto"/>
              <w:jc w:val="center"/>
              <w:rPr>
                <w:kern w:val="0"/>
                <w:sz w:val="21"/>
              </w:rPr>
            </w:pPr>
            <w:r>
              <w:rPr>
                <w:rFonts w:hint="eastAsia"/>
                <w:kern w:val="0"/>
                <w:sz w:val="21"/>
              </w:rPr>
              <w:t>存在</w:t>
            </w:r>
            <w:r>
              <w:rPr>
                <w:kern w:val="0"/>
                <w:sz w:val="21"/>
              </w:rPr>
              <w:t>不影响</w:t>
            </w:r>
            <w:r>
              <w:rPr>
                <w:rFonts w:hint="eastAsia"/>
                <w:kern w:val="0"/>
                <w:sz w:val="21"/>
              </w:rPr>
              <w:t>其</w:t>
            </w:r>
            <w:r>
              <w:rPr>
                <w:kern w:val="0"/>
                <w:sz w:val="21"/>
              </w:rPr>
              <w:t>使用功能的外表缺陷</w:t>
            </w:r>
          </w:p>
        </w:tc>
      </w:tr>
    </w:tbl>
    <w:p w14:paraId="739B4F70">
      <w:r>
        <w:rPr>
          <w:b/>
          <w:bCs/>
        </w:rPr>
        <w:t>6.7.2</w:t>
      </w:r>
      <w:r>
        <w:t xml:space="preserve">  管节应按设计要求和现行国家标准《混凝土结构工程施工质量验收规范》GB 50204的有关规定进行结构性能检验。</w:t>
      </w:r>
    </w:p>
    <w:p w14:paraId="157FE3F1">
      <w:r>
        <w:rPr>
          <w:b/>
          <w:bCs/>
        </w:rPr>
        <w:t xml:space="preserve">6.7.3 </w:t>
      </w:r>
      <w:r>
        <w:t xml:space="preserve"> 管节生产过程中应有检查和验收记录。所有检查和验收记录应签章齐全、日期准确。</w:t>
      </w:r>
    </w:p>
    <w:p w14:paraId="0F97C6FD">
      <w:pPr>
        <w:ind w:firstLine="480" w:firstLineChars="200"/>
      </w:pPr>
      <w:r>
        <w:t>检验方法：查阅检查和验收记录。</w:t>
      </w:r>
    </w:p>
    <w:p w14:paraId="21628C9A">
      <w:pPr>
        <w:ind w:firstLine="480" w:firstLineChars="200"/>
      </w:pPr>
      <w:r>
        <w:t>检查数量：全数检查。</w:t>
      </w:r>
    </w:p>
    <w:p w14:paraId="3ACBFBA2">
      <w:r>
        <w:rPr>
          <w:b/>
          <w:bCs/>
        </w:rPr>
        <w:t>6.7.4</w:t>
      </w:r>
      <w:r>
        <w:t xml:space="preserve">  管节脱模时，管节的混凝土立方体抗压强度应满足设计要求。当设计无要求时，</w:t>
      </w:r>
      <w:r>
        <w:rPr>
          <w:rFonts w:hint="eastAsia"/>
        </w:rPr>
        <w:t>至少</w:t>
      </w:r>
      <w:r>
        <w:t>应达到设计抗压强度标准值的75%。</w:t>
      </w:r>
    </w:p>
    <w:p w14:paraId="5CA07A9B">
      <w:pPr>
        <w:ind w:firstLine="480" w:firstLineChars="200"/>
      </w:pPr>
      <w:r>
        <w:t>检验方法：检查标准养护试块强度试验报告或同条件养护试块强度试验报告。</w:t>
      </w:r>
    </w:p>
    <w:p w14:paraId="0C65B50E">
      <w:pPr>
        <w:ind w:firstLine="480" w:firstLineChars="200"/>
      </w:pPr>
      <w:r>
        <w:t>检查数量：逐节检验。</w:t>
      </w:r>
    </w:p>
    <w:p w14:paraId="62FE1D08">
      <w:r>
        <w:rPr>
          <w:b/>
          <w:bCs/>
        </w:rPr>
        <w:t xml:space="preserve">6.7.5 </w:t>
      </w:r>
      <w:r>
        <w:t xml:space="preserve"> 出厂时，管节的混凝土立方体抗压强度应满足设计要求。当设计无要求时，应达到设计的混凝土立方体抗压强度标准值。混凝土试块强度应按现行国家标准《混凝土结构工程施工质量验收规范》GB 50204和《混凝土强度检验评定标准》GB/T 50107的有关规定</w:t>
      </w:r>
      <w:r>
        <w:rPr>
          <w:rFonts w:hint="eastAsia"/>
        </w:rPr>
        <w:t>进行</w:t>
      </w:r>
      <w:r>
        <w:t>检验评定。</w:t>
      </w:r>
    </w:p>
    <w:p w14:paraId="4F60231C">
      <w:pPr>
        <w:ind w:firstLine="480" w:firstLineChars="200"/>
      </w:pPr>
      <w:r>
        <w:t>检验方法：检查标准养护试块强度试验报告或同条件养护试块强度试验报告。</w:t>
      </w:r>
    </w:p>
    <w:p w14:paraId="7A3EF405">
      <w:pPr>
        <w:ind w:firstLine="480" w:firstLineChars="200"/>
      </w:pPr>
      <w:r>
        <w:t>检查数量：逐节检验。</w:t>
      </w:r>
    </w:p>
    <w:p w14:paraId="38FFAD85">
      <w:r>
        <w:rPr>
          <w:b/>
          <w:bCs/>
        </w:rPr>
        <w:t>6.7.6</w:t>
      </w:r>
      <w:r>
        <w:t xml:space="preserve">  管节的混凝土的抗渗等级应满足设计要求。混凝土抗渗等级应按国家现行标准《混凝土结构工程施工质量验收规范》GB 50204、《混凝土耐久性检验评定标准》JGJ/T 193的有关规定</w:t>
      </w:r>
      <w:r>
        <w:rPr>
          <w:rFonts w:hint="eastAsia"/>
        </w:rPr>
        <w:t>进行</w:t>
      </w:r>
      <w:r>
        <w:t>检验评定。</w:t>
      </w:r>
    </w:p>
    <w:p w14:paraId="330A5249">
      <w:pPr>
        <w:ind w:firstLine="480" w:firstLineChars="200"/>
      </w:pPr>
      <w:r>
        <w:t>检验方法：检查试验报告。</w:t>
      </w:r>
    </w:p>
    <w:p w14:paraId="36950984">
      <w:pPr>
        <w:ind w:firstLine="480" w:firstLineChars="200"/>
      </w:pPr>
      <w:r>
        <w:t>检查数量：逐节检验。</w:t>
      </w:r>
    </w:p>
    <w:p w14:paraId="68761688">
      <w:r>
        <w:rPr>
          <w:b/>
          <w:bCs/>
        </w:rPr>
        <w:t>6.7.7</w:t>
      </w:r>
      <w:r>
        <w:t xml:space="preserve">  管节上的预埋件、预留插筋、预埋管线和预留孔洞的规格、位置和数量应满足设计要求。</w:t>
      </w:r>
    </w:p>
    <w:p w14:paraId="4CF760EE">
      <w:pPr>
        <w:ind w:firstLine="480" w:firstLineChars="200"/>
      </w:pPr>
      <w:r>
        <w:t>检验方法：查阅设计文件，观察，量测。</w:t>
      </w:r>
    </w:p>
    <w:p w14:paraId="0079A1E7">
      <w:pPr>
        <w:ind w:firstLine="480" w:firstLineChars="200"/>
      </w:pPr>
      <w:r>
        <w:t>检查数量：全数检查。</w:t>
      </w:r>
    </w:p>
    <w:p w14:paraId="2A82B35C">
      <w:pPr>
        <w:ind w:firstLine="482" w:firstLineChars="200"/>
      </w:pPr>
      <w:r>
        <w:rPr>
          <w:b/>
          <w:bCs/>
        </w:rPr>
        <w:t>6.7.8</w:t>
      </w:r>
      <w:r>
        <w:t xml:space="preserve">  管节应在明显部位标明工程名称、生产单位、生产日期、构件规格、编号、重量、质量验收标志等。</w:t>
      </w:r>
    </w:p>
    <w:p w14:paraId="276376B6">
      <w:pPr>
        <w:ind w:firstLine="480" w:firstLineChars="200"/>
      </w:pPr>
      <w:r>
        <w:t>检验方法：观察。</w:t>
      </w:r>
    </w:p>
    <w:p w14:paraId="475D8909">
      <w:pPr>
        <w:ind w:firstLine="480" w:firstLineChars="200"/>
      </w:pPr>
      <w:r>
        <w:t>检查数量：全数检查。</w:t>
      </w:r>
    </w:p>
    <w:p w14:paraId="48FED990">
      <w:pPr>
        <w:snapToGrid w:val="0"/>
      </w:pPr>
      <w:r>
        <w:rPr>
          <w:b/>
          <w:bCs/>
        </w:rPr>
        <w:t>6.7.9</w:t>
      </w:r>
      <w:r>
        <w:t xml:space="preserve">  管节的外观质量不应有严重缺陷。对已经出现的严重缺陷，应由生产单位提出技术处理方案，并经监理单位认可后进行处理；对裂缝或连接部位的严重缺陷及其他影响结构安全的严重缺陷，技术处理方案尚应经原设计单位认可。经处理的部位应重新检查验收。</w:t>
      </w:r>
    </w:p>
    <w:p w14:paraId="5D3A6147">
      <w:pPr>
        <w:ind w:firstLine="480" w:firstLineChars="200"/>
      </w:pPr>
      <w:r>
        <w:t>检验方法：观察，检查处理记录。</w:t>
      </w:r>
    </w:p>
    <w:p w14:paraId="6B199C22">
      <w:pPr>
        <w:ind w:firstLine="480" w:firstLineChars="200"/>
      </w:pPr>
      <w:r>
        <w:t>检查数量：全数检查。</w:t>
      </w:r>
    </w:p>
    <w:p w14:paraId="2F709FF5">
      <w:r>
        <w:rPr>
          <w:b/>
          <w:bCs/>
        </w:rPr>
        <w:t>6.7.10</w:t>
      </w:r>
      <w:r>
        <w:t xml:space="preserve">  管节不应有影响结构性能、安装和使用功能的尺寸偏差。对超过尺寸允许偏差且影响结构性能或安装、使用功能的部位，应由生产单位制定技术处理方案，并经监理单位、设计单位认可后进行处理。经处理的部位应重新检查验收。</w:t>
      </w:r>
    </w:p>
    <w:p w14:paraId="3F10631D">
      <w:pPr>
        <w:ind w:firstLine="480" w:firstLineChars="200"/>
      </w:pPr>
      <w:r>
        <w:t>检验方法：观察，尺量，检查处理记录。</w:t>
      </w:r>
    </w:p>
    <w:p w14:paraId="22B015A8">
      <w:pPr>
        <w:ind w:firstLine="480" w:firstLineChars="200"/>
      </w:pPr>
      <w:r>
        <w:t>检查数量：全数检查</w:t>
      </w:r>
      <w:r>
        <w:rPr>
          <w:rFonts w:hint="eastAsia"/>
        </w:rPr>
        <w:t>。</w:t>
      </w:r>
    </w:p>
    <w:p w14:paraId="3354C26E">
      <w:pPr>
        <w:jc w:val="center"/>
        <w:rPr>
          <w:rFonts w:eastAsia="仿宋"/>
          <w:b/>
          <w:bCs/>
        </w:rPr>
      </w:pPr>
      <w:r>
        <w:rPr>
          <w:rFonts w:eastAsia="仿宋"/>
          <w:b/>
          <w:bCs/>
        </w:rPr>
        <w:t>Ⅱ  一般项目</w:t>
      </w:r>
    </w:p>
    <w:p w14:paraId="54109D35">
      <w:r>
        <w:rPr>
          <w:b/>
          <w:bCs/>
        </w:rPr>
        <w:t xml:space="preserve">6.7.11  </w:t>
      </w:r>
      <w:r>
        <w:t>预制构件的外观质量不应有一般缺陷。对出现的一般缺陷应进行修整并达到合格。</w:t>
      </w:r>
    </w:p>
    <w:p w14:paraId="1D417B2E">
      <w:pPr>
        <w:ind w:firstLine="480" w:firstLineChars="200"/>
      </w:pPr>
      <w:r>
        <w:t>检验方法：观察，检查处理记录。</w:t>
      </w:r>
    </w:p>
    <w:p w14:paraId="0595CA94">
      <w:pPr>
        <w:ind w:firstLine="480" w:firstLineChars="200"/>
      </w:pPr>
      <w:r>
        <w:t>检查数量：全数检查。</w:t>
      </w:r>
    </w:p>
    <w:p w14:paraId="0E213F1A">
      <w:r>
        <w:rPr>
          <w:b/>
          <w:bCs/>
        </w:rPr>
        <w:t xml:space="preserve">6.7.12  </w:t>
      </w:r>
      <w:r>
        <w:t>管节及管节接口的几何尺寸允许偏差应符合表6.7.12-1及表6.7.12-2的规定；设计有专门规定时应满足设计要求。施工过程中临时使用的预埋件，预埋件的中心线位置允许偏差可取表6.7.12-1中规定数值的2倍。</w:t>
      </w:r>
    </w:p>
    <w:p w14:paraId="4B6EB720">
      <w:pPr>
        <w:ind w:firstLine="480" w:firstLineChars="200"/>
      </w:pPr>
      <w:r>
        <w:t>检验方法：量测。</w:t>
      </w:r>
    </w:p>
    <w:p w14:paraId="7BE6953C">
      <w:pPr>
        <w:ind w:firstLine="480" w:firstLineChars="200"/>
      </w:pPr>
      <w:r>
        <w:t>检查数量：全数检查。</w:t>
      </w:r>
    </w:p>
    <w:p w14:paraId="2613861D">
      <w:pPr>
        <w:jc w:val="center"/>
        <w:rPr>
          <w:b/>
          <w:bCs/>
          <w:sz w:val="21"/>
          <w:szCs w:val="18"/>
        </w:rPr>
      </w:pPr>
      <w:r>
        <w:rPr>
          <w:b/>
          <w:bCs/>
          <w:sz w:val="21"/>
          <w:szCs w:val="18"/>
        </w:rPr>
        <w:t>表6.7.12-1  管节的几何尺寸允许偏差（mm）</w:t>
      </w:r>
    </w:p>
    <w:tbl>
      <w:tblPr>
        <w:tblStyle w:val="35"/>
        <w:tblW w:w="7356"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15" w:type="dxa"/>
          <w:left w:w="15" w:type="dxa"/>
          <w:bottom w:w="15" w:type="dxa"/>
          <w:right w:w="15" w:type="dxa"/>
        </w:tblCellMar>
      </w:tblPr>
      <w:tblGrid>
        <w:gridCol w:w="704"/>
        <w:gridCol w:w="851"/>
        <w:gridCol w:w="1984"/>
        <w:gridCol w:w="3817"/>
      </w:tblGrid>
      <w:tr w14:paraId="6671A93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Align w:val="center"/>
          </w:tcPr>
          <w:p w14:paraId="67C8ED6F">
            <w:pPr>
              <w:widowControl/>
              <w:spacing w:line="240" w:lineRule="auto"/>
              <w:jc w:val="center"/>
              <w:textAlignment w:val="center"/>
              <w:rPr>
                <w:sz w:val="21"/>
              </w:rPr>
            </w:pPr>
            <w:r>
              <w:rPr>
                <w:kern w:val="0"/>
                <w:sz w:val="21"/>
              </w:rPr>
              <w:t>序号</w:t>
            </w:r>
          </w:p>
        </w:tc>
        <w:tc>
          <w:tcPr>
            <w:tcW w:w="2835" w:type="dxa"/>
            <w:gridSpan w:val="2"/>
            <w:vAlign w:val="center"/>
          </w:tcPr>
          <w:p w14:paraId="34A921B0">
            <w:pPr>
              <w:widowControl/>
              <w:spacing w:line="240" w:lineRule="auto"/>
              <w:jc w:val="center"/>
              <w:textAlignment w:val="center"/>
              <w:rPr>
                <w:sz w:val="21"/>
              </w:rPr>
            </w:pPr>
            <w:r>
              <w:rPr>
                <w:kern w:val="0"/>
                <w:sz w:val="21"/>
              </w:rPr>
              <w:t>项目</w:t>
            </w:r>
          </w:p>
        </w:tc>
        <w:tc>
          <w:tcPr>
            <w:tcW w:w="3817" w:type="dxa"/>
            <w:vAlign w:val="center"/>
          </w:tcPr>
          <w:p w14:paraId="575286A7">
            <w:pPr>
              <w:widowControl/>
              <w:spacing w:line="240" w:lineRule="auto"/>
              <w:jc w:val="center"/>
              <w:textAlignment w:val="center"/>
              <w:rPr>
                <w:sz w:val="21"/>
              </w:rPr>
            </w:pPr>
            <w:r>
              <w:rPr>
                <w:rFonts w:hint="eastAsia"/>
                <w:kern w:val="0"/>
                <w:sz w:val="21"/>
              </w:rPr>
              <w:t>允许偏差</w:t>
            </w:r>
          </w:p>
        </w:tc>
      </w:tr>
      <w:tr w14:paraId="10FF75F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Align w:val="center"/>
          </w:tcPr>
          <w:p w14:paraId="3F905BAB">
            <w:pPr>
              <w:widowControl/>
              <w:spacing w:line="240" w:lineRule="auto"/>
              <w:jc w:val="center"/>
              <w:textAlignment w:val="center"/>
              <w:rPr>
                <w:sz w:val="21"/>
              </w:rPr>
            </w:pPr>
            <w:r>
              <w:rPr>
                <w:kern w:val="0"/>
                <w:sz w:val="21"/>
              </w:rPr>
              <w:t>1</w:t>
            </w:r>
          </w:p>
        </w:tc>
        <w:tc>
          <w:tcPr>
            <w:tcW w:w="2835" w:type="dxa"/>
            <w:gridSpan w:val="2"/>
            <w:vAlign w:val="center"/>
          </w:tcPr>
          <w:p w14:paraId="0654268D">
            <w:pPr>
              <w:widowControl/>
              <w:spacing w:line="240" w:lineRule="auto"/>
              <w:jc w:val="center"/>
              <w:textAlignment w:val="center"/>
              <w:rPr>
                <w:sz w:val="21"/>
              </w:rPr>
            </w:pPr>
            <w:r>
              <w:rPr>
                <w:kern w:val="0"/>
                <w:sz w:val="21"/>
              </w:rPr>
              <w:t>接口对角线误差</w:t>
            </w:r>
          </w:p>
        </w:tc>
        <w:tc>
          <w:tcPr>
            <w:tcW w:w="3817" w:type="dxa"/>
            <w:vAlign w:val="center"/>
          </w:tcPr>
          <w:p w14:paraId="31C6FB3E">
            <w:pPr>
              <w:widowControl/>
              <w:spacing w:line="240" w:lineRule="auto"/>
              <w:jc w:val="center"/>
              <w:textAlignment w:val="center"/>
              <w:rPr>
                <w:sz w:val="21"/>
              </w:rPr>
            </w:pPr>
            <w:r>
              <w:rPr>
                <w:kern w:val="0"/>
                <w:sz w:val="21"/>
              </w:rPr>
              <w:t>≤2</w:t>
            </w:r>
          </w:p>
        </w:tc>
      </w:tr>
      <w:tr w14:paraId="73ACCEC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Merge w:val="restart"/>
            <w:vAlign w:val="center"/>
          </w:tcPr>
          <w:p w14:paraId="5B910CB9">
            <w:pPr>
              <w:widowControl/>
              <w:spacing w:line="240" w:lineRule="auto"/>
              <w:jc w:val="center"/>
              <w:textAlignment w:val="center"/>
              <w:rPr>
                <w:sz w:val="21"/>
              </w:rPr>
            </w:pPr>
            <w:r>
              <w:rPr>
                <w:kern w:val="0"/>
                <w:sz w:val="21"/>
              </w:rPr>
              <w:t>2</w:t>
            </w:r>
          </w:p>
        </w:tc>
        <w:tc>
          <w:tcPr>
            <w:tcW w:w="851" w:type="dxa"/>
            <w:vMerge w:val="restart"/>
            <w:vAlign w:val="center"/>
          </w:tcPr>
          <w:p w14:paraId="5339B070">
            <w:pPr>
              <w:widowControl/>
              <w:spacing w:line="240" w:lineRule="auto"/>
              <w:jc w:val="center"/>
              <w:textAlignment w:val="center"/>
              <w:rPr>
                <w:sz w:val="21"/>
              </w:rPr>
            </w:pPr>
            <w:r>
              <w:rPr>
                <w:kern w:val="0"/>
                <w:sz w:val="21"/>
              </w:rPr>
              <w:t>弯曲度</w:t>
            </w:r>
          </w:p>
        </w:tc>
        <w:tc>
          <w:tcPr>
            <w:tcW w:w="1984" w:type="dxa"/>
            <w:vAlign w:val="center"/>
          </w:tcPr>
          <w:p w14:paraId="6322D27D">
            <w:pPr>
              <w:spacing w:line="240" w:lineRule="auto"/>
              <w:jc w:val="center"/>
              <w:textAlignment w:val="center"/>
              <w:rPr>
                <w:sz w:val="21"/>
              </w:rPr>
            </w:pPr>
            <w:r>
              <w:rPr>
                <w:sz w:val="21"/>
              </w:rPr>
              <w:t>长度方向</w:t>
            </w:r>
          </w:p>
        </w:tc>
        <w:tc>
          <w:tcPr>
            <w:tcW w:w="3817" w:type="dxa"/>
            <w:vAlign w:val="center"/>
          </w:tcPr>
          <w:p w14:paraId="2DC83DE4">
            <w:pPr>
              <w:widowControl/>
              <w:spacing w:line="240" w:lineRule="auto"/>
              <w:jc w:val="center"/>
              <w:textAlignment w:val="center"/>
              <w:rPr>
                <w:sz w:val="21"/>
              </w:rPr>
            </w:pPr>
            <w:r>
              <w:rPr>
                <w:kern w:val="0"/>
                <w:sz w:val="21"/>
              </w:rPr>
              <w:t>≤有效长度的0.3%</w:t>
            </w:r>
          </w:p>
        </w:tc>
      </w:tr>
      <w:tr w14:paraId="4E4949B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Merge w:val="continue"/>
            <w:vAlign w:val="center"/>
          </w:tcPr>
          <w:p w14:paraId="48B402BC">
            <w:pPr>
              <w:widowControl/>
              <w:spacing w:line="240" w:lineRule="auto"/>
              <w:jc w:val="center"/>
              <w:textAlignment w:val="center"/>
              <w:rPr>
                <w:kern w:val="0"/>
                <w:sz w:val="21"/>
              </w:rPr>
            </w:pPr>
          </w:p>
        </w:tc>
        <w:tc>
          <w:tcPr>
            <w:tcW w:w="851" w:type="dxa"/>
            <w:vMerge w:val="continue"/>
            <w:vAlign w:val="center"/>
          </w:tcPr>
          <w:p w14:paraId="1797F7B2">
            <w:pPr>
              <w:widowControl/>
              <w:spacing w:line="240" w:lineRule="auto"/>
              <w:jc w:val="center"/>
              <w:textAlignment w:val="center"/>
              <w:rPr>
                <w:kern w:val="0"/>
                <w:sz w:val="21"/>
              </w:rPr>
            </w:pPr>
          </w:p>
        </w:tc>
        <w:tc>
          <w:tcPr>
            <w:tcW w:w="1984" w:type="dxa"/>
            <w:vAlign w:val="center"/>
          </w:tcPr>
          <w:p w14:paraId="325BC7AD">
            <w:pPr>
              <w:widowControl/>
              <w:spacing w:line="240" w:lineRule="auto"/>
              <w:jc w:val="center"/>
              <w:textAlignment w:val="center"/>
              <w:rPr>
                <w:kern w:val="0"/>
                <w:sz w:val="21"/>
              </w:rPr>
            </w:pPr>
            <w:r>
              <w:rPr>
                <w:kern w:val="0"/>
                <w:sz w:val="21"/>
              </w:rPr>
              <w:t>宽度及高度方向</w:t>
            </w:r>
          </w:p>
        </w:tc>
        <w:tc>
          <w:tcPr>
            <w:tcW w:w="3817" w:type="dxa"/>
            <w:vAlign w:val="center"/>
          </w:tcPr>
          <w:p w14:paraId="3210B428">
            <w:pPr>
              <w:widowControl/>
              <w:spacing w:line="240" w:lineRule="auto"/>
              <w:jc w:val="center"/>
              <w:textAlignment w:val="center"/>
              <w:rPr>
                <w:kern w:val="0"/>
                <w:sz w:val="21"/>
              </w:rPr>
            </w:pPr>
            <w:r>
              <w:rPr>
                <w:kern w:val="0"/>
                <w:sz w:val="21"/>
              </w:rPr>
              <w:t>≤外壁宽度或高度的0.3%</w:t>
            </w:r>
          </w:p>
        </w:tc>
      </w:tr>
      <w:tr w14:paraId="4658AB8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Align w:val="center"/>
          </w:tcPr>
          <w:p w14:paraId="6FE11106">
            <w:pPr>
              <w:widowControl/>
              <w:spacing w:line="240" w:lineRule="auto"/>
              <w:jc w:val="center"/>
              <w:textAlignment w:val="center"/>
              <w:rPr>
                <w:sz w:val="21"/>
              </w:rPr>
            </w:pPr>
            <w:r>
              <w:rPr>
                <w:kern w:val="0"/>
                <w:sz w:val="21"/>
              </w:rPr>
              <w:t>3</w:t>
            </w:r>
          </w:p>
        </w:tc>
        <w:tc>
          <w:tcPr>
            <w:tcW w:w="2835" w:type="dxa"/>
            <w:gridSpan w:val="2"/>
            <w:vAlign w:val="center"/>
          </w:tcPr>
          <w:p w14:paraId="77F7050C">
            <w:pPr>
              <w:widowControl/>
              <w:spacing w:line="240" w:lineRule="auto"/>
              <w:jc w:val="center"/>
              <w:textAlignment w:val="center"/>
              <w:rPr>
                <w:sz w:val="21"/>
              </w:rPr>
            </w:pPr>
            <w:r>
              <w:rPr>
                <w:kern w:val="0"/>
                <w:sz w:val="21"/>
              </w:rPr>
              <w:t>端面倾斜</w:t>
            </w:r>
          </w:p>
        </w:tc>
        <w:tc>
          <w:tcPr>
            <w:tcW w:w="3817" w:type="dxa"/>
            <w:vAlign w:val="center"/>
          </w:tcPr>
          <w:p w14:paraId="4242CA3F">
            <w:pPr>
              <w:widowControl/>
              <w:spacing w:line="240" w:lineRule="auto"/>
              <w:jc w:val="center"/>
              <w:textAlignment w:val="center"/>
              <w:rPr>
                <w:sz w:val="21"/>
              </w:rPr>
            </w:pPr>
            <w:r>
              <w:rPr>
                <w:kern w:val="0"/>
                <w:sz w:val="21"/>
              </w:rPr>
              <w:t>≤5</w:t>
            </w:r>
          </w:p>
        </w:tc>
      </w:tr>
      <w:tr w14:paraId="6024E82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Align w:val="center"/>
          </w:tcPr>
          <w:p w14:paraId="049B50DD">
            <w:pPr>
              <w:widowControl/>
              <w:spacing w:line="240" w:lineRule="auto"/>
              <w:jc w:val="center"/>
              <w:textAlignment w:val="center"/>
              <w:rPr>
                <w:sz w:val="21"/>
              </w:rPr>
            </w:pPr>
            <w:r>
              <w:rPr>
                <w:kern w:val="0"/>
                <w:sz w:val="21"/>
              </w:rPr>
              <w:t>4</w:t>
            </w:r>
          </w:p>
        </w:tc>
        <w:tc>
          <w:tcPr>
            <w:tcW w:w="2835" w:type="dxa"/>
            <w:gridSpan w:val="2"/>
            <w:vAlign w:val="center"/>
          </w:tcPr>
          <w:p w14:paraId="4F74043B">
            <w:pPr>
              <w:widowControl/>
              <w:spacing w:line="240" w:lineRule="auto"/>
              <w:jc w:val="center"/>
              <w:textAlignment w:val="center"/>
              <w:rPr>
                <w:sz w:val="21"/>
              </w:rPr>
            </w:pPr>
            <w:r>
              <w:rPr>
                <w:kern w:val="0"/>
                <w:sz w:val="21"/>
              </w:rPr>
              <w:t>保护层厚度</w:t>
            </w:r>
          </w:p>
        </w:tc>
        <w:tc>
          <w:tcPr>
            <w:tcW w:w="3817" w:type="dxa"/>
            <w:vAlign w:val="center"/>
          </w:tcPr>
          <w:p w14:paraId="25276A47">
            <w:pPr>
              <w:widowControl/>
              <w:spacing w:line="240" w:lineRule="auto"/>
              <w:ind w:firstLine="1680" w:firstLineChars="800"/>
              <w:textAlignment w:val="center"/>
              <w:rPr>
                <w:sz w:val="21"/>
              </w:rPr>
            </w:pPr>
            <w:r>
              <w:rPr>
                <w:kern w:val="0"/>
                <w:sz w:val="21"/>
              </w:rPr>
              <w:t>-5～+8</w:t>
            </w:r>
          </w:p>
        </w:tc>
      </w:tr>
      <w:tr w14:paraId="5B27E99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Merge w:val="restart"/>
            <w:vAlign w:val="center"/>
          </w:tcPr>
          <w:p w14:paraId="483971CB">
            <w:pPr>
              <w:widowControl/>
              <w:spacing w:line="240" w:lineRule="auto"/>
              <w:jc w:val="center"/>
              <w:textAlignment w:val="center"/>
              <w:rPr>
                <w:sz w:val="21"/>
              </w:rPr>
            </w:pPr>
            <w:r>
              <w:rPr>
                <w:kern w:val="0"/>
                <w:sz w:val="21"/>
              </w:rPr>
              <w:t>5</w:t>
            </w:r>
          </w:p>
        </w:tc>
        <w:tc>
          <w:tcPr>
            <w:tcW w:w="851" w:type="dxa"/>
            <w:vMerge w:val="restart"/>
            <w:vAlign w:val="center"/>
          </w:tcPr>
          <w:p w14:paraId="48ECDA50">
            <w:pPr>
              <w:widowControl/>
              <w:spacing w:line="240" w:lineRule="auto"/>
              <w:jc w:val="center"/>
              <w:textAlignment w:val="center"/>
              <w:rPr>
                <w:sz w:val="21"/>
              </w:rPr>
            </w:pPr>
            <w:r>
              <w:rPr>
                <w:kern w:val="0"/>
                <w:sz w:val="21"/>
              </w:rPr>
              <w:t>内宽b</w:t>
            </w:r>
            <w:r>
              <w:rPr>
                <w:kern w:val="0"/>
                <w:sz w:val="21"/>
                <w:vertAlign w:val="subscript"/>
              </w:rPr>
              <w:t>1</w:t>
            </w:r>
          </w:p>
        </w:tc>
        <w:tc>
          <w:tcPr>
            <w:tcW w:w="1984" w:type="dxa"/>
            <w:vAlign w:val="center"/>
          </w:tcPr>
          <w:p w14:paraId="495D1DD9">
            <w:pPr>
              <w:widowControl/>
              <w:spacing w:line="240" w:lineRule="auto"/>
              <w:jc w:val="center"/>
              <w:textAlignment w:val="center"/>
              <w:rPr>
                <w:sz w:val="21"/>
              </w:rPr>
            </w:pPr>
            <w:r>
              <w:rPr>
                <w:kern w:val="0"/>
                <w:sz w:val="21"/>
              </w:rPr>
              <w:t xml:space="preserve">600 </w:t>
            </w:r>
            <w:r>
              <w:rPr>
                <w:sz w:val="21"/>
              </w:rPr>
              <w:t xml:space="preserve">～ </w:t>
            </w:r>
            <w:r>
              <w:rPr>
                <w:kern w:val="0"/>
                <w:sz w:val="21"/>
              </w:rPr>
              <w:t>1500</w:t>
            </w:r>
          </w:p>
        </w:tc>
        <w:tc>
          <w:tcPr>
            <w:tcW w:w="3817" w:type="dxa"/>
            <w:vAlign w:val="center"/>
          </w:tcPr>
          <w:p w14:paraId="48DAA5D3">
            <w:pPr>
              <w:widowControl/>
              <w:spacing w:line="240" w:lineRule="auto"/>
              <w:jc w:val="center"/>
              <w:textAlignment w:val="center"/>
              <w:rPr>
                <w:sz w:val="21"/>
              </w:rPr>
            </w:pPr>
            <w:r>
              <w:rPr>
                <w:kern w:val="0"/>
                <w:sz w:val="21"/>
              </w:rPr>
              <w:t>±5</w:t>
            </w:r>
          </w:p>
        </w:tc>
      </w:tr>
      <w:tr w14:paraId="01D5F92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Merge w:val="continue"/>
            <w:vAlign w:val="center"/>
          </w:tcPr>
          <w:p w14:paraId="1A280ECA">
            <w:pPr>
              <w:spacing w:line="240" w:lineRule="auto"/>
              <w:jc w:val="center"/>
              <w:rPr>
                <w:sz w:val="21"/>
              </w:rPr>
            </w:pPr>
          </w:p>
        </w:tc>
        <w:tc>
          <w:tcPr>
            <w:tcW w:w="851" w:type="dxa"/>
            <w:vMerge w:val="continue"/>
            <w:vAlign w:val="center"/>
          </w:tcPr>
          <w:p w14:paraId="7D54BAF0">
            <w:pPr>
              <w:spacing w:line="240" w:lineRule="auto"/>
              <w:jc w:val="center"/>
              <w:rPr>
                <w:sz w:val="21"/>
              </w:rPr>
            </w:pPr>
          </w:p>
        </w:tc>
        <w:tc>
          <w:tcPr>
            <w:tcW w:w="1984" w:type="dxa"/>
            <w:vAlign w:val="center"/>
          </w:tcPr>
          <w:p w14:paraId="360F0328">
            <w:pPr>
              <w:widowControl/>
              <w:spacing w:line="240" w:lineRule="auto"/>
              <w:jc w:val="center"/>
              <w:textAlignment w:val="center"/>
              <w:rPr>
                <w:sz w:val="21"/>
              </w:rPr>
            </w:pPr>
            <w:r>
              <w:rPr>
                <w:kern w:val="0"/>
                <w:sz w:val="21"/>
              </w:rPr>
              <w:t xml:space="preserve">1800 </w:t>
            </w:r>
            <w:r>
              <w:rPr>
                <w:sz w:val="21"/>
              </w:rPr>
              <w:t xml:space="preserve">～ </w:t>
            </w:r>
            <w:r>
              <w:rPr>
                <w:kern w:val="0"/>
                <w:sz w:val="21"/>
              </w:rPr>
              <w:t>3900</w:t>
            </w:r>
          </w:p>
        </w:tc>
        <w:tc>
          <w:tcPr>
            <w:tcW w:w="3817" w:type="dxa"/>
            <w:vAlign w:val="center"/>
          </w:tcPr>
          <w:p w14:paraId="32664CBD">
            <w:pPr>
              <w:widowControl/>
              <w:spacing w:line="240" w:lineRule="auto"/>
              <w:jc w:val="center"/>
              <w:textAlignment w:val="center"/>
              <w:rPr>
                <w:sz w:val="21"/>
              </w:rPr>
            </w:pPr>
            <w:r>
              <w:rPr>
                <w:kern w:val="0"/>
                <w:sz w:val="21"/>
              </w:rPr>
              <w:t>±6</w:t>
            </w:r>
          </w:p>
        </w:tc>
      </w:tr>
      <w:tr w14:paraId="52D01DB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Merge w:val="continue"/>
            <w:vAlign w:val="center"/>
          </w:tcPr>
          <w:p w14:paraId="26914692">
            <w:pPr>
              <w:spacing w:line="240" w:lineRule="auto"/>
              <w:jc w:val="center"/>
              <w:rPr>
                <w:sz w:val="21"/>
              </w:rPr>
            </w:pPr>
          </w:p>
        </w:tc>
        <w:tc>
          <w:tcPr>
            <w:tcW w:w="851" w:type="dxa"/>
            <w:vMerge w:val="continue"/>
            <w:vAlign w:val="center"/>
          </w:tcPr>
          <w:p w14:paraId="5D760E46">
            <w:pPr>
              <w:spacing w:line="240" w:lineRule="auto"/>
              <w:jc w:val="center"/>
              <w:rPr>
                <w:sz w:val="21"/>
              </w:rPr>
            </w:pPr>
          </w:p>
        </w:tc>
        <w:tc>
          <w:tcPr>
            <w:tcW w:w="1984" w:type="dxa"/>
            <w:vAlign w:val="center"/>
          </w:tcPr>
          <w:p w14:paraId="5B5840EB">
            <w:pPr>
              <w:widowControl/>
              <w:spacing w:line="240" w:lineRule="auto"/>
              <w:jc w:val="center"/>
              <w:textAlignment w:val="center"/>
              <w:rPr>
                <w:sz w:val="21"/>
              </w:rPr>
            </w:pPr>
            <w:r>
              <w:rPr>
                <w:kern w:val="0"/>
                <w:sz w:val="21"/>
              </w:rPr>
              <w:t xml:space="preserve">4000 </w:t>
            </w:r>
            <w:r>
              <w:rPr>
                <w:sz w:val="21"/>
              </w:rPr>
              <w:t xml:space="preserve">～ </w:t>
            </w:r>
            <w:r>
              <w:rPr>
                <w:kern w:val="0"/>
                <w:sz w:val="21"/>
              </w:rPr>
              <w:t>7200</w:t>
            </w:r>
          </w:p>
        </w:tc>
        <w:tc>
          <w:tcPr>
            <w:tcW w:w="3817" w:type="dxa"/>
            <w:vAlign w:val="center"/>
          </w:tcPr>
          <w:p w14:paraId="3C172A61">
            <w:pPr>
              <w:widowControl/>
              <w:spacing w:line="240" w:lineRule="auto"/>
              <w:jc w:val="center"/>
              <w:textAlignment w:val="center"/>
              <w:rPr>
                <w:sz w:val="21"/>
              </w:rPr>
            </w:pPr>
            <w:r>
              <w:rPr>
                <w:kern w:val="0"/>
                <w:sz w:val="21"/>
              </w:rPr>
              <w:t>±8</w:t>
            </w:r>
          </w:p>
        </w:tc>
      </w:tr>
      <w:tr w14:paraId="20BE60A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Merge w:val="continue"/>
            <w:vAlign w:val="center"/>
          </w:tcPr>
          <w:p w14:paraId="6E69C168">
            <w:pPr>
              <w:spacing w:line="240" w:lineRule="auto"/>
              <w:jc w:val="center"/>
              <w:rPr>
                <w:sz w:val="21"/>
              </w:rPr>
            </w:pPr>
          </w:p>
        </w:tc>
        <w:tc>
          <w:tcPr>
            <w:tcW w:w="851" w:type="dxa"/>
            <w:vMerge w:val="continue"/>
            <w:vAlign w:val="center"/>
          </w:tcPr>
          <w:p w14:paraId="4A84D6A0">
            <w:pPr>
              <w:spacing w:line="240" w:lineRule="auto"/>
              <w:jc w:val="center"/>
              <w:rPr>
                <w:sz w:val="21"/>
              </w:rPr>
            </w:pPr>
          </w:p>
        </w:tc>
        <w:tc>
          <w:tcPr>
            <w:tcW w:w="1984" w:type="dxa"/>
            <w:vAlign w:val="center"/>
          </w:tcPr>
          <w:p w14:paraId="6BA2E7C6">
            <w:pPr>
              <w:widowControl/>
              <w:spacing w:line="240" w:lineRule="auto"/>
              <w:jc w:val="center"/>
              <w:textAlignment w:val="center"/>
              <w:rPr>
                <w:kern w:val="0"/>
                <w:sz w:val="21"/>
              </w:rPr>
            </w:pPr>
            <w:r>
              <w:rPr>
                <w:kern w:val="0"/>
                <w:sz w:val="21"/>
              </w:rPr>
              <w:t>&gt;</w:t>
            </w:r>
            <w:r>
              <w:rPr>
                <w:sz w:val="21"/>
              </w:rPr>
              <w:t xml:space="preserve"> </w:t>
            </w:r>
            <w:r>
              <w:rPr>
                <w:kern w:val="0"/>
                <w:sz w:val="21"/>
              </w:rPr>
              <w:t>7200</w:t>
            </w:r>
          </w:p>
        </w:tc>
        <w:tc>
          <w:tcPr>
            <w:tcW w:w="3817" w:type="dxa"/>
            <w:vAlign w:val="center"/>
          </w:tcPr>
          <w:p w14:paraId="33689B1F">
            <w:pPr>
              <w:widowControl/>
              <w:spacing w:line="240" w:lineRule="auto"/>
              <w:jc w:val="center"/>
              <w:textAlignment w:val="center"/>
              <w:rPr>
                <w:kern w:val="0"/>
                <w:sz w:val="21"/>
              </w:rPr>
            </w:pPr>
            <w:r>
              <w:rPr>
                <w:kern w:val="0"/>
                <w:sz w:val="21"/>
              </w:rPr>
              <w:t>±10</w:t>
            </w:r>
          </w:p>
        </w:tc>
      </w:tr>
      <w:tr w14:paraId="74190B3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Merge w:val="restart"/>
            <w:vAlign w:val="center"/>
          </w:tcPr>
          <w:p w14:paraId="22062BDA">
            <w:pPr>
              <w:widowControl/>
              <w:spacing w:line="240" w:lineRule="auto"/>
              <w:jc w:val="center"/>
              <w:textAlignment w:val="center"/>
              <w:rPr>
                <w:sz w:val="21"/>
              </w:rPr>
            </w:pPr>
            <w:r>
              <w:rPr>
                <w:kern w:val="0"/>
                <w:sz w:val="21"/>
              </w:rPr>
              <w:t>6</w:t>
            </w:r>
          </w:p>
        </w:tc>
        <w:tc>
          <w:tcPr>
            <w:tcW w:w="851" w:type="dxa"/>
            <w:vMerge w:val="restart"/>
            <w:vAlign w:val="center"/>
          </w:tcPr>
          <w:p w14:paraId="4E1A3DA1">
            <w:pPr>
              <w:widowControl/>
              <w:spacing w:line="240" w:lineRule="auto"/>
              <w:jc w:val="center"/>
              <w:textAlignment w:val="center"/>
              <w:rPr>
                <w:sz w:val="21"/>
              </w:rPr>
            </w:pPr>
            <w:r>
              <w:rPr>
                <w:kern w:val="0"/>
                <w:sz w:val="21"/>
              </w:rPr>
              <w:t>内高h</w:t>
            </w:r>
            <w:r>
              <w:rPr>
                <w:kern w:val="0"/>
                <w:sz w:val="21"/>
                <w:vertAlign w:val="subscript"/>
              </w:rPr>
              <w:t>1</w:t>
            </w:r>
          </w:p>
        </w:tc>
        <w:tc>
          <w:tcPr>
            <w:tcW w:w="1984" w:type="dxa"/>
            <w:vAlign w:val="center"/>
          </w:tcPr>
          <w:p w14:paraId="7C138A29">
            <w:pPr>
              <w:widowControl/>
              <w:spacing w:line="240" w:lineRule="auto"/>
              <w:jc w:val="center"/>
              <w:textAlignment w:val="center"/>
              <w:rPr>
                <w:sz w:val="21"/>
              </w:rPr>
            </w:pPr>
            <w:r>
              <w:rPr>
                <w:kern w:val="0"/>
                <w:sz w:val="21"/>
              </w:rPr>
              <w:t xml:space="preserve">600 </w:t>
            </w:r>
            <w:r>
              <w:rPr>
                <w:sz w:val="21"/>
              </w:rPr>
              <w:t xml:space="preserve">～ </w:t>
            </w:r>
            <w:r>
              <w:rPr>
                <w:kern w:val="0"/>
                <w:sz w:val="21"/>
              </w:rPr>
              <w:t>1500</w:t>
            </w:r>
          </w:p>
        </w:tc>
        <w:tc>
          <w:tcPr>
            <w:tcW w:w="3817" w:type="dxa"/>
            <w:vAlign w:val="center"/>
          </w:tcPr>
          <w:p w14:paraId="0E816CB2">
            <w:pPr>
              <w:widowControl/>
              <w:spacing w:line="240" w:lineRule="auto"/>
              <w:jc w:val="center"/>
              <w:textAlignment w:val="center"/>
              <w:rPr>
                <w:sz w:val="21"/>
              </w:rPr>
            </w:pPr>
            <w:r>
              <w:rPr>
                <w:kern w:val="0"/>
                <w:sz w:val="21"/>
              </w:rPr>
              <w:t>±5</w:t>
            </w:r>
          </w:p>
        </w:tc>
      </w:tr>
      <w:tr w14:paraId="5B67CD3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Merge w:val="continue"/>
            <w:vAlign w:val="center"/>
          </w:tcPr>
          <w:p w14:paraId="2A15BA29">
            <w:pPr>
              <w:spacing w:line="240" w:lineRule="auto"/>
              <w:jc w:val="center"/>
              <w:rPr>
                <w:sz w:val="21"/>
              </w:rPr>
            </w:pPr>
          </w:p>
        </w:tc>
        <w:tc>
          <w:tcPr>
            <w:tcW w:w="851" w:type="dxa"/>
            <w:vMerge w:val="continue"/>
            <w:vAlign w:val="center"/>
          </w:tcPr>
          <w:p w14:paraId="4E0C47C3">
            <w:pPr>
              <w:spacing w:line="240" w:lineRule="auto"/>
              <w:jc w:val="center"/>
              <w:rPr>
                <w:sz w:val="21"/>
              </w:rPr>
            </w:pPr>
          </w:p>
        </w:tc>
        <w:tc>
          <w:tcPr>
            <w:tcW w:w="1984" w:type="dxa"/>
            <w:vAlign w:val="center"/>
          </w:tcPr>
          <w:p w14:paraId="3E95A7B8">
            <w:pPr>
              <w:widowControl/>
              <w:spacing w:line="240" w:lineRule="auto"/>
              <w:jc w:val="center"/>
              <w:textAlignment w:val="center"/>
              <w:rPr>
                <w:sz w:val="21"/>
              </w:rPr>
            </w:pPr>
            <w:r>
              <w:rPr>
                <w:kern w:val="0"/>
                <w:sz w:val="21"/>
              </w:rPr>
              <w:t xml:space="preserve">1800 </w:t>
            </w:r>
            <w:r>
              <w:rPr>
                <w:sz w:val="21"/>
              </w:rPr>
              <w:t xml:space="preserve">～ </w:t>
            </w:r>
            <w:r>
              <w:rPr>
                <w:kern w:val="0"/>
                <w:sz w:val="21"/>
              </w:rPr>
              <w:t>3900</w:t>
            </w:r>
          </w:p>
        </w:tc>
        <w:tc>
          <w:tcPr>
            <w:tcW w:w="3817" w:type="dxa"/>
            <w:vAlign w:val="center"/>
          </w:tcPr>
          <w:p w14:paraId="31CECB0C">
            <w:pPr>
              <w:widowControl/>
              <w:spacing w:line="240" w:lineRule="auto"/>
              <w:jc w:val="center"/>
              <w:textAlignment w:val="center"/>
              <w:rPr>
                <w:sz w:val="21"/>
              </w:rPr>
            </w:pPr>
            <w:r>
              <w:rPr>
                <w:kern w:val="0"/>
                <w:sz w:val="21"/>
              </w:rPr>
              <w:t>±6</w:t>
            </w:r>
          </w:p>
        </w:tc>
      </w:tr>
      <w:tr w14:paraId="442CB0A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Merge w:val="continue"/>
            <w:vAlign w:val="center"/>
          </w:tcPr>
          <w:p w14:paraId="3FAAAED0">
            <w:pPr>
              <w:spacing w:line="240" w:lineRule="auto"/>
              <w:jc w:val="center"/>
              <w:rPr>
                <w:sz w:val="21"/>
              </w:rPr>
            </w:pPr>
          </w:p>
        </w:tc>
        <w:tc>
          <w:tcPr>
            <w:tcW w:w="851" w:type="dxa"/>
            <w:vMerge w:val="continue"/>
            <w:vAlign w:val="center"/>
          </w:tcPr>
          <w:p w14:paraId="245C58AF">
            <w:pPr>
              <w:spacing w:line="240" w:lineRule="auto"/>
              <w:jc w:val="center"/>
              <w:rPr>
                <w:sz w:val="21"/>
              </w:rPr>
            </w:pPr>
          </w:p>
        </w:tc>
        <w:tc>
          <w:tcPr>
            <w:tcW w:w="1984" w:type="dxa"/>
            <w:vAlign w:val="center"/>
          </w:tcPr>
          <w:p w14:paraId="3D9615E6">
            <w:pPr>
              <w:widowControl/>
              <w:spacing w:line="240" w:lineRule="auto"/>
              <w:jc w:val="center"/>
              <w:textAlignment w:val="center"/>
              <w:rPr>
                <w:sz w:val="21"/>
              </w:rPr>
            </w:pPr>
            <w:r>
              <w:rPr>
                <w:kern w:val="0"/>
                <w:sz w:val="21"/>
              </w:rPr>
              <w:t xml:space="preserve">4200 </w:t>
            </w:r>
            <w:r>
              <w:rPr>
                <w:sz w:val="21"/>
              </w:rPr>
              <w:t xml:space="preserve">～ </w:t>
            </w:r>
            <w:r>
              <w:rPr>
                <w:kern w:val="0"/>
                <w:sz w:val="21"/>
              </w:rPr>
              <w:t>7200</w:t>
            </w:r>
          </w:p>
        </w:tc>
        <w:tc>
          <w:tcPr>
            <w:tcW w:w="3817" w:type="dxa"/>
            <w:vAlign w:val="center"/>
          </w:tcPr>
          <w:p w14:paraId="28384D97">
            <w:pPr>
              <w:widowControl/>
              <w:spacing w:line="240" w:lineRule="auto"/>
              <w:jc w:val="center"/>
              <w:textAlignment w:val="center"/>
              <w:rPr>
                <w:sz w:val="21"/>
              </w:rPr>
            </w:pPr>
            <w:r>
              <w:rPr>
                <w:kern w:val="0"/>
                <w:sz w:val="21"/>
              </w:rPr>
              <w:t>±8</w:t>
            </w:r>
          </w:p>
        </w:tc>
      </w:tr>
      <w:tr w14:paraId="6D7AB72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Align w:val="center"/>
          </w:tcPr>
          <w:p w14:paraId="7FFAFC23">
            <w:pPr>
              <w:widowControl/>
              <w:spacing w:line="240" w:lineRule="auto"/>
              <w:jc w:val="center"/>
              <w:textAlignment w:val="center"/>
              <w:rPr>
                <w:kern w:val="0"/>
                <w:sz w:val="21"/>
              </w:rPr>
            </w:pPr>
            <w:r>
              <w:rPr>
                <w:rFonts w:hint="eastAsia"/>
                <w:kern w:val="0"/>
                <w:sz w:val="21"/>
              </w:rPr>
              <w:t>7</w:t>
            </w:r>
          </w:p>
        </w:tc>
        <w:tc>
          <w:tcPr>
            <w:tcW w:w="2835" w:type="dxa"/>
            <w:gridSpan w:val="2"/>
            <w:vAlign w:val="center"/>
          </w:tcPr>
          <w:p w14:paraId="158BFD13">
            <w:pPr>
              <w:widowControl/>
              <w:spacing w:line="240" w:lineRule="auto"/>
              <w:jc w:val="center"/>
              <w:textAlignment w:val="center"/>
              <w:rPr>
                <w:kern w:val="0"/>
                <w:sz w:val="21"/>
              </w:rPr>
            </w:pPr>
            <w:r>
              <w:rPr>
                <w:kern w:val="0"/>
                <w:sz w:val="21"/>
              </w:rPr>
              <w:t>外宽B</w:t>
            </w:r>
          </w:p>
        </w:tc>
        <w:tc>
          <w:tcPr>
            <w:tcW w:w="3817" w:type="dxa"/>
            <w:vAlign w:val="center"/>
          </w:tcPr>
          <w:p w14:paraId="46F24262">
            <w:pPr>
              <w:widowControl/>
              <w:spacing w:line="240" w:lineRule="auto"/>
              <w:jc w:val="center"/>
              <w:textAlignment w:val="center"/>
              <w:rPr>
                <w:kern w:val="0"/>
                <w:sz w:val="21"/>
              </w:rPr>
            </w:pPr>
            <w:r>
              <w:rPr>
                <w:kern w:val="0"/>
                <w:sz w:val="21"/>
              </w:rPr>
              <w:t>±10</w:t>
            </w:r>
          </w:p>
        </w:tc>
      </w:tr>
      <w:tr w14:paraId="71EF1CE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Align w:val="center"/>
          </w:tcPr>
          <w:p w14:paraId="31B3B80D">
            <w:pPr>
              <w:widowControl/>
              <w:spacing w:line="240" w:lineRule="auto"/>
              <w:jc w:val="center"/>
              <w:textAlignment w:val="center"/>
              <w:rPr>
                <w:sz w:val="21"/>
              </w:rPr>
            </w:pPr>
            <w:r>
              <w:rPr>
                <w:kern w:val="0"/>
                <w:sz w:val="21"/>
              </w:rPr>
              <w:t>8</w:t>
            </w:r>
          </w:p>
        </w:tc>
        <w:tc>
          <w:tcPr>
            <w:tcW w:w="2835" w:type="dxa"/>
            <w:gridSpan w:val="2"/>
            <w:vAlign w:val="center"/>
          </w:tcPr>
          <w:p w14:paraId="660C521F">
            <w:pPr>
              <w:widowControl/>
              <w:spacing w:line="240" w:lineRule="auto"/>
              <w:jc w:val="center"/>
              <w:textAlignment w:val="center"/>
              <w:rPr>
                <w:sz w:val="21"/>
              </w:rPr>
            </w:pPr>
            <w:r>
              <w:rPr>
                <w:kern w:val="0"/>
                <w:sz w:val="21"/>
              </w:rPr>
              <w:t>有效长度L</w:t>
            </w:r>
          </w:p>
        </w:tc>
        <w:tc>
          <w:tcPr>
            <w:tcW w:w="3817" w:type="dxa"/>
            <w:vAlign w:val="center"/>
          </w:tcPr>
          <w:p w14:paraId="00A76726">
            <w:pPr>
              <w:widowControl/>
              <w:spacing w:line="240" w:lineRule="auto"/>
              <w:jc w:val="center"/>
              <w:textAlignment w:val="center"/>
              <w:rPr>
                <w:sz w:val="21"/>
              </w:rPr>
            </w:pPr>
            <w:r>
              <w:rPr>
                <w:kern w:val="0"/>
                <w:sz w:val="21"/>
              </w:rPr>
              <w:t>-5～+10</w:t>
            </w:r>
          </w:p>
        </w:tc>
      </w:tr>
      <w:tr w14:paraId="57633E7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Merge w:val="restart"/>
            <w:vAlign w:val="center"/>
          </w:tcPr>
          <w:p w14:paraId="6F23F288">
            <w:pPr>
              <w:widowControl/>
              <w:spacing w:line="240" w:lineRule="auto"/>
              <w:jc w:val="center"/>
              <w:textAlignment w:val="center"/>
              <w:rPr>
                <w:sz w:val="21"/>
              </w:rPr>
            </w:pPr>
            <w:r>
              <w:rPr>
                <w:kern w:val="0"/>
                <w:sz w:val="21"/>
              </w:rPr>
              <w:t>9</w:t>
            </w:r>
          </w:p>
        </w:tc>
        <w:tc>
          <w:tcPr>
            <w:tcW w:w="851" w:type="dxa"/>
            <w:vMerge w:val="restart"/>
            <w:vAlign w:val="center"/>
          </w:tcPr>
          <w:p w14:paraId="00241A01">
            <w:pPr>
              <w:widowControl/>
              <w:spacing w:line="240" w:lineRule="auto"/>
              <w:jc w:val="center"/>
              <w:textAlignment w:val="center"/>
              <w:rPr>
                <w:sz w:val="21"/>
              </w:rPr>
            </w:pPr>
            <w:r>
              <w:rPr>
                <w:kern w:val="0"/>
                <w:sz w:val="21"/>
              </w:rPr>
              <w:t>腋角 宽×高</w:t>
            </w:r>
          </w:p>
        </w:tc>
        <w:tc>
          <w:tcPr>
            <w:tcW w:w="1984" w:type="dxa"/>
            <w:vAlign w:val="center"/>
          </w:tcPr>
          <w:p w14:paraId="0A62D168">
            <w:pPr>
              <w:widowControl/>
              <w:spacing w:line="240" w:lineRule="auto"/>
              <w:jc w:val="center"/>
              <w:textAlignment w:val="center"/>
              <w:rPr>
                <w:sz w:val="21"/>
              </w:rPr>
            </w:pPr>
            <w:r>
              <w:rPr>
                <w:kern w:val="0"/>
                <w:sz w:val="21"/>
              </w:rPr>
              <w:t>a</w:t>
            </w:r>
          </w:p>
        </w:tc>
        <w:tc>
          <w:tcPr>
            <w:tcW w:w="3817" w:type="dxa"/>
            <w:vAlign w:val="center"/>
          </w:tcPr>
          <w:p w14:paraId="235D0093">
            <w:pPr>
              <w:widowControl/>
              <w:spacing w:line="240" w:lineRule="auto"/>
              <w:jc w:val="center"/>
              <w:textAlignment w:val="center"/>
              <w:rPr>
                <w:sz w:val="21"/>
              </w:rPr>
            </w:pPr>
            <w:r>
              <w:rPr>
                <w:kern w:val="0"/>
                <w:sz w:val="21"/>
              </w:rPr>
              <w:t>±5</w:t>
            </w:r>
          </w:p>
        </w:tc>
      </w:tr>
      <w:tr w14:paraId="4D0322F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Merge w:val="continue"/>
            <w:vAlign w:val="center"/>
          </w:tcPr>
          <w:p w14:paraId="7B13490C">
            <w:pPr>
              <w:spacing w:line="240" w:lineRule="auto"/>
              <w:jc w:val="center"/>
              <w:rPr>
                <w:sz w:val="21"/>
              </w:rPr>
            </w:pPr>
          </w:p>
        </w:tc>
        <w:tc>
          <w:tcPr>
            <w:tcW w:w="851" w:type="dxa"/>
            <w:vMerge w:val="continue"/>
            <w:vAlign w:val="center"/>
          </w:tcPr>
          <w:p w14:paraId="24F016F2">
            <w:pPr>
              <w:spacing w:line="240" w:lineRule="auto"/>
              <w:jc w:val="center"/>
              <w:rPr>
                <w:sz w:val="21"/>
              </w:rPr>
            </w:pPr>
          </w:p>
        </w:tc>
        <w:tc>
          <w:tcPr>
            <w:tcW w:w="1984" w:type="dxa"/>
            <w:vAlign w:val="center"/>
          </w:tcPr>
          <w:p w14:paraId="72A7F206">
            <w:pPr>
              <w:widowControl/>
              <w:spacing w:line="240" w:lineRule="auto"/>
              <w:jc w:val="center"/>
              <w:textAlignment w:val="center"/>
              <w:rPr>
                <w:sz w:val="21"/>
              </w:rPr>
            </w:pPr>
            <w:r>
              <w:rPr>
                <w:kern w:val="0"/>
                <w:sz w:val="21"/>
              </w:rPr>
              <w:t>b</w:t>
            </w:r>
          </w:p>
        </w:tc>
        <w:tc>
          <w:tcPr>
            <w:tcW w:w="3817" w:type="dxa"/>
            <w:vAlign w:val="center"/>
          </w:tcPr>
          <w:p w14:paraId="4C7824E4">
            <w:pPr>
              <w:widowControl/>
              <w:spacing w:line="240" w:lineRule="auto"/>
              <w:jc w:val="center"/>
              <w:textAlignment w:val="center"/>
              <w:rPr>
                <w:sz w:val="21"/>
              </w:rPr>
            </w:pPr>
            <w:r>
              <w:rPr>
                <w:kern w:val="0"/>
                <w:sz w:val="21"/>
              </w:rPr>
              <w:t>±5</w:t>
            </w:r>
          </w:p>
        </w:tc>
      </w:tr>
      <w:tr w14:paraId="135502D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Merge w:val="restart"/>
            <w:vAlign w:val="center"/>
          </w:tcPr>
          <w:p w14:paraId="5134114F">
            <w:pPr>
              <w:widowControl/>
              <w:spacing w:line="240" w:lineRule="auto"/>
              <w:jc w:val="center"/>
              <w:textAlignment w:val="center"/>
              <w:rPr>
                <w:sz w:val="21"/>
              </w:rPr>
            </w:pPr>
            <w:r>
              <w:rPr>
                <w:kern w:val="0"/>
                <w:sz w:val="21"/>
              </w:rPr>
              <w:t>10</w:t>
            </w:r>
          </w:p>
        </w:tc>
        <w:tc>
          <w:tcPr>
            <w:tcW w:w="851" w:type="dxa"/>
            <w:vMerge w:val="restart"/>
            <w:vAlign w:val="center"/>
          </w:tcPr>
          <w:p w14:paraId="7718A273">
            <w:pPr>
              <w:widowControl/>
              <w:spacing w:line="240" w:lineRule="auto"/>
              <w:jc w:val="center"/>
              <w:textAlignment w:val="center"/>
              <w:rPr>
                <w:sz w:val="21"/>
              </w:rPr>
            </w:pPr>
            <w:r>
              <w:rPr>
                <w:kern w:val="0"/>
                <w:sz w:val="21"/>
              </w:rPr>
              <w:t>壁厚</w:t>
            </w:r>
          </w:p>
        </w:tc>
        <w:tc>
          <w:tcPr>
            <w:tcW w:w="1984" w:type="dxa"/>
            <w:vAlign w:val="center"/>
          </w:tcPr>
          <w:p w14:paraId="3CB58975">
            <w:pPr>
              <w:widowControl/>
              <w:spacing w:line="240" w:lineRule="auto"/>
              <w:jc w:val="center"/>
              <w:textAlignment w:val="center"/>
              <w:rPr>
                <w:sz w:val="21"/>
              </w:rPr>
            </w:pPr>
            <w:r>
              <w:rPr>
                <w:kern w:val="0"/>
                <w:sz w:val="21"/>
              </w:rPr>
              <w:t>顶板T</w:t>
            </w:r>
            <w:r>
              <w:rPr>
                <w:kern w:val="0"/>
                <w:sz w:val="21"/>
                <w:vertAlign w:val="subscript"/>
              </w:rPr>
              <w:t>1</w:t>
            </w:r>
          </w:p>
        </w:tc>
        <w:tc>
          <w:tcPr>
            <w:tcW w:w="3817" w:type="dxa"/>
            <w:vAlign w:val="center"/>
          </w:tcPr>
          <w:p w14:paraId="53E32596">
            <w:pPr>
              <w:widowControl/>
              <w:spacing w:line="240" w:lineRule="auto"/>
              <w:jc w:val="center"/>
              <w:textAlignment w:val="center"/>
              <w:rPr>
                <w:sz w:val="21"/>
              </w:rPr>
            </w:pPr>
            <w:r>
              <w:rPr>
                <w:kern w:val="0"/>
                <w:sz w:val="21"/>
              </w:rPr>
              <w:t>±5</w:t>
            </w:r>
          </w:p>
        </w:tc>
      </w:tr>
      <w:tr w14:paraId="326C16F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Merge w:val="continue"/>
            <w:vAlign w:val="center"/>
          </w:tcPr>
          <w:p w14:paraId="5B20F36E">
            <w:pPr>
              <w:spacing w:line="240" w:lineRule="auto"/>
              <w:jc w:val="center"/>
              <w:rPr>
                <w:sz w:val="21"/>
              </w:rPr>
            </w:pPr>
          </w:p>
        </w:tc>
        <w:tc>
          <w:tcPr>
            <w:tcW w:w="851" w:type="dxa"/>
            <w:vMerge w:val="continue"/>
            <w:vAlign w:val="center"/>
          </w:tcPr>
          <w:p w14:paraId="4405E750">
            <w:pPr>
              <w:spacing w:line="240" w:lineRule="auto"/>
              <w:jc w:val="center"/>
              <w:rPr>
                <w:sz w:val="21"/>
              </w:rPr>
            </w:pPr>
          </w:p>
        </w:tc>
        <w:tc>
          <w:tcPr>
            <w:tcW w:w="1984" w:type="dxa"/>
            <w:vAlign w:val="center"/>
          </w:tcPr>
          <w:p w14:paraId="390E768C">
            <w:pPr>
              <w:widowControl/>
              <w:spacing w:line="240" w:lineRule="auto"/>
              <w:jc w:val="center"/>
              <w:textAlignment w:val="center"/>
              <w:rPr>
                <w:sz w:val="21"/>
              </w:rPr>
            </w:pPr>
            <w:r>
              <w:rPr>
                <w:kern w:val="0"/>
                <w:sz w:val="21"/>
              </w:rPr>
              <w:t>侧板T</w:t>
            </w:r>
            <w:r>
              <w:rPr>
                <w:kern w:val="0"/>
                <w:sz w:val="21"/>
                <w:vertAlign w:val="subscript"/>
              </w:rPr>
              <w:t>2</w:t>
            </w:r>
          </w:p>
        </w:tc>
        <w:tc>
          <w:tcPr>
            <w:tcW w:w="3817" w:type="dxa"/>
            <w:vAlign w:val="center"/>
          </w:tcPr>
          <w:p w14:paraId="33E8FFE1">
            <w:pPr>
              <w:widowControl/>
              <w:spacing w:line="240" w:lineRule="auto"/>
              <w:jc w:val="center"/>
              <w:textAlignment w:val="center"/>
              <w:rPr>
                <w:sz w:val="21"/>
              </w:rPr>
            </w:pPr>
            <w:r>
              <w:rPr>
                <w:kern w:val="0"/>
                <w:sz w:val="21"/>
              </w:rPr>
              <w:t>±5</w:t>
            </w:r>
          </w:p>
        </w:tc>
      </w:tr>
      <w:tr w14:paraId="38B67E1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Merge w:val="restart"/>
            <w:vAlign w:val="center"/>
          </w:tcPr>
          <w:p w14:paraId="7251A57A">
            <w:pPr>
              <w:widowControl/>
              <w:spacing w:line="240" w:lineRule="auto"/>
              <w:jc w:val="center"/>
              <w:textAlignment w:val="center"/>
              <w:rPr>
                <w:sz w:val="21"/>
              </w:rPr>
            </w:pPr>
            <w:r>
              <w:rPr>
                <w:kern w:val="0"/>
                <w:sz w:val="21"/>
              </w:rPr>
              <w:t>11</w:t>
            </w:r>
          </w:p>
        </w:tc>
        <w:tc>
          <w:tcPr>
            <w:tcW w:w="2835" w:type="dxa"/>
            <w:gridSpan w:val="2"/>
            <w:vAlign w:val="center"/>
          </w:tcPr>
          <w:p w14:paraId="137DBC23">
            <w:pPr>
              <w:widowControl/>
              <w:spacing w:line="240" w:lineRule="auto"/>
              <w:jc w:val="center"/>
              <w:textAlignment w:val="center"/>
              <w:rPr>
                <w:sz w:val="21"/>
              </w:rPr>
            </w:pPr>
            <w:r>
              <w:rPr>
                <w:kern w:val="0"/>
                <w:sz w:val="21"/>
              </w:rPr>
              <w:t>预留孔位置</w:t>
            </w:r>
          </w:p>
        </w:tc>
        <w:tc>
          <w:tcPr>
            <w:tcW w:w="3817" w:type="dxa"/>
            <w:vAlign w:val="center"/>
          </w:tcPr>
          <w:p w14:paraId="46B9575F">
            <w:pPr>
              <w:widowControl/>
              <w:spacing w:line="240" w:lineRule="auto"/>
              <w:jc w:val="center"/>
              <w:textAlignment w:val="center"/>
              <w:rPr>
                <w:sz w:val="21"/>
              </w:rPr>
            </w:pPr>
            <w:r>
              <w:rPr>
                <w:kern w:val="0"/>
                <w:sz w:val="21"/>
              </w:rPr>
              <w:t>±5</w:t>
            </w:r>
          </w:p>
        </w:tc>
      </w:tr>
      <w:tr w14:paraId="0E64B48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704" w:type="dxa"/>
            <w:vMerge w:val="continue"/>
            <w:vAlign w:val="center"/>
          </w:tcPr>
          <w:p w14:paraId="27E91A55">
            <w:pPr>
              <w:spacing w:line="240" w:lineRule="auto"/>
              <w:jc w:val="center"/>
              <w:rPr>
                <w:sz w:val="21"/>
              </w:rPr>
            </w:pPr>
          </w:p>
        </w:tc>
        <w:tc>
          <w:tcPr>
            <w:tcW w:w="2835" w:type="dxa"/>
            <w:gridSpan w:val="2"/>
            <w:vAlign w:val="center"/>
          </w:tcPr>
          <w:p w14:paraId="7922A681">
            <w:pPr>
              <w:widowControl/>
              <w:spacing w:line="240" w:lineRule="auto"/>
              <w:jc w:val="center"/>
              <w:textAlignment w:val="center"/>
              <w:rPr>
                <w:sz w:val="21"/>
              </w:rPr>
            </w:pPr>
            <w:r>
              <w:rPr>
                <w:kern w:val="0"/>
                <w:sz w:val="21"/>
              </w:rPr>
              <w:t>预埋件位置</w:t>
            </w:r>
          </w:p>
        </w:tc>
        <w:tc>
          <w:tcPr>
            <w:tcW w:w="3817" w:type="dxa"/>
            <w:vAlign w:val="center"/>
          </w:tcPr>
          <w:p w14:paraId="4F5C0D90">
            <w:pPr>
              <w:widowControl/>
              <w:spacing w:line="240" w:lineRule="auto"/>
              <w:jc w:val="center"/>
              <w:textAlignment w:val="center"/>
              <w:rPr>
                <w:sz w:val="21"/>
              </w:rPr>
            </w:pPr>
            <w:r>
              <w:rPr>
                <w:kern w:val="0"/>
                <w:sz w:val="21"/>
              </w:rPr>
              <w:t>±5</w:t>
            </w:r>
          </w:p>
        </w:tc>
      </w:tr>
    </w:tbl>
    <w:p w14:paraId="470148CE">
      <w:pPr>
        <w:jc w:val="center"/>
        <w:rPr>
          <w:sz w:val="21"/>
        </w:rPr>
      </w:pPr>
    </w:p>
    <w:p w14:paraId="7397BE7D">
      <w:pPr>
        <w:jc w:val="center"/>
        <w:rPr>
          <w:b/>
          <w:bCs/>
          <w:sz w:val="21"/>
        </w:rPr>
      </w:pPr>
      <w:r>
        <w:rPr>
          <w:b/>
          <w:bCs/>
          <w:sz w:val="21"/>
        </w:rPr>
        <w:t>表6.7.12-2  管节接口的尺寸允许偏差（mm）</w:t>
      </w:r>
    </w:p>
    <w:tbl>
      <w:tblPr>
        <w:tblStyle w:val="35"/>
        <w:tblW w:w="7372"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15" w:type="dxa"/>
          <w:left w:w="15" w:type="dxa"/>
          <w:bottom w:w="15" w:type="dxa"/>
          <w:right w:w="15" w:type="dxa"/>
        </w:tblCellMar>
      </w:tblPr>
      <w:tblGrid>
        <w:gridCol w:w="1852"/>
        <w:gridCol w:w="2269"/>
        <w:gridCol w:w="3251"/>
      </w:tblGrid>
      <w:tr w14:paraId="2D2E42F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1852" w:type="dxa"/>
            <w:vAlign w:val="center"/>
          </w:tcPr>
          <w:p w14:paraId="093DC2CB">
            <w:pPr>
              <w:widowControl/>
              <w:spacing w:line="288" w:lineRule="auto"/>
              <w:jc w:val="center"/>
              <w:textAlignment w:val="center"/>
              <w:rPr>
                <w:sz w:val="21"/>
              </w:rPr>
            </w:pPr>
            <w:r>
              <w:rPr>
                <w:kern w:val="0"/>
                <w:sz w:val="21"/>
              </w:rPr>
              <w:t>序号</w:t>
            </w:r>
          </w:p>
        </w:tc>
        <w:tc>
          <w:tcPr>
            <w:tcW w:w="2269" w:type="dxa"/>
            <w:vAlign w:val="center"/>
          </w:tcPr>
          <w:p w14:paraId="41D0FE58">
            <w:pPr>
              <w:widowControl/>
              <w:spacing w:line="288" w:lineRule="auto"/>
              <w:jc w:val="center"/>
              <w:textAlignment w:val="center"/>
              <w:rPr>
                <w:sz w:val="21"/>
              </w:rPr>
            </w:pPr>
            <w:r>
              <w:rPr>
                <w:kern w:val="0"/>
                <w:sz w:val="21"/>
              </w:rPr>
              <w:t>项目</w:t>
            </w:r>
          </w:p>
        </w:tc>
        <w:tc>
          <w:tcPr>
            <w:tcW w:w="3251" w:type="dxa"/>
            <w:vAlign w:val="center"/>
          </w:tcPr>
          <w:p w14:paraId="41CB9141">
            <w:pPr>
              <w:widowControl/>
              <w:spacing w:line="288" w:lineRule="auto"/>
              <w:jc w:val="center"/>
              <w:textAlignment w:val="center"/>
              <w:rPr>
                <w:sz w:val="21"/>
              </w:rPr>
            </w:pPr>
            <w:r>
              <w:rPr>
                <w:rFonts w:hint="eastAsia"/>
                <w:kern w:val="0"/>
                <w:sz w:val="21"/>
              </w:rPr>
              <w:t>允许偏差</w:t>
            </w:r>
          </w:p>
        </w:tc>
      </w:tr>
      <w:tr w14:paraId="200EE95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1852" w:type="dxa"/>
            <w:vAlign w:val="center"/>
          </w:tcPr>
          <w:p w14:paraId="0CCCDE59">
            <w:pPr>
              <w:widowControl/>
              <w:spacing w:line="288" w:lineRule="auto"/>
              <w:jc w:val="center"/>
              <w:textAlignment w:val="center"/>
              <w:rPr>
                <w:sz w:val="21"/>
              </w:rPr>
            </w:pPr>
            <w:r>
              <w:rPr>
                <w:kern w:val="0"/>
                <w:sz w:val="21"/>
              </w:rPr>
              <w:t>1</w:t>
            </w:r>
          </w:p>
        </w:tc>
        <w:tc>
          <w:tcPr>
            <w:tcW w:w="2269" w:type="dxa"/>
            <w:vAlign w:val="center"/>
          </w:tcPr>
          <w:p w14:paraId="4AEC6BDB">
            <w:pPr>
              <w:widowControl/>
              <w:spacing w:line="288" w:lineRule="auto"/>
              <w:jc w:val="center"/>
              <w:textAlignment w:val="center"/>
              <w:rPr>
                <w:sz w:val="21"/>
              </w:rPr>
            </w:pPr>
            <w:r>
              <w:rPr>
                <w:kern w:val="0"/>
                <w:sz w:val="21"/>
              </w:rPr>
              <w:t>接口间隙d</w:t>
            </w:r>
          </w:p>
        </w:tc>
        <w:tc>
          <w:tcPr>
            <w:tcW w:w="3251" w:type="dxa"/>
            <w:vAlign w:val="center"/>
          </w:tcPr>
          <w:p w14:paraId="13A18816">
            <w:pPr>
              <w:widowControl/>
              <w:spacing w:line="288" w:lineRule="auto"/>
              <w:jc w:val="center"/>
              <w:textAlignment w:val="center"/>
              <w:rPr>
                <w:sz w:val="21"/>
              </w:rPr>
            </w:pPr>
            <w:r>
              <w:rPr>
                <w:kern w:val="0"/>
                <w:sz w:val="21"/>
              </w:rPr>
              <w:t>±2</w:t>
            </w:r>
          </w:p>
        </w:tc>
      </w:tr>
      <w:tr w14:paraId="4716C5E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15" w:type="dxa"/>
            <w:left w:w="15" w:type="dxa"/>
            <w:bottom w:w="15" w:type="dxa"/>
            <w:right w:w="15" w:type="dxa"/>
          </w:tblCellMar>
        </w:tblPrEx>
        <w:trPr>
          <w:trHeight w:val="397" w:hRule="atLeast"/>
          <w:jc w:val="center"/>
        </w:trPr>
        <w:tc>
          <w:tcPr>
            <w:tcW w:w="1852" w:type="dxa"/>
            <w:vAlign w:val="center"/>
          </w:tcPr>
          <w:p w14:paraId="154560BD">
            <w:pPr>
              <w:widowControl/>
              <w:spacing w:line="288" w:lineRule="auto"/>
              <w:jc w:val="center"/>
              <w:textAlignment w:val="center"/>
              <w:rPr>
                <w:sz w:val="21"/>
              </w:rPr>
            </w:pPr>
            <w:r>
              <w:rPr>
                <w:kern w:val="0"/>
                <w:sz w:val="21"/>
              </w:rPr>
              <w:t>2</w:t>
            </w:r>
          </w:p>
        </w:tc>
        <w:tc>
          <w:tcPr>
            <w:tcW w:w="2269" w:type="dxa"/>
            <w:vAlign w:val="center"/>
          </w:tcPr>
          <w:p w14:paraId="57F32AB9">
            <w:pPr>
              <w:widowControl/>
              <w:spacing w:line="288" w:lineRule="auto"/>
              <w:jc w:val="center"/>
              <w:textAlignment w:val="center"/>
              <w:rPr>
                <w:sz w:val="21"/>
              </w:rPr>
            </w:pPr>
            <w:r>
              <w:rPr>
                <w:kern w:val="0"/>
                <w:sz w:val="21"/>
              </w:rPr>
              <w:t>接口图上注明尺寸</w:t>
            </w:r>
          </w:p>
        </w:tc>
        <w:tc>
          <w:tcPr>
            <w:tcW w:w="3251" w:type="dxa"/>
            <w:vAlign w:val="center"/>
          </w:tcPr>
          <w:p w14:paraId="117F9B51">
            <w:pPr>
              <w:widowControl/>
              <w:spacing w:line="288" w:lineRule="auto"/>
              <w:jc w:val="center"/>
              <w:textAlignment w:val="center"/>
              <w:rPr>
                <w:sz w:val="21"/>
              </w:rPr>
            </w:pPr>
            <w:r>
              <w:rPr>
                <w:kern w:val="0"/>
                <w:sz w:val="21"/>
              </w:rPr>
              <w:t>±2</w:t>
            </w:r>
          </w:p>
        </w:tc>
      </w:tr>
    </w:tbl>
    <w:p w14:paraId="036D854A"/>
    <w:p w14:paraId="3787F397">
      <w:pPr>
        <w:rPr>
          <w:rFonts w:eastAsia="华文仿宋"/>
        </w:rPr>
      </w:pPr>
    </w:p>
    <w:p w14:paraId="27E40983">
      <w:pPr>
        <w:sectPr>
          <w:pgSz w:w="11906" w:h="16838"/>
          <w:pgMar w:top="1440" w:right="1800" w:bottom="1440" w:left="1800" w:header="851" w:footer="992" w:gutter="0"/>
          <w:cols w:space="425" w:num="1"/>
          <w:docGrid w:type="lines" w:linePitch="312" w:charSpace="0"/>
        </w:sectPr>
      </w:pPr>
    </w:p>
    <w:p w14:paraId="39F76D3D">
      <w:pPr>
        <w:pStyle w:val="2"/>
        <w:rPr>
          <w:rFonts w:cs="Times New Roman" w:eastAsiaTheme="minorEastAsia"/>
        </w:rPr>
      </w:pPr>
      <w:bookmarkStart w:id="333" w:name="_Toc26880"/>
      <w:bookmarkStart w:id="334" w:name="_Toc9248"/>
      <w:bookmarkStart w:id="335" w:name="_Toc880"/>
      <w:bookmarkStart w:id="336" w:name="_Toc27055"/>
      <w:bookmarkStart w:id="337" w:name="_Toc8089"/>
      <w:bookmarkStart w:id="338" w:name="_Toc21134"/>
      <w:bookmarkStart w:id="339" w:name="_Toc32220"/>
      <w:r>
        <w:rPr>
          <w:rFonts w:cs="Times New Roman"/>
        </w:rPr>
        <w:fldChar w:fldCharType="begin"/>
      </w:r>
      <w:r>
        <w:rPr>
          <w:rFonts w:cs="Times New Roman"/>
        </w:rPr>
        <w:instrText xml:space="preserve"> HYPERLINK \l "_Toc30255" </w:instrText>
      </w:r>
      <w:r>
        <w:rPr>
          <w:rFonts w:cs="Times New Roman"/>
        </w:rPr>
        <w:fldChar w:fldCharType="separate"/>
      </w:r>
      <w:bookmarkStart w:id="340" w:name="_Toc18057051"/>
      <w:bookmarkStart w:id="341" w:name="_Toc60173797"/>
      <w:bookmarkStart w:id="342" w:name="_Toc47692169"/>
      <w:bookmarkStart w:id="343" w:name="_Toc60172910"/>
      <w:r>
        <w:rPr>
          <w:rFonts w:cs="Times New Roman" w:eastAsiaTheme="minorEastAsia"/>
        </w:rPr>
        <w:t>7  工作井施工</w:t>
      </w:r>
      <w:bookmarkEnd w:id="340"/>
      <w:bookmarkEnd w:id="341"/>
      <w:bookmarkEnd w:id="342"/>
      <w:bookmarkEnd w:id="343"/>
      <w:r>
        <w:rPr>
          <w:rFonts w:cs="Times New Roman" w:eastAsiaTheme="minorEastAsia"/>
        </w:rPr>
        <w:fldChar w:fldCharType="end"/>
      </w:r>
      <w:bookmarkEnd w:id="333"/>
      <w:bookmarkEnd w:id="334"/>
      <w:bookmarkEnd w:id="335"/>
      <w:bookmarkEnd w:id="336"/>
      <w:bookmarkEnd w:id="337"/>
      <w:bookmarkEnd w:id="338"/>
      <w:bookmarkEnd w:id="339"/>
    </w:p>
    <w:p w14:paraId="6A8F5259">
      <w:pPr>
        <w:pStyle w:val="3"/>
        <w:rPr>
          <w:rFonts w:eastAsia="黑体" w:cs="Times New Roman"/>
          <w:b w:val="0"/>
        </w:rPr>
      </w:pPr>
      <w:bookmarkStart w:id="344" w:name="_Toc441067457"/>
      <w:bookmarkStart w:id="345" w:name="_Toc427133029"/>
      <w:bookmarkStart w:id="346" w:name="_Toc464739837"/>
      <w:bookmarkStart w:id="347" w:name="_Toc441067571"/>
      <w:bookmarkStart w:id="348" w:name="_Toc436297527"/>
      <w:bookmarkStart w:id="349" w:name="_Toc425510764"/>
      <w:bookmarkStart w:id="350" w:name="_Toc440352207"/>
      <w:bookmarkStart w:id="351" w:name="_Toc425326020"/>
      <w:bookmarkStart w:id="352" w:name="_Toc427140092"/>
      <w:bookmarkStart w:id="353" w:name="_Toc464739761"/>
      <w:bookmarkStart w:id="354" w:name="_Toc525220331"/>
      <w:bookmarkStart w:id="355" w:name="_Toc17867"/>
      <w:bookmarkStart w:id="356" w:name="_Toc17977"/>
      <w:bookmarkStart w:id="357" w:name="_Toc60173798"/>
      <w:bookmarkStart w:id="358" w:name="_Toc8783"/>
      <w:bookmarkStart w:id="359" w:name="_Toc60172911"/>
      <w:bookmarkStart w:id="360" w:name="_Toc18057052"/>
      <w:bookmarkStart w:id="361" w:name="_Toc47692170"/>
      <w:bookmarkStart w:id="362" w:name="_Toc15888"/>
      <w:bookmarkStart w:id="363" w:name="_Toc525219697"/>
      <w:bookmarkStart w:id="364" w:name="_Toc525221314"/>
      <w:bookmarkStart w:id="365" w:name="_Toc9763"/>
      <w:bookmarkStart w:id="366" w:name="_Toc22927"/>
      <w:bookmarkStart w:id="367" w:name="_Toc6297"/>
      <w:bookmarkStart w:id="368" w:name="_Toc189361279"/>
      <w:bookmarkStart w:id="369" w:name="_Toc213486135"/>
      <w:bookmarkStart w:id="370" w:name="_Toc187136500"/>
      <w:bookmarkStart w:id="371" w:name="_Toc187134230"/>
      <w:bookmarkStart w:id="372" w:name="_Toc187566676"/>
      <w:bookmarkStart w:id="373" w:name="_Toc187133505"/>
      <w:bookmarkStart w:id="374" w:name="_Toc187219745"/>
      <w:bookmarkStart w:id="375" w:name="_Toc193079185"/>
      <w:bookmarkStart w:id="376" w:name="_Toc187133002"/>
      <w:bookmarkStart w:id="377" w:name="_Toc212013562"/>
      <w:bookmarkStart w:id="378" w:name="_Toc187201560"/>
      <w:bookmarkStart w:id="379" w:name="_Toc188966036"/>
      <w:bookmarkStart w:id="380" w:name="_Toc189361191"/>
      <w:bookmarkStart w:id="381" w:name="_Toc187204907"/>
      <w:bookmarkStart w:id="382" w:name="_Toc188776376"/>
      <w:bookmarkStart w:id="383" w:name="_Toc193079252"/>
      <w:r>
        <w:rPr>
          <w:rFonts w:eastAsia="黑体" w:cs="Times New Roman"/>
        </w:rPr>
        <w:t>7.1</w:t>
      </w:r>
      <w:r>
        <w:rPr>
          <w:rFonts w:eastAsia="黑体" w:cs="Times New Roman"/>
          <w:b w:val="0"/>
        </w:rPr>
        <w:t xml:space="preserve"> </w:t>
      </w:r>
      <w:bookmarkEnd w:id="344"/>
      <w:bookmarkEnd w:id="345"/>
      <w:bookmarkEnd w:id="346"/>
      <w:bookmarkEnd w:id="347"/>
      <w:bookmarkEnd w:id="348"/>
      <w:bookmarkEnd w:id="349"/>
      <w:bookmarkEnd w:id="350"/>
      <w:bookmarkEnd w:id="351"/>
      <w:bookmarkEnd w:id="352"/>
      <w:bookmarkEnd w:id="353"/>
      <w:r>
        <w:rPr>
          <w:rFonts w:eastAsia="黑体" w:cs="Times New Roman"/>
          <w:b w:val="0"/>
        </w:rPr>
        <w:t xml:space="preserve"> 一般规定</w:t>
      </w:r>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p>
    <w:p w14:paraId="519F1854">
      <w:r>
        <w:rPr>
          <w:b/>
          <w:bCs/>
        </w:rPr>
        <w:t>7.1.1</w:t>
      </w:r>
      <w:r>
        <w:t xml:space="preserve">  工作井的结构应符合下列规定：</w:t>
      </w:r>
    </w:p>
    <w:p w14:paraId="3955A6A1">
      <w:pPr>
        <w:ind w:firstLine="482" w:firstLineChars="200"/>
      </w:pPr>
      <w:r>
        <w:rPr>
          <w:b/>
          <w:bCs/>
        </w:rPr>
        <w:t>1</w:t>
      </w:r>
      <w:r>
        <w:t xml:space="preserve">  始发井应满足井壁支护及顶管始发推进反力的作用；</w:t>
      </w:r>
    </w:p>
    <w:p w14:paraId="0611C42D">
      <w:pPr>
        <w:ind w:firstLine="482" w:firstLineChars="200"/>
      </w:pPr>
      <w:r>
        <w:rPr>
          <w:b/>
          <w:bCs/>
        </w:rPr>
        <w:t>2</w:t>
      </w:r>
      <w:r>
        <w:t xml:space="preserve">  工作井围护结构形式应根据工程地质条件、水文地质条件、邻近建筑物或构筑物、地上与地下管线情况，结构受力及施工安全等要求合理选型；</w:t>
      </w:r>
    </w:p>
    <w:p w14:paraId="0BECDCC6">
      <w:pPr>
        <w:ind w:firstLine="482" w:firstLineChars="200"/>
      </w:pPr>
      <w:r>
        <w:rPr>
          <w:b/>
          <w:bCs/>
        </w:rPr>
        <w:t>3</w:t>
      </w:r>
      <w:r>
        <w:t xml:space="preserve">  工作井的围护结构可采用灌注排桩、钢板桩、地下连续墙、咬合桩、</w:t>
      </w:r>
      <w:r>
        <w:rPr>
          <w:rFonts w:hint="eastAsia"/>
        </w:rPr>
        <w:t>型钢水泥土搅拌墙（</w:t>
      </w:r>
      <w:r>
        <w:t>SMW</w:t>
      </w:r>
      <w:r>
        <w:rPr>
          <w:rFonts w:hint="eastAsia"/>
        </w:rPr>
        <w:t>）</w:t>
      </w:r>
      <w:r>
        <w:t>及沉井等工法，且应遵照工法相应的规程进行。</w:t>
      </w:r>
    </w:p>
    <w:p w14:paraId="01008DD8">
      <w:r>
        <w:rPr>
          <w:b/>
          <w:bCs/>
        </w:rPr>
        <w:t xml:space="preserve">7.1.2  </w:t>
      </w:r>
      <w:r>
        <w:t>灌注排桩、钢板桩、地下连续墙、咬合桩工作井施工应符合现行行业标准《建筑基坑支护技术规程》JGJ 120的有关规定。</w:t>
      </w:r>
    </w:p>
    <w:p w14:paraId="651BE6F2">
      <w:r>
        <w:rPr>
          <w:b/>
          <w:bCs/>
        </w:rPr>
        <w:t xml:space="preserve">7.1.3  </w:t>
      </w:r>
      <w:r>
        <w:rPr>
          <w:rFonts w:hint="eastAsia"/>
        </w:rPr>
        <w:t>型钢水泥土搅拌墙（</w:t>
      </w:r>
      <w:r>
        <w:t>SMW</w:t>
      </w:r>
      <w:r>
        <w:rPr>
          <w:rFonts w:hint="eastAsia"/>
        </w:rPr>
        <w:t>）</w:t>
      </w:r>
      <w:r>
        <w:t>法工作井施工应符合现行行业标准《型钢水泥土搅拌墙技术规程》JGJ/T 199的有关规定。</w:t>
      </w:r>
    </w:p>
    <w:p w14:paraId="76088E74">
      <w:r>
        <w:rPr>
          <w:b/>
          <w:bCs/>
        </w:rPr>
        <w:t xml:space="preserve">7.1.4  </w:t>
      </w:r>
      <w:r>
        <w:t>沉井法工作井施工应符合现行国家标准《沉井与气压沉箱施工规范》GB/T 51130的有关规定。</w:t>
      </w:r>
    </w:p>
    <w:p w14:paraId="296363AD">
      <w:r>
        <w:rPr>
          <w:b/>
        </w:rPr>
        <w:t xml:space="preserve">7.1.5  </w:t>
      </w:r>
      <w:r>
        <w:t>始发井的穿墙洞应设置止水装置。止水装置可采用盘根止水或橡胶止水，也可采用组合形式止水。止水装置的设置应符合下列规定：</w:t>
      </w:r>
    </w:p>
    <w:p w14:paraId="53194CA3">
      <w:pPr>
        <w:ind w:firstLine="482" w:firstLineChars="200"/>
      </w:pPr>
      <w:r>
        <w:rPr>
          <w:b/>
        </w:rPr>
        <w:t>1</w:t>
      </w:r>
      <w:r>
        <w:rPr>
          <w:bCs/>
        </w:rPr>
        <w:t xml:space="preserve">  </w:t>
      </w:r>
      <w:r>
        <w:t>砂土、粉土等土层宜采用盘根止水；</w:t>
      </w:r>
    </w:p>
    <w:p w14:paraId="6498D239">
      <w:pPr>
        <w:ind w:firstLine="482" w:firstLineChars="200"/>
      </w:pPr>
      <w:r>
        <w:rPr>
          <w:b/>
        </w:rPr>
        <w:t>2</w:t>
      </w:r>
      <w:r>
        <w:rPr>
          <w:bCs/>
        </w:rPr>
        <w:t xml:space="preserve">  </w:t>
      </w:r>
      <w:r>
        <w:t>黏性土土层宜采用橡胶止水；</w:t>
      </w:r>
    </w:p>
    <w:p w14:paraId="12EEBA41">
      <w:pPr>
        <w:ind w:firstLine="482" w:firstLineChars="200"/>
      </w:pPr>
      <w:r>
        <w:rPr>
          <w:b/>
        </w:rPr>
        <w:t>3</w:t>
      </w:r>
      <w:r>
        <w:rPr>
          <w:bCs/>
        </w:rPr>
        <w:t xml:space="preserve">  </w:t>
      </w:r>
      <w:r>
        <w:t>在长距离顶管或承压水土层中宜采用多道或组合形式止水；</w:t>
      </w:r>
    </w:p>
    <w:p w14:paraId="3B061B22">
      <w:pPr>
        <w:ind w:firstLine="482" w:firstLineChars="200"/>
      </w:pPr>
      <w:r>
        <w:rPr>
          <w:b/>
        </w:rPr>
        <w:t>4</w:t>
      </w:r>
      <w:r>
        <w:rPr>
          <w:bCs/>
        </w:rPr>
        <w:t xml:space="preserve">  </w:t>
      </w:r>
      <w:r>
        <w:t>顶管结束后，管道与穿墙洞的间隙应进行封堵。</w:t>
      </w:r>
    </w:p>
    <w:p w14:paraId="402D2A44">
      <w:pPr>
        <w:rPr>
          <w:rFonts w:eastAsiaTheme="minorEastAsia"/>
        </w:rPr>
      </w:pPr>
      <w:r>
        <w:rPr>
          <w:rFonts w:eastAsiaTheme="minorEastAsia"/>
          <w:b/>
        </w:rPr>
        <w:t xml:space="preserve">7.1.6  </w:t>
      </w:r>
      <w:r>
        <w:rPr>
          <w:rFonts w:eastAsiaTheme="minorEastAsia"/>
        </w:rPr>
        <w:t>工作井基坑监测宜</w:t>
      </w:r>
      <w:r>
        <w:rPr>
          <w:rFonts w:hint="eastAsia" w:eastAsiaTheme="minorEastAsia"/>
        </w:rPr>
        <w:t>按</w:t>
      </w:r>
      <w:r>
        <w:rPr>
          <w:rFonts w:eastAsiaTheme="minorEastAsia"/>
        </w:rPr>
        <w:t>现行</w:t>
      </w:r>
      <w:bookmarkStart w:id="384" w:name="_Hlk17382476"/>
      <w:r>
        <w:rPr>
          <w:rFonts w:eastAsiaTheme="minorEastAsia"/>
        </w:rPr>
        <w:t>国家标准《</w:t>
      </w:r>
      <w:r>
        <w:fldChar w:fldCharType="begin"/>
      </w:r>
      <w:r>
        <w:instrText xml:space="preserve"> HYPERLINK "http://www.so.com/link?m=aMge5bd5I4Bsmv6REof8XZZ%2FC4CTK6I7fqx0%2FkBd%2BAswjJlpG5QxTweMSSRaECgqZ%2B2IYEBnHSz4CbPe5tvpG4B54eay2bicEkUlKR0%2F39yhkhA7PGaRAbeRgim6cHLjSYJXWjGodpiJeXG1mfgCjs1xCwfPwM49F9taWHA%3D%3D" \t "_blank" </w:instrText>
      </w:r>
      <w:r>
        <w:fldChar w:fldCharType="separate"/>
      </w:r>
      <w:r>
        <w:rPr>
          <w:rFonts w:eastAsiaTheme="minorEastAsia"/>
        </w:rPr>
        <w:t>建筑基坑工程监测技术规范》GB 50497</w:t>
      </w:r>
      <w:r>
        <w:rPr>
          <w:rFonts w:eastAsiaTheme="minorEastAsia"/>
        </w:rPr>
        <w:fldChar w:fldCharType="end"/>
      </w:r>
      <w:bookmarkEnd w:id="384"/>
      <w:r>
        <w:t>的有关规定</w:t>
      </w:r>
      <w:r>
        <w:rPr>
          <w:rFonts w:hint="eastAsia"/>
        </w:rPr>
        <w:t>执行</w:t>
      </w:r>
      <w:r>
        <w:rPr>
          <w:rFonts w:eastAsiaTheme="minorEastAsia"/>
        </w:rPr>
        <w:t>。</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p>
    <w:p w14:paraId="5B31C8D4">
      <w:pPr>
        <w:rPr>
          <w:rFonts w:eastAsiaTheme="minorEastAsia"/>
        </w:rPr>
      </w:pPr>
    </w:p>
    <w:p w14:paraId="77832B13">
      <w:pPr>
        <w:pStyle w:val="3"/>
        <w:rPr>
          <w:rFonts w:eastAsia="黑体" w:cs="Times New Roman"/>
          <w:b w:val="0"/>
        </w:rPr>
      </w:pPr>
      <w:bookmarkStart w:id="385" w:name="_Toc21534"/>
      <w:bookmarkStart w:id="386" w:name="_Toc525219704"/>
      <w:bookmarkStart w:id="387" w:name="_Toc60173799"/>
      <w:bookmarkStart w:id="388" w:name="_Toc9549"/>
      <w:bookmarkStart w:id="389" w:name="_Toc10497"/>
      <w:bookmarkStart w:id="390" w:name="_Toc60172912"/>
      <w:bookmarkStart w:id="391" w:name="_Toc22559"/>
      <w:bookmarkStart w:id="392" w:name="_Toc3570"/>
      <w:bookmarkStart w:id="393" w:name="_Toc9093"/>
      <w:bookmarkStart w:id="394" w:name="_Toc525220338"/>
      <w:bookmarkStart w:id="395" w:name="_Toc18057058"/>
      <w:bookmarkStart w:id="396" w:name="_Toc525221321"/>
      <w:bookmarkStart w:id="397" w:name="_Toc4889"/>
      <w:bookmarkStart w:id="398" w:name="_Toc47692171"/>
      <w:r>
        <w:rPr>
          <w:rFonts w:eastAsia="黑体" w:cs="Times New Roman"/>
        </w:rPr>
        <w:t>7.2</w:t>
      </w:r>
      <w:r>
        <w:rPr>
          <w:rFonts w:eastAsia="黑体" w:cs="Times New Roman"/>
          <w:b w:val="0"/>
        </w:rPr>
        <w:t xml:space="preserve">  土体加固</w:t>
      </w:r>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p>
    <w:p w14:paraId="3F34ED31">
      <w:bookmarkStart w:id="399" w:name="_Hlk511071594"/>
      <w:r>
        <w:rPr>
          <w:b/>
        </w:rPr>
        <w:t>7.2.1</w:t>
      </w:r>
      <w:bookmarkEnd w:id="399"/>
      <w:r>
        <w:t xml:space="preserve">  顶管始发井及接收井的洞口土体应进行加固，土体加固宜采用水泥土搅拌桩、</w:t>
      </w:r>
      <w:r>
        <w:rPr>
          <w:rFonts w:hint="eastAsia"/>
        </w:rPr>
        <w:t>袖阀管注浆、W</w:t>
      </w:r>
      <w:r>
        <w:t>SS</w:t>
      </w:r>
      <w:r>
        <w:rPr>
          <w:rFonts w:hint="eastAsia"/>
        </w:rPr>
        <w:t>注浆、</w:t>
      </w:r>
      <w:r>
        <w:t>高压旋喷桩等一种或几种组合</w:t>
      </w:r>
      <w:r>
        <w:rPr>
          <w:rFonts w:hint="eastAsia"/>
        </w:rPr>
        <w:t>的</w:t>
      </w:r>
      <w:r>
        <w:t>形式。</w:t>
      </w:r>
    </w:p>
    <w:p w14:paraId="7B9E2EAC">
      <w:bookmarkStart w:id="400" w:name="_Hlk511138453"/>
      <w:bookmarkStart w:id="401" w:name="_Hlk511137943"/>
      <w:r>
        <w:rPr>
          <w:b/>
        </w:rPr>
        <w:t xml:space="preserve">7.2.2 </w:t>
      </w:r>
      <w:r>
        <w:t xml:space="preserve"> </w:t>
      </w:r>
      <w:bookmarkStart w:id="402" w:name="_Hlk511138142"/>
      <w:r>
        <w:t>顶管洞口加固应在始发井、接收井的底板达到设计强度后进行。</w:t>
      </w:r>
      <w:bookmarkEnd w:id="402"/>
      <w:r>
        <w:t>加固完成后应对加固体的强度、均匀性和防渗漏性能进行检测。</w:t>
      </w:r>
    </w:p>
    <w:p w14:paraId="6565F3CE">
      <w:r>
        <w:rPr>
          <w:b/>
        </w:rPr>
        <w:t>7.2.3</w:t>
      </w:r>
      <w:r>
        <w:t xml:space="preserve">  顶管始发井的后靠土体宜进行地基加固，加固宜采用水泥土搅拌桩、旋喷桩等形式。</w:t>
      </w:r>
    </w:p>
    <w:p w14:paraId="01AC3A63">
      <w:r>
        <w:rPr>
          <w:b/>
        </w:rPr>
        <w:t>7.2.4</w:t>
      </w:r>
      <w:r>
        <w:t xml:space="preserve">  顶管出洞口加固若采用冻结加固方案时，应由专业设计单位进行专项设计</w:t>
      </w:r>
      <w:r>
        <w:rPr>
          <w:rFonts w:hint="eastAsia"/>
        </w:rPr>
        <w:t>；</w:t>
      </w:r>
      <w:r>
        <w:t>设计应包括结构设计、冻结工艺设计、解冻方式和冻胀融沉控制等内容。</w:t>
      </w:r>
    </w:p>
    <w:p w14:paraId="676DCE32">
      <w:r>
        <w:rPr>
          <w:b/>
        </w:rPr>
        <w:t xml:space="preserve">7.2.5  </w:t>
      </w:r>
      <w:r>
        <w:t>冷冻站的供冷量、冻结壁的温度控制、冻结管的拆除及封堵应符合冻</w:t>
      </w:r>
      <w:r>
        <w:rPr>
          <w:rFonts w:hint="eastAsia"/>
        </w:rPr>
        <w:t>结</w:t>
      </w:r>
      <w:r>
        <w:t>工艺要求。采用冻结加固方案时，宜采用融沉注浆等措施控制融沉效应，融沉注浆等应配合变形监测进行。</w:t>
      </w:r>
    </w:p>
    <w:bookmarkEnd w:id="400"/>
    <w:bookmarkEnd w:id="401"/>
    <w:p w14:paraId="2C43409D">
      <w:r>
        <w:rPr>
          <w:b/>
        </w:rPr>
        <w:t xml:space="preserve">7.2.6  </w:t>
      </w:r>
      <w:r>
        <w:t>工作井采用降水措施时应设置水位观测井。</w:t>
      </w:r>
    </w:p>
    <w:p w14:paraId="173EFAB5">
      <w:r>
        <w:rPr>
          <w:b/>
        </w:rPr>
        <w:t xml:space="preserve">7.2.7  </w:t>
      </w:r>
      <w:r>
        <w:t>在含承压水的砂性土层中，顶管工作井宜采用降压措施。当周边环境保护要求高时，顶管机接收可采用水下进洞和钢套筒辅助进洞方式。</w:t>
      </w:r>
    </w:p>
    <w:p w14:paraId="2D3A92C3">
      <w:r>
        <w:rPr>
          <w:b/>
          <w:bCs/>
        </w:rPr>
        <w:t>7.2.8</w:t>
      </w:r>
      <w:r>
        <w:t xml:space="preserve">  工作井的顶部为软土时，应在洞口上方采取水平方向的加固</w:t>
      </w:r>
      <w:r>
        <w:rPr>
          <w:rFonts w:hint="eastAsia"/>
        </w:rPr>
        <w:t>措施</w:t>
      </w:r>
      <w:r>
        <w:t>。</w:t>
      </w:r>
    </w:p>
    <w:p w14:paraId="47F8F79D">
      <w:pPr>
        <w:rPr>
          <w:rFonts w:eastAsiaTheme="minorEastAsia"/>
        </w:rPr>
      </w:pPr>
    </w:p>
    <w:p w14:paraId="4C2AEA6F">
      <w:pPr>
        <w:pStyle w:val="3"/>
        <w:rPr>
          <w:rFonts w:eastAsia="黑体" w:cs="Times New Roman"/>
          <w:b w:val="0"/>
        </w:rPr>
      </w:pPr>
      <w:bookmarkStart w:id="403" w:name="_Toc47692172"/>
      <w:bookmarkStart w:id="404" w:name="_Toc30752"/>
      <w:bookmarkStart w:id="405" w:name="_Toc15565"/>
      <w:bookmarkStart w:id="406" w:name="_Toc31993"/>
      <w:bookmarkStart w:id="407" w:name="_Toc60173800"/>
      <w:bookmarkStart w:id="408" w:name="_Toc18057059"/>
      <w:bookmarkStart w:id="409" w:name="_Toc26086"/>
      <w:bookmarkStart w:id="410" w:name="_Toc17512"/>
      <w:bookmarkStart w:id="411" w:name="_Toc2090"/>
      <w:bookmarkStart w:id="412" w:name="_Toc3965"/>
      <w:bookmarkStart w:id="413" w:name="_Toc60172913"/>
      <w:r>
        <w:rPr>
          <w:rFonts w:eastAsia="黑体" w:cs="Times New Roman"/>
        </w:rPr>
        <w:t xml:space="preserve">7.3 </w:t>
      </w:r>
      <w:r>
        <w:rPr>
          <w:rFonts w:eastAsia="黑体" w:cs="Times New Roman"/>
          <w:b w:val="0"/>
        </w:rPr>
        <w:t xml:space="preserve"> 工作井质量控制</w:t>
      </w:r>
      <w:bookmarkEnd w:id="403"/>
      <w:bookmarkEnd w:id="404"/>
      <w:bookmarkEnd w:id="405"/>
      <w:bookmarkEnd w:id="406"/>
      <w:bookmarkEnd w:id="407"/>
      <w:bookmarkEnd w:id="408"/>
      <w:bookmarkEnd w:id="409"/>
      <w:bookmarkEnd w:id="410"/>
      <w:bookmarkEnd w:id="411"/>
      <w:bookmarkEnd w:id="412"/>
      <w:bookmarkEnd w:id="413"/>
    </w:p>
    <w:p w14:paraId="06A2EE57">
      <w:pPr>
        <w:jc w:val="center"/>
        <w:rPr>
          <w:rFonts w:eastAsia="仿宋"/>
          <w:b/>
          <w:bCs/>
        </w:rPr>
      </w:pPr>
      <w:r>
        <w:rPr>
          <w:rFonts w:eastAsia="仿宋"/>
          <w:b/>
          <w:bCs/>
        </w:rPr>
        <w:t>Ⅰ  主控项目</w:t>
      </w:r>
    </w:p>
    <w:p w14:paraId="78E505CF">
      <w:r>
        <w:rPr>
          <w:b/>
          <w:bCs/>
        </w:rPr>
        <w:t xml:space="preserve">7.3.1  </w:t>
      </w:r>
      <w:r>
        <w:t>工作井的围护结构、井内结构施工的质量验收，应符合现行国家标准《建筑地基基础工程施工质量验收规范》GB 50202、《给水排水构筑物工程施工及验收规范》GB 50141、《沉井与气压沉箱施工规范》GB/T 5113</w:t>
      </w:r>
      <w:r>
        <w:rPr>
          <w:rFonts w:hint="eastAsia"/>
        </w:rPr>
        <w:t>和现行行业标准</w:t>
      </w:r>
      <w:r>
        <w:t>《建筑基坑支护技术规程》JGJ 120和《型钢水泥土搅拌墙技术规程》JGJ/T 199的有关规定。</w:t>
      </w:r>
    </w:p>
    <w:p w14:paraId="791E204B">
      <w:r>
        <w:rPr>
          <w:b/>
          <w:bCs/>
        </w:rPr>
        <w:t xml:space="preserve">7.3.2  </w:t>
      </w:r>
      <w:r>
        <w:t>工作井的施工质量检验与验收应符合下列规定：</w:t>
      </w:r>
    </w:p>
    <w:p w14:paraId="1C1FA7AD">
      <w:pPr>
        <w:ind w:firstLine="482" w:firstLineChars="200"/>
      </w:pPr>
      <w:r>
        <w:rPr>
          <w:b/>
          <w:bCs/>
        </w:rPr>
        <w:t xml:space="preserve">1  </w:t>
      </w:r>
      <w:r>
        <w:t>工作井原材料、成品、半成品的产品质量应符合相应产品的国家标准和设计文件的</w:t>
      </w:r>
      <w:r>
        <w:rPr>
          <w:rFonts w:hint="eastAsia"/>
        </w:rPr>
        <w:t>有关</w:t>
      </w:r>
      <w:r>
        <w:t>规定；</w:t>
      </w:r>
    </w:p>
    <w:p w14:paraId="2AA45633">
      <w:pPr>
        <w:ind w:firstLine="480" w:firstLineChars="200"/>
      </w:pPr>
      <w:r>
        <w:rPr>
          <w:rFonts w:hint="eastAsia"/>
        </w:rPr>
        <w:t>检验</w:t>
      </w:r>
      <w:r>
        <w:t>方法：检查产品质量合格证、出厂检验报告和进场复验报告。</w:t>
      </w:r>
    </w:p>
    <w:p w14:paraId="1E1C15CA">
      <w:pPr>
        <w:ind w:firstLine="480" w:firstLineChars="200"/>
      </w:pPr>
      <w:r>
        <w:t>检查数量：全数检查</w:t>
      </w:r>
      <w:r>
        <w:rPr>
          <w:rFonts w:hint="eastAsia"/>
        </w:rPr>
        <w:t>。</w:t>
      </w:r>
    </w:p>
    <w:p w14:paraId="72B8A893">
      <w:pPr>
        <w:ind w:firstLine="482" w:firstLineChars="200"/>
      </w:pPr>
      <w:r>
        <w:rPr>
          <w:b/>
          <w:bCs/>
        </w:rPr>
        <w:t>2</w:t>
      </w:r>
      <w:r>
        <w:t xml:space="preserve">  混凝土结构的抗压强度等级、抗渗等级应满足设计要求；</w:t>
      </w:r>
    </w:p>
    <w:p w14:paraId="7CCF6BDF">
      <w:pPr>
        <w:ind w:firstLine="480" w:firstLineChars="200"/>
      </w:pPr>
      <w:r>
        <w:rPr>
          <w:rFonts w:hint="eastAsia"/>
        </w:rPr>
        <w:t>检验</w:t>
      </w:r>
      <w:r>
        <w:t>方法：检查混凝土浇筑记录，检查试块的抗压强度、抗渗试验报告。</w:t>
      </w:r>
    </w:p>
    <w:p w14:paraId="0F10D987">
      <w:pPr>
        <w:ind w:firstLine="480" w:firstLineChars="200"/>
      </w:pPr>
      <w:r>
        <w:t>检查数量：每根钻孔灌柱桩、每幅地下连续墙混凝土为一个</w:t>
      </w:r>
      <w:r>
        <w:rPr>
          <w:rFonts w:hint="eastAsia"/>
        </w:rPr>
        <w:t>检验批</w:t>
      </w:r>
      <w:r>
        <w:t>，抗压强度、抗渗试块应各留置一组；沉井及其他现浇结构的同一配合比混凝土，每工作班且每浇筑100m</w:t>
      </w:r>
      <w:r>
        <w:rPr>
          <w:vertAlign w:val="superscript"/>
        </w:rPr>
        <w:t>3</w:t>
      </w:r>
      <w:r>
        <w:t>为一个</w:t>
      </w:r>
      <w:r>
        <w:rPr>
          <w:rFonts w:hint="eastAsia"/>
        </w:rPr>
        <w:t>检验批</w:t>
      </w:r>
      <w:r>
        <w:t>，抗压强度试块留置不应少于l组；每浇筑500m</w:t>
      </w:r>
      <w:r>
        <w:rPr>
          <w:vertAlign w:val="superscript"/>
        </w:rPr>
        <w:t>3</w:t>
      </w:r>
      <w:r>
        <w:t>混凝土抗渗试块留置不应少于1组。</w:t>
      </w:r>
    </w:p>
    <w:p w14:paraId="2A515E30">
      <w:pPr>
        <w:ind w:firstLine="482" w:firstLineChars="200"/>
      </w:pPr>
      <w:r>
        <w:rPr>
          <w:b/>
          <w:bCs/>
        </w:rPr>
        <w:t>3</w:t>
      </w:r>
      <w:r>
        <w:t xml:space="preserve">  始发井的反力墙应坚实、平整；后座与井壁反力墙应紧贴；</w:t>
      </w:r>
    </w:p>
    <w:p w14:paraId="70314A13">
      <w:pPr>
        <w:ind w:firstLine="480" w:firstLineChars="200"/>
      </w:pPr>
      <w:r>
        <w:rPr>
          <w:rFonts w:hint="eastAsia"/>
        </w:rPr>
        <w:t>检验</w:t>
      </w:r>
      <w:r>
        <w:t>方法：逐个观察；检查相关施工记录。</w:t>
      </w:r>
    </w:p>
    <w:p w14:paraId="34E81E09">
      <w:pPr>
        <w:ind w:firstLine="480" w:firstLineChars="200"/>
      </w:pPr>
      <w:r>
        <w:t>检查数量：全数检查</w:t>
      </w:r>
      <w:r>
        <w:rPr>
          <w:rFonts w:hint="eastAsia"/>
        </w:rPr>
        <w:t>。</w:t>
      </w:r>
    </w:p>
    <w:p w14:paraId="46446E41">
      <w:pPr>
        <w:ind w:firstLine="482" w:firstLineChars="200"/>
      </w:pPr>
      <w:r>
        <w:rPr>
          <w:b/>
          <w:bCs/>
        </w:rPr>
        <w:t>4</w:t>
      </w:r>
      <w:r>
        <w:t xml:space="preserve">  两导轨应顺直、平行、等高，基座及导轨的夹角</w:t>
      </w:r>
      <w:r>
        <w:rPr>
          <w:rFonts w:hint="eastAsia"/>
        </w:rPr>
        <w:t>应根据管节的设计轴线和施工要求确定</w:t>
      </w:r>
      <w:r>
        <w:t>；导轨与基座连接应牢固可靠，不得在使用中产生位移。</w:t>
      </w:r>
    </w:p>
    <w:p w14:paraId="1FB16BF9">
      <w:pPr>
        <w:ind w:firstLine="480" w:firstLineChars="200"/>
      </w:pPr>
      <w:r>
        <w:rPr>
          <w:rFonts w:hint="eastAsia"/>
        </w:rPr>
        <w:t>检验</w:t>
      </w:r>
      <w:r>
        <w:t>方法：逐个观察、量测。</w:t>
      </w:r>
    </w:p>
    <w:p w14:paraId="2DEE2F4E">
      <w:pPr>
        <w:ind w:firstLine="480" w:firstLineChars="200"/>
      </w:pPr>
      <w:r>
        <w:t>检查数量：全数检查</w:t>
      </w:r>
      <w:r>
        <w:rPr>
          <w:rFonts w:hint="eastAsia"/>
        </w:rPr>
        <w:t>。</w:t>
      </w:r>
    </w:p>
    <w:p w14:paraId="39AED1FD">
      <w:pPr>
        <w:jc w:val="center"/>
        <w:rPr>
          <w:rFonts w:eastAsia="仿宋"/>
          <w:b/>
          <w:bCs/>
        </w:rPr>
      </w:pPr>
      <w:r>
        <w:rPr>
          <w:rFonts w:eastAsia="仿宋"/>
          <w:b/>
          <w:bCs/>
        </w:rPr>
        <w:t>Ⅱ  一般项目</w:t>
      </w:r>
    </w:p>
    <w:p w14:paraId="6F528FF9">
      <w:r>
        <w:rPr>
          <w:b/>
          <w:bCs/>
        </w:rPr>
        <w:t xml:space="preserve">7.3.3  </w:t>
      </w:r>
      <w:r>
        <w:t>工作井施工的允许偏差应符合表7.3.3的规定。</w:t>
      </w:r>
    </w:p>
    <w:p w14:paraId="26D82490">
      <w:pPr>
        <w:jc w:val="center"/>
        <w:rPr>
          <w:b/>
          <w:bCs/>
          <w:sz w:val="21"/>
          <w:szCs w:val="18"/>
        </w:rPr>
      </w:pPr>
      <w:r>
        <w:rPr>
          <w:b/>
          <w:bCs/>
          <w:sz w:val="21"/>
          <w:szCs w:val="18"/>
        </w:rPr>
        <w:t>表7.3.3  工作井施工的允许偏差</w:t>
      </w:r>
    </w:p>
    <w:tbl>
      <w:tblPr>
        <w:tblStyle w:val="35"/>
        <w:tblW w:w="8276"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28" w:type="dxa"/>
          <w:left w:w="57" w:type="dxa"/>
          <w:bottom w:w="28" w:type="dxa"/>
          <w:right w:w="57" w:type="dxa"/>
        </w:tblCellMar>
      </w:tblPr>
      <w:tblGrid>
        <w:gridCol w:w="442"/>
        <w:gridCol w:w="780"/>
        <w:gridCol w:w="973"/>
        <w:gridCol w:w="1364"/>
        <w:gridCol w:w="973"/>
        <w:gridCol w:w="584"/>
        <w:gridCol w:w="1604"/>
        <w:gridCol w:w="1556"/>
      </w:tblGrid>
      <w:tr w14:paraId="196A6B9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28" w:type="dxa"/>
            <w:left w:w="57" w:type="dxa"/>
            <w:bottom w:w="28" w:type="dxa"/>
            <w:right w:w="57" w:type="dxa"/>
          </w:tblCellMar>
        </w:tblPrEx>
        <w:trPr>
          <w:trHeight w:val="397" w:hRule="atLeast"/>
          <w:jc w:val="center"/>
        </w:trPr>
        <w:tc>
          <w:tcPr>
            <w:tcW w:w="3559" w:type="dxa"/>
            <w:gridSpan w:val="4"/>
            <w:vMerge w:val="restart"/>
            <w:vAlign w:val="center"/>
          </w:tcPr>
          <w:p w14:paraId="62AA757D">
            <w:pPr>
              <w:spacing w:line="240" w:lineRule="auto"/>
              <w:jc w:val="center"/>
              <w:rPr>
                <w:rFonts w:eastAsiaTheme="minorEastAsia"/>
                <w:sz w:val="21"/>
              </w:rPr>
            </w:pPr>
            <w:r>
              <w:rPr>
                <w:rFonts w:eastAsiaTheme="minorEastAsia"/>
                <w:sz w:val="21"/>
              </w:rPr>
              <w:t>检查项目</w:t>
            </w:r>
          </w:p>
        </w:tc>
        <w:tc>
          <w:tcPr>
            <w:tcW w:w="973" w:type="dxa"/>
            <w:vMerge w:val="restart"/>
            <w:vAlign w:val="center"/>
          </w:tcPr>
          <w:p w14:paraId="0DA8C7F5">
            <w:pPr>
              <w:spacing w:line="240" w:lineRule="auto"/>
              <w:jc w:val="center"/>
              <w:rPr>
                <w:rFonts w:eastAsiaTheme="minorEastAsia"/>
                <w:sz w:val="21"/>
              </w:rPr>
            </w:pPr>
            <w:r>
              <w:rPr>
                <w:rFonts w:eastAsiaTheme="minorEastAsia"/>
                <w:sz w:val="21"/>
              </w:rPr>
              <w:t>允许偏差（mm）</w:t>
            </w:r>
          </w:p>
        </w:tc>
        <w:tc>
          <w:tcPr>
            <w:tcW w:w="2188" w:type="dxa"/>
            <w:gridSpan w:val="2"/>
            <w:vAlign w:val="center"/>
          </w:tcPr>
          <w:p w14:paraId="0C5D5939">
            <w:pPr>
              <w:spacing w:line="240" w:lineRule="auto"/>
              <w:jc w:val="center"/>
              <w:rPr>
                <w:rFonts w:eastAsiaTheme="minorEastAsia"/>
                <w:sz w:val="21"/>
              </w:rPr>
            </w:pPr>
            <w:r>
              <w:rPr>
                <w:rFonts w:eastAsiaTheme="minorEastAsia"/>
                <w:sz w:val="21"/>
              </w:rPr>
              <w:t>检查数量</w:t>
            </w:r>
          </w:p>
        </w:tc>
        <w:tc>
          <w:tcPr>
            <w:tcW w:w="1556" w:type="dxa"/>
            <w:vMerge w:val="restart"/>
            <w:vAlign w:val="center"/>
          </w:tcPr>
          <w:p w14:paraId="11E6D9D3">
            <w:pPr>
              <w:spacing w:line="240" w:lineRule="auto"/>
              <w:jc w:val="center"/>
              <w:rPr>
                <w:rFonts w:eastAsiaTheme="minorEastAsia"/>
                <w:sz w:val="21"/>
              </w:rPr>
            </w:pPr>
            <w:r>
              <w:rPr>
                <w:rFonts w:eastAsiaTheme="minorEastAsia"/>
                <w:sz w:val="21"/>
              </w:rPr>
              <w:t>检查方法</w:t>
            </w:r>
          </w:p>
        </w:tc>
      </w:tr>
      <w:tr w14:paraId="339E062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28" w:type="dxa"/>
            <w:left w:w="57" w:type="dxa"/>
            <w:bottom w:w="28" w:type="dxa"/>
            <w:right w:w="57" w:type="dxa"/>
          </w:tblCellMar>
        </w:tblPrEx>
        <w:trPr>
          <w:trHeight w:val="397" w:hRule="atLeast"/>
          <w:jc w:val="center"/>
        </w:trPr>
        <w:tc>
          <w:tcPr>
            <w:tcW w:w="3559" w:type="dxa"/>
            <w:gridSpan w:val="4"/>
            <w:vMerge w:val="continue"/>
            <w:vAlign w:val="center"/>
          </w:tcPr>
          <w:p w14:paraId="6474C4DE">
            <w:pPr>
              <w:spacing w:line="240" w:lineRule="auto"/>
              <w:jc w:val="center"/>
              <w:rPr>
                <w:rFonts w:eastAsiaTheme="minorEastAsia"/>
                <w:sz w:val="21"/>
              </w:rPr>
            </w:pPr>
          </w:p>
        </w:tc>
        <w:tc>
          <w:tcPr>
            <w:tcW w:w="973" w:type="dxa"/>
            <w:vMerge w:val="continue"/>
            <w:vAlign w:val="center"/>
          </w:tcPr>
          <w:p w14:paraId="41187854">
            <w:pPr>
              <w:spacing w:line="240" w:lineRule="auto"/>
              <w:jc w:val="center"/>
              <w:rPr>
                <w:rFonts w:eastAsiaTheme="minorEastAsia"/>
                <w:sz w:val="21"/>
              </w:rPr>
            </w:pPr>
          </w:p>
        </w:tc>
        <w:tc>
          <w:tcPr>
            <w:tcW w:w="584" w:type="dxa"/>
            <w:vAlign w:val="center"/>
          </w:tcPr>
          <w:p w14:paraId="3CCE229E">
            <w:pPr>
              <w:spacing w:line="240" w:lineRule="auto"/>
              <w:jc w:val="center"/>
              <w:rPr>
                <w:rFonts w:eastAsiaTheme="minorEastAsia"/>
                <w:sz w:val="21"/>
              </w:rPr>
            </w:pPr>
            <w:r>
              <w:rPr>
                <w:rFonts w:eastAsiaTheme="minorEastAsia"/>
                <w:sz w:val="21"/>
              </w:rPr>
              <w:t>范围</w:t>
            </w:r>
          </w:p>
        </w:tc>
        <w:tc>
          <w:tcPr>
            <w:tcW w:w="1604" w:type="dxa"/>
            <w:vAlign w:val="center"/>
          </w:tcPr>
          <w:p w14:paraId="2231349B">
            <w:pPr>
              <w:spacing w:line="240" w:lineRule="auto"/>
              <w:jc w:val="center"/>
              <w:rPr>
                <w:rFonts w:eastAsiaTheme="minorEastAsia"/>
                <w:sz w:val="21"/>
              </w:rPr>
            </w:pPr>
            <w:r>
              <w:rPr>
                <w:rFonts w:eastAsiaTheme="minorEastAsia"/>
                <w:sz w:val="21"/>
              </w:rPr>
              <w:t>点  数</w:t>
            </w:r>
          </w:p>
        </w:tc>
        <w:tc>
          <w:tcPr>
            <w:tcW w:w="1556" w:type="dxa"/>
            <w:vMerge w:val="continue"/>
            <w:vAlign w:val="center"/>
          </w:tcPr>
          <w:p w14:paraId="6B0182EF">
            <w:pPr>
              <w:spacing w:line="240" w:lineRule="auto"/>
              <w:jc w:val="center"/>
              <w:rPr>
                <w:rFonts w:eastAsiaTheme="minorEastAsia"/>
                <w:sz w:val="21"/>
              </w:rPr>
            </w:pPr>
          </w:p>
        </w:tc>
      </w:tr>
      <w:tr w14:paraId="730E8CE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28" w:type="dxa"/>
            <w:left w:w="57" w:type="dxa"/>
            <w:bottom w:w="28" w:type="dxa"/>
            <w:right w:w="57" w:type="dxa"/>
          </w:tblCellMar>
        </w:tblPrEx>
        <w:trPr>
          <w:trHeight w:val="397" w:hRule="atLeast"/>
          <w:jc w:val="center"/>
        </w:trPr>
        <w:tc>
          <w:tcPr>
            <w:tcW w:w="442" w:type="dxa"/>
            <w:vMerge w:val="restart"/>
            <w:vAlign w:val="center"/>
          </w:tcPr>
          <w:p w14:paraId="17D9CF07">
            <w:pPr>
              <w:spacing w:line="240" w:lineRule="auto"/>
              <w:jc w:val="center"/>
              <w:rPr>
                <w:rFonts w:eastAsiaTheme="minorEastAsia"/>
                <w:sz w:val="21"/>
              </w:rPr>
            </w:pPr>
            <w:r>
              <w:rPr>
                <w:rFonts w:eastAsiaTheme="minorEastAsia"/>
                <w:sz w:val="21"/>
              </w:rPr>
              <w:t>1</w:t>
            </w:r>
          </w:p>
        </w:tc>
        <w:tc>
          <w:tcPr>
            <w:tcW w:w="780" w:type="dxa"/>
            <w:vMerge w:val="restart"/>
            <w:vAlign w:val="center"/>
          </w:tcPr>
          <w:p w14:paraId="5E0DDBA5">
            <w:pPr>
              <w:spacing w:line="240" w:lineRule="auto"/>
              <w:jc w:val="center"/>
              <w:rPr>
                <w:rFonts w:eastAsiaTheme="minorEastAsia"/>
                <w:sz w:val="21"/>
              </w:rPr>
            </w:pPr>
            <w:r>
              <w:rPr>
                <w:rFonts w:eastAsiaTheme="minorEastAsia"/>
                <w:sz w:val="21"/>
              </w:rPr>
              <w:t>井内导轨安装</w:t>
            </w:r>
          </w:p>
        </w:tc>
        <w:tc>
          <w:tcPr>
            <w:tcW w:w="2337" w:type="dxa"/>
            <w:gridSpan w:val="2"/>
            <w:vAlign w:val="center"/>
          </w:tcPr>
          <w:p w14:paraId="1683EEA4">
            <w:pPr>
              <w:spacing w:line="240" w:lineRule="auto"/>
              <w:jc w:val="center"/>
              <w:rPr>
                <w:rFonts w:eastAsiaTheme="minorEastAsia"/>
                <w:sz w:val="21"/>
              </w:rPr>
            </w:pPr>
            <w:r>
              <w:rPr>
                <w:rFonts w:eastAsiaTheme="minorEastAsia"/>
                <w:sz w:val="21"/>
              </w:rPr>
              <w:t>顶面高程</w:t>
            </w:r>
          </w:p>
        </w:tc>
        <w:tc>
          <w:tcPr>
            <w:tcW w:w="973" w:type="dxa"/>
            <w:vAlign w:val="center"/>
          </w:tcPr>
          <w:p w14:paraId="5F06C67D">
            <w:pPr>
              <w:spacing w:line="240" w:lineRule="auto"/>
              <w:jc w:val="center"/>
              <w:rPr>
                <w:rFonts w:eastAsiaTheme="minorEastAsia"/>
                <w:sz w:val="21"/>
              </w:rPr>
            </w:pPr>
            <w:r>
              <w:rPr>
                <w:rFonts w:eastAsiaTheme="minorEastAsia"/>
                <w:sz w:val="21"/>
              </w:rPr>
              <w:t>＋3.0</w:t>
            </w:r>
          </w:p>
        </w:tc>
        <w:tc>
          <w:tcPr>
            <w:tcW w:w="584" w:type="dxa"/>
            <w:vMerge w:val="restart"/>
            <w:vAlign w:val="center"/>
          </w:tcPr>
          <w:p w14:paraId="2040AD98">
            <w:pPr>
              <w:spacing w:line="240" w:lineRule="auto"/>
              <w:jc w:val="center"/>
              <w:rPr>
                <w:rFonts w:eastAsiaTheme="minorEastAsia"/>
                <w:sz w:val="21"/>
              </w:rPr>
            </w:pPr>
            <w:r>
              <w:rPr>
                <w:rFonts w:eastAsiaTheme="minorEastAsia"/>
                <w:sz w:val="21"/>
              </w:rPr>
              <w:t>每座</w:t>
            </w:r>
          </w:p>
        </w:tc>
        <w:tc>
          <w:tcPr>
            <w:tcW w:w="1604" w:type="dxa"/>
            <w:vAlign w:val="center"/>
          </w:tcPr>
          <w:p w14:paraId="36439A87">
            <w:pPr>
              <w:spacing w:line="240" w:lineRule="auto"/>
              <w:jc w:val="center"/>
              <w:rPr>
                <w:rFonts w:eastAsiaTheme="minorEastAsia"/>
                <w:sz w:val="21"/>
              </w:rPr>
            </w:pPr>
            <w:r>
              <w:rPr>
                <w:rFonts w:eastAsiaTheme="minorEastAsia"/>
                <w:sz w:val="21"/>
              </w:rPr>
              <w:t>每根导轨2点</w:t>
            </w:r>
          </w:p>
        </w:tc>
        <w:tc>
          <w:tcPr>
            <w:tcW w:w="1556" w:type="dxa"/>
            <w:vAlign w:val="center"/>
          </w:tcPr>
          <w:p w14:paraId="6B0F4279">
            <w:pPr>
              <w:spacing w:line="240" w:lineRule="auto"/>
              <w:jc w:val="center"/>
              <w:rPr>
                <w:rFonts w:eastAsiaTheme="minorEastAsia"/>
                <w:sz w:val="21"/>
              </w:rPr>
            </w:pPr>
            <w:r>
              <w:rPr>
                <w:rFonts w:eastAsiaTheme="minorEastAsia"/>
                <w:sz w:val="21"/>
              </w:rPr>
              <w:t>用水准仪测量、</w:t>
            </w:r>
          </w:p>
          <w:p w14:paraId="33ED4F71">
            <w:pPr>
              <w:spacing w:line="240" w:lineRule="auto"/>
              <w:jc w:val="center"/>
              <w:rPr>
                <w:rFonts w:eastAsiaTheme="minorEastAsia"/>
                <w:sz w:val="21"/>
              </w:rPr>
            </w:pPr>
            <w:r>
              <w:rPr>
                <w:rFonts w:eastAsiaTheme="minorEastAsia"/>
                <w:sz w:val="21"/>
              </w:rPr>
              <w:t>水平尺量测</w:t>
            </w:r>
          </w:p>
        </w:tc>
      </w:tr>
      <w:tr w14:paraId="303E486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28" w:type="dxa"/>
            <w:left w:w="57" w:type="dxa"/>
            <w:bottom w:w="28" w:type="dxa"/>
            <w:right w:w="57" w:type="dxa"/>
          </w:tblCellMar>
        </w:tblPrEx>
        <w:trPr>
          <w:trHeight w:val="397" w:hRule="atLeast"/>
          <w:jc w:val="center"/>
        </w:trPr>
        <w:tc>
          <w:tcPr>
            <w:tcW w:w="442" w:type="dxa"/>
            <w:vMerge w:val="continue"/>
            <w:vAlign w:val="center"/>
          </w:tcPr>
          <w:p w14:paraId="50011328">
            <w:pPr>
              <w:spacing w:line="240" w:lineRule="auto"/>
              <w:jc w:val="center"/>
              <w:rPr>
                <w:rFonts w:eastAsiaTheme="minorEastAsia"/>
                <w:sz w:val="21"/>
              </w:rPr>
            </w:pPr>
          </w:p>
        </w:tc>
        <w:tc>
          <w:tcPr>
            <w:tcW w:w="780" w:type="dxa"/>
            <w:vMerge w:val="continue"/>
            <w:vAlign w:val="center"/>
          </w:tcPr>
          <w:p w14:paraId="20AC1424">
            <w:pPr>
              <w:spacing w:line="240" w:lineRule="auto"/>
              <w:jc w:val="center"/>
              <w:rPr>
                <w:rFonts w:eastAsiaTheme="minorEastAsia"/>
                <w:sz w:val="21"/>
              </w:rPr>
            </w:pPr>
          </w:p>
        </w:tc>
        <w:tc>
          <w:tcPr>
            <w:tcW w:w="2337" w:type="dxa"/>
            <w:gridSpan w:val="2"/>
            <w:vAlign w:val="center"/>
          </w:tcPr>
          <w:p w14:paraId="5006BB57">
            <w:pPr>
              <w:spacing w:line="240" w:lineRule="auto"/>
              <w:jc w:val="center"/>
              <w:rPr>
                <w:rFonts w:eastAsiaTheme="minorEastAsia"/>
                <w:sz w:val="21"/>
              </w:rPr>
            </w:pPr>
            <w:r>
              <w:rPr>
                <w:rFonts w:eastAsiaTheme="minorEastAsia"/>
                <w:sz w:val="21"/>
              </w:rPr>
              <w:t>中心水平位置</w:t>
            </w:r>
          </w:p>
        </w:tc>
        <w:tc>
          <w:tcPr>
            <w:tcW w:w="973" w:type="dxa"/>
            <w:vAlign w:val="center"/>
          </w:tcPr>
          <w:p w14:paraId="111A90FA">
            <w:pPr>
              <w:spacing w:line="240" w:lineRule="auto"/>
              <w:jc w:val="center"/>
              <w:rPr>
                <w:rFonts w:eastAsiaTheme="minorEastAsia"/>
                <w:sz w:val="21"/>
              </w:rPr>
            </w:pPr>
            <w:r>
              <w:rPr>
                <w:rFonts w:eastAsiaTheme="minorEastAsia"/>
                <w:sz w:val="21"/>
              </w:rPr>
              <w:t>3</w:t>
            </w:r>
          </w:p>
        </w:tc>
        <w:tc>
          <w:tcPr>
            <w:tcW w:w="584" w:type="dxa"/>
            <w:vMerge w:val="continue"/>
            <w:vAlign w:val="center"/>
          </w:tcPr>
          <w:p w14:paraId="0682DDE8">
            <w:pPr>
              <w:spacing w:line="240" w:lineRule="auto"/>
              <w:jc w:val="center"/>
              <w:rPr>
                <w:rFonts w:eastAsiaTheme="minorEastAsia"/>
                <w:sz w:val="21"/>
              </w:rPr>
            </w:pPr>
          </w:p>
        </w:tc>
        <w:tc>
          <w:tcPr>
            <w:tcW w:w="1604" w:type="dxa"/>
            <w:vAlign w:val="center"/>
          </w:tcPr>
          <w:p w14:paraId="2D8812F7">
            <w:pPr>
              <w:spacing w:line="240" w:lineRule="auto"/>
              <w:jc w:val="center"/>
              <w:rPr>
                <w:rFonts w:eastAsiaTheme="minorEastAsia"/>
                <w:sz w:val="21"/>
              </w:rPr>
            </w:pPr>
            <w:r>
              <w:rPr>
                <w:rFonts w:eastAsiaTheme="minorEastAsia"/>
                <w:sz w:val="21"/>
              </w:rPr>
              <w:t>每根导轨2点</w:t>
            </w:r>
          </w:p>
        </w:tc>
        <w:tc>
          <w:tcPr>
            <w:tcW w:w="1556" w:type="dxa"/>
            <w:vAlign w:val="center"/>
          </w:tcPr>
          <w:p w14:paraId="68235480">
            <w:pPr>
              <w:spacing w:line="240" w:lineRule="auto"/>
              <w:jc w:val="center"/>
              <w:rPr>
                <w:rFonts w:eastAsiaTheme="minorEastAsia"/>
                <w:sz w:val="21"/>
              </w:rPr>
            </w:pPr>
            <w:r>
              <w:rPr>
                <w:rFonts w:eastAsiaTheme="minorEastAsia"/>
                <w:sz w:val="21"/>
              </w:rPr>
              <w:t>用经纬仪测量</w:t>
            </w:r>
          </w:p>
        </w:tc>
      </w:tr>
      <w:tr w14:paraId="6F7CE55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28" w:type="dxa"/>
            <w:left w:w="57" w:type="dxa"/>
            <w:bottom w:w="28" w:type="dxa"/>
            <w:right w:w="57" w:type="dxa"/>
          </w:tblCellMar>
        </w:tblPrEx>
        <w:trPr>
          <w:trHeight w:val="397" w:hRule="atLeast"/>
          <w:jc w:val="center"/>
        </w:trPr>
        <w:tc>
          <w:tcPr>
            <w:tcW w:w="442" w:type="dxa"/>
            <w:vAlign w:val="center"/>
          </w:tcPr>
          <w:p w14:paraId="3BE37B08">
            <w:pPr>
              <w:spacing w:line="240" w:lineRule="auto"/>
              <w:jc w:val="center"/>
              <w:rPr>
                <w:rFonts w:eastAsiaTheme="minorEastAsia"/>
                <w:sz w:val="21"/>
              </w:rPr>
            </w:pPr>
            <w:r>
              <w:rPr>
                <w:rFonts w:eastAsiaTheme="minorEastAsia"/>
                <w:sz w:val="21"/>
              </w:rPr>
              <w:t>2</w:t>
            </w:r>
          </w:p>
        </w:tc>
        <w:tc>
          <w:tcPr>
            <w:tcW w:w="780" w:type="dxa"/>
            <w:vAlign w:val="center"/>
          </w:tcPr>
          <w:p w14:paraId="5A6F13B6">
            <w:pPr>
              <w:spacing w:line="240" w:lineRule="auto"/>
              <w:jc w:val="center"/>
              <w:rPr>
                <w:rFonts w:eastAsiaTheme="minorEastAsia"/>
                <w:sz w:val="21"/>
              </w:rPr>
            </w:pPr>
            <w:r>
              <w:rPr>
                <w:rFonts w:eastAsiaTheme="minorEastAsia"/>
                <w:sz w:val="21"/>
              </w:rPr>
              <w:t>井尺寸</w:t>
            </w:r>
          </w:p>
        </w:tc>
        <w:tc>
          <w:tcPr>
            <w:tcW w:w="973" w:type="dxa"/>
            <w:vAlign w:val="center"/>
          </w:tcPr>
          <w:p w14:paraId="2F282078">
            <w:pPr>
              <w:spacing w:line="240" w:lineRule="auto"/>
              <w:jc w:val="center"/>
              <w:rPr>
                <w:rFonts w:eastAsiaTheme="minorEastAsia"/>
                <w:sz w:val="21"/>
              </w:rPr>
            </w:pPr>
            <w:r>
              <w:rPr>
                <w:rFonts w:eastAsiaTheme="minorEastAsia"/>
                <w:sz w:val="21"/>
              </w:rPr>
              <w:t>矩形</w:t>
            </w:r>
          </w:p>
        </w:tc>
        <w:tc>
          <w:tcPr>
            <w:tcW w:w="1364" w:type="dxa"/>
            <w:vAlign w:val="center"/>
          </w:tcPr>
          <w:p w14:paraId="398C68CF">
            <w:pPr>
              <w:spacing w:line="240" w:lineRule="auto"/>
              <w:jc w:val="center"/>
              <w:rPr>
                <w:rFonts w:eastAsiaTheme="minorEastAsia"/>
                <w:sz w:val="21"/>
              </w:rPr>
            </w:pPr>
            <w:r>
              <w:rPr>
                <w:rFonts w:eastAsiaTheme="minorEastAsia"/>
                <w:sz w:val="21"/>
              </w:rPr>
              <w:t>每侧长、宽</w:t>
            </w:r>
          </w:p>
        </w:tc>
        <w:tc>
          <w:tcPr>
            <w:tcW w:w="973" w:type="dxa"/>
            <w:vAlign w:val="center"/>
          </w:tcPr>
          <w:p w14:paraId="65423889">
            <w:pPr>
              <w:spacing w:line="240" w:lineRule="auto"/>
              <w:jc w:val="center"/>
              <w:rPr>
                <w:rFonts w:eastAsiaTheme="minorEastAsia"/>
                <w:sz w:val="21"/>
              </w:rPr>
            </w:pPr>
            <w:r>
              <w:rPr>
                <w:rFonts w:eastAsiaTheme="minorEastAsia"/>
                <w:sz w:val="21"/>
              </w:rPr>
              <w:t>不小于设</w:t>
            </w:r>
          </w:p>
          <w:p w14:paraId="5EA7F7CE">
            <w:pPr>
              <w:spacing w:line="240" w:lineRule="auto"/>
              <w:jc w:val="center"/>
              <w:rPr>
                <w:rFonts w:eastAsiaTheme="minorEastAsia"/>
                <w:sz w:val="21"/>
              </w:rPr>
            </w:pPr>
            <w:r>
              <w:rPr>
                <w:rFonts w:eastAsiaTheme="minorEastAsia"/>
                <w:sz w:val="21"/>
              </w:rPr>
              <w:t>计要求</w:t>
            </w:r>
          </w:p>
        </w:tc>
        <w:tc>
          <w:tcPr>
            <w:tcW w:w="584" w:type="dxa"/>
            <w:vAlign w:val="center"/>
          </w:tcPr>
          <w:p w14:paraId="4CCBFD4D">
            <w:pPr>
              <w:spacing w:line="240" w:lineRule="auto"/>
              <w:jc w:val="center"/>
              <w:rPr>
                <w:rFonts w:eastAsiaTheme="minorEastAsia"/>
                <w:sz w:val="21"/>
              </w:rPr>
            </w:pPr>
            <w:r>
              <w:rPr>
                <w:rFonts w:eastAsiaTheme="minorEastAsia"/>
                <w:sz w:val="21"/>
              </w:rPr>
              <w:t>每座</w:t>
            </w:r>
          </w:p>
        </w:tc>
        <w:tc>
          <w:tcPr>
            <w:tcW w:w="1604" w:type="dxa"/>
            <w:vAlign w:val="center"/>
          </w:tcPr>
          <w:p w14:paraId="42062E79">
            <w:pPr>
              <w:spacing w:line="240" w:lineRule="auto"/>
              <w:jc w:val="center"/>
              <w:rPr>
                <w:rFonts w:eastAsiaTheme="minorEastAsia"/>
                <w:sz w:val="21"/>
              </w:rPr>
            </w:pPr>
            <w:r>
              <w:rPr>
                <w:rFonts w:eastAsiaTheme="minorEastAsia"/>
                <w:sz w:val="21"/>
              </w:rPr>
              <w:t>2点</w:t>
            </w:r>
          </w:p>
        </w:tc>
        <w:tc>
          <w:tcPr>
            <w:tcW w:w="1556" w:type="dxa"/>
            <w:vAlign w:val="center"/>
          </w:tcPr>
          <w:p w14:paraId="7286ACD1">
            <w:pPr>
              <w:spacing w:line="240" w:lineRule="auto"/>
              <w:jc w:val="center"/>
              <w:rPr>
                <w:rFonts w:eastAsiaTheme="minorEastAsia"/>
                <w:sz w:val="21"/>
              </w:rPr>
            </w:pPr>
            <w:r>
              <w:rPr>
                <w:rFonts w:eastAsiaTheme="minorEastAsia"/>
                <w:sz w:val="21"/>
              </w:rPr>
              <w:t>挂中线用尺量测</w:t>
            </w:r>
          </w:p>
        </w:tc>
      </w:tr>
      <w:tr w14:paraId="09CBDA2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28" w:type="dxa"/>
            <w:left w:w="57" w:type="dxa"/>
            <w:bottom w:w="28" w:type="dxa"/>
            <w:right w:w="57" w:type="dxa"/>
          </w:tblCellMar>
        </w:tblPrEx>
        <w:trPr>
          <w:trHeight w:val="397" w:hRule="atLeast"/>
          <w:jc w:val="center"/>
        </w:trPr>
        <w:tc>
          <w:tcPr>
            <w:tcW w:w="442" w:type="dxa"/>
            <w:vMerge w:val="restart"/>
            <w:vAlign w:val="center"/>
          </w:tcPr>
          <w:p w14:paraId="70DEF2BA">
            <w:pPr>
              <w:spacing w:line="240" w:lineRule="auto"/>
              <w:jc w:val="center"/>
              <w:rPr>
                <w:rFonts w:eastAsiaTheme="minorEastAsia"/>
                <w:sz w:val="21"/>
              </w:rPr>
            </w:pPr>
            <w:r>
              <w:rPr>
                <w:rFonts w:eastAsiaTheme="minorEastAsia"/>
                <w:sz w:val="21"/>
              </w:rPr>
              <w:t>3</w:t>
            </w:r>
          </w:p>
        </w:tc>
        <w:tc>
          <w:tcPr>
            <w:tcW w:w="1753" w:type="dxa"/>
            <w:gridSpan w:val="2"/>
            <w:vMerge w:val="restart"/>
            <w:vAlign w:val="center"/>
          </w:tcPr>
          <w:p w14:paraId="0E549C5A">
            <w:pPr>
              <w:spacing w:line="240" w:lineRule="auto"/>
              <w:jc w:val="center"/>
              <w:rPr>
                <w:rFonts w:eastAsiaTheme="minorEastAsia"/>
                <w:sz w:val="21"/>
              </w:rPr>
            </w:pPr>
            <w:r>
              <w:rPr>
                <w:rFonts w:eastAsiaTheme="minorEastAsia"/>
                <w:sz w:val="21"/>
              </w:rPr>
              <w:t>进、出井预留洞口</w:t>
            </w:r>
          </w:p>
        </w:tc>
        <w:tc>
          <w:tcPr>
            <w:tcW w:w="1364" w:type="dxa"/>
            <w:vAlign w:val="center"/>
          </w:tcPr>
          <w:p w14:paraId="0C196118">
            <w:pPr>
              <w:spacing w:line="240" w:lineRule="auto"/>
              <w:jc w:val="center"/>
              <w:rPr>
                <w:rFonts w:eastAsiaTheme="minorEastAsia"/>
                <w:sz w:val="21"/>
              </w:rPr>
            </w:pPr>
            <w:r>
              <w:rPr>
                <w:rFonts w:eastAsiaTheme="minorEastAsia"/>
                <w:sz w:val="21"/>
              </w:rPr>
              <w:t>中心位置</w:t>
            </w:r>
          </w:p>
        </w:tc>
        <w:tc>
          <w:tcPr>
            <w:tcW w:w="973" w:type="dxa"/>
            <w:vAlign w:val="center"/>
          </w:tcPr>
          <w:p w14:paraId="6F485EE3">
            <w:pPr>
              <w:spacing w:line="240" w:lineRule="auto"/>
              <w:jc w:val="center"/>
              <w:rPr>
                <w:rFonts w:eastAsiaTheme="minorEastAsia"/>
                <w:sz w:val="21"/>
              </w:rPr>
            </w:pPr>
            <w:r>
              <w:rPr>
                <w:rFonts w:eastAsiaTheme="minorEastAsia"/>
                <w:sz w:val="21"/>
              </w:rPr>
              <w:t>20</w:t>
            </w:r>
          </w:p>
        </w:tc>
        <w:tc>
          <w:tcPr>
            <w:tcW w:w="584" w:type="dxa"/>
            <w:vMerge w:val="restart"/>
            <w:vAlign w:val="center"/>
          </w:tcPr>
          <w:p w14:paraId="10136E2D">
            <w:pPr>
              <w:spacing w:line="240" w:lineRule="auto"/>
              <w:jc w:val="center"/>
              <w:rPr>
                <w:rFonts w:eastAsiaTheme="minorEastAsia"/>
                <w:sz w:val="21"/>
              </w:rPr>
            </w:pPr>
            <w:r>
              <w:rPr>
                <w:rFonts w:eastAsiaTheme="minorEastAsia"/>
                <w:sz w:val="21"/>
              </w:rPr>
              <w:t>每个</w:t>
            </w:r>
          </w:p>
        </w:tc>
        <w:tc>
          <w:tcPr>
            <w:tcW w:w="1604" w:type="dxa"/>
            <w:vAlign w:val="center"/>
          </w:tcPr>
          <w:p w14:paraId="5D0DAD1E">
            <w:pPr>
              <w:spacing w:line="240" w:lineRule="auto"/>
              <w:jc w:val="center"/>
              <w:rPr>
                <w:rFonts w:eastAsiaTheme="minorEastAsia"/>
                <w:sz w:val="21"/>
              </w:rPr>
            </w:pPr>
            <w:r>
              <w:rPr>
                <w:rFonts w:eastAsiaTheme="minorEastAsia"/>
                <w:sz w:val="21"/>
              </w:rPr>
              <w:t>竖、水平各l点</w:t>
            </w:r>
          </w:p>
        </w:tc>
        <w:tc>
          <w:tcPr>
            <w:tcW w:w="1556" w:type="dxa"/>
            <w:vAlign w:val="center"/>
          </w:tcPr>
          <w:p w14:paraId="19E9A102">
            <w:pPr>
              <w:spacing w:line="240" w:lineRule="auto"/>
              <w:jc w:val="center"/>
              <w:rPr>
                <w:rFonts w:eastAsiaTheme="minorEastAsia"/>
                <w:sz w:val="21"/>
              </w:rPr>
            </w:pPr>
            <w:r>
              <w:rPr>
                <w:rFonts w:eastAsiaTheme="minorEastAsia"/>
                <w:sz w:val="21"/>
              </w:rPr>
              <w:t>用经纬仪测量</w:t>
            </w:r>
          </w:p>
        </w:tc>
      </w:tr>
      <w:tr w14:paraId="0066007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28" w:type="dxa"/>
            <w:left w:w="57" w:type="dxa"/>
            <w:bottom w:w="28" w:type="dxa"/>
            <w:right w:w="57" w:type="dxa"/>
          </w:tblCellMar>
        </w:tblPrEx>
        <w:trPr>
          <w:trHeight w:val="397" w:hRule="atLeast"/>
          <w:jc w:val="center"/>
        </w:trPr>
        <w:tc>
          <w:tcPr>
            <w:tcW w:w="442" w:type="dxa"/>
            <w:vMerge w:val="continue"/>
            <w:vAlign w:val="center"/>
          </w:tcPr>
          <w:p w14:paraId="5F9CA41B">
            <w:pPr>
              <w:spacing w:line="240" w:lineRule="auto"/>
              <w:jc w:val="center"/>
              <w:rPr>
                <w:rFonts w:eastAsiaTheme="minorEastAsia"/>
                <w:sz w:val="21"/>
              </w:rPr>
            </w:pPr>
          </w:p>
        </w:tc>
        <w:tc>
          <w:tcPr>
            <w:tcW w:w="1753" w:type="dxa"/>
            <w:gridSpan w:val="2"/>
            <w:vMerge w:val="continue"/>
            <w:vAlign w:val="center"/>
          </w:tcPr>
          <w:p w14:paraId="72D7D823">
            <w:pPr>
              <w:spacing w:line="240" w:lineRule="auto"/>
              <w:jc w:val="center"/>
              <w:rPr>
                <w:rFonts w:eastAsiaTheme="minorEastAsia"/>
                <w:sz w:val="21"/>
              </w:rPr>
            </w:pPr>
          </w:p>
        </w:tc>
        <w:tc>
          <w:tcPr>
            <w:tcW w:w="1364" w:type="dxa"/>
            <w:vAlign w:val="center"/>
          </w:tcPr>
          <w:p w14:paraId="142915C3">
            <w:pPr>
              <w:spacing w:line="240" w:lineRule="auto"/>
              <w:jc w:val="center"/>
              <w:rPr>
                <w:rFonts w:eastAsiaTheme="minorEastAsia"/>
                <w:sz w:val="21"/>
              </w:rPr>
            </w:pPr>
            <w:r>
              <w:rPr>
                <w:rFonts w:eastAsiaTheme="minorEastAsia"/>
                <w:sz w:val="21"/>
              </w:rPr>
              <w:t>宽、高尺寸</w:t>
            </w:r>
          </w:p>
        </w:tc>
        <w:tc>
          <w:tcPr>
            <w:tcW w:w="973" w:type="dxa"/>
            <w:vAlign w:val="center"/>
          </w:tcPr>
          <w:p w14:paraId="3A1C4453">
            <w:pPr>
              <w:spacing w:line="240" w:lineRule="auto"/>
              <w:jc w:val="center"/>
              <w:rPr>
                <w:rFonts w:eastAsiaTheme="minorEastAsia"/>
                <w:sz w:val="21"/>
              </w:rPr>
            </w:pPr>
            <w:r>
              <w:rPr>
                <w:rFonts w:eastAsiaTheme="minorEastAsia"/>
                <w:sz w:val="21"/>
              </w:rPr>
              <w:t>±20</w:t>
            </w:r>
          </w:p>
        </w:tc>
        <w:tc>
          <w:tcPr>
            <w:tcW w:w="584" w:type="dxa"/>
            <w:vMerge w:val="continue"/>
            <w:vAlign w:val="center"/>
          </w:tcPr>
          <w:p w14:paraId="076ACA85">
            <w:pPr>
              <w:spacing w:line="240" w:lineRule="auto"/>
              <w:jc w:val="center"/>
              <w:rPr>
                <w:rFonts w:eastAsiaTheme="minorEastAsia"/>
                <w:sz w:val="21"/>
              </w:rPr>
            </w:pPr>
          </w:p>
        </w:tc>
        <w:tc>
          <w:tcPr>
            <w:tcW w:w="1604" w:type="dxa"/>
            <w:vAlign w:val="center"/>
          </w:tcPr>
          <w:p w14:paraId="337BB981">
            <w:pPr>
              <w:spacing w:line="240" w:lineRule="auto"/>
              <w:jc w:val="center"/>
              <w:rPr>
                <w:rFonts w:eastAsiaTheme="minorEastAsia"/>
                <w:sz w:val="21"/>
              </w:rPr>
            </w:pPr>
            <w:r>
              <w:rPr>
                <w:rFonts w:eastAsiaTheme="minorEastAsia"/>
                <w:sz w:val="21"/>
              </w:rPr>
              <w:t>垂直向各1点</w:t>
            </w:r>
          </w:p>
        </w:tc>
        <w:tc>
          <w:tcPr>
            <w:tcW w:w="1556" w:type="dxa"/>
            <w:vAlign w:val="center"/>
          </w:tcPr>
          <w:p w14:paraId="420E0A63">
            <w:pPr>
              <w:spacing w:line="240" w:lineRule="auto"/>
              <w:jc w:val="center"/>
              <w:rPr>
                <w:rFonts w:eastAsiaTheme="minorEastAsia"/>
                <w:sz w:val="21"/>
              </w:rPr>
            </w:pPr>
            <w:r>
              <w:rPr>
                <w:rFonts w:eastAsiaTheme="minorEastAsia"/>
                <w:sz w:val="21"/>
              </w:rPr>
              <w:t>用钢尺量测</w:t>
            </w:r>
          </w:p>
        </w:tc>
      </w:tr>
      <w:tr w14:paraId="736F164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28" w:type="dxa"/>
            <w:left w:w="57" w:type="dxa"/>
            <w:bottom w:w="28" w:type="dxa"/>
            <w:right w:w="57" w:type="dxa"/>
          </w:tblCellMar>
        </w:tblPrEx>
        <w:trPr>
          <w:trHeight w:val="397" w:hRule="atLeast"/>
          <w:jc w:val="center"/>
        </w:trPr>
        <w:tc>
          <w:tcPr>
            <w:tcW w:w="442" w:type="dxa"/>
            <w:vAlign w:val="center"/>
          </w:tcPr>
          <w:p w14:paraId="66E597DC">
            <w:pPr>
              <w:spacing w:line="240" w:lineRule="auto"/>
              <w:jc w:val="center"/>
              <w:rPr>
                <w:rFonts w:eastAsiaTheme="minorEastAsia"/>
                <w:sz w:val="21"/>
              </w:rPr>
            </w:pPr>
            <w:r>
              <w:rPr>
                <w:rFonts w:eastAsiaTheme="minorEastAsia"/>
                <w:sz w:val="21"/>
              </w:rPr>
              <w:t>4</w:t>
            </w:r>
          </w:p>
        </w:tc>
        <w:tc>
          <w:tcPr>
            <w:tcW w:w="3117" w:type="dxa"/>
            <w:gridSpan w:val="3"/>
            <w:vAlign w:val="center"/>
          </w:tcPr>
          <w:p w14:paraId="1C3015C0">
            <w:pPr>
              <w:spacing w:line="240" w:lineRule="auto"/>
              <w:jc w:val="center"/>
              <w:rPr>
                <w:rFonts w:eastAsiaTheme="minorEastAsia"/>
                <w:sz w:val="21"/>
              </w:rPr>
            </w:pPr>
            <w:r>
              <w:rPr>
                <w:rFonts w:eastAsiaTheme="minorEastAsia"/>
                <w:sz w:val="21"/>
              </w:rPr>
              <w:t>井底板高程</w:t>
            </w:r>
          </w:p>
        </w:tc>
        <w:tc>
          <w:tcPr>
            <w:tcW w:w="973" w:type="dxa"/>
            <w:vAlign w:val="center"/>
          </w:tcPr>
          <w:p w14:paraId="1A23E870">
            <w:pPr>
              <w:spacing w:line="240" w:lineRule="auto"/>
              <w:jc w:val="center"/>
              <w:rPr>
                <w:rFonts w:eastAsiaTheme="minorEastAsia"/>
                <w:sz w:val="21"/>
              </w:rPr>
            </w:pPr>
            <w:r>
              <w:rPr>
                <w:rFonts w:eastAsiaTheme="minorEastAsia"/>
                <w:sz w:val="21"/>
              </w:rPr>
              <w:t>±30</w:t>
            </w:r>
          </w:p>
        </w:tc>
        <w:tc>
          <w:tcPr>
            <w:tcW w:w="584" w:type="dxa"/>
            <w:vAlign w:val="center"/>
          </w:tcPr>
          <w:p w14:paraId="48E2D91E">
            <w:pPr>
              <w:spacing w:line="240" w:lineRule="auto"/>
              <w:jc w:val="center"/>
              <w:rPr>
                <w:rFonts w:eastAsiaTheme="minorEastAsia"/>
                <w:sz w:val="21"/>
              </w:rPr>
            </w:pPr>
            <w:r>
              <w:rPr>
                <w:rFonts w:eastAsiaTheme="minorEastAsia"/>
                <w:sz w:val="21"/>
              </w:rPr>
              <w:t>每座</w:t>
            </w:r>
          </w:p>
        </w:tc>
        <w:tc>
          <w:tcPr>
            <w:tcW w:w="1604" w:type="dxa"/>
            <w:vAlign w:val="center"/>
          </w:tcPr>
          <w:p w14:paraId="3985FC64">
            <w:pPr>
              <w:spacing w:line="240" w:lineRule="auto"/>
              <w:jc w:val="center"/>
              <w:rPr>
                <w:rFonts w:eastAsiaTheme="minorEastAsia"/>
                <w:sz w:val="21"/>
              </w:rPr>
            </w:pPr>
            <w:r>
              <w:rPr>
                <w:rFonts w:eastAsiaTheme="minorEastAsia"/>
                <w:sz w:val="21"/>
              </w:rPr>
              <w:t>4点</w:t>
            </w:r>
          </w:p>
        </w:tc>
        <w:tc>
          <w:tcPr>
            <w:tcW w:w="1556" w:type="dxa"/>
            <w:vAlign w:val="center"/>
          </w:tcPr>
          <w:p w14:paraId="72F682FA">
            <w:pPr>
              <w:spacing w:line="240" w:lineRule="auto"/>
              <w:jc w:val="center"/>
              <w:rPr>
                <w:rFonts w:eastAsiaTheme="minorEastAsia"/>
                <w:sz w:val="21"/>
              </w:rPr>
            </w:pPr>
            <w:r>
              <w:rPr>
                <w:rFonts w:eastAsiaTheme="minorEastAsia"/>
                <w:sz w:val="21"/>
              </w:rPr>
              <w:t>用水准仪测量</w:t>
            </w:r>
          </w:p>
        </w:tc>
      </w:tr>
      <w:tr w14:paraId="36DBC62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28" w:type="dxa"/>
            <w:left w:w="57" w:type="dxa"/>
            <w:bottom w:w="28" w:type="dxa"/>
            <w:right w:w="57" w:type="dxa"/>
          </w:tblCellMar>
        </w:tblPrEx>
        <w:trPr>
          <w:trHeight w:val="397" w:hRule="atLeast"/>
          <w:jc w:val="center"/>
        </w:trPr>
        <w:tc>
          <w:tcPr>
            <w:tcW w:w="442" w:type="dxa"/>
            <w:vMerge w:val="restart"/>
            <w:vAlign w:val="center"/>
          </w:tcPr>
          <w:p w14:paraId="1A5F477A">
            <w:pPr>
              <w:spacing w:line="240" w:lineRule="auto"/>
              <w:jc w:val="center"/>
              <w:rPr>
                <w:rFonts w:eastAsiaTheme="minorEastAsia"/>
                <w:sz w:val="21"/>
              </w:rPr>
            </w:pPr>
            <w:r>
              <w:rPr>
                <w:rFonts w:eastAsiaTheme="minorEastAsia"/>
                <w:sz w:val="21"/>
              </w:rPr>
              <w:t>5</w:t>
            </w:r>
          </w:p>
        </w:tc>
        <w:tc>
          <w:tcPr>
            <w:tcW w:w="1753" w:type="dxa"/>
            <w:gridSpan w:val="2"/>
            <w:vMerge w:val="restart"/>
            <w:vAlign w:val="center"/>
          </w:tcPr>
          <w:p w14:paraId="37C065BA">
            <w:pPr>
              <w:spacing w:line="240" w:lineRule="auto"/>
              <w:jc w:val="center"/>
              <w:rPr>
                <w:rFonts w:eastAsiaTheme="minorEastAsia"/>
                <w:sz w:val="21"/>
              </w:rPr>
            </w:pPr>
            <w:r>
              <w:rPr>
                <w:rFonts w:eastAsiaTheme="minorEastAsia"/>
                <w:sz w:val="21"/>
              </w:rPr>
              <w:t>顶管始发井后背墙</w:t>
            </w:r>
          </w:p>
        </w:tc>
        <w:tc>
          <w:tcPr>
            <w:tcW w:w="1364" w:type="dxa"/>
            <w:vAlign w:val="center"/>
          </w:tcPr>
          <w:p w14:paraId="715B710B">
            <w:pPr>
              <w:spacing w:line="240" w:lineRule="auto"/>
              <w:jc w:val="center"/>
              <w:rPr>
                <w:rFonts w:eastAsiaTheme="minorEastAsia"/>
                <w:sz w:val="21"/>
              </w:rPr>
            </w:pPr>
            <w:r>
              <w:rPr>
                <w:rFonts w:eastAsiaTheme="minorEastAsia"/>
                <w:sz w:val="21"/>
              </w:rPr>
              <w:t>垂直度</w:t>
            </w:r>
          </w:p>
        </w:tc>
        <w:tc>
          <w:tcPr>
            <w:tcW w:w="973" w:type="dxa"/>
            <w:vAlign w:val="center"/>
          </w:tcPr>
          <w:p w14:paraId="42DBCEC3">
            <w:pPr>
              <w:spacing w:line="240" w:lineRule="auto"/>
              <w:jc w:val="center"/>
              <w:rPr>
                <w:rFonts w:eastAsiaTheme="minorEastAsia"/>
                <w:sz w:val="21"/>
              </w:rPr>
            </w:pPr>
            <w:r>
              <w:rPr>
                <w:rFonts w:eastAsiaTheme="minorEastAsia"/>
                <w:sz w:val="21"/>
              </w:rPr>
              <w:t>0.1％H</w:t>
            </w:r>
          </w:p>
        </w:tc>
        <w:tc>
          <w:tcPr>
            <w:tcW w:w="584" w:type="dxa"/>
            <w:vMerge w:val="restart"/>
            <w:vAlign w:val="center"/>
          </w:tcPr>
          <w:p w14:paraId="63465788">
            <w:pPr>
              <w:spacing w:line="240" w:lineRule="auto"/>
              <w:jc w:val="center"/>
              <w:rPr>
                <w:rFonts w:eastAsiaTheme="minorEastAsia"/>
                <w:sz w:val="21"/>
              </w:rPr>
            </w:pPr>
            <w:r>
              <w:rPr>
                <w:rFonts w:eastAsiaTheme="minorEastAsia"/>
                <w:sz w:val="21"/>
              </w:rPr>
              <w:t>每座</w:t>
            </w:r>
          </w:p>
        </w:tc>
        <w:tc>
          <w:tcPr>
            <w:tcW w:w="1604" w:type="dxa"/>
            <w:vMerge w:val="restart"/>
            <w:vAlign w:val="center"/>
          </w:tcPr>
          <w:p w14:paraId="5F6A301A">
            <w:pPr>
              <w:spacing w:line="240" w:lineRule="auto"/>
              <w:jc w:val="center"/>
              <w:rPr>
                <w:rFonts w:eastAsiaTheme="minorEastAsia"/>
                <w:sz w:val="21"/>
              </w:rPr>
            </w:pPr>
            <w:r>
              <w:rPr>
                <w:rFonts w:eastAsiaTheme="minorEastAsia"/>
                <w:sz w:val="21"/>
              </w:rPr>
              <w:t>1点</w:t>
            </w:r>
          </w:p>
        </w:tc>
        <w:tc>
          <w:tcPr>
            <w:tcW w:w="1556" w:type="dxa"/>
            <w:vMerge w:val="restart"/>
            <w:vAlign w:val="center"/>
          </w:tcPr>
          <w:p w14:paraId="153AF3C6">
            <w:pPr>
              <w:spacing w:line="240" w:lineRule="auto"/>
              <w:jc w:val="center"/>
              <w:rPr>
                <w:rFonts w:eastAsiaTheme="minorEastAsia"/>
                <w:sz w:val="21"/>
              </w:rPr>
            </w:pPr>
            <w:r>
              <w:rPr>
                <w:rFonts w:eastAsiaTheme="minorEastAsia"/>
                <w:sz w:val="21"/>
              </w:rPr>
              <w:t>用垂线，</w:t>
            </w:r>
          </w:p>
          <w:p w14:paraId="08C88E84">
            <w:pPr>
              <w:spacing w:line="240" w:lineRule="auto"/>
              <w:jc w:val="center"/>
              <w:rPr>
                <w:rFonts w:eastAsiaTheme="minorEastAsia"/>
                <w:sz w:val="21"/>
              </w:rPr>
            </w:pPr>
            <w:r>
              <w:rPr>
                <w:rFonts w:eastAsiaTheme="minorEastAsia"/>
                <w:sz w:val="21"/>
              </w:rPr>
              <w:t>角尺量测</w:t>
            </w:r>
          </w:p>
        </w:tc>
      </w:tr>
      <w:tr w14:paraId="03EBEAD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28" w:type="dxa"/>
            <w:left w:w="57" w:type="dxa"/>
            <w:bottom w:w="28" w:type="dxa"/>
            <w:right w:w="57" w:type="dxa"/>
          </w:tblCellMar>
        </w:tblPrEx>
        <w:trPr>
          <w:trHeight w:val="397" w:hRule="atLeast"/>
          <w:jc w:val="center"/>
        </w:trPr>
        <w:tc>
          <w:tcPr>
            <w:tcW w:w="442" w:type="dxa"/>
            <w:vMerge w:val="continue"/>
          </w:tcPr>
          <w:p w14:paraId="3DC804FF">
            <w:pPr>
              <w:spacing w:line="240" w:lineRule="auto"/>
              <w:jc w:val="center"/>
              <w:rPr>
                <w:rFonts w:eastAsiaTheme="minorEastAsia"/>
                <w:sz w:val="21"/>
              </w:rPr>
            </w:pPr>
          </w:p>
        </w:tc>
        <w:tc>
          <w:tcPr>
            <w:tcW w:w="1753" w:type="dxa"/>
            <w:gridSpan w:val="2"/>
            <w:vMerge w:val="continue"/>
          </w:tcPr>
          <w:p w14:paraId="7EE50E4F">
            <w:pPr>
              <w:spacing w:line="240" w:lineRule="auto"/>
              <w:jc w:val="center"/>
              <w:rPr>
                <w:rFonts w:eastAsiaTheme="minorEastAsia"/>
                <w:sz w:val="21"/>
              </w:rPr>
            </w:pPr>
          </w:p>
        </w:tc>
        <w:tc>
          <w:tcPr>
            <w:tcW w:w="1364" w:type="dxa"/>
          </w:tcPr>
          <w:p w14:paraId="5678948F">
            <w:pPr>
              <w:spacing w:line="240" w:lineRule="auto"/>
              <w:jc w:val="center"/>
              <w:rPr>
                <w:rFonts w:eastAsiaTheme="minorEastAsia"/>
                <w:sz w:val="21"/>
              </w:rPr>
            </w:pPr>
            <w:r>
              <w:rPr>
                <w:rFonts w:eastAsiaTheme="minorEastAsia"/>
                <w:sz w:val="21"/>
              </w:rPr>
              <w:t>水平扭转度</w:t>
            </w:r>
          </w:p>
        </w:tc>
        <w:tc>
          <w:tcPr>
            <w:tcW w:w="973" w:type="dxa"/>
          </w:tcPr>
          <w:p w14:paraId="6A33A7DD">
            <w:pPr>
              <w:spacing w:line="240" w:lineRule="auto"/>
              <w:jc w:val="center"/>
              <w:rPr>
                <w:rFonts w:eastAsiaTheme="minorEastAsia"/>
                <w:sz w:val="21"/>
              </w:rPr>
            </w:pPr>
            <w:r>
              <w:rPr>
                <w:rFonts w:eastAsiaTheme="minorEastAsia"/>
                <w:sz w:val="21"/>
              </w:rPr>
              <w:t>0.1％L</w:t>
            </w:r>
          </w:p>
        </w:tc>
        <w:tc>
          <w:tcPr>
            <w:tcW w:w="584" w:type="dxa"/>
            <w:vMerge w:val="continue"/>
          </w:tcPr>
          <w:p w14:paraId="683B8D8F">
            <w:pPr>
              <w:spacing w:line="240" w:lineRule="auto"/>
              <w:rPr>
                <w:rFonts w:eastAsiaTheme="minorEastAsia"/>
                <w:sz w:val="21"/>
              </w:rPr>
            </w:pPr>
          </w:p>
        </w:tc>
        <w:tc>
          <w:tcPr>
            <w:tcW w:w="1604" w:type="dxa"/>
            <w:vMerge w:val="continue"/>
          </w:tcPr>
          <w:p w14:paraId="1229557F">
            <w:pPr>
              <w:spacing w:line="240" w:lineRule="auto"/>
              <w:rPr>
                <w:rFonts w:eastAsiaTheme="minorEastAsia"/>
                <w:sz w:val="21"/>
              </w:rPr>
            </w:pPr>
          </w:p>
        </w:tc>
        <w:tc>
          <w:tcPr>
            <w:tcW w:w="1556" w:type="dxa"/>
            <w:vMerge w:val="continue"/>
          </w:tcPr>
          <w:p w14:paraId="1F178E69">
            <w:pPr>
              <w:spacing w:line="240" w:lineRule="auto"/>
              <w:rPr>
                <w:rFonts w:eastAsiaTheme="minorEastAsia"/>
                <w:sz w:val="21"/>
              </w:rPr>
            </w:pPr>
          </w:p>
        </w:tc>
      </w:tr>
    </w:tbl>
    <w:p w14:paraId="753B9A81">
      <w:pPr>
        <w:rPr>
          <w:sz w:val="18"/>
        </w:rPr>
      </w:pPr>
      <w:r>
        <w:rPr>
          <w:sz w:val="18"/>
        </w:rPr>
        <w:t>注：H为反力墙的高度（mm）；L为反力墙的长度（mm）。</w:t>
      </w:r>
    </w:p>
    <w:p w14:paraId="328164FE">
      <w:pPr>
        <w:ind w:firstLine="480" w:firstLineChars="200"/>
      </w:pPr>
      <w:r>
        <w:rPr>
          <w:rFonts w:hint="eastAsia"/>
        </w:rPr>
        <w:t>检验</w:t>
      </w:r>
      <w:r>
        <w:t>方法：逐个观察、量测。</w:t>
      </w:r>
    </w:p>
    <w:p w14:paraId="38931E82">
      <w:pPr>
        <w:ind w:firstLine="480" w:firstLineChars="200"/>
      </w:pPr>
      <w:r>
        <w:t>检查数量：全数检查</w:t>
      </w:r>
      <w:r>
        <w:rPr>
          <w:rFonts w:hint="eastAsia"/>
        </w:rPr>
        <w:t>。</w:t>
      </w:r>
    </w:p>
    <w:p w14:paraId="0AC2D59D">
      <w:r>
        <w:rPr>
          <w:b/>
          <w:bCs/>
        </w:rPr>
        <w:t xml:space="preserve">7.3.4  </w:t>
      </w:r>
      <w:r>
        <w:t>工作井结构应无滴漏</w:t>
      </w:r>
      <w:r>
        <w:rPr>
          <w:rFonts w:hint="eastAsia"/>
        </w:rPr>
        <w:t>、</w:t>
      </w:r>
      <w:r>
        <w:t>线流</w:t>
      </w:r>
      <w:r>
        <w:rPr>
          <w:rFonts w:hint="eastAsia"/>
        </w:rPr>
        <w:t>等缺陷</w:t>
      </w:r>
      <w:r>
        <w:t>。</w:t>
      </w:r>
    </w:p>
    <w:p w14:paraId="7BFC60B0">
      <w:pPr>
        <w:ind w:firstLine="480" w:firstLineChars="200"/>
      </w:pPr>
      <w:r>
        <w:rPr>
          <w:rFonts w:hint="eastAsia"/>
        </w:rPr>
        <w:t>检验</w:t>
      </w:r>
      <w:r>
        <w:t>方法：按表7.3.4的</w:t>
      </w:r>
      <w:r>
        <w:rPr>
          <w:rFonts w:hint="eastAsia"/>
        </w:rPr>
        <w:t>内容进行</w:t>
      </w:r>
      <w:r>
        <w:t>检查，检查施工记录。</w:t>
      </w:r>
    </w:p>
    <w:p w14:paraId="57036F2E">
      <w:pPr>
        <w:ind w:firstLine="480" w:firstLineChars="200"/>
      </w:pPr>
      <w:r>
        <w:t>检查数量：全数检查</w:t>
      </w:r>
      <w:r>
        <w:rPr>
          <w:rFonts w:hint="eastAsia"/>
        </w:rPr>
        <w:t>。</w:t>
      </w:r>
    </w:p>
    <w:p w14:paraId="7930339F">
      <w:pPr>
        <w:ind w:firstLine="480" w:firstLineChars="200"/>
      </w:pPr>
    </w:p>
    <w:p w14:paraId="6B839DF7">
      <w:pPr>
        <w:jc w:val="center"/>
        <w:rPr>
          <w:b/>
          <w:bCs/>
          <w:sz w:val="21"/>
          <w:szCs w:val="18"/>
        </w:rPr>
      </w:pPr>
      <w:r>
        <w:rPr>
          <w:b/>
          <w:bCs/>
          <w:sz w:val="21"/>
          <w:szCs w:val="18"/>
        </w:rPr>
        <w:t>表7.3.4  渗漏水</w:t>
      </w:r>
      <w:r>
        <w:rPr>
          <w:rFonts w:hint="eastAsia"/>
          <w:b/>
          <w:bCs/>
          <w:sz w:val="21"/>
          <w:szCs w:val="18"/>
        </w:rPr>
        <w:t>缺陷</w:t>
      </w:r>
    </w:p>
    <w:tbl>
      <w:tblPr>
        <w:tblStyle w:val="35"/>
        <w:tblW w:w="8214"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28" w:type="dxa"/>
          <w:left w:w="57" w:type="dxa"/>
          <w:bottom w:w="28" w:type="dxa"/>
          <w:right w:w="57" w:type="dxa"/>
        </w:tblCellMar>
      </w:tblPr>
      <w:tblGrid>
        <w:gridCol w:w="1372"/>
        <w:gridCol w:w="5566"/>
        <w:gridCol w:w="1276"/>
      </w:tblGrid>
      <w:tr w14:paraId="3C9CD0B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28" w:type="dxa"/>
            <w:left w:w="57" w:type="dxa"/>
            <w:bottom w:w="28" w:type="dxa"/>
            <w:right w:w="57" w:type="dxa"/>
          </w:tblCellMar>
        </w:tblPrEx>
        <w:trPr>
          <w:trHeight w:val="397" w:hRule="atLeast"/>
          <w:jc w:val="center"/>
        </w:trPr>
        <w:tc>
          <w:tcPr>
            <w:tcW w:w="1372" w:type="dxa"/>
            <w:vAlign w:val="center"/>
          </w:tcPr>
          <w:p w14:paraId="49B22418">
            <w:pPr>
              <w:adjustRightInd w:val="0"/>
              <w:snapToGrid w:val="0"/>
              <w:spacing w:line="240" w:lineRule="auto"/>
              <w:jc w:val="center"/>
              <w:rPr>
                <w:kern w:val="0"/>
                <w:sz w:val="21"/>
                <w:szCs w:val="15"/>
              </w:rPr>
            </w:pPr>
            <w:r>
              <w:rPr>
                <w:rFonts w:hint="eastAsia"/>
                <w:kern w:val="0"/>
                <w:sz w:val="21"/>
                <w:szCs w:val="15"/>
              </w:rPr>
              <w:t>缺陷种类</w:t>
            </w:r>
          </w:p>
        </w:tc>
        <w:tc>
          <w:tcPr>
            <w:tcW w:w="5566" w:type="dxa"/>
            <w:vAlign w:val="center"/>
          </w:tcPr>
          <w:p w14:paraId="0F38F60F">
            <w:pPr>
              <w:adjustRightInd w:val="0"/>
              <w:snapToGrid w:val="0"/>
              <w:spacing w:line="240" w:lineRule="auto"/>
              <w:jc w:val="center"/>
              <w:rPr>
                <w:kern w:val="0"/>
                <w:sz w:val="21"/>
                <w:szCs w:val="15"/>
              </w:rPr>
            </w:pPr>
            <w:r>
              <w:rPr>
                <w:kern w:val="0"/>
                <w:sz w:val="21"/>
                <w:szCs w:val="15"/>
              </w:rPr>
              <w:t>定    义</w:t>
            </w:r>
          </w:p>
        </w:tc>
        <w:tc>
          <w:tcPr>
            <w:tcW w:w="1276" w:type="dxa"/>
            <w:vAlign w:val="center"/>
          </w:tcPr>
          <w:p w14:paraId="326EDDAB">
            <w:pPr>
              <w:adjustRightInd w:val="0"/>
              <w:snapToGrid w:val="0"/>
              <w:spacing w:line="240" w:lineRule="auto"/>
              <w:jc w:val="center"/>
              <w:rPr>
                <w:kern w:val="0"/>
                <w:sz w:val="21"/>
                <w:szCs w:val="15"/>
              </w:rPr>
            </w:pPr>
            <w:r>
              <w:rPr>
                <w:kern w:val="0"/>
                <w:sz w:val="21"/>
                <w:szCs w:val="15"/>
              </w:rPr>
              <w:t>标识符号</w:t>
            </w:r>
          </w:p>
        </w:tc>
      </w:tr>
      <w:tr w14:paraId="32EF571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28" w:type="dxa"/>
            <w:left w:w="57" w:type="dxa"/>
            <w:bottom w:w="28" w:type="dxa"/>
            <w:right w:w="57" w:type="dxa"/>
          </w:tblCellMar>
        </w:tblPrEx>
        <w:trPr>
          <w:trHeight w:val="397" w:hRule="atLeast"/>
          <w:jc w:val="center"/>
        </w:trPr>
        <w:tc>
          <w:tcPr>
            <w:tcW w:w="1372" w:type="dxa"/>
            <w:vAlign w:val="center"/>
          </w:tcPr>
          <w:p w14:paraId="6069027A">
            <w:pPr>
              <w:adjustRightInd w:val="0"/>
              <w:snapToGrid w:val="0"/>
              <w:jc w:val="center"/>
              <w:rPr>
                <w:kern w:val="0"/>
                <w:sz w:val="21"/>
                <w:szCs w:val="15"/>
              </w:rPr>
            </w:pPr>
            <w:r>
              <w:rPr>
                <w:kern w:val="0"/>
                <w:sz w:val="21"/>
                <w:szCs w:val="15"/>
              </w:rPr>
              <w:t>湿渍</w:t>
            </w:r>
          </w:p>
        </w:tc>
        <w:tc>
          <w:tcPr>
            <w:tcW w:w="5566" w:type="dxa"/>
            <w:vAlign w:val="center"/>
          </w:tcPr>
          <w:p w14:paraId="37DCC8B1">
            <w:pPr>
              <w:adjustRightInd w:val="0"/>
              <w:snapToGrid w:val="0"/>
              <w:jc w:val="left"/>
              <w:rPr>
                <w:kern w:val="0"/>
                <w:sz w:val="21"/>
                <w:szCs w:val="15"/>
              </w:rPr>
            </w:pPr>
            <w:r>
              <w:rPr>
                <w:kern w:val="0"/>
                <w:sz w:val="21"/>
                <w:szCs w:val="15"/>
              </w:rPr>
              <w:t>结构内壁，呈现明显色泽变化的潮湿斑；在通风条件下潮湿斑可消失，即蒸发量大于渗入量的状态</w:t>
            </w:r>
          </w:p>
        </w:tc>
        <w:tc>
          <w:tcPr>
            <w:tcW w:w="1276" w:type="dxa"/>
            <w:vAlign w:val="center"/>
          </w:tcPr>
          <w:p w14:paraId="73F39181">
            <w:pPr>
              <w:adjustRightInd w:val="0"/>
              <w:snapToGrid w:val="0"/>
              <w:jc w:val="center"/>
              <w:rPr>
                <w:kern w:val="0"/>
                <w:sz w:val="21"/>
                <w:szCs w:val="15"/>
              </w:rPr>
            </w:pPr>
            <w:r>
              <w:rPr>
                <w:kern w:val="0"/>
                <w:sz w:val="21"/>
                <w:szCs w:val="15"/>
              </w:rPr>
              <w:t>＃</w:t>
            </w:r>
          </w:p>
        </w:tc>
      </w:tr>
      <w:tr w14:paraId="59AAA67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28" w:type="dxa"/>
            <w:left w:w="57" w:type="dxa"/>
            <w:bottom w:w="28" w:type="dxa"/>
            <w:right w:w="57" w:type="dxa"/>
          </w:tblCellMar>
        </w:tblPrEx>
        <w:trPr>
          <w:trHeight w:val="397" w:hRule="atLeast"/>
          <w:jc w:val="center"/>
        </w:trPr>
        <w:tc>
          <w:tcPr>
            <w:tcW w:w="1372" w:type="dxa"/>
            <w:vAlign w:val="center"/>
          </w:tcPr>
          <w:p w14:paraId="0E38187F">
            <w:pPr>
              <w:adjustRightInd w:val="0"/>
              <w:snapToGrid w:val="0"/>
              <w:jc w:val="center"/>
              <w:rPr>
                <w:kern w:val="0"/>
                <w:sz w:val="21"/>
                <w:szCs w:val="15"/>
              </w:rPr>
            </w:pPr>
            <w:r>
              <w:rPr>
                <w:kern w:val="0"/>
                <w:sz w:val="21"/>
                <w:szCs w:val="15"/>
              </w:rPr>
              <w:t>渗水</w:t>
            </w:r>
          </w:p>
        </w:tc>
        <w:tc>
          <w:tcPr>
            <w:tcW w:w="5566" w:type="dxa"/>
            <w:vAlign w:val="center"/>
          </w:tcPr>
          <w:p w14:paraId="76E88B1C">
            <w:pPr>
              <w:adjustRightInd w:val="0"/>
              <w:snapToGrid w:val="0"/>
              <w:jc w:val="left"/>
              <w:rPr>
                <w:kern w:val="0"/>
                <w:sz w:val="21"/>
                <w:szCs w:val="15"/>
              </w:rPr>
            </w:pPr>
            <w:r>
              <w:rPr>
                <w:kern w:val="0"/>
                <w:sz w:val="21"/>
                <w:szCs w:val="15"/>
              </w:rPr>
              <w:t>水从结构内壁渗出，在内壁上可观察到明显的流挂水膜范围；在通风条件下水膜也不会消失，即渗入量大于蒸发量的状态</w:t>
            </w:r>
          </w:p>
        </w:tc>
        <w:tc>
          <w:tcPr>
            <w:tcW w:w="1276" w:type="dxa"/>
            <w:vAlign w:val="center"/>
          </w:tcPr>
          <w:p w14:paraId="1C793C04">
            <w:pPr>
              <w:adjustRightInd w:val="0"/>
              <w:snapToGrid w:val="0"/>
              <w:jc w:val="center"/>
              <w:rPr>
                <w:rFonts w:asciiTheme="minorEastAsia" w:hAnsiTheme="minorEastAsia" w:eastAsiaTheme="minorEastAsia"/>
                <w:kern w:val="0"/>
                <w:sz w:val="21"/>
                <w:szCs w:val="15"/>
              </w:rPr>
            </w:pPr>
            <w:r>
              <w:rPr>
                <w:rFonts w:asciiTheme="minorEastAsia" w:hAnsiTheme="minorEastAsia" w:eastAsiaTheme="minorEastAsia"/>
                <w:kern w:val="0"/>
                <w:sz w:val="21"/>
                <w:szCs w:val="15"/>
              </w:rPr>
              <w:t>○</w:t>
            </w:r>
          </w:p>
        </w:tc>
      </w:tr>
      <w:tr w14:paraId="611A45A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28" w:type="dxa"/>
            <w:left w:w="57" w:type="dxa"/>
            <w:bottom w:w="28" w:type="dxa"/>
            <w:right w:w="57" w:type="dxa"/>
          </w:tblCellMar>
        </w:tblPrEx>
        <w:trPr>
          <w:trHeight w:val="397" w:hRule="atLeast"/>
          <w:jc w:val="center"/>
        </w:trPr>
        <w:tc>
          <w:tcPr>
            <w:tcW w:w="1372" w:type="dxa"/>
            <w:vAlign w:val="center"/>
          </w:tcPr>
          <w:p w14:paraId="7DB73A7D">
            <w:pPr>
              <w:adjustRightInd w:val="0"/>
              <w:snapToGrid w:val="0"/>
              <w:jc w:val="center"/>
              <w:rPr>
                <w:kern w:val="0"/>
                <w:sz w:val="21"/>
                <w:szCs w:val="15"/>
              </w:rPr>
            </w:pPr>
            <w:r>
              <w:rPr>
                <w:kern w:val="0"/>
                <w:sz w:val="21"/>
                <w:szCs w:val="15"/>
              </w:rPr>
              <w:t>水珠</w:t>
            </w:r>
          </w:p>
        </w:tc>
        <w:tc>
          <w:tcPr>
            <w:tcW w:w="5566" w:type="dxa"/>
            <w:vAlign w:val="center"/>
          </w:tcPr>
          <w:p w14:paraId="3897D1BB">
            <w:pPr>
              <w:adjustRightInd w:val="0"/>
              <w:snapToGrid w:val="0"/>
              <w:jc w:val="left"/>
              <w:rPr>
                <w:kern w:val="0"/>
                <w:sz w:val="21"/>
                <w:szCs w:val="15"/>
              </w:rPr>
            </w:pPr>
            <w:r>
              <w:rPr>
                <w:kern w:val="0"/>
                <w:sz w:val="21"/>
                <w:szCs w:val="15"/>
              </w:rPr>
              <w:t>悬挂在结构内壁的水珠、内壁渗漏水用细短棒引流并悬挂在棒底部的水珠，其滴落间隔时间超过1min；渗漏水用干棉纱能够拭干，但短时间内可观察到擦拭部位从湿润至水渗出的变化</w:t>
            </w:r>
          </w:p>
        </w:tc>
        <w:tc>
          <w:tcPr>
            <w:tcW w:w="1276" w:type="dxa"/>
            <w:vAlign w:val="center"/>
          </w:tcPr>
          <w:p w14:paraId="06282A44">
            <w:pPr>
              <w:adjustRightInd w:val="0"/>
              <w:snapToGrid w:val="0"/>
              <w:jc w:val="center"/>
              <w:rPr>
                <w:rFonts w:asciiTheme="minorEastAsia" w:hAnsiTheme="minorEastAsia" w:eastAsiaTheme="minorEastAsia"/>
                <w:kern w:val="0"/>
                <w:sz w:val="21"/>
                <w:szCs w:val="15"/>
              </w:rPr>
            </w:pPr>
            <w:r>
              <w:rPr>
                <w:rFonts w:cs="Cambria Math" w:asciiTheme="minorEastAsia" w:hAnsiTheme="minorEastAsia" w:eastAsiaTheme="minorEastAsia"/>
                <w:kern w:val="0"/>
                <w:sz w:val="21"/>
                <w:szCs w:val="15"/>
              </w:rPr>
              <w:t>◇</w:t>
            </w:r>
          </w:p>
        </w:tc>
      </w:tr>
      <w:tr w14:paraId="56F714E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28" w:type="dxa"/>
            <w:left w:w="57" w:type="dxa"/>
            <w:bottom w:w="28" w:type="dxa"/>
            <w:right w:w="57" w:type="dxa"/>
          </w:tblCellMar>
        </w:tblPrEx>
        <w:trPr>
          <w:trHeight w:val="397" w:hRule="atLeast"/>
          <w:jc w:val="center"/>
        </w:trPr>
        <w:tc>
          <w:tcPr>
            <w:tcW w:w="1372" w:type="dxa"/>
            <w:vAlign w:val="center"/>
          </w:tcPr>
          <w:p w14:paraId="729D6B6D">
            <w:pPr>
              <w:adjustRightInd w:val="0"/>
              <w:snapToGrid w:val="0"/>
              <w:jc w:val="center"/>
              <w:rPr>
                <w:kern w:val="0"/>
                <w:sz w:val="21"/>
                <w:szCs w:val="15"/>
              </w:rPr>
            </w:pPr>
            <w:r>
              <w:rPr>
                <w:kern w:val="0"/>
                <w:sz w:val="21"/>
                <w:szCs w:val="15"/>
              </w:rPr>
              <w:t>滴漏</w:t>
            </w:r>
          </w:p>
        </w:tc>
        <w:tc>
          <w:tcPr>
            <w:tcW w:w="5566" w:type="dxa"/>
            <w:vAlign w:val="center"/>
          </w:tcPr>
          <w:p w14:paraId="1AA4372E">
            <w:pPr>
              <w:adjustRightInd w:val="0"/>
              <w:snapToGrid w:val="0"/>
              <w:jc w:val="left"/>
              <w:rPr>
                <w:kern w:val="0"/>
                <w:sz w:val="21"/>
                <w:szCs w:val="15"/>
              </w:rPr>
            </w:pPr>
            <w:r>
              <w:rPr>
                <w:kern w:val="0"/>
                <w:sz w:val="21"/>
                <w:szCs w:val="15"/>
              </w:rPr>
              <w:t>悬挂在结构内壁的水珠、内壁渗漏水用细短棒引流并悬挂在其底部的水珠，</w:t>
            </w:r>
            <w:r>
              <w:rPr>
                <w:rFonts w:hint="eastAsia"/>
                <w:kern w:val="0"/>
                <w:sz w:val="21"/>
                <w:szCs w:val="15"/>
              </w:rPr>
              <w:t>其</w:t>
            </w:r>
            <w:r>
              <w:rPr>
                <w:kern w:val="0"/>
                <w:sz w:val="21"/>
                <w:szCs w:val="15"/>
              </w:rPr>
              <w:t>滴落速度每min至少1滴；渗漏水用</w:t>
            </w:r>
            <w:r>
              <w:rPr>
                <w:rFonts w:hint="eastAsia"/>
                <w:kern w:val="0"/>
                <w:sz w:val="21"/>
                <w:szCs w:val="15"/>
              </w:rPr>
              <w:t>干</w:t>
            </w:r>
            <w:r>
              <w:rPr>
                <w:kern w:val="0"/>
                <w:sz w:val="21"/>
                <w:szCs w:val="15"/>
              </w:rPr>
              <w:t>棉纱不易拭于，且短时间内可明显观察到擦拭部位有水渗出和集聚的变化</w:t>
            </w:r>
          </w:p>
        </w:tc>
        <w:tc>
          <w:tcPr>
            <w:tcW w:w="1276" w:type="dxa"/>
            <w:vAlign w:val="center"/>
          </w:tcPr>
          <w:p w14:paraId="6FBACFC3">
            <w:pPr>
              <w:adjustRightInd w:val="0"/>
              <w:snapToGrid w:val="0"/>
              <w:jc w:val="center"/>
              <w:rPr>
                <w:rFonts w:asciiTheme="minorEastAsia" w:hAnsiTheme="minorEastAsia" w:eastAsiaTheme="minorEastAsia"/>
                <w:kern w:val="0"/>
                <w:sz w:val="21"/>
                <w:szCs w:val="15"/>
              </w:rPr>
            </w:pPr>
            <w:r>
              <w:rPr>
                <w:rFonts w:cs="Cambria Math" w:asciiTheme="minorEastAsia" w:hAnsiTheme="minorEastAsia" w:eastAsiaTheme="minorEastAsia"/>
                <w:kern w:val="0"/>
                <w:sz w:val="21"/>
                <w:szCs w:val="15"/>
              </w:rPr>
              <w:t>▽</w:t>
            </w:r>
          </w:p>
        </w:tc>
      </w:tr>
      <w:tr w14:paraId="7467990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28" w:type="dxa"/>
            <w:left w:w="57" w:type="dxa"/>
            <w:bottom w:w="28" w:type="dxa"/>
            <w:right w:w="57" w:type="dxa"/>
          </w:tblCellMar>
        </w:tblPrEx>
        <w:trPr>
          <w:trHeight w:val="397" w:hRule="atLeast"/>
          <w:jc w:val="center"/>
        </w:trPr>
        <w:tc>
          <w:tcPr>
            <w:tcW w:w="1372" w:type="dxa"/>
            <w:vAlign w:val="center"/>
          </w:tcPr>
          <w:p w14:paraId="765DB00A">
            <w:pPr>
              <w:adjustRightInd w:val="0"/>
              <w:snapToGrid w:val="0"/>
              <w:spacing w:line="240" w:lineRule="auto"/>
              <w:jc w:val="center"/>
              <w:rPr>
                <w:kern w:val="0"/>
                <w:sz w:val="21"/>
                <w:szCs w:val="15"/>
              </w:rPr>
            </w:pPr>
            <w:r>
              <w:rPr>
                <w:kern w:val="0"/>
                <w:sz w:val="21"/>
                <w:szCs w:val="15"/>
              </w:rPr>
              <w:t>线流</w:t>
            </w:r>
          </w:p>
        </w:tc>
        <w:tc>
          <w:tcPr>
            <w:tcW w:w="5566" w:type="dxa"/>
            <w:vAlign w:val="center"/>
          </w:tcPr>
          <w:p w14:paraId="52C482A7">
            <w:pPr>
              <w:adjustRightInd w:val="0"/>
              <w:snapToGrid w:val="0"/>
              <w:spacing w:line="240" w:lineRule="auto"/>
              <w:jc w:val="left"/>
              <w:rPr>
                <w:kern w:val="0"/>
                <w:sz w:val="21"/>
                <w:szCs w:val="15"/>
              </w:rPr>
            </w:pPr>
            <w:r>
              <w:rPr>
                <w:kern w:val="0"/>
                <w:sz w:val="21"/>
                <w:szCs w:val="15"/>
              </w:rPr>
              <w:t>指渗漏水呈线流、流淌或喷水状态</w:t>
            </w:r>
          </w:p>
        </w:tc>
        <w:tc>
          <w:tcPr>
            <w:tcW w:w="1276" w:type="dxa"/>
            <w:vAlign w:val="center"/>
          </w:tcPr>
          <w:p w14:paraId="06F66084">
            <w:pPr>
              <w:adjustRightInd w:val="0"/>
              <w:snapToGrid w:val="0"/>
              <w:spacing w:line="240" w:lineRule="auto"/>
              <w:jc w:val="center"/>
              <w:rPr>
                <w:kern w:val="0"/>
                <w:sz w:val="21"/>
                <w:szCs w:val="15"/>
              </w:rPr>
            </w:pPr>
            <w:r>
              <w:rPr>
                <w:kern w:val="0"/>
                <w:sz w:val="21"/>
                <w:szCs w:val="15"/>
              </w:rPr>
              <w:t>↓</w:t>
            </w:r>
          </w:p>
        </w:tc>
      </w:tr>
    </w:tbl>
    <w:p w14:paraId="11589618">
      <w:pPr>
        <w:ind w:firstLine="480" w:firstLineChars="200"/>
      </w:pPr>
    </w:p>
    <w:p w14:paraId="420ED70C">
      <w:pPr>
        <w:rPr>
          <w:rFonts w:eastAsiaTheme="minorEastAsia"/>
        </w:rPr>
        <w:sectPr>
          <w:pgSz w:w="11906" w:h="16838"/>
          <w:pgMar w:top="1440" w:right="1800" w:bottom="1440" w:left="1800" w:header="851" w:footer="992" w:gutter="0"/>
          <w:cols w:space="425" w:num="1"/>
          <w:docGrid w:type="lines" w:linePitch="312" w:charSpace="0"/>
        </w:sectPr>
      </w:pPr>
    </w:p>
    <w:p w14:paraId="7CDF624C">
      <w:pPr>
        <w:pStyle w:val="2"/>
        <w:rPr>
          <w:rFonts w:cs="Times New Roman"/>
        </w:rPr>
      </w:pPr>
      <w:bookmarkStart w:id="414" w:name="_Toc60173801"/>
      <w:bookmarkStart w:id="415" w:name="_Toc60172914"/>
      <w:r>
        <w:rPr>
          <w:rFonts w:cs="Times New Roman"/>
        </w:rPr>
        <w:t>8  顶管设备及安装</w:t>
      </w:r>
      <w:bookmarkEnd w:id="414"/>
      <w:bookmarkEnd w:id="415"/>
    </w:p>
    <w:p w14:paraId="2A45BE94">
      <w:pPr>
        <w:pStyle w:val="3"/>
        <w:rPr>
          <w:rFonts w:eastAsia="黑体" w:cs="Times New Roman"/>
          <w:b w:val="0"/>
        </w:rPr>
      </w:pPr>
      <w:bookmarkStart w:id="416" w:name="_Toc60172915"/>
      <w:bookmarkStart w:id="417" w:name="_Toc60173802"/>
      <w:r>
        <w:rPr>
          <w:rFonts w:eastAsia="黑体" w:cs="Times New Roman"/>
        </w:rPr>
        <w:t>8.1</w:t>
      </w:r>
      <w:r>
        <w:rPr>
          <w:rFonts w:eastAsia="黑体" w:cs="Times New Roman"/>
          <w:b w:val="0"/>
        </w:rPr>
        <w:t xml:space="preserve">  一般规定</w:t>
      </w:r>
      <w:bookmarkEnd w:id="416"/>
      <w:bookmarkEnd w:id="417"/>
    </w:p>
    <w:p w14:paraId="5F476871">
      <w:r>
        <w:rPr>
          <w:b/>
          <w:bCs/>
        </w:rPr>
        <w:t xml:space="preserve">8.1.1  </w:t>
      </w:r>
      <w:r>
        <w:t>起重设备应经有关部门检验合格方可使用，起重荷载应满足使用要求。</w:t>
      </w:r>
    </w:p>
    <w:p w14:paraId="0F9F52EB">
      <w:r>
        <w:rPr>
          <w:b/>
          <w:bCs/>
        </w:rPr>
        <w:t>8.1.2</w:t>
      </w:r>
      <w:r>
        <w:t xml:space="preserve">  起重作业人员应持证上岗。</w:t>
      </w:r>
    </w:p>
    <w:p w14:paraId="35C0E963">
      <w:r>
        <w:rPr>
          <w:b/>
          <w:bCs/>
        </w:rPr>
        <w:t xml:space="preserve">8.1.3  </w:t>
      </w:r>
      <w:r>
        <w:t>场地的地基承载力应满足最大吊装载荷要求。</w:t>
      </w:r>
    </w:p>
    <w:p w14:paraId="474A9225">
      <w:r>
        <w:rPr>
          <w:b/>
          <w:bCs/>
        </w:rPr>
        <w:t xml:space="preserve">8.1.4  </w:t>
      </w:r>
      <w:r>
        <w:t>起重设备活动范围附近有高压电线路时，吊装活动范围应</w:t>
      </w:r>
      <w:r>
        <w:rPr>
          <w:rFonts w:hint="eastAsia"/>
        </w:rPr>
        <w:t>符合现行行业标准《施工现场临时用电安全技术规范》JGJ</w:t>
      </w:r>
      <w:r>
        <w:t xml:space="preserve"> </w:t>
      </w:r>
      <w:r>
        <w:rPr>
          <w:rFonts w:hint="eastAsia"/>
        </w:rPr>
        <w:t>46、《建筑施工起重吊装工程安全技术规范》JGJ 276的相关</w:t>
      </w:r>
      <w:r>
        <w:t>规定。</w:t>
      </w:r>
    </w:p>
    <w:p w14:paraId="7904F1D4">
      <w:r>
        <w:rPr>
          <w:b/>
          <w:bCs/>
        </w:rPr>
        <w:t>8.1.5</w:t>
      </w:r>
      <w:r>
        <w:t xml:space="preserve">  吊装前应进行试吊，试吊前应严格检查吊耳、机械及索具的装设情况。经确认试吊正常后，方可正式吊装</w:t>
      </w:r>
      <w:r>
        <w:rPr>
          <w:rFonts w:hint="eastAsia"/>
        </w:rPr>
        <w:t>，并应符合现行行业标准《建筑施工起重吊装工程安全技术规范》JGJ 276的相关规定</w:t>
      </w:r>
      <w:r>
        <w:t>。</w:t>
      </w:r>
    </w:p>
    <w:p w14:paraId="65640808">
      <w:r>
        <w:rPr>
          <w:b/>
          <w:bCs/>
        </w:rPr>
        <w:t xml:space="preserve">8.1.6  </w:t>
      </w:r>
      <w:r>
        <w:t>设备吊装时应平稳慢放，大型设备宜用绳索辅助牵引。</w:t>
      </w:r>
    </w:p>
    <w:p w14:paraId="36AA5B65">
      <w:r>
        <w:rPr>
          <w:b/>
          <w:bCs/>
        </w:rPr>
        <w:t xml:space="preserve">8.1.7  </w:t>
      </w:r>
      <w:r>
        <w:t>顶管设备安装应设置逃生通道。</w:t>
      </w:r>
    </w:p>
    <w:p w14:paraId="10BF5537">
      <w:pPr>
        <w:pStyle w:val="91"/>
        <w:spacing w:before="0" w:after="0" w:line="360" w:lineRule="auto"/>
        <w:jc w:val="both"/>
        <w:outlineLvl w:val="9"/>
        <w:rPr>
          <w:rFonts w:ascii="Times New Roman"/>
          <w:kern w:val="2"/>
          <w:sz w:val="24"/>
        </w:rPr>
      </w:pPr>
      <w:r>
        <w:rPr>
          <w:rFonts w:ascii="Times New Roman"/>
          <w:b/>
          <w:bCs/>
          <w:kern w:val="2"/>
          <w:sz w:val="24"/>
        </w:rPr>
        <w:t xml:space="preserve">8.1.8  </w:t>
      </w:r>
      <w:r>
        <w:rPr>
          <w:rFonts w:ascii="Times New Roman"/>
          <w:kern w:val="2"/>
          <w:sz w:val="24"/>
        </w:rPr>
        <w:t>组装前应对所使用设备、工具进行安全检查。</w:t>
      </w:r>
    </w:p>
    <w:p w14:paraId="5A6D2178">
      <w:pPr>
        <w:pStyle w:val="91"/>
        <w:spacing w:before="0" w:after="0" w:line="360" w:lineRule="auto"/>
        <w:jc w:val="both"/>
        <w:outlineLvl w:val="9"/>
        <w:rPr>
          <w:rFonts w:ascii="Times New Roman"/>
          <w:kern w:val="2"/>
          <w:sz w:val="24"/>
        </w:rPr>
      </w:pPr>
      <w:r>
        <w:rPr>
          <w:rFonts w:hint="eastAsia" w:ascii="Times New Roman"/>
          <w:b/>
          <w:kern w:val="2"/>
          <w:sz w:val="24"/>
        </w:rPr>
        <w:t>8.1.9</w:t>
      </w:r>
      <w:r>
        <w:rPr>
          <w:rFonts w:hint="eastAsia" w:ascii="Times New Roman"/>
          <w:kern w:val="2"/>
          <w:sz w:val="24"/>
        </w:rPr>
        <w:t xml:space="preserve">  顶管设备安装前应制定组装方案。</w:t>
      </w:r>
    </w:p>
    <w:p w14:paraId="7A37D69E"/>
    <w:p w14:paraId="54879737">
      <w:pPr>
        <w:pStyle w:val="3"/>
        <w:rPr>
          <w:rFonts w:eastAsia="黑体" w:cs="Times New Roman"/>
          <w:b w:val="0"/>
        </w:rPr>
      </w:pPr>
      <w:bookmarkStart w:id="418" w:name="_Toc60172916"/>
      <w:bookmarkStart w:id="419" w:name="_Toc60173803"/>
      <w:r>
        <w:rPr>
          <w:rFonts w:eastAsia="黑体" w:cs="Times New Roman"/>
        </w:rPr>
        <w:t>8.2</w:t>
      </w:r>
      <w:r>
        <w:rPr>
          <w:rFonts w:eastAsia="黑体" w:cs="Times New Roman"/>
          <w:b w:val="0"/>
        </w:rPr>
        <w:t xml:space="preserve">  矩形顶管机设计</w:t>
      </w:r>
      <w:r>
        <w:rPr>
          <w:rFonts w:hint="eastAsia" w:eastAsia="黑体" w:cs="Times New Roman"/>
          <w:b w:val="0"/>
        </w:rPr>
        <w:t>原则</w:t>
      </w:r>
      <w:r>
        <w:rPr>
          <w:rFonts w:eastAsia="黑体" w:cs="Times New Roman"/>
          <w:b w:val="0"/>
        </w:rPr>
        <w:t>与选型</w:t>
      </w:r>
      <w:bookmarkEnd w:id="418"/>
      <w:bookmarkEnd w:id="419"/>
    </w:p>
    <w:p w14:paraId="2E61C10F">
      <w:r>
        <w:rPr>
          <w:b/>
          <w:bCs/>
        </w:rPr>
        <w:t xml:space="preserve">8.2.1  </w:t>
      </w:r>
      <w:r>
        <w:t>矩形顶管机设计</w:t>
      </w:r>
      <w:r>
        <w:rPr>
          <w:rFonts w:hint="eastAsia"/>
        </w:rPr>
        <w:t>原则</w:t>
      </w:r>
      <w:r>
        <w:t>应符合下列规定：</w:t>
      </w:r>
    </w:p>
    <w:p w14:paraId="1AEB77BF">
      <w:pPr>
        <w:ind w:firstLine="482" w:firstLineChars="200"/>
      </w:pPr>
      <w:r>
        <w:rPr>
          <w:b/>
          <w:bCs/>
        </w:rPr>
        <w:t xml:space="preserve">1 </w:t>
      </w:r>
      <w:r>
        <w:t xml:space="preserve"> 矩形顶管机大小应与施工工况相匹配，断面大小应与隧道管节相适应，设备长度应</w:t>
      </w:r>
      <w:r>
        <w:rPr>
          <w:rFonts w:hint="eastAsia"/>
        </w:rPr>
        <w:t>根据</w:t>
      </w:r>
      <w:r>
        <w:t>工作井尺寸大小，在满足功能需求的情况下尽量缩短；同时应根据现场组装及运输条件对大断面矩形顶管机进行分块设计；</w:t>
      </w:r>
    </w:p>
    <w:p w14:paraId="27364291">
      <w:pPr>
        <w:ind w:firstLine="482" w:firstLineChars="200"/>
      </w:pPr>
      <w:r>
        <w:rPr>
          <w:b/>
          <w:bCs/>
        </w:rPr>
        <w:t>2</w:t>
      </w:r>
      <w:r>
        <w:t xml:space="preserve">  矩形顶管机应能在工作环境温度5℃～50℃、相对湿度小于90%的条件下正常使用；</w:t>
      </w:r>
    </w:p>
    <w:p w14:paraId="45FDA232">
      <w:pPr>
        <w:ind w:firstLine="482" w:firstLineChars="200"/>
      </w:pPr>
      <w:r>
        <w:rPr>
          <w:b/>
          <w:bCs/>
        </w:rPr>
        <w:t>3</w:t>
      </w:r>
      <w:r>
        <w:t xml:space="preserve">  矩形顶管机零部件的设计应满足强度、刚度、疲劳可靠性要求；</w:t>
      </w:r>
    </w:p>
    <w:p w14:paraId="1DAE07D7">
      <w:pPr>
        <w:ind w:firstLine="482" w:firstLineChars="200"/>
      </w:pPr>
      <w:r>
        <w:rPr>
          <w:b/>
          <w:bCs/>
        </w:rPr>
        <w:t>4</w:t>
      </w:r>
      <w:r>
        <w:t xml:space="preserve">  矩形顶管机各系统结构的布局应便于使用操作、物料输送、设备维修保养和紧急情况下的人员疏散。</w:t>
      </w:r>
    </w:p>
    <w:p w14:paraId="053B79B3">
      <w:pPr>
        <w:rPr>
          <w:rFonts w:eastAsiaTheme="minorEastAsia"/>
        </w:rPr>
      </w:pPr>
      <w:r>
        <w:rPr>
          <w:b/>
          <w:bCs/>
        </w:rPr>
        <w:t xml:space="preserve">8.2.2  </w:t>
      </w:r>
      <w:r>
        <w:rPr>
          <w:rFonts w:eastAsiaTheme="minorEastAsia"/>
        </w:rPr>
        <w:t>矩形顶管机选型应结合地层</w:t>
      </w:r>
      <w:r>
        <w:rPr>
          <w:color w:val="000000" w:themeColor="text1"/>
          <w14:textFill>
            <w14:solidFill>
              <w14:schemeClr w14:val="tx1"/>
            </w14:solidFill>
          </w14:textFill>
        </w:rPr>
        <w:t>岩土类别</w:t>
      </w:r>
      <w:r>
        <w:rPr>
          <w:rFonts w:hint="eastAsia"/>
          <w:b/>
          <w:color w:val="000000" w:themeColor="text1"/>
          <w14:textFill>
            <w14:solidFill>
              <w14:schemeClr w14:val="tx1"/>
            </w14:solidFill>
          </w14:textFill>
        </w:rPr>
        <w:t>、</w:t>
      </w:r>
      <w:r>
        <w:rPr>
          <w:rFonts w:eastAsiaTheme="minorEastAsia"/>
        </w:rPr>
        <w:t>岩土粒径、渗透系数、地下水压情况，以及开挖尺寸、开挖面稳定性、埋深、地层降水处理情况等因素确定。</w:t>
      </w:r>
    </w:p>
    <w:p w14:paraId="3BAEFDF6">
      <w:r>
        <w:rPr>
          <w:b/>
          <w:bCs/>
        </w:rPr>
        <w:t xml:space="preserve">8.2.3  </w:t>
      </w:r>
      <w:r>
        <w:t>矩形顶管机适应工况宜按表8.2.3执行。</w:t>
      </w:r>
    </w:p>
    <w:p w14:paraId="3FDC04AA">
      <w:pPr>
        <w:jc w:val="center"/>
        <w:rPr>
          <w:rFonts w:eastAsiaTheme="minorEastAsia"/>
          <w:b/>
          <w:bCs/>
        </w:rPr>
      </w:pPr>
      <w:r>
        <w:rPr>
          <w:rFonts w:eastAsiaTheme="minorEastAsia"/>
          <w:b/>
          <w:bCs/>
          <w:kern w:val="0"/>
          <w:sz w:val="21"/>
          <w:szCs w:val="20"/>
        </w:rPr>
        <w:t>表8.2.3  矩形顶管机适用工况</w:t>
      </w:r>
    </w:p>
    <w:tbl>
      <w:tblPr>
        <w:tblStyle w:val="35"/>
        <w:tblW w:w="7797"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759"/>
        <w:gridCol w:w="2878"/>
        <w:gridCol w:w="3160"/>
      </w:tblGrid>
      <w:tr w14:paraId="30B6CE5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58" w:hRule="atLeast"/>
          <w:jc w:val="center"/>
        </w:trPr>
        <w:tc>
          <w:tcPr>
            <w:tcW w:w="1759" w:type="dxa"/>
            <w:vAlign w:val="center"/>
          </w:tcPr>
          <w:p w14:paraId="6A667488">
            <w:pPr>
              <w:spacing w:line="240" w:lineRule="auto"/>
              <w:jc w:val="center"/>
              <w:rPr>
                <w:sz w:val="21"/>
              </w:rPr>
            </w:pPr>
            <w:r>
              <w:rPr>
                <w:sz w:val="21"/>
              </w:rPr>
              <w:t>矩形顶管机类型</w:t>
            </w:r>
          </w:p>
        </w:tc>
        <w:tc>
          <w:tcPr>
            <w:tcW w:w="2878" w:type="dxa"/>
            <w:vAlign w:val="center"/>
          </w:tcPr>
          <w:p w14:paraId="2F8AD49D">
            <w:pPr>
              <w:spacing w:line="240" w:lineRule="auto"/>
              <w:jc w:val="center"/>
              <w:rPr>
                <w:sz w:val="21"/>
              </w:rPr>
            </w:pPr>
            <w:r>
              <w:rPr>
                <w:sz w:val="21"/>
              </w:rPr>
              <w:t>矩形土压平衡式顶管</w:t>
            </w:r>
            <w:r>
              <w:rPr>
                <w:rFonts w:hint="eastAsia"/>
                <w:sz w:val="21"/>
              </w:rPr>
              <w:t>机</w:t>
            </w:r>
          </w:p>
        </w:tc>
        <w:tc>
          <w:tcPr>
            <w:tcW w:w="3160" w:type="dxa"/>
            <w:vAlign w:val="center"/>
          </w:tcPr>
          <w:p w14:paraId="0D151C24">
            <w:pPr>
              <w:spacing w:line="240" w:lineRule="auto"/>
              <w:jc w:val="center"/>
              <w:rPr>
                <w:sz w:val="21"/>
              </w:rPr>
            </w:pPr>
            <w:r>
              <w:rPr>
                <w:sz w:val="21"/>
              </w:rPr>
              <w:t>矩形泥水平衡式顶管</w:t>
            </w:r>
            <w:r>
              <w:rPr>
                <w:rFonts w:hint="eastAsia"/>
                <w:sz w:val="21"/>
              </w:rPr>
              <w:t>机</w:t>
            </w:r>
          </w:p>
        </w:tc>
      </w:tr>
      <w:tr w14:paraId="03E4B73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759" w:type="dxa"/>
            <w:vAlign w:val="center"/>
          </w:tcPr>
          <w:p w14:paraId="7DC905D2">
            <w:pPr>
              <w:spacing w:line="240" w:lineRule="auto"/>
              <w:jc w:val="center"/>
              <w:rPr>
                <w:b/>
                <w:bCs/>
                <w:sz w:val="21"/>
              </w:rPr>
            </w:pPr>
            <w:r>
              <w:rPr>
                <w:sz w:val="21"/>
              </w:rPr>
              <w:t>适用土质</w:t>
            </w:r>
          </w:p>
        </w:tc>
        <w:tc>
          <w:tcPr>
            <w:tcW w:w="2878" w:type="dxa"/>
            <w:vAlign w:val="center"/>
          </w:tcPr>
          <w:p w14:paraId="5CB01384">
            <w:pPr>
              <w:spacing w:line="240" w:lineRule="auto"/>
              <w:jc w:val="center"/>
              <w:rPr>
                <w:b/>
                <w:bCs/>
                <w:sz w:val="21"/>
              </w:rPr>
            </w:pPr>
            <w:r>
              <w:rPr>
                <w:sz w:val="21"/>
              </w:rPr>
              <w:t>淤泥、黏土、粉土、砂土、砾石层；需适时添加相应改良剂</w:t>
            </w:r>
          </w:p>
        </w:tc>
        <w:tc>
          <w:tcPr>
            <w:tcW w:w="3160" w:type="dxa"/>
            <w:vAlign w:val="center"/>
          </w:tcPr>
          <w:p w14:paraId="559D03E2">
            <w:pPr>
              <w:spacing w:line="240" w:lineRule="auto"/>
              <w:jc w:val="center"/>
              <w:rPr>
                <w:b/>
                <w:bCs/>
                <w:sz w:val="21"/>
              </w:rPr>
            </w:pPr>
            <w:r>
              <w:rPr>
                <w:sz w:val="21"/>
              </w:rPr>
              <w:t>淤泥质土、粉土、砂土、砾石层；需适时添加适当的添加剂</w:t>
            </w:r>
          </w:p>
        </w:tc>
      </w:tr>
      <w:tr w14:paraId="39DFA8F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759" w:type="dxa"/>
            <w:vAlign w:val="center"/>
          </w:tcPr>
          <w:p w14:paraId="01E143E3">
            <w:pPr>
              <w:spacing w:line="240" w:lineRule="auto"/>
              <w:jc w:val="center"/>
              <w:rPr>
                <w:b/>
                <w:bCs/>
                <w:sz w:val="21"/>
              </w:rPr>
            </w:pPr>
            <w:r>
              <w:rPr>
                <w:sz w:val="21"/>
              </w:rPr>
              <w:t>适用距离</w:t>
            </w:r>
          </w:p>
        </w:tc>
        <w:tc>
          <w:tcPr>
            <w:tcW w:w="2878" w:type="dxa"/>
            <w:vAlign w:val="center"/>
          </w:tcPr>
          <w:p w14:paraId="038E5A88">
            <w:pPr>
              <w:spacing w:line="240" w:lineRule="auto"/>
              <w:jc w:val="center"/>
              <w:rPr>
                <w:b/>
                <w:bCs/>
                <w:sz w:val="21"/>
              </w:rPr>
            </w:pPr>
            <w:r>
              <w:rPr>
                <w:sz w:val="21"/>
              </w:rPr>
              <w:t>小于或等于200m</w:t>
            </w:r>
          </w:p>
        </w:tc>
        <w:tc>
          <w:tcPr>
            <w:tcW w:w="3160" w:type="dxa"/>
            <w:vAlign w:val="center"/>
          </w:tcPr>
          <w:p w14:paraId="17D028A0">
            <w:pPr>
              <w:spacing w:line="240" w:lineRule="auto"/>
              <w:jc w:val="center"/>
              <w:rPr>
                <w:b/>
                <w:bCs/>
                <w:sz w:val="21"/>
              </w:rPr>
            </w:pPr>
            <w:r>
              <w:rPr>
                <w:sz w:val="21"/>
              </w:rPr>
              <w:t>小于或等于300m</w:t>
            </w:r>
          </w:p>
        </w:tc>
      </w:tr>
      <w:tr w14:paraId="30B8197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759" w:type="dxa"/>
            <w:vAlign w:val="center"/>
          </w:tcPr>
          <w:p w14:paraId="2D866B54">
            <w:pPr>
              <w:spacing w:line="240" w:lineRule="auto"/>
              <w:jc w:val="center"/>
              <w:rPr>
                <w:b/>
                <w:bCs/>
                <w:sz w:val="21"/>
              </w:rPr>
            </w:pPr>
            <w:r>
              <w:rPr>
                <w:sz w:val="21"/>
              </w:rPr>
              <w:t>适用坡度</w:t>
            </w:r>
          </w:p>
        </w:tc>
        <w:tc>
          <w:tcPr>
            <w:tcW w:w="2878" w:type="dxa"/>
            <w:vAlign w:val="center"/>
          </w:tcPr>
          <w:p w14:paraId="299AAE59">
            <w:pPr>
              <w:spacing w:line="240" w:lineRule="auto"/>
              <w:jc w:val="center"/>
              <w:rPr>
                <w:b/>
                <w:bCs/>
                <w:sz w:val="21"/>
              </w:rPr>
            </w:pPr>
            <w:r>
              <w:rPr>
                <w:sz w:val="21"/>
              </w:rPr>
              <w:t>一般平坡顶进，迎坡顶进时，纵坡不宜大于2%</w:t>
            </w:r>
          </w:p>
        </w:tc>
        <w:tc>
          <w:tcPr>
            <w:tcW w:w="3160" w:type="dxa"/>
            <w:vAlign w:val="center"/>
          </w:tcPr>
          <w:p w14:paraId="1864AC09">
            <w:pPr>
              <w:spacing w:line="240" w:lineRule="auto"/>
              <w:jc w:val="center"/>
              <w:rPr>
                <w:b/>
                <w:bCs/>
                <w:sz w:val="21"/>
              </w:rPr>
            </w:pPr>
            <w:r>
              <w:rPr>
                <w:sz w:val="21"/>
              </w:rPr>
              <w:t>一般平坡顶进，迎坡顶进时，纵坡不宜大于2%</w:t>
            </w:r>
          </w:p>
        </w:tc>
      </w:tr>
      <w:tr w14:paraId="2FBF54A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759" w:type="dxa"/>
            <w:vAlign w:val="center"/>
          </w:tcPr>
          <w:p w14:paraId="1FEC633D">
            <w:pPr>
              <w:spacing w:line="240" w:lineRule="auto"/>
              <w:jc w:val="center"/>
              <w:rPr>
                <w:sz w:val="21"/>
              </w:rPr>
            </w:pPr>
            <w:r>
              <w:rPr>
                <w:sz w:val="21"/>
              </w:rPr>
              <w:t>管顶覆土</w:t>
            </w:r>
          </w:p>
        </w:tc>
        <w:tc>
          <w:tcPr>
            <w:tcW w:w="2878" w:type="dxa"/>
            <w:vAlign w:val="center"/>
          </w:tcPr>
          <w:p w14:paraId="3E2C5864">
            <w:pPr>
              <w:spacing w:line="240" w:lineRule="auto"/>
              <w:jc w:val="center"/>
              <w:rPr>
                <w:b/>
                <w:bCs/>
                <w:sz w:val="21"/>
              </w:rPr>
            </w:pPr>
            <w:r>
              <w:rPr>
                <w:sz w:val="21"/>
              </w:rPr>
              <w:t>不小于3m</w:t>
            </w:r>
          </w:p>
        </w:tc>
        <w:tc>
          <w:tcPr>
            <w:tcW w:w="3160" w:type="dxa"/>
            <w:vAlign w:val="center"/>
          </w:tcPr>
          <w:p w14:paraId="79D58226">
            <w:pPr>
              <w:spacing w:line="240" w:lineRule="auto"/>
              <w:jc w:val="center"/>
              <w:rPr>
                <w:b/>
                <w:bCs/>
                <w:sz w:val="21"/>
              </w:rPr>
            </w:pPr>
            <w:r>
              <w:rPr>
                <w:sz w:val="21"/>
              </w:rPr>
              <w:t>不小于</w:t>
            </w:r>
            <w:r>
              <w:rPr>
                <w:rFonts w:hint="eastAsia"/>
                <w:sz w:val="21"/>
              </w:rPr>
              <w:t>1</w:t>
            </w:r>
            <w:r>
              <w:rPr>
                <w:sz w:val="21"/>
              </w:rPr>
              <w:t>倍管节高度，且不小于4m</w:t>
            </w:r>
          </w:p>
        </w:tc>
      </w:tr>
    </w:tbl>
    <w:p w14:paraId="7A31614A">
      <w:pPr>
        <w:rPr>
          <w:b/>
          <w:bCs/>
        </w:rPr>
      </w:pPr>
    </w:p>
    <w:p w14:paraId="68337AFA">
      <w:r>
        <w:rPr>
          <w:b/>
          <w:bCs/>
        </w:rPr>
        <w:t>8.2.4</w:t>
      </w:r>
      <w:r>
        <w:t xml:space="preserve">  掘进系统选型与设计应符合下列规定：</w:t>
      </w:r>
    </w:p>
    <w:p w14:paraId="079DA5B9">
      <w:pPr>
        <w:ind w:firstLine="482" w:firstLineChars="200"/>
      </w:pPr>
      <w:r>
        <w:rPr>
          <w:b/>
          <w:bCs/>
        </w:rPr>
        <w:t>1</w:t>
      </w:r>
      <w:r>
        <w:t xml:space="preserve">  应根据工程地质和水文地质及开挖面稳定形式选择矩形顶管机；</w:t>
      </w:r>
    </w:p>
    <w:p w14:paraId="343EF54E">
      <w:pPr>
        <w:ind w:firstLine="482" w:firstLineChars="200"/>
      </w:pPr>
      <w:r>
        <w:rPr>
          <w:b/>
          <w:bCs/>
        </w:rPr>
        <w:t>2</w:t>
      </w:r>
      <w:r>
        <w:t xml:space="preserve">  掘进系统应具有切削矩形断面土体、支撑开挖掌子面、渣土改良和搅拌的功能；</w:t>
      </w:r>
    </w:p>
    <w:p w14:paraId="3C23D03C">
      <w:pPr>
        <w:ind w:firstLine="482" w:firstLineChars="200"/>
      </w:pPr>
      <w:r>
        <w:rPr>
          <w:b/>
          <w:bCs/>
        </w:rPr>
        <w:t xml:space="preserve">3  </w:t>
      </w:r>
      <w:r>
        <w:t>矩形顶管机掘进系统宜采用多个刀盘单元组成，也可由单个仿形刀盘构成；</w:t>
      </w:r>
    </w:p>
    <w:p w14:paraId="61255E36">
      <w:pPr>
        <w:ind w:firstLine="482" w:firstLineChars="200"/>
      </w:pPr>
      <w:r>
        <w:rPr>
          <w:b/>
          <w:bCs/>
        </w:rPr>
        <w:t>4</w:t>
      </w:r>
      <w:r>
        <w:t xml:space="preserve">  矩形顶管机掘进系统应具备矩形断面切削能力；</w:t>
      </w:r>
    </w:p>
    <w:p w14:paraId="6565AFD2">
      <w:pPr>
        <w:ind w:firstLine="482" w:firstLineChars="200"/>
      </w:pPr>
      <w:r>
        <w:rPr>
          <w:b/>
          <w:bCs/>
        </w:rPr>
        <w:t xml:space="preserve">5  </w:t>
      </w:r>
      <w:r>
        <w:t>矩形顶管机掘进系统设计应减少开挖盲区，开挖盲区可采用高压水射流、风钻等主动切削形式或盾体切刀等被动切削形式；未采用盲区处理措施的地层，开挖盲区不应影响矩形顶管的正常掘进；</w:t>
      </w:r>
    </w:p>
    <w:p w14:paraId="481ADC4F">
      <w:pPr>
        <w:jc w:val="left"/>
        <w:rPr>
          <w:kern w:val="0"/>
          <w:szCs w:val="20"/>
        </w:rPr>
      </w:pPr>
      <w:r>
        <w:rPr>
          <w:b/>
          <w:bCs/>
        </w:rPr>
        <w:t xml:space="preserve">8.2.5  </w:t>
      </w:r>
      <w:r>
        <w:rPr>
          <w:kern w:val="0"/>
          <w:szCs w:val="20"/>
        </w:rPr>
        <w:t>排渣系统选型与设计应符合下列规定：</w:t>
      </w:r>
    </w:p>
    <w:p w14:paraId="569D613F">
      <w:pPr>
        <w:pStyle w:val="89"/>
        <w:tabs>
          <w:tab w:val="center" w:pos="4201"/>
          <w:tab w:val="right" w:leader="dot" w:pos="9298"/>
        </w:tabs>
        <w:spacing w:line="360" w:lineRule="auto"/>
        <w:ind w:firstLine="482"/>
        <w:rPr>
          <w:rFonts w:ascii="Times New Roman"/>
          <w:sz w:val="24"/>
        </w:rPr>
      </w:pPr>
      <w:r>
        <w:rPr>
          <w:rFonts w:ascii="Times New Roman"/>
          <w:b/>
          <w:bCs/>
          <w:sz w:val="24"/>
        </w:rPr>
        <w:t>1</w:t>
      </w:r>
      <w:r>
        <w:rPr>
          <w:rFonts w:ascii="Times New Roman"/>
          <w:sz w:val="24"/>
        </w:rPr>
        <w:t xml:space="preserve">  排渣系统选型应与土仓压力平衡形式相匹配，并</w:t>
      </w:r>
      <w:r>
        <w:rPr>
          <w:rFonts w:hint="eastAsia" w:ascii="Times New Roman"/>
          <w:sz w:val="24"/>
        </w:rPr>
        <w:t>宜</w:t>
      </w:r>
      <w:r>
        <w:rPr>
          <w:rFonts w:ascii="Times New Roman"/>
          <w:sz w:val="24"/>
        </w:rPr>
        <w:t>具有辅助调节土仓压力的功能；</w:t>
      </w:r>
    </w:p>
    <w:p w14:paraId="1CB6785C">
      <w:pPr>
        <w:pStyle w:val="89"/>
        <w:tabs>
          <w:tab w:val="center" w:pos="4201"/>
          <w:tab w:val="right" w:leader="dot" w:pos="9298"/>
        </w:tabs>
        <w:spacing w:line="360" w:lineRule="auto"/>
        <w:ind w:firstLine="482"/>
        <w:rPr>
          <w:rFonts w:ascii="Times New Roman"/>
          <w:sz w:val="24"/>
        </w:rPr>
      </w:pPr>
      <w:r>
        <w:rPr>
          <w:rFonts w:ascii="Times New Roman"/>
          <w:b/>
          <w:bCs/>
          <w:sz w:val="24"/>
        </w:rPr>
        <w:t>2</w:t>
      </w:r>
      <w:r>
        <w:rPr>
          <w:rFonts w:ascii="Times New Roman"/>
          <w:sz w:val="24"/>
        </w:rPr>
        <w:t xml:space="preserve">  矩形土压平衡顶管机螺旋输送机可根据地质工况不同，选用有轴式输送机或带式输送机；</w:t>
      </w:r>
    </w:p>
    <w:p w14:paraId="6B5DB41F">
      <w:pPr>
        <w:ind w:firstLine="482" w:firstLineChars="200"/>
        <w:rPr>
          <w:kern w:val="0"/>
          <w:szCs w:val="20"/>
        </w:rPr>
      </w:pPr>
      <w:r>
        <w:rPr>
          <w:b/>
          <w:bCs/>
          <w:kern w:val="0"/>
          <w:szCs w:val="20"/>
        </w:rPr>
        <w:t>3</w:t>
      </w:r>
      <w:r>
        <w:rPr>
          <w:kern w:val="0"/>
          <w:szCs w:val="20"/>
        </w:rPr>
        <w:t xml:space="preserve">  当富水地层选用螺旋输送机出渣时，螺旋输送机出渣口宜配置双闸门。</w:t>
      </w:r>
    </w:p>
    <w:p w14:paraId="7284729F">
      <w:pPr>
        <w:jc w:val="left"/>
      </w:pPr>
      <w:r>
        <w:rPr>
          <w:b/>
          <w:bCs/>
          <w:kern w:val="0"/>
          <w:szCs w:val="20"/>
        </w:rPr>
        <w:t xml:space="preserve">8.2.6  </w:t>
      </w:r>
      <w:r>
        <w:t>矩形土压平衡顶管机应配置渣土改良系统，并应符合下列规定：</w:t>
      </w:r>
    </w:p>
    <w:p w14:paraId="4A6BB7E9">
      <w:pPr>
        <w:ind w:firstLine="482" w:firstLineChars="200"/>
        <w:jc w:val="left"/>
      </w:pPr>
      <w:r>
        <w:rPr>
          <w:b/>
          <w:bCs/>
        </w:rPr>
        <w:t>1</w:t>
      </w:r>
      <w:r>
        <w:t xml:space="preserve">  黏土、粉土地层应配置</w:t>
      </w:r>
      <w:r>
        <w:rPr>
          <w:rFonts w:hint="eastAsia"/>
        </w:rPr>
        <w:t>渣土</w:t>
      </w:r>
      <w:r>
        <w:t>改良系统；</w:t>
      </w:r>
    </w:p>
    <w:p w14:paraId="613BA969">
      <w:pPr>
        <w:ind w:firstLine="482" w:firstLineChars="200"/>
        <w:jc w:val="left"/>
      </w:pPr>
      <w:r>
        <w:rPr>
          <w:b/>
          <w:bCs/>
        </w:rPr>
        <w:t>2</w:t>
      </w:r>
      <w:r>
        <w:t xml:space="preserve">  砂土地层应配置膨润土改良系统；</w:t>
      </w:r>
    </w:p>
    <w:p w14:paraId="75171284">
      <w:pPr>
        <w:ind w:firstLine="482" w:firstLineChars="200"/>
        <w:jc w:val="left"/>
      </w:pPr>
      <w:r>
        <w:rPr>
          <w:b/>
          <w:bCs/>
        </w:rPr>
        <w:t>3</w:t>
      </w:r>
      <w:r>
        <w:t xml:space="preserve">  砾石层矩形</w:t>
      </w:r>
      <w:r>
        <w:rPr>
          <w:szCs w:val="20"/>
        </w:rPr>
        <w:t>顶管机</w:t>
      </w:r>
      <w:r>
        <w:t>应配备泡沫、膨润土、黏土综合改良系统。</w:t>
      </w:r>
    </w:p>
    <w:p w14:paraId="00F5C283">
      <w:pPr>
        <w:rPr>
          <w:bCs/>
        </w:rPr>
      </w:pPr>
      <w:r>
        <w:rPr>
          <w:rFonts w:hint="eastAsia"/>
          <w:b/>
          <w:bCs/>
        </w:rPr>
        <w:t xml:space="preserve">8.2.7  </w:t>
      </w:r>
      <w:r>
        <w:rPr>
          <w:rFonts w:hint="eastAsia"/>
          <w:bCs/>
        </w:rPr>
        <w:t>矩形泥水平衡顶管机泥浆循环系统，并应符合下列规定：</w:t>
      </w:r>
    </w:p>
    <w:p w14:paraId="63C1F927">
      <w:pPr>
        <w:ind w:firstLine="482" w:firstLineChars="200"/>
        <w:jc w:val="left"/>
      </w:pPr>
      <w:r>
        <w:rPr>
          <w:rFonts w:hint="eastAsia"/>
          <w:b/>
        </w:rPr>
        <w:t xml:space="preserve">1 </w:t>
      </w:r>
      <w:r>
        <w:rPr>
          <w:rFonts w:hint="eastAsia"/>
        </w:rPr>
        <w:t xml:space="preserve"> 系统应具有能实现掘进、旁通、逆洗和补浆工作模式的功能，模式切换的阀门动作满足设计要求；</w:t>
      </w:r>
    </w:p>
    <w:p w14:paraId="1C5C6DAF">
      <w:pPr>
        <w:ind w:firstLine="482" w:firstLineChars="200"/>
        <w:jc w:val="left"/>
      </w:pPr>
      <w:r>
        <w:rPr>
          <w:rFonts w:hint="eastAsia"/>
          <w:b/>
        </w:rPr>
        <w:t>2</w:t>
      </w:r>
      <w:r>
        <w:rPr>
          <w:rFonts w:hint="eastAsia"/>
        </w:rPr>
        <w:t xml:space="preserve">  在刀盘中心和排渣口区域宜设置高压冲刷口；</w:t>
      </w:r>
    </w:p>
    <w:p w14:paraId="5E961202">
      <w:pPr>
        <w:ind w:firstLine="482" w:firstLineChars="200"/>
        <w:jc w:val="left"/>
      </w:pPr>
      <w:r>
        <w:rPr>
          <w:rFonts w:hint="eastAsia"/>
          <w:b/>
        </w:rPr>
        <w:t xml:space="preserve">3  </w:t>
      </w:r>
      <w:r>
        <w:rPr>
          <w:rFonts w:hint="eastAsia"/>
        </w:rPr>
        <w:t>应配有进排浆密度、压力和流量检测装置；</w:t>
      </w:r>
    </w:p>
    <w:p w14:paraId="2C21ED76">
      <w:pPr>
        <w:ind w:firstLine="482" w:firstLineChars="200"/>
        <w:jc w:val="left"/>
      </w:pPr>
      <w:r>
        <w:rPr>
          <w:rFonts w:hint="eastAsia"/>
          <w:b/>
        </w:rPr>
        <w:t xml:space="preserve">4 </w:t>
      </w:r>
      <w:r>
        <w:rPr>
          <w:rFonts w:hint="eastAsia"/>
        </w:rPr>
        <w:t xml:space="preserve"> 泥浆泵进、出口应配置压力传感器及软连接；</w:t>
      </w:r>
    </w:p>
    <w:p w14:paraId="3140C0CE">
      <w:pPr>
        <w:ind w:firstLine="482" w:firstLineChars="200"/>
        <w:jc w:val="left"/>
      </w:pPr>
      <w:r>
        <w:rPr>
          <w:rFonts w:hint="eastAsia"/>
          <w:b/>
        </w:rPr>
        <w:t xml:space="preserve">5 </w:t>
      </w:r>
      <w:r>
        <w:rPr>
          <w:rFonts w:hint="eastAsia"/>
        </w:rPr>
        <w:t xml:space="preserve"> 主控室内应设置泥水循环系统急停按钮。</w:t>
      </w:r>
    </w:p>
    <w:p w14:paraId="3EC9CFE6">
      <w:r>
        <w:rPr>
          <w:b/>
          <w:bCs/>
        </w:rPr>
        <w:t xml:space="preserve">8.2.8 </w:t>
      </w:r>
      <w:r>
        <w:t xml:space="preserve"> 人员带压进仓作业时，矩形顶管机应设置人舱，人舱技术应符合现行国家标准《全断面隧道掘进机</w:t>
      </w:r>
      <w:r>
        <w:rPr>
          <w:rFonts w:hint="eastAsia"/>
        </w:rPr>
        <w:t xml:space="preserve">  </w:t>
      </w:r>
      <w:r>
        <w:t>土压平衡盾构机</w:t>
      </w:r>
      <w:r>
        <w:rPr>
          <w:rFonts w:hint="eastAsia"/>
        </w:rPr>
        <w:t>》</w:t>
      </w:r>
      <w:r>
        <w:t>GB/T 34651的有关规定。</w:t>
      </w:r>
    </w:p>
    <w:p w14:paraId="5C20CAEF">
      <w:pPr>
        <w:pStyle w:val="91"/>
        <w:spacing w:before="0" w:after="0" w:line="360" w:lineRule="auto"/>
        <w:jc w:val="both"/>
        <w:outlineLvl w:val="9"/>
        <w:rPr>
          <w:rFonts w:ascii="Times New Roman" w:eastAsiaTheme="minorEastAsia"/>
          <w:sz w:val="24"/>
          <w:szCs w:val="24"/>
        </w:rPr>
      </w:pPr>
    </w:p>
    <w:p w14:paraId="52424E0D">
      <w:pPr>
        <w:pStyle w:val="3"/>
        <w:rPr>
          <w:rFonts w:eastAsia="黑体" w:cs="Times New Roman"/>
          <w:b w:val="0"/>
        </w:rPr>
      </w:pPr>
      <w:bookmarkStart w:id="420" w:name="_Toc60172917"/>
      <w:bookmarkStart w:id="421" w:name="_Toc60173804"/>
      <w:r>
        <w:rPr>
          <w:rFonts w:eastAsia="黑体" w:cs="Times New Roman"/>
        </w:rPr>
        <w:t>8.3</w:t>
      </w:r>
      <w:r>
        <w:rPr>
          <w:rFonts w:eastAsia="黑体" w:cs="Times New Roman"/>
          <w:b w:val="0"/>
        </w:rPr>
        <w:t xml:space="preserve">  顶推系统及安装</w:t>
      </w:r>
      <w:bookmarkEnd w:id="420"/>
      <w:bookmarkEnd w:id="421"/>
    </w:p>
    <w:p w14:paraId="526F9E6E">
      <w:pPr>
        <w:rPr>
          <w:rFonts w:eastAsiaTheme="minorEastAsia"/>
        </w:rPr>
      </w:pPr>
      <w:r>
        <w:rPr>
          <w:rFonts w:eastAsiaTheme="minorEastAsia"/>
          <w:b/>
          <w:kern w:val="0"/>
        </w:rPr>
        <w:t>8.3.1</w:t>
      </w:r>
      <w:r>
        <w:rPr>
          <w:rFonts w:eastAsiaTheme="minorEastAsia"/>
          <w:kern w:val="0"/>
        </w:rPr>
        <w:t xml:space="preserve">  </w:t>
      </w:r>
      <w:r>
        <w:rPr>
          <w:rFonts w:eastAsiaTheme="minorEastAsia"/>
        </w:rPr>
        <w:t>顶推液压缸支架的安装应符合下列规定：</w:t>
      </w:r>
    </w:p>
    <w:p w14:paraId="3639A6E7">
      <w:pPr>
        <w:ind w:firstLine="482" w:firstLineChars="200"/>
      </w:pPr>
      <w:r>
        <w:rPr>
          <w:b/>
          <w:bCs/>
        </w:rPr>
        <w:t>1</w:t>
      </w:r>
      <w:r>
        <w:t xml:space="preserve">  顶推液压缸支架应牢固安装在始发井底板上，支架两侧应平行、等高、对称，安装轴线应与隧道设计轴线一致；</w:t>
      </w:r>
    </w:p>
    <w:p w14:paraId="1C370C5D">
      <w:pPr>
        <w:ind w:firstLine="482" w:firstLineChars="200"/>
      </w:pPr>
      <w:r>
        <w:rPr>
          <w:b/>
          <w:bCs/>
        </w:rPr>
        <w:t>2</w:t>
      </w:r>
      <w:r>
        <w:t xml:space="preserve">  顶推液压缸支架安装应使顶推液压缸的合力中心在隧道中心的垂直线上，且合力中心点宜低于隧道中心。</w:t>
      </w:r>
    </w:p>
    <w:p w14:paraId="10906171">
      <w:pPr>
        <w:rPr>
          <w:rFonts w:eastAsiaTheme="minorEastAsia"/>
        </w:rPr>
      </w:pPr>
      <w:r>
        <w:rPr>
          <w:rFonts w:eastAsiaTheme="minorEastAsia"/>
          <w:b/>
          <w:kern w:val="0"/>
        </w:rPr>
        <w:t xml:space="preserve">8.3.2  </w:t>
      </w:r>
      <w:r>
        <w:rPr>
          <w:rFonts w:eastAsiaTheme="minorEastAsia"/>
        </w:rPr>
        <w:t>顶推液压缸的安装及调试应符合下列规定：</w:t>
      </w:r>
    </w:p>
    <w:p w14:paraId="2D61E5F9">
      <w:pPr>
        <w:ind w:firstLine="482" w:firstLineChars="200"/>
      </w:pPr>
      <w:r>
        <w:rPr>
          <w:b/>
          <w:bCs/>
        </w:rPr>
        <w:t>1</w:t>
      </w:r>
      <w:r>
        <w:t xml:space="preserve">  </w:t>
      </w:r>
      <w:r>
        <w:rPr>
          <w:lang w:val="de-DE"/>
        </w:rPr>
        <w:t>顶推</w:t>
      </w:r>
      <w:r>
        <w:t>液压缸宜固定在支架上，可做整体吊装；</w:t>
      </w:r>
    </w:p>
    <w:p w14:paraId="2B6DF5F2">
      <w:pPr>
        <w:ind w:firstLine="482" w:firstLineChars="200"/>
      </w:pPr>
      <w:r>
        <w:rPr>
          <w:b/>
          <w:bCs/>
        </w:rPr>
        <w:t>2</w:t>
      </w:r>
      <w:r>
        <w:t xml:space="preserve">  每根液压缸中心轴线宜与管节厚度中心重合；</w:t>
      </w:r>
    </w:p>
    <w:p w14:paraId="2C874797">
      <w:pPr>
        <w:ind w:firstLine="482" w:firstLineChars="200"/>
      </w:pPr>
      <w:r>
        <w:rPr>
          <w:b/>
          <w:bCs/>
        </w:rPr>
        <w:t>3</w:t>
      </w:r>
      <w:r>
        <w:t xml:space="preserve">  液压缸的油路应并联，每根液压缸应有进油、出油的控制系统；</w:t>
      </w:r>
    </w:p>
    <w:p w14:paraId="5013856F">
      <w:pPr>
        <w:ind w:firstLine="482" w:firstLineChars="200"/>
      </w:pPr>
      <w:r>
        <w:rPr>
          <w:b/>
          <w:bCs/>
        </w:rPr>
        <w:t>4</w:t>
      </w:r>
      <w:r>
        <w:t xml:space="preserve">  每根液压缸应设置油路断路开关；</w:t>
      </w:r>
    </w:p>
    <w:p w14:paraId="71F288A7">
      <w:pPr>
        <w:ind w:firstLine="482" w:firstLineChars="200"/>
      </w:pPr>
      <w:r>
        <w:rPr>
          <w:b/>
          <w:bCs/>
        </w:rPr>
        <w:t>5</w:t>
      </w:r>
      <w:r>
        <w:t xml:space="preserve">  应分别对每</w:t>
      </w:r>
      <w:r>
        <w:rPr>
          <w:rFonts w:hint="eastAsia"/>
        </w:rPr>
        <w:t>台</w:t>
      </w:r>
      <w:r>
        <w:t>液压缸进行调试，油压均应达到额定压力；</w:t>
      </w:r>
    </w:p>
    <w:p w14:paraId="6CB14E36">
      <w:pPr>
        <w:ind w:firstLine="482" w:firstLineChars="200"/>
      </w:pPr>
      <w:r>
        <w:rPr>
          <w:b/>
          <w:bCs/>
        </w:rPr>
        <w:t>6</w:t>
      </w:r>
      <w:r>
        <w:t xml:space="preserve">  顶推液压缸宜取偶数，且规格宜相同。当规格不同时，应保证行程一致，并应将同规格的液压缸对称布置。</w:t>
      </w:r>
    </w:p>
    <w:p w14:paraId="67D3B5D5">
      <w:pPr>
        <w:rPr>
          <w:rFonts w:eastAsiaTheme="minorEastAsia"/>
          <w:b/>
        </w:rPr>
      </w:pPr>
      <w:r>
        <w:rPr>
          <w:rFonts w:eastAsiaTheme="minorEastAsia"/>
          <w:b/>
          <w:kern w:val="0"/>
        </w:rPr>
        <w:t xml:space="preserve">8.3.3  </w:t>
      </w:r>
      <w:r>
        <w:rPr>
          <w:rFonts w:eastAsiaTheme="minorEastAsia"/>
        </w:rPr>
        <w:t>顶推液压泵站的安装及调试应符合下列规定：</w:t>
      </w:r>
    </w:p>
    <w:p w14:paraId="48631B6B">
      <w:pPr>
        <w:ind w:firstLine="482" w:firstLineChars="200"/>
      </w:pPr>
      <w:r>
        <w:rPr>
          <w:b/>
          <w:bCs/>
        </w:rPr>
        <w:t>1</w:t>
      </w:r>
      <w:r>
        <w:t xml:space="preserve">  顶推液压泵站的油箱有效容积不应小于液压缸用油量总和的1.1倍，油管通径应与液压缸的大小和数量匹配；</w:t>
      </w:r>
    </w:p>
    <w:p w14:paraId="4D3A6942">
      <w:pPr>
        <w:ind w:firstLine="482" w:firstLineChars="200"/>
      </w:pPr>
      <w:r>
        <w:rPr>
          <w:b/>
          <w:bCs/>
        </w:rPr>
        <w:t>2</w:t>
      </w:r>
      <w:r>
        <w:t xml:space="preserve">  顶推液压泵站安放的场地应平整压实、通风、防雨，严寒地区应配备保温措施；</w:t>
      </w:r>
    </w:p>
    <w:p w14:paraId="3C27841F">
      <w:pPr>
        <w:ind w:firstLine="482" w:firstLineChars="200"/>
        <w:rPr>
          <w:rStyle w:val="47"/>
          <w:rFonts w:asciiTheme="minorHAnsi" w:hAnsiTheme="minorHAnsi" w:eastAsiaTheme="minorEastAsia" w:cstheme="minorBidi"/>
        </w:rPr>
      </w:pPr>
      <w:r>
        <w:rPr>
          <w:b/>
          <w:bCs/>
        </w:rPr>
        <w:t>3</w:t>
      </w:r>
      <w:r>
        <w:t xml:space="preserve">  顶推液压泵站应靠近液压缸安装。设定工作压力不得超出液压泵的额定压力</w:t>
      </w:r>
      <w:r>
        <w:rPr>
          <w:rStyle w:val="47"/>
          <w:rFonts w:hint="eastAsia" w:asciiTheme="minorHAnsi" w:hAnsiTheme="minorHAnsi" w:eastAsiaTheme="minorEastAsia" w:cstheme="minorBidi"/>
        </w:rPr>
        <w:t>；</w:t>
      </w:r>
    </w:p>
    <w:p w14:paraId="3EE4FA63">
      <w:pPr>
        <w:ind w:firstLine="482" w:firstLineChars="200"/>
      </w:pPr>
      <w:r>
        <w:rPr>
          <w:b/>
          <w:bCs/>
        </w:rPr>
        <w:t>4</w:t>
      </w:r>
      <w:r>
        <w:t xml:space="preserve">  油管的承压能力不应小于系统的最高压力，</w:t>
      </w:r>
      <w:r>
        <w:rPr>
          <w:rFonts w:hint="eastAsia"/>
        </w:rPr>
        <w:t>油管</w:t>
      </w:r>
      <w:r>
        <w:t>安装时应顺直但不</w:t>
      </w:r>
      <w:r>
        <w:rPr>
          <w:rFonts w:hint="eastAsia"/>
        </w:rPr>
        <w:t>应</w:t>
      </w:r>
      <w:r>
        <w:t>紧绷，不宜使用过长的油管。</w:t>
      </w:r>
    </w:p>
    <w:p w14:paraId="5E7E11B3">
      <w:pPr>
        <w:rPr>
          <w:rFonts w:eastAsiaTheme="minorEastAsia"/>
          <w:b/>
        </w:rPr>
      </w:pPr>
      <w:r>
        <w:rPr>
          <w:rFonts w:eastAsiaTheme="minorEastAsia"/>
          <w:b/>
          <w:kern w:val="0"/>
        </w:rPr>
        <w:t xml:space="preserve">8.3.4  </w:t>
      </w:r>
      <w:r>
        <w:rPr>
          <w:rFonts w:eastAsiaTheme="minorEastAsia"/>
        </w:rPr>
        <w:t>后靠的安装及调试应符合下列规定：</w:t>
      </w:r>
    </w:p>
    <w:p w14:paraId="23F23EE7">
      <w:pPr>
        <w:ind w:firstLine="482" w:firstLineChars="200"/>
      </w:pPr>
      <w:r>
        <w:rPr>
          <w:b/>
          <w:bCs/>
        </w:rPr>
        <w:t>1</w:t>
      </w:r>
      <w:r>
        <w:t xml:space="preserve">  后靠宜采用焊接钢构，后靠的立面面积应根据顶力、井壁厚度及强度、土层的承载力确定；安装时应确保作用面与</w:t>
      </w:r>
      <w:r>
        <w:rPr>
          <w:rFonts w:hint="eastAsia"/>
        </w:rPr>
        <w:t>隧道设计轴线</w:t>
      </w:r>
      <w:r>
        <w:t>垂直，倾斜误差不应大于0.5%；</w:t>
      </w:r>
    </w:p>
    <w:p w14:paraId="142591D9">
      <w:pPr>
        <w:ind w:firstLine="482" w:firstLineChars="200"/>
      </w:pPr>
      <w:r>
        <w:rPr>
          <w:b/>
          <w:bCs/>
        </w:rPr>
        <w:t>2</w:t>
      </w:r>
      <w:r>
        <w:t xml:space="preserve">  可用型钢对后靠进行横向的固定；</w:t>
      </w:r>
    </w:p>
    <w:p w14:paraId="2274EC49">
      <w:pPr>
        <w:ind w:firstLine="482" w:firstLineChars="200"/>
      </w:pPr>
      <w:r>
        <w:rPr>
          <w:b/>
          <w:bCs/>
        </w:rPr>
        <w:t>3</w:t>
      </w:r>
      <w:r>
        <w:t xml:space="preserve">  应根据后靠的布筋结构确定后靠</w:t>
      </w:r>
      <w:r>
        <w:rPr>
          <w:rFonts w:hint="eastAsia"/>
        </w:rPr>
        <w:t>的</w:t>
      </w:r>
      <w:r>
        <w:t>安装位置及前后朝向；</w:t>
      </w:r>
    </w:p>
    <w:p w14:paraId="2A9FD2FF">
      <w:pPr>
        <w:ind w:firstLine="482" w:firstLineChars="200"/>
      </w:pPr>
      <w:r>
        <w:rPr>
          <w:b/>
          <w:bCs/>
        </w:rPr>
        <w:t>4</w:t>
      </w:r>
      <w:r>
        <w:t xml:space="preserve">  后靠与井壁之间的空隙应浇筑强度等级不低于C30的混凝土。</w:t>
      </w:r>
    </w:p>
    <w:p w14:paraId="038D7F08">
      <w:pPr>
        <w:rPr>
          <w:rFonts w:eastAsiaTheme="minorEastAsia"/>
        </w:rPr>
      </w:pPr>
      <w:r>
        <w:rPr>
          <w:rFonts w:eastAsiaTheme="minorEastAsia"/>
          <w:b/>
          <w:kern w:val="0"/>
        </w:rPr>
        <w:t xml:space="preserve">8.3.5  </w:t>
      </w:r>
      <w:r>
        <w:rPr>
          <w:rFonts w:eastAsiaTheme="minorEastAsia"/>
        </w:rPr>
        <w:t>顶铁的安装和使用应符合下列规定：</w:t>
      </w:r>
    </w:p>
    <w:p w14:paraId="55355FE2">
      <w:pPr>
        <w:ind w:firstLine="482" w:firstLineChars="200"/>
      </w:pPr>
      <w:r>
        <w:rPr>
          <w:b/>
          <w:bCs/>
        </w:rPr>
        <w:t>1</w:t>
      </w:r>
      <w:r>
        <w:t xml:space="preserve">  顶铁宜采用型钢焊接成型，顶铁的强度、刚度应满足最大允许顶力要求；</w:t>
      </w:r>
    </w:p>
    <w:p w14:paraId="4F0D89A5">
      <w:pPr>
        <w:ind w:firstLine="482" w:firstLineChars="200"/>
        <w:rPr>
          <w:strike/>
        </w:rPr>
      </w:pPr>
      <w:r>
        <w:rPr>
          <w:b/>
          <w:bCs/>
        </w:rPr>
        <w:t>2</w:t>
      </w:r>
      <w:r>
        <w:t xml:space="preserve">  顶铁安装轴线应与隧道设计轴线一致，顶铁与导轨、管节、液压缸之间的接触面不得有泥土等异物；</w:t>
      </w:r>
    </w:p>
    <w:p w14:paraId="59FF1619">
      <w:pPr>
        <w:ind w:firstLine="482" w:firstLineChars="200"/>
      </w:pPr>
      <w:r>
        <w:rPr>
          <w:b/>
          <w:bCs/>
        </w:rPr>
        <w:t>3</w:t>
      </w:r>
      <w:r>
        <w:t xml:space="preserve">  顶铁与管节之间应采用缓冲材料衬垫；</w:t>
      </w:r>
    </w:p>
    <w:p w14:paraId="360E09A0">
      <w:pPr>
        <w:ind w:firstLine="482" w:firstLineChars="200"/>
      </w:pPr>
      <w:r>
        <w:rPr>
          <w:b/>
          <w:bCs/>
        </w:rPr>
        <w:t>4</w:t>
      </w:r>
      <w:r>
        <w:t xml:space="preserve">  顶铁与顶推液压缸连接端宜配置顶推液压缸向后拖拽装置；</w:t>
      </w:r>
    </w:p>
    <w:p w14:paraId="0969587A">
      <w:pPr>
        <w:ind w:firstLine="482" w:firstLineChars="200"/>
        <w:rPr>
          <w:b/>
        </w:rPr>
      </w:pPr>
      <w:r>
        <w:rPr>
          <w:b/>
          <w:bCs/>
        </w:rPr>
        <w:t>5</w:t>
      </w:r>
      <w:r>
        <w:t xml:space="preserve">  顶铁放置导轨上时应保持稳定；</w:t>
      </w:r>
    </w:p>
    <w:p w14:paraId="610FA980">
      <w:pPr>
        <w:ind w:firstLine="482" w:firstLineChars="200"/>
      </w:pPr>
      <w:r>
        <w:rPr>
          <w:b/>
          <w:bCs/>
        </w:rPr>
        <w:t>6</w:t>
      </w:r>
      <w:r>
        <w:t xml:space="preserve">  顶进时，工作人员不得在顶铁上方及侧面停留，并应随时观察顶铁的工作状况；</w:t>
      </w:r>
    </w:p>
    <w:p w14:paraId="15377C03">
      <w:pPr>
        <w:ind w:firstLine="482" w:firstLineChars="200"/>
      </w:pPr>
      <w:r>
        <w:rPr>
          <w:b/>
          <w:bCs/>
        </w:rPr>
        <w:t>7</w:t>
      </w:r>
      <w:r>
        <w:t xml:space="preserve">  安装前应检查顶铁规格和完好性，不同规格的顶铁不宜混用。</w:t>
      </w:r>
    </w:p>
    <w:p w14:paraId="6D971685">
      <w:pPr>
        <w:rPr>
          <w:rFonts w:eastAsiaTheme="minorEastAsia"/>
          <w:b/>
        </w:rPr>
      </w:pPr>
      <w:r>
        <w:rPr>
          <w:rFonts w:eastAsiaTheme="minorEastAsia"/>
          <w:b/>
          <w:kern w:val="0"/>
        </w:rPr>
        <w:t xml:space="preserve">8.3.6  </w:t>
      </w:r>
      <w:r>
        <w:rPr>
          <w:rFonts w:eastAsiaTheme="minorEastAsia"/>
        </w:rPr>
        <w:t>止退装置的安装应符合下列规定：</w:t>
      </w:r>
    </w:p>
    <w:p w14:paraId="7DFDB51C">
      <w:pPr>
        <w:ind w:firstLine="482" w:firstLineChars="200"/>
      </w:pPr>
      <w:r>
        <w:rPr>
          <w:b/>
          <w:bCs/>
        </w:rPr>
        <w:t>1</w:t>
      </w:r>
      <w:r>
        <w:t xml:space="preserve">  顶管机始发井内应设置止退装置，止退装置应相对隧道设计轴线对称布置，管节两侧受力应均匀；</w:t>
      </w:r>
    </w:p>
    <w:p w14:paraId="266705EB">
      <w:pPr>
        <w:ind w:firstLine="482" w:firstLineChars="200"/>
      </w:pPr>
      <w:r>
        <w:rPr>
          <w:b/>
          <w:bCs/>
        </w:rPr>
        <w:t>2</w:t>
      </w:r>
      <w:r>
        <w:t xml:space="preserve">  止退装置的基座标高应能保证止退销安装轴线与管节吊装孔轴线处于同一高度；</w:t>
      </w:r>
    </w:p>
    <w:p w14:paraId="687A5A9A">
      <w:pPr>
        <w:ind w:firstLine="482" w:firstLineChars="200"/>
        <w:rPr>
          <w:szCs w:val="24"/>
        </w:rPr>
      </w:pPr>
      <w:r>
        <w:rPr>
          <w:b/>
          <w:bCs/>
        </w:rPr>
        <w:t>3</w:t>
      </w:r>
      <w:r>
        <w:t xml:space="preserve">  止退装置的安装方向应能承受来自掌子面向后的水土压力。</w:t>
      </w:r>
    </w:p>
    <w:p w14:paraId="3A27FE2F">
      <w:pPr>
        <w:autoSpaceDE w:val="0"/>
        <w:autoSpaceDN w:val="0"/>
        <w:adjustRightInd w:val="0"/>
        <w:ind w:firstLine="480" w:firstLineChars="200"/>
        <w:rPr>
          <w:kern w:val="0"/>
          <w:szCs w:val="24"/>
        </w:rPr>
      </w:pPr>
    </w:p>
    <w:p w14:paraId="4C2A4906">
      <w:pPr>
        <w:pStyle w:val="3"/>
        <w:rPr>
          <w:rFonts w:eastAsia="黑体" w:cs="Times New Roman"/>
          <w:b w:val="0"/>
        </w:rPr>
      </w:pPr>
      <w:bookmarkStart w:id="422" w:name="_Toc60172918"/>
      <w:bookmarkStart w:id="423" w:name="_Toc60173805"/>
      <w:r>
        <w:rPr>
          <w:rFonts w:eastAsia="黑体" w:cs="Times New Roman"/>
        </w:rPr>
        <w:t>8.4</w:t>
      </w:r>
      <w:r>
        <w:rPr>
          <w:rFonts w:eastAsia="黑体" w:cs="Times New Roman"/>
          <w:b w:val="0"/>
        </w:rPr>
        <w:t xml:space="preserve">  导轨选择与安装</w:t>
      </w:r>
      <w:bookmarkEnd w:id="422"/>
      <w:bookmarkEnd w:id="423"/>
    </w:p>
    <w:p w14:paraId="5BB495B9">
      <w:r>
        <w:rPr>
          <w:rFonts w:eastAsiaTheme="minorEastAsia"/>
          <w:b/>
          <w:kern w:val="0"/>
        </w:rPr>
        <w:t xml:space="preserve">8.4.1  </w:t>
      </w:r>
      <w:r>
        <w:t>导轨可选用钢混基础直接铺钢轨形式或钢台架基础铺设钢轨形式，基础刚度和强度应满足施工要求</w:t>
      </w:r>
      <w:r>
        <w:rPr>
          <w:rFonts w:hint="eastAsia"/>
        </w:rPr>
        <w:t>，并应</w:t>
      </w:r>
      <w:r>
        <w:t>保证轨道</w:t>
      </w:r>
      <w:r>
        <w:rPr>
          <w:rFonts w:hint="eastAsia"/>
        </w:rPr>
        <w:t>的</w:t>
      </w:r>
      <w:r>
        <w:t>安装精度。</w:t>
      </w:r>
    </w:p>
    <w:p w14:paraId="195F91B6">
      <w:r>
        <w:rPr>
          <w:rFonts w:eastAsiaTheme="minorEastAsia"/>
          <w:b/>
          <w:kern w:val="0"/>
        </w:rPr>
        <w:t xml:space="preserve">8.4.2  </w:t>
      </w:r>
      <w:r>
        <w:t>导轨安装位置应避开刀盘旋转范围，轨道前端应距始发洞门0.5m～0.7m。</w:t>
      </w:r>
    </w:p>
    <w:p w14:paraId="689DABE8">
      <w:r>
        <w:rPr>
          <w:rFonts w:eastAsiaTheme="minorEastAsia"/>
          <w:b/>
          <w:kern w:val="0"/>
        </w:rPr>
        <w:t xml:space="preserve">8.4.3  </w:t>
      </w:r>
      <w:r>
        <w:t>始发洞门破除后，应在洞门下方铺设辅助导轨，辅助导轨安装数量、水平位置及标高应与始发主导轨相匹配，整体应满足始发精度要求。</w:t>
      </w:r>
    </w:p>
    <w:p w14:paraId="7F01CE61">
      <w:r>
        <w:rPr>
          <w:rFonts w:eastAsiaTheme="minorEastAsia"/>
          <w:b/>
          <w:kern w:val="0"/>
        </w:rPr>
        <w:t xml:space="preserve">8.4.4  </w:t>
      </w:r>
      <w:r>
        <w:t>导轨安装轴线的</w:t>
      </w:r>
      <w:r>
        <w:rPr>
          <w:rFonts w:hint="eastAsia"/>
        </w:rPr>
        <w:t>允许偏差应为</w:t>
      </w:r>
      <w:r>
        <w:t>±3mm；导轨顶面高程的</w:t>
      </w:r>
      <w:r>
        <w:rPr>
          <w:rFonts w:hint="eastAsia"/>
        </w:rPr>
        <w:t>允许偏差应在</w:t>
      </w:r>
      <w:r>
        <w:t>0mm～3 mm</w:t>
      </w:r>
      <w:r>
        <w:rPr>
          <w:rFonts w:hint="eastAsia"/>
        </w:rPr>
        <w:t>内</w:t>
      </w:r>
      <w:r>
        <w:t>；</w:t>
      </w:r>
      <w:r>
        <w:rPr>
          <w:rFonts w:hint="eastAsia"/>
        </w:rPr>
        <w:t>导轨</w:t>
      </w:r>
      <w:r>
        <w:t>轨距的允许偏差应</w:t>
      </w:r>
      <w:r>
        <w:rPr>
          <w:rFonts w:hint="eastAsia"/>
        </w:rPr>
        <w:t>为</w:t>
      </w:r>
      <w:r>
        <w:t>±3mm。</w:t>
      </w:r>
    </w:p>
    <w:p w14:paraId="497D3876">
      <w:r>
        <w:rPr>
          <w:rFonts w:eastAsiaTheme="minorEastAsia"/>
          <w:b/>
          <w:kern w:val="0"/>
        </w:rPr>
        <w:t xml:space="preserve">8.4.5  </w:t>
      </w:r>
      <w:r>
        <w:t>导轨应安装牢固，使用过程中不应产生位移，施工过程中应经常检查。</w:t>
      </w:r>
    </w:p>
    <w:p w14:paraId="0F57BE25">
      <w:r>
        <w:rPr>
          <w:rFonts w:eastAsiaTheme="minorEastAsia"/>
          <w:b/>
          <w:kern w:val="0"/>
        </w:rPr>
        <w:t xml:space="preserve">8.4.6  </w:t>
      </w:r>
      <w:r>
        <w:t>导轨标高和坡度</w:t>
      </w:r>
      <w:r>
        <w:rPr>
          <w:rFonts w:eastAsiaTheme="minorEastAsia"/>
          <w:kern w:val="0"/>
        </w:rPr>
        <w:t>应</w:t>
      </w:r>
      <w:r>
        <w:t>依据隧道设计线路提前调整</w:t>
      </w:r>
      <w:r>
        <w:rPr>
          <w:rFonts w:hint="eastAsia"/>
        </w:rPr>
        <w:t>，敷设导轨应顺直、平行、等高，安装的纵向坡度应与隧道设计坡度一致</w:t>
      </w:r>
      <w:r>
        <w:t>。</w:t>
      </w:r>
    </w:p>
    <w:p w14:paraId="53B802B0">
      <w:pPr>
        <w:pStyle w:val="30"/>
        <w:tabs>
          <w:tab w:val="right" w:leader="dot" w:pos="8306"/>
        </w:tabs>
        <w:ind w:left="0"/>
        <w:rPr>
          <w:rFonts w:ascii="Times New Roman" w:hAnsi="Times New Roman" w:cs="Times New Roman"/>
          <w:szCs w:val="21"/>
        </w:rPr>
      </w:pPr>
    </w:p>
    <w:p w14:paraId="1674DB40">
      <w:pPr>
        <w:pStyle w:val="3"/>
        <w:rPr>
          <w:rFonts w:eastAsia="黑体" w:cs="Times New Roman"/>
          <w:b w:val="0"/>
        </w:rPr>
      </w:pPr>
      <w:bookmarkStart w:id="424" w:name="_Toc60172919"/>
      <w:bookmarkStart w:id="425" w:name="_Toc60173806"/>
      <w:r>
        <w:rPr>
          <w:rFonts w:eastAsia="黑体" w:cs="Times New Roman"/>
        </w:rPr>
        <w:t>8.5</w:t>
      </w:r>
      <w:r>
        <w:rPr>
          <w:rFonts w:eastAsia="黑体" w:cs="Times New Roman"/>
          <w:b w:val="0"/>
        </w:rPr>
        <w:t xml:space="preserve">  顶管机安装和调试</w:t>
      </w:r>
      <w:bookmarkEnd w:id="424"/>
      <w:bookmarkEnd w:id="425"/>
    </w:p>
    <w:p w14:paraId="2B339D6B">
      <w:r>
        <w:rPr>
          <w:b/>
          <w:bCs/>
        </w:rPr>
        <w:t>8.5.1</w:t>
      </w:r>
      <w:r>
        <w:t xml:space="preserve">  顶管机的尺寸和结构应满足实际工程要求，在吊装前应做详细的检查。</w:t>
      </w:r>
    </w:p>
    <w:p w14:paraId="0ED741B9">
      <w:r>
        <w:rPr>
          <w:b/>
          <w:bCs/>
        </w:rPr>
        <w:t xml:space="preserve">8.5.2 </w:t>
      </w:r>
      <w:r>
        <w:t xml:space="preserve"> 顶管机正式起吊前应进行试吊，试吊中应检查全部机索具、场地受力情况，</w:t>
      </w:r>
      <w:r>
        <w:rPr>
          <w:rFonts w:hint="eastAsia"/>
        </w:rPr>
        <w:t>应在</w:t>
      </w:r>
      <w:r>
        <w:t>系好溜绳后平稳起吊，吊装人员不得站立在吊臂和顶管机下方。</w:t>
      </w:r>
    </w:p>
    <w:p w14:paraId="2998F02B">
      <w:r>
        <w:rPr>
          <w:b/>
          <w:bCs/>
        </w:rPr>
        <w:t xml:space="preserve">8.5.3  </w:t>
      </w:r>
      <w:r>
        <w:t>吊装顶管机时应平稳、缓慢、避免任何冲击和碰撞。重量较轻的小型简单顶管机可采用钢丝绳吊放，吊装大型顶管机等重要设备时，应采用专用吊具。</w:t>
      </w:r>
    </w:p>
    <w:p w14:paraId="10827E60">
      <w:r>
        <w:rPr>
          <w:b/>
          <w:bCs/>
        </w:rPr>
        <w:t xml:space="preserve">8.5.4 </w:t>
      </w:r>
      <w:r>
        <w:t xml:space="preserve"> 顶管机下放至距离导轨</w:t>
      </w:r>
      <w:r>
        <w:rPr>
          <w:rFonts w:hint="eastAsia"/>
        </w:rPr>
        <w:t>0.</w:t>
      </w:r>
      <w:r>
        <w:t>5m时，应暂停吊装机的下放操作，调整顶管机的吊放位置，并</w:t>
      </w:r>
      <w:r>
        <w:rPr>
          <w:rFonts w:hint="eastAsia"/>
        </w:rPr>
        <w:t>应</w:t>
      </w:r>
      <w:r>
        <w:t>在顶管机前端预留出洞门处理空间，然后缓慢放下。</w:t>
      </w:r>
    </w:p>
    <w:p w14:paraId="753B0E70">
      <w:r>
        <w:rPr>
          <w:b/>
          <w:bCs/>
        </w:rPr>
        <w:t xml:space="preserve">8.5.5  </w:t>
      </w:r>
      <w:r>
        <w:t>始发井内矩形顶管机两侧宜设置左右限位装置或左右位置调节装置。</w:t>
      </w:r>
    </w:p>
    <w:p w14:paraId="4ADD8633">
      <w:r>
        <w:rPr>
          <w:b/>
          <w:bCs/>
        </w:rPr>
        <w:t>8.5.6</w:t>
      </w:r>
      <w:r>
        <w:t xml:space="preserve">  顶管机主机组装前应熟知所组装部件的结构、连接方式及技术要求。</w:t>
      </w:r>
    </w:p>
    <w:p w14:paraId="5D1BCA5C">
      <w:r>
        <w:rPr>
          <w:b/>
          <w:bCs/>
        </w:rPr>
        <w:t>8.5.7</w:t>
      </w:r>
      <w:r>
        <w:t xml:space="preserve">  顶管机主机组装工作应遵循由前向后、先下后上、先机械后液压电气的原则。</w:t>
      </w:r>
    </w:p>
    <w:p w14:paraId="33658DDB">
      <w:r>
        <w:rPr>
          <w:b/>
          <w:bCs/>
        </w:rPr>
        <w:t>8.5.8</w:t>
      </w:r>
      <w:r>
        <w:t xml:space="preserve">  顶管机顶进前应进行调试，并应符合下列规定：</w:t>
      </w:r>
    </w:p>
    <w:p w14:paraId="00515A6C">
      <w:pPr>
        <w:ind w:firstLine="482" w:firstLineChars="200"/>
      </w:pPr>
      <w:r>
        <w:rPr>
          <w:b/>
          <w:bCs/>
        </w:rPr>
        <w:t>1</w:t>
      </w:r>
      <w:r>
        <w:t xml:space="preserve">  连接顶管机操作台、电气柜内部与外部的电线电缆，应接线正确、规范；</w:t>
      </w:r>
    </w:p>
    <w:p w14:paraId="1C2D1048">
      <w:pPr>
        <w:ind w:firstLine="482" w:firstLineChars="200"/>
      </w:pPr>
      <w:r>
        <w:rPr>
          <w:b/>
          <w:bCs/>
        </w:rPr>
        <w:t>2</w:t>
      </w:r>
      <w:r>
        <w:t xml:space="preserve">  应检查并确保所有电气柜、控制盒、端子盒、传感器等安装正确、防护到位，不得有松动、损坏、污染等异常情况；</w:t>
      </w:r>
    </w:p>
    <w:p w14:paraId="6C23E463">
      <w:pPr>
        <w:ind w:firstLine="482" w:firstLineChars="200"/>
      </w:pPr>
      <w:r>
        <w:rPr>
          <w:b/>
          <w:bCs/>
        </w:rPr>
        <w:t>3</w:t>
      </w:r>
      <w:r>
        <w:t xml:space="preserve">  应按顺序逐级给整机送电，送电前所有开关均应处于断开状态；</w:t>
      </w:r>
    </w:p>
    <w:p w14:paraId="3469B9BF">
      <w:pPr>
        <w:ind w:firstLine="482" w:firstLineChars="200"/>
      </w:pPr>
      <w:r>
        <w:rPr>
          <w:b/>
          <w:bCs/>
        </w:rPr>
        <w:t>4</w:t>
      </w:r>
      <w:r>
        <w:t xml:space="preserve">  PLC程序、上位机软件及视频监控系统软件应正确下载及安装；</w:t>
      </w:r>
    </w:p>
    <w:p w14:paraId="47119F04">
      <w:pPr>
        <w:ind w:firstLine="482" w:firstLineChars="200"/>
      </w:pPr>
      <w:r>
        <w:rPr>
          <w:b/>
          <w:bCs/>
        </w:rPr>
        <w:t>5</w:t>
      </w:r>
      <w:r>
        <w:t xml:space="preserve">  通讯系统应正常，液压、流体及机械应满足调试的动作条件要求；</w:t>
      </w:r>
    </w:p>
    <w:p w14:paraId="697D6733">
      <w:pPr>
        <w:ind w:firstLine="482" w:firstLineChars="200"/>
      </w:pPr>
      <w:r>
        <w:rPr>
          <w:b/>
          <w:bCs/>
        </w:rPr>
        <w:t>6</w:t>
      </w:r>
      <w:r>
        <w:t xml:space="preserve">  应按调试验收大纲分系统进行调试，并应符合下列规定：</w:t>
      </w:r>
    </w:p>
    <w:p w14:paraId="65F6547C">
      <w:pPr>
        <w:ind w:left="1200" w:leftChars="350" w:hanging="360" w:hangingChars="150"/>
      </w:pPr>
      <w:r>
        <w:t>1）刀盘应安装正确、运转无干涉，刀盘系统开挖轮廓应满足设计要求；</w:t>
      </w:r>
    </w:p>
    <w:p w14:paraId="253CF48F">
      <w:pPr>
        <w:ind w:left="1200" w:leftChars="350" w:hanging="360" w:hangingChars="150"/>
      </w:pPr>
      <w:r>
        <w:t>2）各刀盘正、反转动应平稳，电机转动电流无突变；</w:t>
      </w:r>
    </w:p>
    <w:p w14:paraId="3C5D4428">
      <w:pPr>
        <w:ind w:left="1200" w:leftChars="350" w:hanging="360" w:hangingChars="150"/>
      </w:pPr>
      <w:r>
        <w:t>3）纠偏系统的动作反应应及时，上下左右纠偏动作</w:t>
      </w:r>
      <w:r>
        <w:rPr>
          <w:rFonts w:hint="eastAsia"/>
        </w:rPr>
        <w:t>的</w:t>
      </w:r>
      <w:r>
        <w:t>液压缸伸缩量应与操作台的数值一致。</w:t>
      </w:r>
    </w:p>
    <w:p w14:paraId="46ED3DFB">
      <w:pPr>
        <w:ind w:firstLine="482" w:firstLineChars="200"/>
      </w:pPr>
      <w:r>
        <w:rPr>
          <w:b/>
          <w:bCs/>
        </w:rPr>
        <w:t>7</w:t>
      </w:r>
      <w:r>
        <w:t xml:space="preserve">  系统调试完成后应进行整机调试，整机调试应达到验收大纲的性能指标要求。</w:t>
      </w:r>
    </w:p>
    <w:p w14:paraId="3EAB1AFB">
      <w:pPr>
        <w:ind w:firstLine="420"/>
        <w:rPr>
          <w:rFonts w:eastAsiaTheme="minorEastAsia"/>
        </w:rPr>
      </w:pPr>
    </w:p>
    <w:p w14:paraId="39679239">
      <w:pPr>
        <w:pStyle w:val="3"/>
        <w:rPr>
          <w:rFonts w:eastAsia="黑体" w:cs="Times New Roman"/>
          <w:b w:val="0"/>
        </w:rPr>
      </w:pPr>
      <w:bookmarkStart w:id="426" w:name="_Toc60173807"/>
      <w:bookmarkStart w:id="427" w:name="_Toc60172920"/>
      <w:r>
        <w:rPr>
          <w:rFonts w:eastAsia="黑体" w:cs="Times New Roman"/>
        </w:rPr>
        <w:t>8.6</w:t>
      </w:r>
      <w:r>
        <w:rPr>
          <w:rFonts w:eastAsia="黑体" w:cs="Times New Roman"/>
          <w:b w:val="0"/>
        </w:rPr>
        <w:t xml:space="preserve">  土压平衡出渣系统的安装</w:t>
      </w:r>
      <w:bookmarkEnd w:id="426"/>
      <w:bookmarkEnd w:id="427"/>
    </w:p>
    <w:p w14:paraId="7704DA02">
      <w:pPr>
        <w:rPr>
          <w:kern w:val="0"/>
        </w:rPr>
      </w:pPr>
      <w:r>
        <w:rPr>
          <w:b/>
          <w:kern w:val="0"/>
        </w:rPr>
        <w:t>8.6.</w:t>
      </w:r>
      <w:r>
        <w:rPr>
          <w:b/>
          <w:shd w:val="clear" w:color="auto" w:fill="FFFFFF"/>
        </w:rPr>
        <w:t>1</w:t>
      </w:r>
      <w:r>
        <w:rPr>
          <w:shd w:val="clear" w:color="auto" w:fill="FFFFFF"/>
        </w:rPr>
        <w:t xml:space="preserve">  矩形土压平衡顶管机排渣系统应配置螺旋输送机；顶进距离较长时可用渣土</w:t>
      </w:r>
      <w:r>
        <w:rPr>
          <w:kern w:val="0"/>
        </w:rPr>
        <w:t>泵</w:t>
      </w:r>
      <w:r>
        <w:rPr>
          <w:shd w:val="clear" w:color="auto" w:fill="FFFFFF"/>
        </w:rPr>
        <w:t>、皮带机输送</w:t>
      </w:r>
      <w:r>
        <w:rPr>
          <w:kern w:val="0"/>
        </w:rPr>
        <w:t>将渣土送至地面</w:t>
      </w:r>
      <w:r>
        <w:rPr>
          <w:shd w:val="clear" w:color="auto" w:fill="FFFFFF"/>
        </w:rPr>
        <w:t>；顶进距离较短时可用渣车</w:t>
      </w:r>
      <w:r>
        <w:rPr>
          <w:kern w:val="0"/>
        </w:rPr>
        <w:t>运输至始发井，再由垂直运输机械吊至地面。</w:t>
      </w:r>
    </w:p>
    <w:p w14:paraId="13E33F2B">
      <w:pPr>
        <w:rPr>
          <w:shd w:val="clear" w:color="auto" w:fill="FFFFFF"/>
        </w:rPr>
      </w:pPr>
      <w:r>
        <w:rPr>
          <w:b/>
          <w:bCs/>
          <w:shd w:val="clear" w:color="auto" w:fill="FFFFFF"/>
        </w:rPr>
        <w:t>8.6.2</w:t>
      </w:r>
      <w:r>
        <w:rPr>
          <w:shd w:val="clear" w:color="auto" w:fill="FFFFFF"/>
        </w:rPr>
        <w:t xml:space="preserve">  土压平衡顶管施工的排渣设备安装应符合下列规定：</w:t>
      </w:r>
    </w:p>
    <w:p w14:paraId="27ACB17B">
      <w:pPr>
        <w:ind w:firstLine="482" w:firstLineChars="200"/>
        <w:rPr>
          <w:shd w:val="clear" w:color="auto" w:fill="FFFFFF"/>
        </w:rPr>
      </w:pPr>
      <w:r>
        <w:rPr>
          <w:b/>
          <w:bCs/>
          <w:shd w:val="clear" w:color="auto" w:fill="FFFFFF"/>
        </w:rPr>
        <w:t>1</w:t>
      </w:r>
      <w:r>
        <w:rPr>
          <w:shd w:val="clear" w:color="auto" w:fill="FFFFFF"/>
        </w:rPr>
        <w:t xml:space="preserve">  采用渣土泵出土时</w:t>
      </w:r>
      <w:r>
        <w:rPr>
          <w:kern w:val="0"/>
        </w:rPr>
        <w:t>，应设置泥浆沉淀池</w:t>
      </w:r>
      <w:r>
        <w:rPr>
          <w:shd w:val="clear" w:color="auto" w:fill="FFFFFF"/>
        </w:rPr>
        <w:t>，进排浆管宜平直、少弯道，进排浆管间连接应严密，送土管间的折角不宜超过2°；</w:t>
      </w:r>
    </w:p>
    <w:p w14:paraId="5073F980">
      <w:pPr>
        <w:ind w:firstLine="482" w:firstLineChars="200"/>
        <w:rPr>
          <w:shd w:val="clear" w:color="auto" w:fill="FFFFFF"/>
        </w:rPr>
      </w:pPr>
      <w:r>
        <w:rPr>
          <w:b/>
          <w:bCs/>
          <w:shd w:val="clear" w:color="auto" w:fill="FFFFFF"/>
        </w:rPr>
        <w:t>2</w:t>
      </w:r>
      <w:r>
        <w:rPr>
          <w:shd w:val="clear" w:color="auto" w:fill="FFFFFF"/>
        </w:rPr>
        <w:t xml:space="preserve">  用轨道渣车出土时，轨道对接错位水平向不应大于5mm，</w:t>
      </w:r>
      <w:r>
        <w:rPr>
          <w:rFonts w:hint="eastAsia"/>
          <w:shd w:val="clear" w:color="auto" w:fill="FFFFFF"/>
        </w:rPr>
        <w:t>竖直向</w:t>
      </w:r>
      <w:r>
        <w:rPr>
          <w:shd w:val="clear" w:color="auto" w:fill="FFFFFF"/>
        </w:rPr>
        <w:t>不应大于2mm，轨道两端应设置渣车防撞装置；</w:t>
      </w:r>
    </w:p>
    <w:p w14:paraId="63936E53">
      <w:pPr>
        <w:ind w:firstLine="482" w:firstLineChars="200"/>
        <w:rPr>
          <w:shd w:val="clear" w:color="auto" w:fill="FFFFFF"/>
        </w:rPr>
      </w:pPr>
      <w:r>
        <w:rPr>
          <w:b/>
          <w:bCs/>
          <w:shd w:val="clear" w:color="auto" w:fill="FFFFFF"/>
        </w:rPr>
        <w:t>3</w:t>
      </w:r>
      <w:r>
        <w:rPr>
          <w:shd w:val="clear" w:color="auto" w:fill="FFFFFF"/>
        </w:rPr>
        <w:t xml:space="preserve">  采用卷扬机牵引渣车时，卷扬机的线速度不宜大于0.5m/s；</w:t>
      </w:r>
    </w:p>
    <w:p w14:paraId="0459DB1B">
      <w:pPr>
        <w:ind w:firstLine="482" w:firstLineChars="200"/>
      </w:pPr>
      <w:r>
        <w:rPr>
          <w:b/>
          <w:bCs/>
        </w:rPr>
        <w:t>4</w:t>
      </w:r>
      <w:r>
        <w:t xml:space="preserve">  </w:t>
      </w:r>
      <w:r>
        <w:rPr>
          <w:shd w:val="clear" w:color="auto" w:fill="FFFFFF"/>
        </w:rPr>
        <w:t>渣车轨道</w:t>
      </w:r>
      <w:r>
        <w:t>安装应延伸到顶推液压缸支架上。</w:t>
      </w:r>
    </w:p>
    <w:p w14:paraId="73120AD1">
      <w:pPr>
        <w:rPr>
          <w:kern w:val="0"/>
        </w:rPr>
      </w:pPr>
    </w:p>
    <w:p w14:paraId="701640E0">
      <w:pPr>
        <w:pStyle w:val="3"/>
        <w:rPr>
          <w:rFonts w:eastAsia="黑体" w:cs="Times New Roman"/>
          <w:b w:val="0"/>
        </w:rPr>
      </w:pPr>
      <w:bookmarkStart w:id="428" w:name="_Toc60173808"/>
      <w:bookmarkStart w:id="429" w:name="_Toc60172921"/>
      <w:r>
        <w:rPr>
          <w:rFonts w:eastAsia="黑体" w:cs="Times New Roman"/>
        </w:rPr>
        <w:t>8.7</w:t>
      </w:r>
      <w:r>
        <w:rPr>
          <w:rFonts w:eastAsia="黑体" w:cs="Times New Roman"/>
          <w:b w:val="0"/>
        </w:rPr>
        <w:t xml:space="preserve">  泥水</w:t>
      </w:r>
      <w:r>
        <w:rPr>
          <w:rFonts w:hint="eastAsia" w:eastAsia="黑体" w:cs="Times New Roman"/>
          <w:b w:val="0"/>
        </w:rPr>
        <w:t>循环</w:t>
      </w:r>
      <w:r>
        <w:rPr>
          <w:rFonts w:eastAsia="黑体" w:cs="Times New Roman"/>
          <w:b w:val="0"/>
        </w:rPr>
        <w:t>系统的安装</w:t>
      </w:r>
      <w:bookmarkEnd w:id="428"/>
      <w:bookmarkEnd w:id="429"/>
    </w:p>
    <w:p w14:paraId="2ED1E19C">
      <w:r>
        <w:rPr>
          <w:b/>
          <w:kern w:val="0"/>
        </w:rPr>
        <w:t>8.7.</w:t>
      </w:r>
      <w:r>
        <w:rPr>
          <w:rFonts w:hint="eastAsia"/>
          <w:b/>
        </w:rPr>
        <w:t>1</w:t>
      </w:r>
      <w:r>
        <w:t xml:space="preserve">  泥水平衡顶管</w:t>
      </w:r>
      <w:r>
        <w:rPr>
          <w:shd w:val="clear" w:color="auto" w:fill="FFFFFF"/>
        </w:rPr>
        <w:t>机</w:t>
      </w:r>
      <w:r>
        <w:t>的泥水循环系统安装应根据场地条件设置泥浆箱或泥浆池，并设置泥水处理器对渣土、水进行分离</w:t>
      </w:r>
      <w:r>
        <w:rPr>
          <w:rFonts w:hint="eastAsia"/>
        </w:rPr>
        <w:t>。</w:t>
      </w:r>
    </w:p>
    <w:p w14:paraId="7230C648">
      <w:r>
        <w:rPr>
          <w:rFonts w:hint="eastAsia"/>
          <w:b/>
          <w:bCs/>
        </w:rPr>
        <w:t>8.7.</w:t>
      </w:r>
      <w:r>
        <w:rPr>
          <w:b/>
          <w:bCs/>
        </w:rPr>
        <w:t>2</w:t>
      </w:r>
      <w:r>
        <w:t xml:space="preserve">  泥水循环系统进浆泵宜靠近泥浆箱安装，泥浆箱出浆口宜高出箱底500mm，出浆口宜设置截止阀，再通过软管与进浆泵连接</w:t>
      </w:r>
      <w:r>
        <w:rPr>
          <w:rFonts w:hint="eastAsia"/>
        </w:rPr>
        <w:t>。</w:t>
      </w:r>
    </w:p>
    <w:p w14:paraId="6B177C40">
      <w:r>
        <w:rPr>
          <w:rFonts w:hint="eastAsia"/>
          <w:b/>
          <w:bCs/>
        </w:rPr>
        <w:t>8.7.</w:t>
      </w:r>
      <w:r>
        <w:rPr>
          <w:b/>
          <w:bCs/>
        </w:rPr>
        <w:t>3</w:t>
      </w:r>
      <w:r>
        <w:t xml:space="preserve">  泥水循环系统排浆泵</w:t>
      </w:r>
      <w:r>
        <w:rPr>
          <w:rFonts w:hint="eastAsia"/>
        </w:rPr>
        <w:t>应</w:t>
      </w:r>
      <w:r>
        <w:t>安装在井内或隧道内，井内安装高度宜高出井底500mm，</w:t>
      </w:r>
      <w:r>
        <w:rPr>
          <w:rFonts w:hint="eastAsia"/>
        </w:rPr>
        <w:t>隧道</w:t>
      </w:r>
      <w:r>
        <w:t>内安装宜离开顶管机主机5m～10m，</w:t>
      </w:r>
      <w:r>
        <w:rPr>
          <w:rFonts w:hint="eastAsia"/>
        </w:rPr>
        <w:t>并应</w:t>
      </w:r>
      <w:r>
        <w:t>视顶进距离和断面大小布置排浆泵数量；</w:t>
      </w:r>
    </w:p>
    <w:p w14:paraId="571157E2">
      <w:r>
        <w:rPr>
          <w:rFonts w:hint="eastAsia"/>
          <w:b/>
          <w:bCs/>
        </w:rPr>
        <w:t>8.7.</w:t>
      </w:r>
      <w:r>
        <w:rPr>
          <w:b/>
          <w:bCs/>
        </w:rPr>
        <w:t>4</w:t>
      </w:r>
      <w:r>
        <w:t xml:space="preserve">  泥水平衡顶管</w:t>
      </w:r>
      <w:r>
        <w:rPr>
          <w:shd w:val="clear" w:color="auto" w:fill="FFFFFF"/>
        </w:rPr>
        <w:t>机</w:t>
      </w:r>
      <w:r>
        <w:rPr>
          <w:rFonts w:hint="eastAsia"/>
          <w:shd w:val="clear" w:color="auto" w:fill="FFFFFF"/>
        </w:rPr>
        <w:t>的</w:t>
      </w:r>
      <w:r>
        <w:t>管路拐弯处应使用弯头连接；</w:t>
      </w:r>
    </w:p>
    <w:p w14:paraId="02F75F28">
      <w:pPr>
        <w:autoSpaceDE w:val="0"/>
        <w:autoSpaceDN w:val="0"/>
        <w:adjustRightInd w:val="0"/>
        <w:rPr>
          <w:szCs w:val="24"/>
        </w:rPr>
      </w:pPr>
      <w:r>
        <w:rPr>
          <w:rFonts w:hint="eastAsia"/>
          <w:b/>
          <w:kern w:val="0"/>
        </w:rPr>
        <w:t>8.7.</w:t>
      </w:r>
      <w:r>
        <w:rPr>
          <w:b/>
          <w:kern w:val="0"/>
        </w:rPr>
        <w:t>5</w:t>
      </w:r>
      <w:r>
        <w:rPr>
          <w:bCs/>
          <w:kern w:val="0"/>
        </w:rPr>
        <w:t xml:space="preserve">  </w:t>
      </w:r>
      <w:r>
        <w:rPr>
          <w:rFonts w:hint="eastAsia"/>
          <w:bCs/>
          <w:kern w:val="0"/>
        </w:rPr>
        <w:t>泥水循环系统的</w:t>
      </w:r>
      <w:r>
        <w:t>泥浆箱</w:t>
      </w:r>
      <w:r>
        <w:rPr>
          <w:kern w:val="0"/>
        </w:rPr>
        <w:t>宜靠近始发井设置。</w:t>
      </w:r>
    </w:p>
    <w:p w14:paraId="2BBA7771">
      <w:pPr>
        <w:pStyle w:val="3"/>
        <w:rPr>
          <w:rFonts w:eastAsia="黑体" w:cs="Times New Roman"/>
          <w:b w:val="0"/>
        </w:rPr>
      </w:pPr>
      <w:bookmarkStart w:id="430" w:name="_Toc11004"/>
      <w:bookmarkStart w:id="431" w:name="_Toc60172922"/>
      <w:bookmarkStart w:id="432" w:name="_Toc60173809"/>
      <w:bookmarkStart w:id="433" w:name="_Toc47692181"/>
      <w:bookmarkStart w:id="434" w:name="_Toc22326"/>
      <w:bookmarkStart w:id="435" w:name="_Toc18057068"/>
      <w:bookmarkStart w:id="436" w:name="_Toc15210"/>
      <w:bookmarkStart w:id="437" w:name="_Toc1777"/>
      <w:bookmarkStart w:id="438" w:name="_Toc32269"/>
      <w:bookmarkStart w:id="439" w:name="_Toc5503"/>
      <w:bookmarkStart w:id="440" w:name="_Toc24209"/>
      <w:r>
        <w:rPr>
          <w:rFonts w:eastAsia="黑体" w:cs="Times New Roman"/>
        </w:rPr>
        <w:t>8.8</w:t>
      </w:r>
      <w:r>
        <w:rPr>
          <w:rFonts w:eastAsia="黑体" w:cs="Times New Roman"/>
          <w:b w:val="0"/>
        </w:rPr>
        <w:t xml:space="preserve">  中继间安装</w:t>
      </w:r>
      <w:bookmarkEnd w:id="430"/>
      <w:bookmarkEnd w:id="431"/>
      <w:bookmarkEnd w:id="432"/>
      <w:bookmarkEnd w:id="433"/>
      <w:bookmarkEnd w:id="434"/>
      <w:bookmarkEnd w:id="435"/>
      <w:bookmarkEnd w:id="436"/>
      <w:bookmarkEnd w:id="437"/>
      <w:bookmarkEnd w:id="438"/>
      <w:bookmarkEnd w:id="439"/>
      <w:bookmarkEnd w:id="440"/>
    </w:p>
    <w:p w14:paraId="31A2B92D">
      <w:pPr>
        <w:pStyle w:val="89"/>
        <w:tabs>
          <w:tab w:val="center" w:pos="4201"/>
          <w:tab w:val="right" w:leader="dot" w:pos="9298"/>
        </w:tabs>
        <w:spacing w:line="360" w:lineRule="auto"/>
        <w:ind w:firstLine="0" w:firstLineChars="0"/>
        <w:rPr>
          <w:rFonts w:ascii="Times New Roman"/>
          <w:sz w:val="24"/>
          <w:szCs w:val="21"/>
        </w:rPr>
      </w:pPr>
      <w:r>
        <w:rPr>
          <w:rFonts w:ascii="Times New Roman"/>
          <w:b/>
          <w:bCs/>
          <w:sz w:val="24"/>
          <w:szCs w:val="21"/>
        </w:rPr>
        <w:t xml:space="preserve">8.8.1  </w:t>
      </w:r>
      <w:r>
        <w:rPr>
          <w:rFonts w:hint="eastAsia" w:ascii="Times New Roman"/>
          <w:sz w:val="24"/>
          <w:szCs w:val="21"/>
        </w:rPr>
        <w:t>当</w:t>
      </w:r>
      <w:r>
        <w:rPr>
          <w:rFonts w:ascii="Times New Roman"/>
          <w:sz w:val="24"/>
          <w:szCs w:val="21"/>
        </w:rPr>
        <w:t>顶推距离较长，始发井顶推系统不足以提供全部顶力时，应设置中继间接力顶进（图8.8.1-1、图8.8.1-2）。</w:t>
      </w:r>
    </w:p>
    <w:p w14:paraId="1257998D">
      <w:pPr>
        <w:pStyle w:val="89"/>
        <w:tabs>
          <w:tab w:val="center" w:pos="4201"/>
          <w:tab w:val="right" w:leader="dot" w:pos="9298"/>
        </w:tabs>
        <w:spacing w:line="360" w:lineRule="auto"/>
        <w:ind w:firstLine="0" w:firstLineChars="0"/>
        <w:jc w:val="center"/>
        <w:rPr>
          <w:rFonts w:ascii="Times New Roman"/>
        </w:rPr>
      </w:pPr>
      <w:r>
        <w:rPr>
          <w:rFonts w:ascii="Times New Roman"/>
        </w:rPr>
        <w:drawing>
          <wp:inline distT="0" distB="0" distL="0" distR="0">
            <wp:extent cx="4373245" cy="2446655"/>
            <wp:effectExtent l="0" t="0" r="8255" b="10795"/>
            <wp:docPr id="1" name="图片 1" descr="C:\Users\Administrator\Desktop\中继间标注.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Administrator\Desktop\中继间标注.jpg"/>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a:xfrm>
                      <a:off x="0" y="0"/>
                      <a:ext cx="4373245" cy="2446655"/>
                    </a:xfrm>
                    <a:prstGeom prst="rect">
                      <a:avLst/>
                    </a:prstGeom>
                    <a:noFill/>
                    <a:ln>
                      <a:noFill/>
                    </a:ln>
                  </pic:spPr>
                </pic:pic>
              </a:graphicData>
            </a:graphic>
          </wp:inline>
        </w:drawing>
      </w:r>
    </w:p>
    <w:p w14:paraId="67559525">
      <w:pPr>
        <w:pStyle w:val="89"/>
        <w:tabs>
          <w:tab w:val="center" w:pos="4201"/>
          <w:tab w:val="right" w:leader="dot" w:pos="9298"/>
        </w:tabs>
        <w:spacing w:line="360" w:lineRule="auto"/>
        <w:ind w:firstLine="0" w:firstLineChars="0"/>
        <w:jc w:val="center"/>
        <w:rPr>
          <w:rFonts w:ascii="Times New Roman"/>
        </w:rPr>
      </w:pPr>
      <w:r>
        <w:rPr>
          <w:rFonts w:hint="eastAsia" w:ascii="Times New Roman"/>
        </w:rPr>
        <w:t>（a）中继间横截面图              （b）中继间纵截面图</w:t>
      </w:r>
    </w:p>
    <w:p w14:paraId="31A660B1">
      <w:pPr>
        <w:pStyle w:val="89"/>
        <w:tabs>
          <w:tab w:val="center" w:pos="4201"/>
          <w:tab w:val="right" w:leader="dot" w:pos="9298"/>
        </w:tabs>
        <w:spacing w:line="360" w:lineRule="auto"/>
        <w:ind w:firstLine="0" w:firstLineChars="0"/>
        <w:jc w:val="center"/>
        <w:rPr>
          <w:rFonts w:ascii="Times New Roman" w:eastAsiaTheme="minorEastAsia"/>
          <w:b/>
          <w:bCs/>
          <w:szCs w:val="21"/>
        </w:rPr>
      </w:pPr>
      <w:r>
        <w:rPr>
          <w:rFonts w:ascii="Times New Roman" w:eastAsiaTheme="minorEastAsia"/>
          <w:b/>
          <w:bCs/>
          <w:szCs w:val="21"/>
        </w:rPr>
        <w:t>图8.8.1-1  中继间结构示意图</w:t>
      </w:r>
    </w:p>
    <w:p w14:paraId="28CA9AD2">
      <w:pPr>
        <w:jc w:val="center"/>
        <w:rPr>
          <w:sz w:val="18"/>
          <w:szCs w:val="18"/>
        </w:rPr>
      </w:pPr>
      <w:r>
        <w:rPr>
          <w:sz w:val="18"/>
          <w:szCs w:val="18"/>
        </w:rPr>
        <w:t>1—前壳体；2—液压缸；3—后壳体；4—后部管节；5—中继间；6—前部管节</w:t>
      </w:r>
    </w:p>
    <w:p w14:paraId="780D2A47">
      <w:pPr>
        <w:pStyle w:val="89"/>
        <w:tabs>
          <w:tab w:val="center" w:pos="4201"/>
          <w:tab w:val="right" w:leader="dot" w:pos="9298"/>
        </w:tabs>
        <w:spacing w:line="360" w:lineRule="auto"/>
        <w:ind w:firstLine="0" w:firstLineChars="0"/>
        <w:jc w:val="center"/>
        <w:rPr>
          <w:rFonts w:ascii="Times New Roman"/>
        </w:rPr>
      </w:pPr>
      <w:r>
        <w:rPr>
          <w:rFonts w:ascii="Times New Roman"/>
        </w:rPr>
        <w:drawing>
          <wp:inline distT="0" distB="0" distL="0" distR="0">
            <wp:extent cx="4527550" cy="1800225"/>
            <wp:effectExtent l="0" t="0" r="6350" b="9525"/>
            <wp:docPr id="6" name="图片 6" descr="C:\Users\Administrator\Desktop\中继间标注-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Administrator\Desktop\中继间标注-2.jpg"/>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a:xfrm>
                      <a:off x="0" y="0"/>
                      <a:ext cx="4527550" cy="1800225"/>
                    </a:xfrm>
                    <a:prstGeom prst="rect">
                      <a:avLst/>
                    </a:prstGeom>
                    <a:noFill/>
                    <a:ln>
                      <a:noFill/>
                    </a:ln>
                  </pic:spPr>
                </pic:pic>
              </a:graphicData>
            </a:graphic>
          </wp:inline>
        </w:drawing>
      </w:r>
    </w:p>
    <w:p w14:paraId="5E771F38">
      <w:pPr>
        <w:pStyle w:val="89"/>
        <w:tabs>
          <w:tab w:val="center" w:pos="4201"/>
          <w:tab w:val="right" w:leader="dot" w:pos="9298"/>
        </w:tabs>
        <w:spacing w:line="360" w:lineRule="auto"/>
        <w:ind w:firstLine="0" w:firstLineChars="0"/>
        <w:jc w:val="center"/>
        <w:rPr>
          <w:rFonts w:ascii="Times New Roman" w:eastAsiaTheme="minorEastAsia"/>
          <w:b/>
          <w:bCs/>
          <w:szCs w:val="21"/>
        </w:rPr>
      </w:pPr>
      <w:r>
        <w:rPr>
          <w:rFonts w:ascii="Times New Roman" w:eastAsiaTheme="minorEastAsia"/>
          <w:b/>
          <w:bCs/>
          <w:szCs w:val="21"/>
        </w:rPr>
        <w:t>图8.8.1-2  中继间结构局部放大示意图</w:t>
      </w:r>
    </w:p>
    <w:p w14:paraId="413FECB0">
      <w:pPr>
        <w:spacing w:line="240" w:lineRule="auto"/>
        <w:jc w:val="center"/>
        <w:rPr>
          <w:sz w:val="18"/>
          <w:szCs w:val="18"/>
        </w:rPr>
      </w:pPr>
      <w:r>
        <w:rPr>
          <w:sz w:val="18"/>
          <w:szCs w:val="18"/>
        </w:rPr>
        <w:t>1—管节密封；2—前壳体；3—铰接密封；4—后壳体；</w:t>
      </w:r>
    </w:p>
    <w:p w14:paraId="023ABBC9">
      <w:pPr>
        <w:spacing w:line="240" w:lineRule="auto"/>
        <w:jc w:val="center"/>
        <w:rPr>
          <w:sz w:val="18"/>
          <w:szCs w:val="18"/>
        </w:rPr>
      </w:pPr>
      <w:r>
        <w:rPr>
          <w:sz w:val="18"/>
          <w:szCs w:val="18"/>
        </w:rPr>
        <w:t>5—后部管节；6—液压缸；7—前部管节</w:t>
      </w:r>
    </w:p>
    <w:p w14:paraId="4F2AF216">
      <w:pPr>
        <w:spacing w:line="240" w:lineRule="auto"/>
        <w:jc w:val="center"/>
        <w:rPr>
          <w:sz w:val="18"/>
          <w:szCs w:val="18"/>
        </w:rPr>
      </w:pPr>
    </w:p>
    <w:p w14:paraId="504FBBAC">
      <w:pPr>
        <w:autoSpaceDE w:val="0"/>
        <w:autoSpaceDN w:val="0"/>
        <w:adjustRightInd w:val="0"/>
        <w:rPr>
          <w:kern w:val="0"/>
        </w:rPr>
      </w:pPr>
      <w:r>
        <w:rPr>
          <w:b/>
          <w:bCs/>
          <w:kern w:val="0"/>
        </w:rPr>
        <w:t xml:space="preserve">8.8.2  </w:t>
      </w:r>
      <w:r>
        <w:rPr>
          <w:kern w:val="0"/>
        </w:rPr>
        <w:t>中继间及液压缸的安装应符合下列规定：</w:t>
      </w:r>
    </w:p>
    <w:p w14:paraId="371378DC">
      <w:pPr>
        <w:ind w:firstLine="482" w:firstLineChars="200"/>
      </w:pPr>
      <w:r>
        <w:rPr>
          <w:b/>
          <w:bCs/>
        </w:rPr>
        <w:t xml:space="preserve">1 </w:t>
      </w:r>
      <w:r>
        <w:t xml:space="preserve"> 中继间液压缸宜固定在支架上，合力的作用点应在隧道中心的垂直线上；</w:t>
      </w:r>
    </w:p>
    <w:p w14:paraId="4929096D">
      <w:pPr>
        <w:ind w:firstLine="482" w:firstLineChars="200"/>
      </w:pPr>
      <w:r>
        <w:rPr>
          <w:b/>
          <w:bCs/>
        </w:rPr>
        <w:t>2</w:t>
      </w:r>
      <w:r>
        <w:t xml:space="preserve">  中继间液压缸宜取偶数，规格宜相同，并</w:t>
      </w:r>
      <w:r>
        <w:rPr>
          <w:rFonts w:hint="eastAsia"/>
        </w:rPr>
        <w:t>应沿</w:t>
      </w:r>
      <w:r>
        <w:t>周向均匀布置；当规格不同时，行程应同步，并应将同规格的中继间液压缸对称布置；</w:t>
      </w:r>
    </w:p>
    <w:p w14:paraId="37225BE7">
      <w:pPr>
        <w:ind w:firstLine="482" w:firstLineChars="200"/>
      </w:pPr>
      <w:r>
        <w:rPr>
          <w:b/>
          <w:bCs/>
        </w:rPr>
        <w:t xml:space="preserve">3 </w:t>
      </w:r>
      <w:r>
        <w:t xml:space="preserve"> 中继间液压缸的油路应并联，每台中继间液压缸应有进油、回油的控制系统；</w:t>
      </w:r>
    </w:p>
    <w:p w14:paraId="60821110">
      <w:pPr>
        <w:ind w:firstLine="482" w:firstLineChars="200"/>
      </w:pPr>
      <w:r>
        <w:rPr>
          <w:b/>
          <w:bCs/>
        </w:rPr>
        <w:t>4</w:t>
      </w:r>
      <w:r>
        <w:t xml:space="preserve">  中继间吊放入始发井后，应检查各项工作部件处于正常状态，安装完毕后应进行试顶；</w:t>
      </w:r>
    </w:p>
    <w:p w14:paraId="6DC0F462">
      <w:pPr>
        <w:ind w:firstLine="482" w:firstLineChars="200"/>
      </w:pPr>
      <w:r>
        <w:rPr>
          <w:b/>
          <w:bCs/>
        </w:rPr>
        <w:t>5</w:t>
      </w:r>
      <w:r>
        <w:t xml:space="preserve">  当总推力达到中继间推力40%～60%时，应安放第一个中继间，此后，每当达到中继间推力的70%～80%时，</w:t>
      </w:r>
      <w:r>
        <w:rPr>
          <w:rFonts w:hint="eastAsia"/>
        </w:rPr>
        <w:t>应</w:t>
      </w:r>
      <w:r>
        <w:t>安放</w:t>
      </w:r>
      <w:r>
        <w:rPr>
          <w:rFonts w:hint="eastAsia"/>
        </w:rPr>
        <w:t>1</w:t>
      </w:r>
      <w:r>
        <w:t>个中继间。而当总推力达到中继间推力的90%时，应启用中继间。</w:t>
      </w:r>
    </w:p>
    <w:p w14:paraId="5EB174B8">
      <w:pPr>
        <w:rPr>
          <w:szCs w:val="24"/>
        </w:rPr>
      </w:pPr>
    </w:p>
    <w:p w14:paraId="40AD8570">
      <w:pPr>
        <w:pStyle w:val="3"/>
        <w:rPr>
          <w:rFonts w:eastAsia="黑体" w:cs="Times New Roman"/>
          <w:b w:val="0"/>
        </w:rPr>
      </w:pPr>
      <w:bookmarkStart w:id="441" w:name="_Toc20977"/>
      <w:bookmarkStart w:id="442" w:name="_Toc2057"/>
      <w:bookmarkStart w:id="443" w:name="_Toc2564"/>
      <w:bookmarkStart w:id="444" w:name="_Toc9310"/>
      <w:bookmarkStart w:id="445" w:name="_Toc47692182"/>
      <w:bookmarkStart w:id="446" w:name="_Toc27177"/>
      <w:bookmarkStart w:id="447" w:name="_Toc5614"/>
      <w:bookmarkStart w:id="448" w:name="_Toc10193"/>
      <w:bookmarkStart w:id="449" w:name="_Toc18057069"/>
      <w:bookmarkStart w:id="450" w:name="_Toc60172923"/>
      <w:bookmarkStart w:id="451" w:name="_Toc60173810"/>
      <w:r>
        <w:rPr>
          <w:rFonts w:eastAsia="黑体" w:cs="Times New Roman"/>
        </w:rPr>
        <w:t>8.9</w:t>
      </w:r>
      <w:r>
        <w:rPr>
          <w:rFonts w:eastAsia="黑体" w:cs="Times New Roman"/>
          <w:b w:val="0"/>
        </w:rPr>
        <w:t xml:space="preserve">  顶管辅助施工与设备</w:t>
      </w:r>
      <w:bookmarkEnd w:id="441"/>
      <w:bookmarkEnd w:id="442"/>
      <w:bookmarkEnd w:id="443"/>
      <w:bookmarkEnd w:id="444"/>
      <w:bookmarkEnd w:id="445"/>
      <w:bookmarkEnd w:id="446"/>
      <w:bookmarkEnd w:id="447"/>
      <w:bookmarkEnd w:id="448"/>
      <w:bookmarkEnd w:id="449"/>
      <w:bookmarkEnd w:id="450"/>
      <w:bookmarkEnd w:id="451"/>
    </w:p>
    <w:p w14:paraId="3BE7C2FC">
      <w:r>
        <w:rPr>
          <w:b/>
          <w:bCs/>
        </w:rPr>
        <w:t>8.9.1</w:t>
      </w:r>
      <w:r>
        <w:t xml:space="preserve">  减阻系统的安装应符合下列规定：</w:t>
      </w:r>
    </w:p>
    <w:p w14:paraId="11A8ECD2">
      <w:pPr>
        <w:ind w:firstLine="482" w:firstLineChars="200"/>
      </w:pPr>
      <w:r>
        <w:rPr>
          <w:b/>
          <w:bCs/>
        </w:rPr>
        <w:t>1</w:t>
      </w:r>
      <w:r>
        <w:t xml:space="preserve">  减阻触变泥浆搅拌桶和压浆泵应根据注浆量和注浆压力选用，并宜靠近泥浆箱；</w:t>
      </w:r>
    </w:p>
    <w:p w14:paraId="658FAD3A">
      <w:pPr>
        <w:ind w:firstLine="482" w:firstLineChars="200"/>
      </w:pPr>
      <w:r>
        <w:rPr>
          <w:b/>
          <w:bCs/>
        </w:rPr>
        <w:t>2</w:t>
      </w:r>
      <w:r>
        <w:t xml:space="preserve">  注浆主管的管径不应小于40mm，并宜分段设置球阀；</w:t>
      </w:r>
    </w:p>
    <w:p w14:paraId="68E9887A">
      <w:pPr>
        <w:ind w:firstLine="482" w:firstLineChars="200"/>
      </w:pPr>
      <w:r>
        <w:rPr>
          <w:b/>
          <w:bCs/>
        </w:rPr>
        <w:t>3</w:t>
      </w:r>
      <w:r>
        <w:t xml:space="preserve">  每个注浆孔应安装单向阀，每组支管应单独设置球阀；</w:t>
      </w:r>
    </w:p>
    <w:p w14:paraId="2BB7B611">
      <w:pPr>
        <w:ind w:firstLine="482" w:firstLineChars="200"/>
      </w:pPr>
      <w:r>
        <w:rPr>
          <w:b/>
          <w:bCs/>
        </w:rPr>
        <w:t>4</w:t>
      </w:r>
      <w:r>
        <w:t xml:space="preserve">  顶管机后面第1节～第5节管宜安装注浆管，后续管节可按需要设置；</w:t>
      </w:r>
    </w:p>
    <w:p w14:paraId="157375A4">
      <w:pPr>
        <w:ind w:firstLine="482" w:firstLineChars="200"/>
        <w:rPr>
          <w:kern w:val="0"/>
        </w:rPr>
      </w:pPr>
      <w:r>
        <w:rPr>
          <w:b/>
          <w:kern w:val="0"/>
        </w:rPr>
        <w:t>5</w:t>
      </w:r>
      <w:r>
        <w:rPr>
          <w:kern w:val="0"/>
        </w:rPr>
        <w:t xml:space="preserve">  在注浆泵出口及注浆口处应安装压力检测装置，可安装压力表或压力传感器；</w:t>
      </w:r>
    </w:p>
    <w:p w14:paraId="64B958DF">
      <w:pPr>
        <w:ind w:firstLine="482" w:firstLineChars="200"/>
        <w:rPr>
          <w:kern w:val="0"/>
        </w:rPr>
      </w:pPr>
      <w:r>
        <w:rPr>
          <w:b/>
          <w:bCs/>
          <w:kern w:val="0"/>
        </w:rPr>
        <w:t>6</w:t>
      </w:r>
      <w:r>
        <w:rPr>
          <w:kern w:val="0"/>
        </w:rPr>
        <w:t xml:space="preserve">  触变泥浆注入孔阀门宜采用并联分组、单个可控模式。</w:t>
      </w:r>
    </w:p>
    <w:p w14:paraId="3DDFDB3D">
      <w:pPr>
        <w:rPr>
          <w:rFonts w:eastAsiaTheme="minorEastAsia"/>
          <w:b/>
        </w:rPr>
      </w:pPr>
      <w:r>
        <w:rPr>
          <w:rFonts w:eastAsiaTheme="minorEastAsia"/>
          <w:b/>
          <w:bCs/>
        </w:rPr>
        <w:t xml:space="preserve">8.9.2  </w:t>
      </w:r>
      <w:r>
        <w:rPr>
          <w:rFonts w:eastAsiaTheme="minorEastAsia"/>
        </w:rPr>
        <w:t>测量系统的安装应符合下列规定：</w:t>
      </w:r>
    </w:p>
    <w:p w14:paraId="1477DD2A">
      <w:pPr>
        <w:ind w:firstLine="482" w:firstLineChars="200"/>
      </w:pPr>
      <w:r>
        <w:rPr>
          <w:b/>
          <w:bCs/>
        </w:rPr>
        <w:t>1</w:t>
      </w:r>
      <w:r>
        <w:t xml:space="preserve">  测量系统宜具有设计轴线管理、空间位置检测、姿态检测、图形显示、测量基点校核及与主机控制系统通信的功能；</w:t>
      </w:r>
    </w:p>
    <w:p w14:paraId="752498C7">
      <w:pPr>
        <w:ind w:firstLine="482" w:firstLineChars="200"/>
      </w:pPr>
      <w:r>
        <w:rPr>
          <w:b/>
          <w:bCs/>
        </w:rPr>
        <w:t>2</w:t>
      </w:r>
      <w:r>
        <w:t xml:space="preserve">  测量装置安装架应固定在始发井主体结构上，</w:t>
      </w:r>
      <w:r>
        <w:rPr>
          <w:rFonts w:hint="eastAsia"/>
        </w:rPr>
        <w:t>并应</w:t>
      </w:r>
      <w:r>
        <w:t>与顶管机头部安装的测量靶保持通视，顶进前应进行复核；</w:t>
      </w:r>
    </w:p>
    <w:p w14:paraId="4F716B8E">
      <w:pPr>
        <w:ind w:firstLine="482" w:firstLineChars="200"/>
      </w:pPr>
      <w:r>
        <w:rPr>
          <w:b/>
          <w:bCs/>
        </w:rPr>
        <w:t>3</w:t>
      </w:r>
      <w:r>
        <w:t xml:space="preserve">  测量靶应固定在顶管机上，测量靶的位置应事先测定完成，并应经常检查和纠正测量靶的位置。</w:t>
      </w:r>
    </w:p>
    <w:p w14:paraId="361702EE">
      <w:pPr>
        <w:rPr>
          <w:rFonts w:eastAsiaTheme="minorEastAsia"/>
          <w:b/>
        </w:rPr>
      </w:pPr>
      <w:r>
        <w:rPr>
          <w:rFonts w:eastAsiaTheme="minorEastAsia"/>
          <w:b/>
          <w:bCs/>
        </w:rPr>
        <w:t>8.9.3</w:t>
      </w:r>
      <w:r>
        <w:rPr>
          <w:rFonts w:eastAsiaTheme="minorEastAsia"/>
        </w:rPr>
        <w:t xml:space="preserve">  纠偏液压缸的安装应符合下列规定：</w:t>
      </w:r>
    </w:p>
    <w:p w14:paraId="5CFCBD8E">
      <w:pPr>
        <w:ind w:firstLine="482" w:firstLineChars="200"/>
        <w:rPr>
          <w:kern w:val="0"/>
        </w:rPr>
      </w:pPr>
      <w:r>
        <w:rPr>
          <w:b/>
          <w:bCs/>
          <w:kern w:val="0"/>
          <w:lang w:val="de-DE"/>
        </w:rPr>
        <w:t xml:space="preserve">1 </w:t>
      </w:r>
      <w:r>
        <w:rPr>
          <w:kern w:val="0"/>
          <w:lang w:val="de-DE"/>
        </w:rPr>
        <w:t xml:space="preserve"> </w:t>
      </w:r>
      <w:r>
        <w:rPr>
          <w:kern w:val="0"/>
        </w:rPr>
        <w:t>纠偏液压缸</w:t>
      </w:r>
      <w:r>
        <w:rPr>
          <w:rFonts w:hint="eastAsia"/>
          <w:kern w:val="0"/>
        </w:rPr>
        <w:t>应</w:t>
      </w:r>
      <w:r>
        <w:rPr>
          <w:kern w:val="0"/>
        </w:rPr>
        <w:t>安装在顶管机主机铰接位置；</w:t>
      </w:r>
    </w:p>
    <w:p w14:paraId="3E591FC2">
      <w:pPr>
        <w:ind w:firstLine="482" w:firstLineChars="200"/>
        <w:rPr>
          <w:kern w:val="0"/>
        </w:rPr>
      </w:pPr>
      <w:r>
        <w:rPr>
          <w:b/>
          <w:bCs/>
          <w:kern w:val="0"/>
        </w:rPr>
        <w:t>2</w:t>
      </w:r>
      <w:r>
        <w:rPr>
          <w:kern w:val="0"/>
        </w:rPr>
        <w:t xml:space="preserve">  纠偏液压缸安装方向应根据</w:t>
      </w:r>
      <w:r>
        <w:rPr>
          <w:rFonts w:hint="eastAsia"/>
          <w:kern w:val="0"/>
        </w:rPr>
        <w:t>顶管</w:t>
      </w:r>
      <w:r>
        <w:rPr>
          <w:kern w:val="0"/>
        </w:rPr>
        <w:t>结构形式确定，液压缸应伸缩方便且不影响管线布置。</w:t>
      </w:r>
    </w:p>
    <w:p w14:paraId="42F953B2">
      <w:pPr>
        <w:rPr>
          <w:rFonts w:eastAsiaTheme="minorEastAsia"/>
          <w:b/>
        </w:rPr>
      </w:pPr>
      <w:r>
        <w:rPr>
          <w:rFonts w:eastAsiaTheme="minorEastAsia"/>
          <w:b/>
          <w:bCs/>
        </w:rPr>
        <w:t>8.9.4</w:t>
      </w:r>
      <w:r>
        <w:rPr>
          <w:rFonts w:eastAsiaTheme="minorEastAsia"/>
        </w:rPr>
        <w:t xml:space="preserve">  起重机械安装应符合下列规定：</w:t>
      </w:r>
    </w:p>
    <w:p w14:paraId="0A0425A2">
      <w:pPr>
        <w:ind w:firstLine="482" w:firstLineChars="200"/>
        <w:rPr>
          <w:kern w:val="0"/>
        </w:rPr>
      </w:pPr>
      <w:r>
        <w:rPr>
          <w:b/>
          <w:bCs/>
          <w:kern w:val="0"/>
        </w:rPr>
        <w:t>1</w:t>
      </w:r>
      <w:r>
        <w:rPr>
          <w:kern w:val="0"/>
        </w:rPr>
        <w:t xml:space="preserve">  顶管施工应配备垂直吊装设备</w:t>
      </w:r>
      <w:r>
        <w:rPr>
          <w:rFonts w:hint="eastAsia"/>
          <w:kern w:val="0"/>
        </w:rPr>
        <w:t>，</w:t>
      </w:r>
      <w:r>
        <w:rPr>
          <w:kern w:val="0"/>
        </w:rPr>
        <w:t>宜采用桥式起重机或旋转臂架式起重机，起重能力应满足顶管机和顶推设备的装拆、顶进管节的吊放和顶铁的装拆、土方和材料的垂直运输等需求；</w:t>
      </w:r>
    </w:p>
    <w:p w14:paraId="7BE41587">
      <w:pPr>
        <w:ind w:firstLine="482" w:firstLineChars="200"/>
        <w:rPr>
          <w:kern w:val="0"/>
        </w:rPr>
      </w:pPr>
      <w:r>
        <w:rPr>
          <w:b/>
          <w:bCs/>
          <w:kern w:val="0"/>
        </w:rPr>
        <w:t xml:space="preserve">2  </w:t>
      </w:r>
      <w:r>
        <w:rPr>
          <w:kern w:val="0"/>
        </w:rPr>
        <w:t>起重机械应建立现场维修保养、定期检查和交接班制度</w:t>
      </w:r>
      <w:r>
        <w:rPr>
          <w:rFonts w:hint="eastAsia"/>
          <w:kern w:val="0"/>
        </w:rPr>
        <w:t>;</w:t>
      </w:r>
    </w:p>
    <w:p w14:paraId="7E0C8CCB">
      <w:pPr>
        <w:ind w:firstLine="482" w:firstLineChars="200"/>
        <w:rPr>
          <w:kern w:val="0"/>
        </w:rPr>
      </w:pPr>
      <w:r>
        <w:rPr>
          <w:rFonts w:hint="eastAsia"/>
          <w:b/>
          <w:kern w:val="0"/>
        </w:rPr>
        <w:t>3</w:t>
      </w:r>
      <w:r>
        <w:rPr>
          <w:rFonts w:hint="eastAsia"/>
          <w:kern w:val="0"/>
        </w:rPr>
        <w:t xml:space="preserve">  安装过程中</w:t>
      </w:r>
      <w:r>
        <w:rPr>
          <w:kern w:val="0"/>
        </w:rPr>
        <w:t>应</w:t>
      </w:r>
      <w:r>
        <w:rPr>
          <w:rFonts w:hint="eastAsia"/>
          <w:kern w:val="0"/>
        </w:rPr>
        <w:t>严格遵守各类起重机械的安全操作规程</w:t>
      </w:r>
      <w:r>
        <w:rPr>
          <w:kern w:val="0"/>
        </w:rPr>
        <w:t>。</w:t>
      </w:r>
    </w:p>
    <w:p w14:paraId="48727346">
      <w:pPr>
        <w:rPr>
          <w:b/>
        </w:rPr>
      </w:pPr>
    </w:p>
    <w:p w14:paraId="115DDF96">
      <w:pPr>
        <w:pStyle w:val="3"/>
        <w:rPr>
          <w:rFonts w:eastAsia="黑体" w:cs="Times New Roman"/>
          <w:b w:val="0"/>
        </w:rPr>
      </w:pPr>
      <w:bookmarkStart w:id="452" w:name="_Toc16123"/>
      <w:bookmarkStart w:id="453" w:name="_Toc60173811"/>
      <w:bookmarkStart w:id="454" w:name="_Toc1646"/>
      <w:bookmarkStart w:id="455" w:name="_Toc1588"/>
      <w:bookmarkStart w:id="456" w:name="_Toc23836"/>
      <w:bookmarkStart w:id="457" w:name="_Toc31264"/>
      <w:bookmarkStart w:id="458" w:name="_Toc47692183"/>
      <w:bookmarkStart w:id="459" w:name="_Toc60172924"/>
      <w:bookmarkStart w:id="460" w:name="_Toc12249"/>
      <w:bookmarkStart w:id="461" w:name="_Toc18057070"/>
      <w:bookmarkStart w:id="462" w:name="_Toc26760"/>
      <w:r>
        <w:rPr>
          <w:rFonts w:eastAsia="黑体" w:cs="Times New Roman"/>
        </w:rPr>
        <w:t>8.10</w:t>
      </w:r>
      <w:r>
        <w:rPr>
          <w:rFonts w:eastAsia="黑体" w:cs="Times New Roman"/>
          <w:b w:val="0"/>
        </w:rPr>
        <w:t xml:space="preserve">  质量控制</w:t>
      </w:r>
      <w:bookmarkEnd w:id="452"/>
      <w:bookmarkEnd w:id="453"/>
      <w:bookmarkEnd w:id="454"/>
      <w:bookmarkEnd w:id="455"/>
      <w:bookmarkEnd w:id="456"/>
      <w:bookmarkEnd w:id="457"/>
      <w:bookmarkEnd w:id="458"/>
      <w:bookmarkEnd w:id="459"/>
      <w:bookmarkEnd w:id="460"/>
      <w:bookmarkEnd w:id="461"/>
      <w:bookmarkEnd w:id="462"/>
    </w:p>
    <w:p w14:paraId="276CE97E">
      <w:r>
        <w:rPr>
          <w:b/>
          <w:bCs/>
        </w:rPr>
        <w:t xml:space="preserve">8.10.1  </w:t>
      </w:r>
      <w:r>
        <w:t>原材料、成品、半成品的产品质量应符合设计文件和相关产品现行国家标准的</w:t>
      </w:r>
      <w:r>
        <w:rPr>
          <w:rFonts w:hint="eastAsia"/>
        </w:rPr>
        <w:t>有关</w:t>
      </w:r>
      <w:r>
        <w:t>规定。</w:t>
      </w:r>
    </w:p>
    <w:p w14:paraId="6D995D84">
      <w:r>
        <w:rPr>
          <w:b/>
          <w:bCs/>
        </w:rPr>
        <w:t>8.10.2</w:t>
      </w:r>
      <w:r>
        <w:t xml:space="preserve">  顶管机、主顶系统、中继间、</w:t>
      </w:r>
      <w:r>
        <w:rPr>
          <w:rFonts w:hint="eastAsia"/>
        </w:rPr>
        <w:t>减阻</w:t>
      </w:r>
      <w:r>
        <w:t>系统、测量系统、排渣系统、动力系统应工作正常，系统调试及联合试车结果应符合设计文件的规定。</w:t>
      </w:r>
    </w:p>
    <w:p w14:paraId="33BA9E74">
      <w:r>
        <w:rPr>
          <w:b/>
          <w:bCs/>
        </w:rPr>
        <w:t xml:space="preserve">8.10.3  </w:t>
      </w:r>
      <w:r>
        <w:t>设备总体安装应符合下列规定：</w:t>
      </w:r>
    </w:p>
    <w:p w14:paraId="3F22B0E2">
      <w:pPr>
        <w:ind w:firstLine="482" w:firstLineChars="200"/>
      </w:pPr>
      <w:r>
        <w:rPr>
          <w:b/>
          <w:bCs/>
        </w:rPr>
        <w:t>1</w:t>
      </w:r>
      <w:r>
        <w:t xml:space="preserve">  穿墙止水装置中心</w:t>
      </w:r>
      <w:r>
        <w:rPr>
          <w:rFonts w:hint="eastAsia"/>
        </w:rPr>
        <w:t>与</w:t>
      </w:r>
      <w:r>
        <w:t>顶管机中心</w:t>
      </w:r>
      <w:r>
        <w:rPr>
          <w:rFonts w:hint="eastAsia"/>
        </w:rPr>
        <w:t>的位置偏差</w:t>
      </w:r>
      <w:r>
        <w:t>不应大于10mm；</w:t>
      </w:r>
    </w:p>
    <w:p w14:paraId="07D4512F">
      <w:pPr>
        <w:ind w:firstLine="482" w:firstLineChars="200"/>
      </w:pPr>
      <w:r>
        <w:rPr>
          <w:b/>
          <w:bCs/>
        </w:rPr>
        <w:t>2</w:t>
      </w:r>
      <w:r>
        <w:t xml:space="preserve">  止水帘板压板与顶管机的间隙宜为10mm～20mm；</w:t>
      </w:r>
    </w:p>
    <w:p w14:paraId="15D56152">
      <w:pPr>
        <w:ind w:firstLine="482" w:firstLineChars="200"/>
      </w:pPr>
      <w:r>
        <w:rPr>
          <w:b/>
          <w:bCs/>
        </w:rPr>
        <w:t>3</w:t>
      </w:r>
      <w:r>
        <w:t xml:space="preserve">  穿墙洞四周与顶管机筒体之间的间隙应大于50mm，且洞口应清理干净；</w:t>
      </w:r>
    </w:p>
    <w:p w14:paraId="12FE0438">
      <w:pPr>
        <w:ind w:firstLine="482" w:firstLineChars="200"/>
      </w:pPr>
      <w:r>
        <w:rPr>
          <w:b/>
          <w:bCs/>
        </w:rPr>
        <w:t>4</w:t>
      </w:r>
      <w:r>
        <w:t xml:space="preserve">  油箱液压油数量应满足所有液压缸的使用要求；</w:t>
      </w:r>
    </w:p>
    <w:p w14:paraId="2D4CCEB2">
      <w:pPr>
        <w:ind w:firstLine="482" w:firstLineChars="200"/>
      </w:pPr>
      <w:r>
        <w:rPr>
          <w:b/>
          <w:bCs/>
        </w:rPr>
        <w:t>5</w:t>
      </w:r>
      <w:r>
        <w:t xml:space="preserve">  激光经纬仪应与顶管机测量靶中心重合，误差不得超过3mm。</w:t>
      </w:r>
    </w:p>
    <w:p w14:paraId="2E8B170B">
      <w:r>
        <w:rPr>
          <w:b/>
          <w:bCs/>
        </w:rPr>
        <w:t>8.10.</w:t>
      </w:r>
      <w:r>
        <w:rPr>
          <w:rFonts w:hint="eastAsia"/>
          <w:b/>
          <w:bCs/>
        </w:rPr>
        <w:t>4</w:t>
      </w:r>
      <w:r>
        <w:rPr>
          <w:b/>
          <w:bCs/>
        </w:rPr>
        <w:t xml:space="preserve">  </w:t>
      </w:r>
      <w:r>
        <w:t>导轨安装应符合下列规定：</w:t>
      </w:r>
    </w:p>
    <w:p w14:paraId="6227A0DD">
      <w:pPr>
        <w:ind w:firstLine="482" w:firstLineChars="200"/>
      </w:pPr>
      <w:r>
        <w:rPr>
          <w:b/>
          <w:bCs/>
        </w:rPr>
        <w:t>1</w:t>
      </w:r>
      <w:r>
        <w:t xml:space="preserve">  导轨宜选用钢轨及槽钢组合焊接制作，刚度和强度应满足施工要求；</w:t>
      </w:r>
    </w:p>
    <w:p w14:paraId="2199A88D">
      <w:pPr>
        <w:ind w:firstLine="482" w:firstLineChars="200"/>
      </w:pPr>
      <w:r>
        <w:rPr>
          <w:b/>
          <w:bCs/>
        </w:rPr>
        <w:t>2</w:t>
      </w:r>
      <w:r>
        <w:t xml:space="preserve">  导轨应顺直、平行、等高，安装的纵向坡度应与管道设计坡度一致；</w:t>
      </w:r>
    </w:p>
    <w:p w14:paraId="22974AF5">
      <w:pPr>
        <w:ind w:firstLine="482" w:firstLineChars="200"/>
      </w:pPr>
      <w:r>
        <w:rPr>
          <w:b/>
          <w:bCs/>
        </w:rPr>
        <w:t>3</w:t>
      </w:r>
      <w:r>
        <w:t xml:space="preserve">  导轨应安装牢固，使用过程中不应产生位移；</w:t>
      </w:r>
    </w:p>
    <w:p w14:paraId="12B4B6AB">
      <w:pPr>
        <w:ind w:firstLine="482" w:firstLineChars="200"/>
      </w:pPr>
      <w:r>
        <w:rPr>
          <w:b/>
          <w:bCs/>
        </w:rPr>
        <w:t>4</w:t>
      </w:r>
      <w:r>
        <w:t xml:space="preserve">  导轨安装的允许偏差应符合表8.10.5的规定。</w:t>
      </w:r>
    </w:p>
    <w:p w14:paraId="5C9E2DB4">
      <w:pPr>
        <w:jc w:val="center"/>
        <w:rPr>
          <w:b/>
          <w:bCs/>
          <w:sz w:val="21"/>
          <w:szCs w:val="18"/>
        </w:rPr>
      </w:pPr>
      <w:r>
        <w:rPr>
          <w:b/>
          <w:bCs/>
          <w:sz w:val="21"/>
          <w:szCs w:val="18"/>
        </w:rPr>
        <w:t>表8.10.5  导轨安装的允许偏差（mm）</w:t>
      </w:r>
    </w:p>
    <w:tbl>
      <w:tblPr>
        <w:tblStyle w:val="35"/>
        <w:tblW w:w="6510" w:type="dxa"/>
        <w:jc w:val="cente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
      <w:tblGrid>
        <w:gridCol w:w="2674"/>
        <w:gridCol w:w="1994"/>
        <w:gridCol w:w="1842"/>
      </w:tblGrid>
      <w:tr w14:paraId="1CDDFF57">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2674" w:type="dxa"/>
            <w:vAlign w:val="center"/>
          </w:tcPr>
          <w:p w14:paraId="6B00D813">
            <w:pPr>
              <w:autoSpaceDE w:val="0"/>
              <w:autoSpaceDN w:val="0"/>
              <w:adjustRightInd w:val="0"/>
              <w:spacing w:line="240" w:lineRule="auto"/>
              <w:jc w:val="center"/>
              <w:rPr>
                <w:kern w:val="0"/>
                <w:sz w:val="21"/>
              </w:rPr>
            </w:pPr>
            <w:r>
              <w:rPr>
                <w:kern w:val="0"/>
                <w:sz w:val="21"/>
              </w:rPr>
              <w:t>偏差项目</w:t>
            </w:r>
          </w:p>
        </w:tc>
        <w:tc>
          <w:tcPr>
            <w:tcW w:w="1994" w:type="dxa"/>
            <w:vAlign w:val="center"/>
          </w:tcPr>
          <w:p w14:paraId="270D45DB">
            <w:pPr>
              <w:autoSpaceDE w:val="0"/>
              <w:autoSpaceDN w:val="0"/>
              <w:adjustRightInd w:val="0"/>
              <w:spacing w:line="240" w:lineRule="auto"/>
              <w:jc w:val="center"/>
              <w:rPr>
                <w:kern w:val="0"/>
                <w:sz w:val="21"/>
              </w:rPr>
            </w:pPr>
            <w:r>
              <w:rPr>
                <w:kern w:val="0"/>
                <w:sz w:val="21"/>
              </w:rPr>
              <w:t>轴线偏差</w:t>
            </w:r>
          </w:p>
        </w:tc>
        <w:tc>
          <w:tcPr>
            <w:tcW w:w="1842" w:type="dxa"/>
            <w:vAlign w:val="center"/>
          </w:tcPr>
          <w:p w14:paraId="493E92E1">
            <w:pPr>
              <w:autoSpaceDE w:val="0"/>
              <w:autoSpaceDN w:val="0"/>
              <w:adjustRightInd w:val="0"/>
              <w:spacing w:line="240" w:lineRule="auto"/>
              <w:jc w:val="center"/>
              <w:rPr>
                <w:kern w:val="0"/>
                <w:sz w:val="21"/>
              </w:rPr>
            </w:pPr>
            <w:r>
              <w:rPr>
                <w:kern w:val="0"/>
                <w:sz w:val="21"/>
              </w:rPr>
              <w:t>导轨顶面高程</w:t>
            </w:r>
          </w:p>
        </w:tc>
      </w:tr>
      <w:tr w14:paraId="474CC3A6">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2674" w:type="dxa"/>
            <w:vAlign w:val="center"/>
          </w:tcPr>
          <w:p w14:paraId="26ACE448">
            <w:pPr>
              <w:autoSpaceDE w:val="0"/>
              <w:autoSpaceDN w:val="0"/>
              <w:adjustRightInd w:val="0"/>
              <w:spacing w:line="240" w:lineRule="auto"/>
              <w:jc w:val="center"/>
              <w:rPr>
                <w:kern w:val="0"/>
                <w:sz w:val="21"/>
              </w:rPr>
            </w:pPr>
            <w:r>
              <w:rPr>
                <w:kern w:val="0"/>
                <w:sz w:val="21"/>
              </w:rPr>
              <w:t>允许偏差</w:t>
            </w:r>
          </w:p>
        </w:tc>
        <w:tc>
          <w:tcPr>
            <w:tcW w:w="1994" w:type="dxa"/>
            <w:vAlign w:val="center"/>
          </w:tcPr>
          <w:p w14:paraId="20C3D5C5">
            <w:pPr>
              <w:autoSpaceDE w:val="0"/>
              <w:autoSpaceDN w:val="0"/>
              <w:adjustRightInd w:val="0"/>
              <w:spacing w:line="240" w:lineRule="auto"/>
              <w:jc w:val="center"/>
              <w:rPr>
                <w:kern w:val="0"/>
                <w:sz w:val="21"/>
              </w:rPr>
            </w:pPr>
            <w:r>
              <w:rPr>
                <w:kern w:val="0"/>
                <w:sz w:val="21"/>
              </w:rPr>
              <w:t>±3</w:t>
            </w:r>
          </w:p>
        </w:tc>
        <w:tc>
          <w:tcPr>
            <w:tcW w:w="1842" w:type="dxa"/>
            <w:vAlign w:val="center"/>
          </w:tcPr>
          <w:p w14:paraId="4F0B7EE4">
            <w:pPr>
              <w:autoSpaceDE w:val="0"/>
              <w:autoSpaceDN w:val="0"/>
              <w:adjustRightInd w:val="0"/>
              <w:spacing w:line="240" w:lineRule="auto"/>
              <w:jc w:val="center"/>
              <w:rPr>
                <w:kern w:val="0"/>
                <w:sz w:val="21"/>
              </w:rPr>
            </w:pPr>
            <w:r>
              <w:rPr>
                <w:kern w:val="0"/>
                <w:sz w:val="21"/>
              </w:rPr>
              <w:t>0～+3</w:t>
            </w:r>
          </w:p>
        </w:tc>
      </w:tr>
    </w:tbl>
    <w:p w14:paraId="14EEE1D6">
      <w:pPr>
        <w:rPr>
          <w:b/>
          <w:bCs/>
        </w:rPr>
      </w:pPr>
    </w:p>
    <w:p w14:paraId="299004B1">
      <w:r>
        <w:rPr>
          <w:b/>
          <w:bCs/>
        </w:rPr>
        <w:t>8.10.</w:t>
      </w:r>
      <w:r>
        <w:rPr>
          <w:rFonts w:hint="eastAsia"/>
          <w:b/>
          <w:bCs/>
        </w:rPr>
        <w:t>5</w:t>
      </w:r>
      <w:r>
        <w:rPr>
          <w:b/>
          <w:bCs/>
        </w:rPr>
        <w:t xml:space="preserve">  </w:t>
      </w:r>
      <w:r>
        <w:t>测量系统安装应符合下列规定：</w:t>
      </w:r>
    </w:p>
    <w:p w14:paraId="2F3362AD">
      <w:pPr>
        <w:ind w:firstLine="482" w:firstLineChars="200"/>
      </w:pPr>
      <w:r>
        <w:rPr>
          <w:b/>
          <w:bCs/>
        </w:rPr>
        <w:t xml:space="preserve">1 </w:t>
      </w:r>
      <w:r>
        <w:t xml:space="preserve"> 测量控制点应设置在稳定可靠、不易扰动、通视良好、易于标识的位置；</w:t>
      </w:r>
    </w:p>
    <w:p w14:paraId="1A80BB99">
      <w:pPr>
        <w:ind w:firstLine="482" w:firstLineChars="200"/>
      </w:pPr>
      <w:r>
        <w:rPr>
          <w:b/>
          <w:bCs/>
        </w:rPr>
        <w:t>2</w:t>
      </w:r>
      <w:r>
        <w:t xml:space="preserve">  激光经纬仪安装架应固定在始发井底板上，每次顶进前应进行复核；</w:t>
      </w:r>
    </w:p>
    <w:p w14:paraId="7B441944">
      <w:pPr>
        <w:ind w:firstLine="482" w:firstLineChars="200"/>
      </w:pPr>
      <w:r>
        <w:rPr>
          <w:b/>
          <w:bCs/>
        </w:rPr>
        <w:t>3</w:t>
      </w:r>
      <w:r>
        <w:t xml:space="preserve">  测量靶应进行水平检查和纠正，或使用垂重自动纠平。</w:t>
      </w:r>
    </w:p>
    <w:p w14:paraId="4903C3C8">
      <w:pPr>
        <w:ind w:firstLine="480" w:firstLineChars="200"/>
        <w:sectPr>
          <w:footerReference r:id="rId8" w:type="default"/>
          <w:pgSz w:w="11850" w:h="16783"/>
          <w:pgMar w:top="1440" w:right="1800" w:bottom="1440" w:left="1800" w:header="720" w:footer="720" w:gutter="0"/>
          <w:cols w:space="720" w:num="1"/>
          <w:docGrid w:linePitch="360" w:charSpace="0"/>
        </w:sectPr>
      </w:pPr>
    </w:p>
    <w:p w14:paraId="4CB91306">
      <w:pPr>
        <w:pStyle w:val="2"/>
        <w:spacing w:before="240" w:beforeLines="100" w:after="120" w:afterLines="50"/>
        <w:rPr>
          <w:rFonts w:cs="Times New Roman"/>
        </w:rPr>
      </w:pPr>
      <w:bookmarkStart w:id="463" w:name="_Toc18057071"/>
      <w:bookmarkStart w:id="464" w:name="_Toc47692184"/>
      <w:bookmarkStart w:id="465" w:name="_Toc23598"/>
      <w:bookmarkStart w:id="466" w:name="_Toc60173812"/>
      <w:bookmarkStart w:id="467" w:name="_Toc15387"/>
      <w:bookmarkStart w:id="468" w:name="_Toc24827"/>
      <w:bookmarkStart w:id="469" w:name="_Toc10938"/>
      <w:bookmarkStart w:id="470" w:name="_Toc24359"/>
      <w:bookmarkStart w:id="471" w:name="_Toc18742"/>
      <w:bookmarkStart w:id="472" w:name="_Toc60172925"/>
      <w:bookmarkStart w:id="473" w:name="_Toc16759"/>
      <w:r>
        <w:rPr>
          <w:rFonts w:cs="Times New Roman"/>
        </w:rPr>
        <w:t>9  顶进施工</w:t>
      </w:r>
      <w:bookmarkEnd w:id="463"/>
      <w:bookmarkEnd w:id="464"/>
      <w:bookmarkEnd w:id="465"/>
      <w:bookmarkEnd w:id="466"/>
      <w:bookmarkEnd w:id="467"/>
      <w:bookmarkEnd w:id="468"/>
      <w:bookmarkEnd w:id="469"/>
      <w:bookmarkEnd w:id="470"/>
      <w:bookmarkEnd w:id="471"/>
      <w:bookmarkEnd w:id="472"/>
      <w:bookmarkEnd w:id="473"/>
    </w:p>
    <w:p w14:paraId="77576CC8">
      <w:pPr>
        <w:pStyle w:val="3"/>
        <w:spacing w:before="120" w:beforeLines="50" w:after="120" w:afterLines="50"/>
        <w:rPr>
          <w:rFonts w:eastAsia="黑体" w:cs="Times New Roman"/>
          <w:b w:val="0"/>
        </w:rPr>
      </w:pPr>
      <w:bookmarkStart w:id="474" w:name="_Toc32732"/>
      <w:bookmarkStart w:id="475" w:name="_Toc18057072"/>
      <w:bookmarkStart w:id="476" w:name="_Toc47692185"/>
      <w:bookmarkStart w:id="477" w:name="_Toc60173813"/>
      <w:bookmarkStart w:id="478" w:name="_Toc7431"/>
      <w:bookmarkStart w:id="479" w:name="_Toc2676"/>
      <w:bookmarkStart w:id="480" w:name="_Toc26691"/>
      <w:bookmarkStart w:id="481" w:name="_Toc60172926"/>
      <w:bookmarkStart w:id="482" w:name="_Toc26974"/>
      <w:bookmarkStart w:id="483" w:name="_Toc12711"/>
      <w:bookmarkStart w:id="484" w:name="_Toc12008"/>
      <w:r>
        <w:rPr>
          <w:rFonts w:eastAsia="黑体" w:cs="Times New Roman"/>
          <w:b w:val="0"/>
        </w:rPr>
        <w:t>9.1  一般规定</w:t>
      </w:r>
      <w:bookmarkEnd w:id="474"/>
      <w:bookmarkEnd w:id="475"/>
      <w:bookmarkEnd w:id="476"/>
      <w:bookmarkEnd w:id="477"/>
      <w:bookmarkEnd w:id="478"/>
      <w:bookmarkEnd w:id="479"/>
      <w:bookmarkEnd w:id="480"/>
      <w:bookmarkEnd w:id="481"/>
      <w:bookmarkEnd w:id="482"/>
      <w:bookmarkEnd w:id="483"/>
      <w:bookmarkEnd w:id="484"/>
    </w:p>
    <w:p w14:paraId="1DD0B0A3">
      <w:r>
        <w:rPr>
          <w:b/>
          <w:bCs/>
        </w:rPr>
        <w:t xml:space="preserve">9.1.1  </w:t>
      </w:r>
      <w:r>
        <w:t>施工单位应按照合同文件、设计文件和</w:t>
      </w:r>
      <w:r>
        <w:rPr>
          <w:rFonts w:hint="eastAsia"/>
        </w:rPr>
        <w:t>相</w:t>
      </w:r>
      <w:r>
        <w:t>关</w:t>
      </w:r>
      <w:r>
        <w:rPr>
          <w:rFonts w:hint="eastAsia"/>
        </w:rPr>
        <w:t>施工</w:t>
      </w:r>
      <w:r>
        <w:t>标准的要求，</w:t>
      </w:r>
      <w:r>
        <w:rPr>
          <w:rFonts w:hint="eastAsia"/>
        </w:rPr>
        <w:t>对</w:t>
      </w:r>
      <w:r>
        <w:t>建设单位提供的施工界域内工程地质、水文地质和周围环境情况，以及沿线地下与地上管线、周边建筑物或构筑物、障碍物及其他设施的详细资料进行核实确认。</w:t>
      </w:r>
    </w:p>
    <w:p w14:paraId="738FE127">
      <w:r>
        <w:rPr>
          <w:b/>
          <w:bCs/>
        </w:rPr>
        <w:t xml:space="preserve">9.1.2  </w:t>
      </w:r>
      <w:r>
        <w:t>施工单位应熟悉和审查施工图纸，掌握设计意图与要求，并应实行自审、会审、交底和签证制度；发现施工图有疑问、差错时，应提出意见和建议；若需变更设计，应按相应程序报审，经相关单位签证认定后实施。</w:t>
      </w:r>
    </w:p>
    <w:p w14:paraId="3952B430">
      <w:r>
        <w:rPr>
          <w:b/>
          <w:bCs/>
        </w:rPr>
        <w:t xml:space="preserve">9.1.3  </w:t>
      </w:r>
      <w:r>
        <w:t>施工单位在开工前应编制施工组织设计，对</w:t>
      </w:r>
      <w:r>
        <w:rPr>
          <w:rFonts w:hint="eastAsia"/>
        </w:rPr>
        <w:t>危险性较大的</w:t>
      </w:r>
      <w:r>
        <w:t>分项、分部工程应分别编制专项施工方案，专项施工方案应按规定程序审批后执行，变更时应办理变更审批。</w:t>
      </w:r>
    </w:p>
    <w:p w14:paraId="3B7B0153">
      <w:r>
        <w:rPr>
          <w:b/>
          <w:bCs/>
        </w:rPr>
        <w:t xml:space="preserve">9.1.4  </w:t>
      </w:r>
      <w:r>
        <w:t>施工临时设施应根据工程特点总体布局</w:t>
      </w:r>
      <w:r>
        <w:rPr>
          <w:rFonts w:hint="eastAsia"/>
        </w:rPr>
        <w:t>、</w:t>
      </w:r>
      <w:r>
        <w:t>合理设置。对不宜间断施工的项目，应有备用动力和设备。</w:t>
      </w:r>
    </w:p>
    <w:p w14:paraId="6F87EC6D">
      <w:r>
        <w:rPr>
          <w:b/>
          <w:bCs/>
        </w:rPr>
        <w:t xml:space="preserve">9.1.5  </w:t>
      </w:r>
      <w:r>
        <w:t>工程所用的管材、矩形顶管附件、构件或配件和主要原材料等产品进入施工现场时应进行进场验收并妥善保管。进场验收时应检查每批产品的订购合同、质量合格证书、性能检验报告、使用说明书、进口产品的商检报告及证件等，并应按</w:t>
      </w:r>
      <w:r>
        <w:rPr>
          <w:rFonts w:hint="eastAsia"/>
        </w:rPr>
        <w:t>相</w:t>
      </w:r>
      <w:r>
        <w:t>关</w:t>
      </w:r>
      <w:r>
        <w:rPr>
          <w:rFonts w:hint="eastAsia"/>
        </w:rPr>
        <w:t>产品</w:t>
      </w:r>
      <w:r>
        <w:t>标准进行复验，验收合格后方可使用。</w:t>
      </w:r>
    </w:p>
    <w:p w14:paraId="73CAE035">
      <w:r>
        <w:rPr>
          <w:b/>
          <w:bCs/>
        </w:rPr>
        <w:t xml:space="preserve">9.1.6  </w:t>
      </w:r>
      <w:r>
        <w:t>现场配置的混凝土、砂浆、防腐与防水涂料等工程材料应检测合格后方可使用。</w:t>
      </w:r>
    </w:p>
    <w:p w14:paraId="784AAEF8">
      <w:r>
        <w:rPr>
          <w:b/>
          <w:bCs/>
        </w:rPr>
        <w:t xml:space="preserve">9.1.7  </w:t>
      </w:r>
      <w:r>
        <w:t>施工所用管节、半成品、构件或配件等在运输、保管和施工过程中，应采取防止损坏、锈蚀或变质的措施。</w:t>
      </w:r>
    </w:p>
    <w:p w14:paraId="3E3DE5C0">
      <w:r>
        <w:rPr>
          <w:b/>
          <w:bCs/>
        </w:rPr>
        <w:t xml:space="preserve">9.1.8  </w:t>
      </w:r>
      <w:r>
        <w:t>施工单位应采取控制各种固体废弃物以及粉尘、污水、噪声对施工现场周边环境造成污染和危害的措施。</w:t>
      </w:r>
    </w:p>
    <w:p w14:paraId="0C10C42D">
      <w:r>
        <w:rPr>
          <w:b/>
          <w:bCs/>
        </w:rPr>
        <w:t xml:space="preserve">9.1.9  </w:t>
      </w:r>
      <w:r>
        <w:rPr>
          <w:rFonts w:hint="eastAsia"/>
          <w:bCs/>
        </w:rPr>
        <w:t>施工测量、导向测控专用设备及仪器</w:t>
      </w:r>
      <w:r>
        <w:t>应经计量检定、校准合格后方可使用。</w:t>
      </w:r>
    </w:p>
    <w:p w14:paraId="4E1EF2BE">
      <w:r>
        <w:rPr>
          <w:b/>
          <w:bCs/>
        </w:rPr>
        <w:t xml:space="preserve">9.1.10  </w:t>
      </w:r>
      <w:r>
        <w:t>矩形顶管工程施工质量控制应符合下列规定：</w:t>
      </w:r>
    </w:p>
    <w:p w14:paraId="14D2925D">
      <w:pPr>
        <w:ind w:firstLine="482" w:firstLineChars="200"/>
      </w:pPr>
      <w:r>
        <w:rPr>
          <w:b/>
          <w:bCs/>
        </w:rPr>
        <w:t>1</w:t>
      </w:r>
      <w:r>
        <w:t>各分项工程应按施工技术标准进行质量控制，每个分项工程完成后，均应进行检验；</w:t>
      </w:r>
    </w:p>
    <w:p w14:paraId="68A12AB6">
      <w:pPr>
        <w:ind w:firstLine="482" w:firstLineChars="200"/>
      </w:pPr>
      <w:r>
        <w:rPr>
          <w:b/>
          <w:bCs/>
        </w:rPr>
        <w:t>2</w:t>
      </w:r>
      <w:r>
        <w:t>各分项工程之间应进行交接检验，所有隐蔽分项工程均应进行隐蔽验收，未经检验或验收不合格不得进行下道分项工程。</w:t>
      </w:r>
    </w:p>
    <w:p w14:paraId="742B008A">
      <w:r>
        <w:rPr>
          <w:b/>
          <w:bCs/>
        </w:rPr>
        <w:t xml:space="preserve">9.1.11  </w:t>
      </w:r>
      <w:r>
        <w:t>矩形顶管附属设备安装前应对有关的设备基础、预埋件、预留孔的位置</w:t>
      </w:r>
      <w:r>
        <w:rPr>
          <w:rFonts w:hint="eastAsia"/>
        </w:rPr>
        <w:t>和数量</w:t>
      </w:r>
      <w:r>
        <w:t>、高程、尺寸等进行复核。</w:t>
      </w:r>
    </w:p>
    <w:p w14:paraId="6D746B8A">
      <w:pPr>
        <w:rPr>
          <w:szCs w:val="24"/>
        </w:rPr>
      </w:pPr>
      <w:r>
        <w:rPr>
          <w:b/>
        </w:rPr>
        <w:t>9.1.1</w:t>
      </w:r>
      <w:r>
        <w:rPr>
          <w:rFonts w:hint="eastAsia"/>
          <w:b/>
        </w:rPr>
        <w:t>2</w:t>
      </w:r>
      <w:r>
        <w:t>顶管施工中应合理配置管道内通风、供电、照明等装置。</w:t>
      </w:r>
    </w:p>
    <w:p w14:paraId="025A3730">
      <w:r>
        <w:rPr>
          <w:b/>
          <w:bCs/>
        </w:rPr>
        <w:t>9.1.1</w:t>
      </w:r>
      <w:r>
        <w:rPr>
          <w:rFonts w:hint="eastAsia"/>
          <w:b/>
          <w:bCs/>
        </w:rPr>
        <w:t>3</w:t>
      </w:r>
      <w:r>
        <w:t>施工单位应按相应的施工技术标准对工程进行全员全过程控制，建设单位、勘察单位、设计单位、监理单位等各方应对工程质量进行管理。</w:t>
      </w:r>
    </w:p>
    <w:p w14:paraId="50B56640">
      <w:r>
        <w:rPr>
          <w:rFonts w:hint="eastAsia"/>
          <w:b/>
        </w:rPr>
        <w:t>9.1.14</w:t>
      </w:r>
      <w:r>
        <w:t>顶管施工应对顶管沿线影响范围内的地表、邻近建筑物或构筑物及地下管线设置观测点进行监测。监测信息应及时反馈，发现问题应立即处理。</w:t>
      </w:r>
    </w:p>
    <w:p w14:paraId="7D3F978A">
      <w:r>
        <w:rPr>
          <w:b/>
          <w:bCs/>
        </w:rPr>
        <w:t>9.1.1</w:t>
      </w:r>
      <w:r>
        <w:rPr>
          <w:rFonts w:hint="eastAsia"/>
          <w:b/>
          <w:bCs/>
        </w:rPr>
        <w:t>5</w:t>
      </w:r>
      <w:r>
        <w:t>工程应经过竣工验收合格后，方可投入使用。</w:t>
      </w:r>
    </w:p>
    <w:p w14:paraId="00FD18B5"/>
    <w:p w14:paraId="7BF102F7">
      <w:pPr>
        <w:pStyle w:val="3"/>
        <w:rPr>
          <w:rFonts w:eastAsia="黑体" w:cs="Times New Roman"/>
          <w:b w:val="0"/>
        </w:rPr>
      </w:pPr>
      <w:bookmarkStart w:id="485" w:name="_Toc60173814"/>
      <w:bookmarkStart w:id="486" w:name="_Toc18057073"/>
      <w:bookmarkStart w:id="487" w:name="_Toc16268"/>
      <w:bookmarkStart w:id="488" w:name="_Toc26905"/>
      <w:bookmarkStart w:id="489" w:name="_Toc22532"/>
      <w:bookmarkStart w:id="490" w:name="_Toc47692186"/>
      <w:bookmarkStart w:id="491" w:name="_Toc60172927"/>
      <w:bookmarkStart w:id="492" w:name="_Toc22123"/>
      <w:bookmarkStart w:id="493" w:name="_Toc23462"/>
      <w:bookmarkStart w:id="494" w:name="_Toc25974"/>
      <w:bookmarkStart w:id="495" w:name="_Toc23054"/>
      <w:r>
        <w:rPr>
          <w:rFonts w:eastAsia="黑体" w:cs="Times New Roman"/>
        </w:rPr>
        <w:t>9.2</w:t>
      </w:r>
      <w:r>
        <w:rPr>
          <w:rFonts w:eastAsia="黑体" w:cs="Times New Roman"/>
          <w:b w:val="0"/>
        </w:rPr>
        <w:t>施工组织设计</w:t>
      </w:r>
      <w:bookmarkEnd w:id="485"/>
      <w:bookmarkEnd w:id="486"/>
      <w:bookmarkEnd w:id="487"/>
      <w:bookmarkEnd w:id="488"/>
      <w:bookmarkEnd w:id="489"/>
      <w:bookmarkEnd w:id="490"/>
      <w:bookmarkEnd w:id="491"/>
      <w:bookmarkEnd w:id="492"/>
      <w:bookmarkEnd w:id="493"/>
      <w:bookmarkEnd w:id="494"/>
      <w:bookmarkEnd w:id="495"/>
    </w:p>
    <w:p w14:paraId="700FCF54">
      <w:r>
        <w:rPr>
          <w:b/>
          <w:bCs/>
        </w:rPr>
        <w:t xml:space="preserve">9.2.1  </w:t>
      </w:r>
      <w:r>
        <w:t>顶管施工前应编写顶管施工组织设计，并应满足设计文件与合同协议的要求。在现场踏勘的基础上，除应根据实际情况选用合适的设备和选择最优施工方法与工艺外，尚应随着工程进展根据实际情况的变化调整施工参数。</w:t>
      </w:r>
    </w:p>
    <w:p w14:paraId="3112D934">
      <w:r>
        <w:rPr>
          <w:b/>
          <w:bCs/>
        </w:rPr>
        <w:t xml:space="preserve">9.2.2  </w:t>
      </w:r>
      <w:r>
        <w:t>施工组织设计应包括下列内容：</w:t>
      </w:r>
    </w:p>
    <w:p w14:paraId="4F9411A4">
      <w:pPr>
        <w:ind w:firstLine="482" w:firstLineChars="200"/>
      </w:pPr>
      <w:r>
        <w:rPr>
          <w:b/>
          <w:bCs/>
        </w:rPr>
        <w:t>1</w:t>
      </w:r>
      <w:r>
        <w:t>编制依据及采用标准；</w:t>
      </w:r>
    </w:p>
    <w:p w14:paraId="3E43C18B">
      <w:pPr>
        <w:ind w:firstLine="482" w:firstLineChars="200"/>
      </w:pPr>
      <w:r>
        <w:rPr>
          <w:b/>
          <w:bCs/>
        </w:rPr>
        <w:t>2</w:t>
      </w:r>
      <w:r>
        <w:t>工程概况</w:t>
      </w:r>
      <w:r>
        <w:rPr>
          <w:rFonts w:hint="eastAsia"/>
        </w:rPr>
        <w:t>，包括</w:t>
      </w:r>
      <w:r>
        <w:t>工程基本情况、施工场地特征、工程地质和水文地质、地面及地下建筑物或构筑物、地下管线及其他地下障碍物等内容；</w:t>
      </w:r>
    </w:p>
    <w:p w14:paraId="7764FA2B">
      <w:pPr>
        <w:ind w:firstLine="482" w:firstLineChars="200"/>
      </w:pPr>
      <w:r>
        <w:rPr>
          <w:b/>
          <w:bCs/>
        </w:rPr>
        <w:t>3</w:t>
      </w:r>
      <w:r>
        <w:t>施工现场总平面布置；</w:t>
      </w:r>
    </w:p>
    <w:p w14:paraId="5F7EB945">
      <w:pPr>
        <w:ind w:firstLine="482" w:firstLineChars="200"/>
      </w:pPr>
      <w:r>
        <w:rPr>
          <w:b/>
          <w:bCs/>
        </w:rPr>
        <w:t>4</w:t>
      </w:r>
      <w:r>
        <w:t>工程重难点分析及措施；</w:t>
      </w:r>
    </w:p>
    <w:p w14:paraId="5FD502DA">
      <w:pPr>
        <w:ind w:firstLine="482" w:firstLineChars="200"/>
      </w:pPr>
      <w:r>
        <w:rPr>
          <w:b/>
          <w:bCs/>
        </w:rPr>
        <w:t>5</w:t>
      </w:r>
      <w:r>
        <w:t>施工工作计划</w:t>
      </w:r>
      <w:r>
        <w:rPr>
          <w:rFonts w:hint="eastAsia"/>
        </w:rPr>
        <w:t>，</w:t>
      </w:r>
      <w:r>
        <w:t>包括施工进度计划、机械设备计划及劳动力安排计划等；</w:t>
      </w:r>
    </w:p>
    <w:p w14:paraId="1A361BDB">
      <w:pPr>
        <w:ind w:firstLine="482" w:firstLineChars="200"/>
      </w:pPr>
      <w:r>
        <w:rPr>
          <w:b/>
          <w:bCs/>
        </w:rPr>
        <w:t>6</w:t>
      </w:r>
      <w:r>
        <w:t>顶管设备选型与配置</w:t>
      </w:r>
      <w:r>
        <w:rPr>
          <w:rFonts w:hint="eastAsia"/>
        </w:rPr>
        <w:t>，</w:t>
      </w:r>
      <w:r>
        <w:t>包括顶管机、中继间、主顶液压缸等，注明主要设备性能参数；</w:t>
      </w:r>
    </w:p>
    <w:p w14:paraId="0ED3FF98">
      <w:pPr>
        <w:ind w:firstLine="482" w:firstLineChars="200"/>
      </w:pPr>
      <w:r>
        <w:rPr>
          <w:b/>
          <w:bCs/>
        </w:rPr>
        <w:t>7</w:t>
      </w:r>
      <w:r>
        <w:t>施工准备工作，包括下列内容：</w:t>
      </w:r>
    </w:p>
    <w:p w14:paraId="529B40E0">
      <w:pPr>
        <w:ind w:left="696" w:leftChars="290"/>
      </w:pPr>
      <w:r>
        <w:t>1）后靠背钢盒、导轨、顶管机、液压缸、止水圈的安装方法</w:t>
      </w:r>
      <w:r>
        <w:rPr>
          <w:rFonts w:hint="eastAsia"/>
        </w:rPr>
        <w:t>并</w:t>
      </w:r>
      <w:r>
        <w:t>附安装图；</w:t>
      </w:r>
    </w:p>
    <w:p w14:paraId="6563B12A">
      <w:pPr>
        <w:ind w:firstLine="720" w:firstLineChars="300"/>
      </w:pPr>
      <w:r>
        <w:t>2）降水措施；</w:t>
      </w:r>
    </w:p>
    <w:p w14:paraId="46E78F30">
      <w:pPr>
        <w:ind w:firstLine="720" w:firstLineChars="300"/>
      </w:pPr>
      <w:r>
        <w:t>3）洞门凿除；</w:t>
      </w:r>
    </w:p>
    <w:p w14:paraId="63F34C22">
      <w:pPr>
        <w:ind w:firstLine="720" w:firstLineChars="300"/>
      </w:pPr>
      <w:r>
        <w:t>4）管节预制、运输、存放；</w:t>
      </w:r>
    </w:p>
    <w:p w14:paraId="28D1686E">
      <w:pPr>
        <w:ind w:firstLine="720" w:firstLineChars="300"/>
      </w:pPr>
      <w:r>
        <w:t>5）中继间加工。</w:t>
      </w:r>
    </w:p>
    <w:p w14:paraId="3A5076FD">
      <w:pPr>
        <w:ind w:firstLine="482" w:firstLineChars="200"/>
      </w:pPr>
      <w:r>
        <w:rPr>
          <w:b/>
          <w:bCs/>
        </w:rPr>
        <w:t>8</w:t>
      </w:r>
      <w:r>
        <w:t>主要施工技术方案，包括下列内容：</w:t>
      </w:r>
    </w:p>
    <w:p w14:paraId="50C833E4">
      <w:pPr>
        <w:ind w:firstLine="840" w:firstLineChars="350"/>
      </w:pPr>
      <w:r>
        <w:t>1）总顶力</w:t>
      </w:r>
      <w:r>
        <w:rPr>
          <w:rFonts w:hint="eastAsia"/>
        </w:rPr>
        <w:t>计</w:t>
      </w:r>
      <w:r>
        <w:t>算、后靠背承载力</w:t>
      </w:r>
      <w:r>
        <w:rPr>
          <w:rFonts w:hint="eastAsia"/>
        </w:rPr>
        <w:t>验</w:t>
      </w:r>
      <w:r>
        <w:t>算；</w:t>
      </w:r>
    </w:p>
    <w:p w14:paraId="3B9FC6A4">
      <w:pPr>
        <w:ind w:firstLine="840" w:firstLineChars="350"/>
      </w:pPr>
      <w:r>
        <w:t>2）顶管施工参数的选定；</w:t>
      </w:r>
    </w:p>
    <w:p w14:paraId="3C873CE6">
      <w:pPr>
        <w:ind w:firstLine="840" w:firstLineChars="350"/>
      </w:pPr>
      <w:r>
        <w:t>3）顶管始发和接收技术措施</w:t>
      </w:r>
      <w:r>
        <w:rPr>
          <w:rFonts w:hint="eastAsia"/>
        </w:rPr>
        <w:t>、</w:t>
      </w:r>
      <w:r>
        <w:t>安全控制</w:t>
      </w:r>
      <w:r>
        <w:rPr>
          <w:rFonts w:hint="eastAsia"/>
        </w:rPr>
        <w:t>及洞门加固体检测</w:t>
      </w:r>
      <w:r>
        <w:t>；</w:t>
      </w:r>
    </w:p>
    <w:p w14:paraId="38BDDFC4">
      <w:pPr>
        <w:ind w:left="1274" w:leftChars="350" w:hanging="434" w:hangingChars="181"/>
      </w:pPr>
      <w:r>
        <w:t>4）管材的选择及管节长度的确定，管节的连接与防水，管节的内外防腐；</w:t>
      </w:r>
    </w:p>
    <w:p w14:paraId="18F4D94A">
      <w:pPr>
        <w:ind w:left="1200" w:leftChars="350" w:hanging="360" w:hangingChars="150"/>
      </w:pPr>
      <w:r>
        <w:t>5）注浆减阻措施，包括泥浆配合比、注浆量和注浆压力的确定；泥浆制备和输送设备及安装规定；注浆工艺、注浆系统及注浆孔的布置；掘进洞口的泥浆封闭措施等。</w:t>
      </w:r>
    </w:p>
    <w:p w14:paraId="7BCCC431">
      <w:pPr>
        <w:ind w:firstLine="840" w:firstLineChars="350"/>
      </w:pPr>
      <w:r>
        <w:t>6）渣土改良；</w:t>
      </w:r>
    </w:p>
    <w:p w14:paraId="59D6AE4D">
      <w:pPr>
        <w:ind w:firstLine="840" w:firstLineChars="350"/>
      </w:pPr>
      <w:r>
        <w:t>7）顶管掌子面及管节压力监测；</w:t>
      </w:r>
    </w:p>
    <w:p w14:paraId="76DE8B3B">
      <w:pPr>
        <w:ind w:firstLine="840" w:firstLineChars="350"/>
      </w:pPr>
      <w:r>
        <w:t>8）顶管穿越不良地层、复合地层等采取的主要技术措施；</w:t>
      </w:r>
    </w:p>
    <w:p w14:paraId="26D7D2C3">
      <w:pPr>
        <w:ind w:firstLine="840" w:firstLineChars="350"/>
      </w:pPr>
      <w:r>
        <w:t>9）排渣方式和渣土的处理，附渣土暂存位置图；</w:t>
      </w:r>
    </w:p>
    <w:p w14:paraId="3092505E">
      <w:pPr>
        <w:ind w:firstLine="720" w:firstLineChars="300"/>
      </w:pPr>
      <w:r>
        <w:t>10）顶管测量、纠偏方法及姿态控制措施；</w:t>
      </w:r>
    </w:p>
    <w:p w14:paraId="78CC9D02">
      <w:pPr>
        <w:ind w:firstLine="720" w:firstLineChars="300"/>
      </w:pPr>
      <w:r>
        <w:t>11）地面变形监测点布设；</w:t>
      </w:r>
    </w:p>
    <w:p w14:paraId="68DFCE95">
      <w:pPr>
        <w:ind w:firstLine="720" w:firstLineChars="300"/>
      </w:pPr>
      <w:r>
        <w:t>12）地层变形的监测及控制措施；</w:t>
      </w:r>
    </w:p>
    <w:p w14:paraId="0423B2C9">
      <w:pPr>
        <w:ind w:firstLine="720" w:firstLineChars="300"/>
      </w:pPr>
      <w:r>
        <w:t>13）中继间的位置、安装、使用与拆除措施；</w:t>
      </w:r>
    </w:p>
    <w:p w14:paraId="360D53AD">
      <w:pPr>
        <w:ind w:firstLine="720" w:firstLineChars="300"/>
      </w:pPr>
      <w:r>
        <w:t>14）顶管施工时的通风、供电、通讯措施；</w:t>
      </w:r>
    </w:p>
    <w:p w14:paraId="27D3776A">
      <w:pPr>
        <w:ind w:firstLine="720" w:firstLineChars="300"/>
      </w:pPr>
      <w:r>
        <w:t>15）工程重点部位的技术措施；</w:t>
      </w:r>
    </w:p>
    <w:p w14:paraId="5FCC3D56">
      <w:pPr>
        <w:ind w:firstLine="720" w:firstLineChars="300"/>
      </w:pPr>
      <w:r>
        <w:t>16）顶管贯通后的泥浆置换和防水处理措施。</w:t>
      </w:r>
    </w:p>
    <w:p w14:paraId="3665E456">
      <w:pPr>
        <w:ind w:firstLine="479" w:firstLineChars="199"/>
      </w:pPr>
      <w:r>
        <w:rPr>
          <w:b/>
          <w:bCs/>
        </w:rPr>
        <w:t>9</w:t>
      </w:r>
      <w:r>
        <w:t>顶管</w:t>
      </w:r>
      <w:r>
        <w:rPr>
          <w:rFonts w:hint="eastAsia"/>
        </w:rPr>
        <w:t>工程</w:t>
      </w:r>
      <w:r>
        <w:t>吊装方案；</w:t>
      </w:r>
    </w:p>
    <w:p w14:paraId="2F3EA72C">
      <w:pPr>
        <w:ind w:firstLine="479" w:firstLineChars="199"/>
      </w:pPr>
      <w:r>
        <w:rPr>
          <w:b/>
          <w:bCs/>
        </w:rPr>
        <w:t>10</w:t>
      </w:r>
      <w:r>
        <w:t>施工安全和质量保证措施；</w:t>
      </w:r>
    </w:p>
    <w:p w14:paraId="01C933EE">
      <w:pPr>
        <w:ind w:firstLine="482" w:firstLineChars="200"/>
      </w:pPr>
      <w:r>
        <w:rPr>
          <w:b/>
          <w:bCs/>
        </w:rPr>
        <w:t>11</w:t>
      </w:r>
      <w:r>
        <w:t>季节性施工技术措施；</w:t>
      </w:r>
    </w:p>
    <w:p w14:paraId="4DB98071">
      <w:pPr>
        <w:ind w:firstLine="482" w:firstLineChars="200"/>
      </w:pPr>
      <w:r>
        <w:rPr>
          <w:b/>
          <w:bCs/>
        </w:rPr>
        <w:t>12</w:t>
      </w:r>
      <w:r>
        <w:t>施工文明和环境保护措施；</w:t>
      </w:r>
    </w:p>
    <w:p w14:paraId="0B5A7BA1">
      <w:pPr>
        <w:ind w:firstLine="482" w:firstLineChars="200"/>
      </w:pPr>
      <w:r>
        <w:rPr>
          <w:b/>
          <w:bCs/>
        </w:rPr>
        <w:t>13</w:t>
      </w:r>
      <w:r>
        <w:t>根据工程风险分析及风险源排查、评估、施工措施及风险控制等编制施工应急预案，包括下列内容：</w:t>
      </w:r>
    </w:p>
    <w:p w14:paraId="0C9A3DE5">
      <w:pPr>
        <w:ind w:firstLine="960" w:firstLineChars="400"/>
      </w:pPr>
      <w:r>
        <w:t>1）工程风险分析及应急预案；</w:t>
      </w:r>
    </w:p>
    <w:p w14:paraId="66A7177D">
      <w:pPr>
        <w:ind w:firstLine="960" w:firstLineChars="400"/>
      </w:pPr>
      <w:r>
        <w:t>2）顶管始发应急措施；</w:t>
      </w:r>
    </w:p>
    <w:p w14:paraId="1F20BE7F">
      <w:pPr>
        <w:ind w:firstLine="960" w:firstLineChars="400"/>
      </w:pPr>
      <w:r>
        <w:t>3）顶管过程中的应急措施；</w:t>
      </w:r>
    </w:p>
    <w:p w14:paraId="1534C8CB">
      <w:pPr>
        <w:ind w:firstLine="960" w:firstLineChars="400"/>
      </w:pPr>
      <w:r>
        <w:t>4）顶管接收应急措施；</w:t>
      </w:r>
    </w:p>
    <w:p w14:paraId="7FBB44A7">
      <w:pPr>
        <w:ind w:firstLine="960" w:firstLineChars="400"/>
      </w:pPr>
      <w:r>
        <w:t>5）顶管穿越障碍物处理措施；</w:t>
      </w:r>
    </w:p>
    <w:p w14:paraId="4B7C5F9B">
      <w:pPr>
        <w:ind w:firstLine="960" w:firstLineChars="400"/>
      </w:pPr>
      <w:r>
        <w:t>6）应急动力与电源配置；</w:t>
      </w:r>
    </w:p>
    <w:p w14:paraId="4C016A44">
      <w:pPr>
        <w:ind w:firstLine="960" w:firstLineChars="400"/>
      </w:pPr>
      <w:r>
        <w:t>7）工程意外伤害预防及处理措施。</w:t>
      </w:r>
    </w:p>
    <w:p w14:paraId="5071CA20">
      <w:pPr>
        <w:ind w:firstLine="482" w:firstLineChars="200"/>
      </w:pPr>
      <w:r>
        <w:rPr>
          <w:b/>
          <w:bCs/>
        </w:rPr>
        <w:t>14</w:t>
      </w:r>
      <w:r>
        <w:t>现场远程管理和视频监控。</w:t>
      </w:r>
    </w:p>
    <w:p w14:paraId="02A78F11">
      <w:pPr>
        <w:ind w:firstLine="480" w:firstLineChars="200"/>
      </w:pPr>
    </w:p>
    <w:p w14:paraId="44702543">
      <w:pPr>
        <w:pStyle w:val="3"/>
        <w:rPr>
          <w:rFonts w:eastAsia="黑体" w:cs="Times New Roman"/>
          <w:b w:val="0"/>
        </w:rPr>
      </w:pPr>
      <w:bookmarkStart w:id="496" w:name="_Toc28678"/>
      <w:bookmarkStart w:id="497" w:name="_Toc25594"/>
      <w:bookmarkStart w:id="498" w:name="_Toc47692187"/>
      <w:bookmarkStart w:id="499" w:name="_Toc13704"/>
      <w:bookmarkStart w:id="500" w:name="_Toc29616"/>
      <w:bookmarkStart w:id="501" w:name="_Toc2178"/>
      <w:bookmarkStart w:id="502" w:name="_Toc18363"/>
      <w:bookmarkStart w:id="503" w:name="_Toc18057074"/>
      <w:bookmarkStart w:id="504" w:name="_Toc60172928"/>
      <w:bookmarkStart w:id="505" w:name="_Toc60173815"/>
      <w:bookmarkStart w:id="506" w:name="_Toc17375"/>
      <w:r>
        <w:rPr>
          <w:rFonts w:eastAsia="黑体" w:cs="Times New Roman"/>
          <w:b w:val="0"/>
        </w:rPr>
        <w:t>9.3  顶管始发与接收</w:t>
      </w:r>
      <w:bookmarkEnd w:id="496"/>
      <w:bookmarkEnd w:id="497"/>
      <w:bookmarkEnd w:id="498"/>
      <w:bookmarkEnd w:id="499"/>
      <w:bookmarkEnd w:id="500"/>
      <w:bookmarkEnd w:id="501"/>
      <w:bookmarkEnd w:id="502"/>
      <w:bookmarkEnd w:id="503"/>
      <w:bookmarkEnd w:id="504"/>
      <w:bookmarkEnd w:id="505"/>
      <w:bookmarkEnd w:id="506"/>
    </w:p>
    <w:p w14:paraId="43AFE141">
      <w:r>
        <w:rPr>
          <w:b/>
          <w:bCs/>
        </w:rPr>
        <w:t xml:space="preserve">9.3.1  </w:t>
      </w:r>
      <w:r>
        <w:t>顶管洞口的施工应符合下列规定：</w:t>
      </w:r>
    </w:p>
    <w:p w14:paraId="5880A87B">
      <w:pPr>
        <w:ind w:firstLine="482" w:firstLineChars="200"/>
      </w:pPr>
      <w:r>
        <w:rPr>
          <w:b/>
          <w:bCs/>
        </w:rPr>
        <w:t>1</w:t>
      </w:r>
      <w:r>
        <w:t>顶管始发和接收预留洞口的位置、几何尺寸、封堵方式应符合设计文件和施工方案的规定；</w:t>
      </w:r>
    </w:p>
    <w:p w14:paraId="4716DE9C">
      <w:pPr>
        <w:ind w:firstLine="482" w:firstLineChars="200"/>
      </w:pPr>
      <w:r>
        <w:rPr>
          <w:b/>
          <w:bCs/>
        </w:rPr>
        <w:t xml:space="preserve">2 </w:t>
      </w:r>
      <w:r>
        <w:t>顶管工作井洞口施工影响范围内的土层应进行预加固处理，始发和接收前应检查加固处理后的土体强度和渗漏水情况；</w:t>
      </w:r>
    </w:p>
    <w:p w14:paraId="5E2992AD">
      <w:pPr>
        <w:ind w:firstLine="482" w:firstLineChars="200"/>
      </w:pPr>
      <w:r>
        <w:rPr>
          <w:b/>
          <w:bCs/>
        </w:rPr>
        <w:t>3</w:t>
      </w:r>
      <w:r>
        <w:rPr>
          <w:rFonts w:hint="eastAsia"/>
        </w:rPr>
        <w:t>洞门凿除后应立即将顶管机推入洞门，刀盘抵住撑子面，并设置止退装置；</w:t>
      </w:r>
    </w:p>
    <w:p w14:paraId="19D77BC0">
      <w:pPr>
        <w:ind w:firstLine="482" w:firstLineChars="200"/>
      </w:pPr>
      <w:r>
        <w:rPr>
          <w:b/>
          <w:bCs/>
        </w:rPr>
        <w:t>4</w:t>
      </w:r>
      <w:r>
        <w:t>洞口应设置止水装置，止水装置应与工作井壁内的预埋件焊接牢固，</w:t>
      </w:r>
      <w:r>
        <w:rPr>
          <w:rFonts w:hint="eastAsia"/>
        </w:rPr>
        <w:t>宜</w:t>
      </w:r>
      <w:r>
        <w:t>用</w:t>
      </w:r>
      <w:r>
        <w:rPr>
          <w:rFonts w:hint="eastAsia"/>
        </w:rPr>
        <w:t>膨胀</w:t>
      </w:r>
      <w:r>
        <w:t>材料</w:t>
      </w:r>
      <w:r>
        <w:rPr>
          <w:rFonts w:hint="eastAsia"/>
        </w:rPr>
        <w:t>填充间隙</w:t>
      </w:r>
      <w:r>
        <w:t>；顶管结束后，</w:t>
      </w:r>
      <w:r>
        <w:rPr>
          <w:rFonts w:hint="eastAsia"/>
        </w:rPr>
        <w:t>管节</w:t>
      </w:r>
      <w:r>
        <w:t>与洞口的间隙应</w:t>
      </w:r>
      <w:r>
        <w:rPr>
          <w:rFonts w:hint="eastAsia"/>
        </w:rPr>
        <w:t>立即</w:t>
      </w:r>
      <w:r>
        <w:t>封堵</w:t>
      </w:r>
      <w:r>
        <w:rPr>
          <w:rFonts w:hint="eastAsia"/>
        </w:rPr>
        <w:t>。</w:t>
      </w:r>
    </w:p>
    <w:p w14:paraId="1A08C4F8">
      <w:r>
        <w:rPr>
          <w:b/>
          <w:bCs/>
        </w:rPr>
        <w:t xml:space="preserve">9.3.2  </w:t>
      </w:r>
      <w:r>
        <w:t>洞口始发时，顶管机与后续2节～3节管之间应</w:t>
      </w:r>
      <w:r>
        <w:rPr>
          <w:rFonts w:hint="eastAsia"/>
        </w:rPr>
        <w:t>进行有效</w:t>
      </w:r>
      <w:r>
        <w:t>连接。</w:t>
      </w:r>
    </w:p>
    <w:p w14:paraId="6BFAB46C">
      <w:r>
        <w:rPr>
          <w:b/>
          <w:bCs/>
        </w:rPr>
        <w:t xml:space="preserve">9.3.3  </w:t>
      </w:r>
      <w:r>
        <w:t>接收井内宜</w:t>
      </w:r>
      <w:r>
        <w:rPr>
          <w:rFonts w:hint="eastAsia"/>
        </w:rPr>
        <w:t>设置</w:t>
      </w:r>
      <w:r>
        <w:t>略</w:t>
      </w:r>
      <w:r>
        <w:rPr>
          <w:rFonts w:hint="eastAsia"/>
        </w:rPr>
        <w:t>低</w:t>
      </w:r>
      <w:r>
        <w:t>于管</w:t>
      </w:r>
      <w:r>
        <w:rPr>
          <w:rFonts w:hint="eastAsia"/>
        </w:rPr>
        <w:t>节</w:t>
      </w:r>
      <w:r>
        <w:t>底的</w:t>
      </w:r>
      <w:r>
        <w:rPr>
          <w:rFonts w:hint="eastAsia"/>
        </w:rPr>
        <w:t>导轨</w:t>
      </w:r>
      <w:r>
        <w:t>。当地下水位高、可能发生管涌或流砂时，应采用</w:t>
      </w:r>
      <w:r>
        <w:rPr>
          <w:rFonts w:hint="eastAsia"/>
        </w:rPr>
        <w:t>水下</w:t>
      </w:r>
      <w:r>
        <w:t>接收方式。</w:t>
      </w:r>
    </w:p>
    <w:p w14:paraId="3D146E2A">
      <w:r>
        <w:rPr>
          <w:b/>
          <w:bCs/>
        </w:rPr>
        <w:t>9.3.</w:t>
      </w:r>
      <w:r>
        <w:rPr>
          <w:rFonts w:hint="eastAsia"/>
          <w:b/>
          <w:bCs/>
        </w:rPr>
        <w:t>4</w:t>
      </w:r>
      <w:r>
        <w:rPr>
          <w:b/>
          <w:bCs/>
        </w:rPr>
        <w:t xml:space="preserve">  </w:t>
      </w:r>
      <w:r>
        <w:t>顶管始发应符合下列规定：</w:t>
      </w:r>
    </w:p>
    <w:p w14:paraId="076A6120">
      <w:pPr>
        <w:ind w:firstLine="482" w:firstLineChars="200"/>
      </w:pPr>
      <w:r>
        <w:rPr>
          <w:b/>
          <w:bCs/>
        </w:rPr>
        <w:t>1</w:t>
      </w:r>
      <w:r>
        <w:t>顶管机穿越始发洞口加固区时，始发洞口内应注满</w:t>
      </w:r>
      <w:r>
        <w:rPr>
          <w:rFonts w:hint="eastAsia"/>
        </w:rPr>
        <w:t>浓</w:t>
      </w:r>
      <w:r>
        <w:t>泥浆，掘进速度宜控制在2mm/min～3mm/min；</w:t>
      </w:r>
    </w:p>
    <w:p w14:paraId="4E4B99B8">
      <w:pPr>
        <w:ind w:firstLine="482" w:firstLineChars="200"/>
      </w:pPr>
      <w:r>
        <w:rPr>
          <w:b/>
          <w:bCs/>
        </w:rPr>
        <w:t>2</w:t>
      </w:r>
      <w:r>
        <w:t>顶管机穿越始发洞口加固区之前应在机外壳两边焊接支座</w:t>
      </w:r>
      <w:r>
        <w:rPr>
          <w:rFonts w:hint="eastAsia"/>
        </w:rPr>
        <w:t>，并应保持</w:t>
      </w:r>
      <w:r>
        <w:t>与导轨面齐平；</w:t>
      </w:r>
    </w:p>
    <w:p w14:paraId="6D9E520B">
      <w:pPr>
        <w:ind w:firstLine="482" w:firstLineChars="200"/>
      </w:pPr>
      <w:r>
        <w:rPr>
          <w:b/>
          <w:bCs/>
        </w:rPr>
        <w:t>4</w:t>
      </w:r>
      <w:r>
        <w:t>顶管始发出洞时应均匀增加</w:t>
      </w:r>
      <w:r>
        <w:rPr>
          <w:rFonts w:hint="eastAsia"/>
        </w:rPr>
        <w:t>顶推</w:t>
      </w:r>
      <w:r>
        <w:t>力；</w:t>
      </w:r>
    </w:p>
    <w:p w14:paraId="3D77E79E">
      <w:pPr>
        <w:ind w:firstLine="482" w:firstLineChars="200"/>
      </w:pPr>
      <w:r>
        <w:rPr>
          <w:b/>
          <w:bCs/>
        </w:rPr>
        <w:t>5</w:t>
      </w:r>
      <w:r>
        <w:t>初始掘进时应有防止顶管机后退措施；</w:t>
      </w:r>
    </w:p>
    <w:p w14:paraId="1AD9AE58">
      <w:pPr>
        <w:ind w:firstLine="482" w:firstLineChars="200"/>
      </w:pPr>
      <w:r>
        <w:rPr>
          <w:b/>
          <w:bCs/>
        </w:rPr>
        <w:t>6</w:t>
      </w:r>
      <w:r>
        <w:t>初始掘进时</w:t>
      </w:r>
      <w:r>
        <w:rPr>
          <w:rFonts w:hint="eastAsia"/>
        </w:rPr>
        <w:t>宜</w:t>
      </w:r>
      <w:r>
        <w:t>使用下层液压缸掘进</w:t>
      </w:r>
      <w:r>
        <w:rPr>
          <w:rFonts w:hint="eastAsia"/>
        </w:rPr>
        <w:t>。</w:t>
      </w:r>
    </w:p>
    <w:p w14:paraId="48458474">
      <w:r>
        <w:rPr>
          <w:b/>
          <w:bCs/>
        </w:rPr>
        <w:t>9.3.</w:t>
      </w:r>
      <w:r>
        <w:rPr>
          <w:rFonts w:hint="eastAsia"/>
          <w:b/>
          <w:bCs/>
        </w:rPr>
        <w:t>5</w:t>
      </w:r>
      <w:r>
        <w:rPr>
          <w:b/>
          <w:bCs/>
        </w:rPr>
        <w:t xml:space="preserve">  </w:t>
      </w:r>
      <w:r>
        <w:t>顶管接收应符合下列规定：</w:t>
      </w:r>
    </w:p>
    <w:p w14:paraId="35E4A623">
      <w:pPr>
        <w:ind w:firstLine="482" w:firstLineChars="200"/>
      </w:pPr>
      <w:r>
        <w:rPr>
          <w:b/>
          <w:bCs/>
        </w:rPr>
        <w:t>1</w:t>
      </w:r>
      <w:r>
        <w:t>顶管机接近接收井洞口加固区前，应加强测量</w:t>
      </w:r>
      <w:r>
        <w:rPr>
          <w:rFonts w:hint="eastAsia"/>
        </w:rPr>
        <w:t>顶进长度</w:t>
      </w:r>
      <w:r>
        <w:t>和管</w:t>
      </w:r>
      <w:r>
        <w:rPr>
          <w:rFonts w:hint="eastAsia"/>
        </w:rPr>
        <w:t>位</w:t>
      </w:r>
      <w:r>
        <w:t>偏差；</w:t>
      </w:r>
    </w:p>
    <w:p w14:paraId="25712F16">
      <w:pPr>
        <w:ind w:firstLine="482" w:firstLineChars="200"/>
      </w:pPr>
      <w:r>
        <w:rPr>
          <w:b/>
          <w:bCs/>
        </w:rPr>
        <w:t>2</w:t>
      </w:r>
      <w:r>
        <w:t>顶管机进入接收井洞口加固区时，应控制掘进速度在2mm/min～3mm/min，接近接收井洞口时，应拆除洞口</w:t>
      </w:r>
      <w:r>
        <w:rPr>
          <w:rFonts w:hint="eastAsia"/>
        </w:rPr>
        <w:t>支护结构</w:t>
      </w:r>
      <w:r>
        <w:t>并清</w:t>
      </w:r>
      <w:r>
        <w:rPr>
          <w:rFonts w:hint="eastAsia"/>
        </w:rPr>
        <w:t>除</w:t>
      </w:r>
      <w:r>
        <w:t>洞口障碍物</w:t>
      </w:r>
      <w:r>
        <w:rPr>
          <w:rFonts w:hint="eastAsia"/>
        </w:rPr>
        <w:t>。</w:t>
      </w:r>
    </w:p>
    <w:p w14:paraId="00E57AFB"/>
    <w:p w14:paraId="0CC776B4">
      <w:pPr>
        <w:pStyle w:val="3"/>
        <w:rPr>
          <w:rFonts w:eastAsia="黑体" w:cs="Times New Roman"/>
          <w:b w:val="0"/>
        </w:rPr>
      </w:pPr>
      <w:bookmarkStart w:id="507" w:name="_Toc23283"/>
      <w:bookmarkStart w:id="508" w:name="_Toc21683"/>
      <w:bookmarkStart w:id="509" w:name="_Toc25882"/>
      <w:bookmarkStart w:id="510" w:name="_Toc47692188"/>
      <w:bookmarkStart w:id="511" w:name="_Toc21696"/>
      <w:bookmarkStart w:id="512" w:name="_Toc60172929"/>
      <w:bookmarkStart w:id="513" w:name="_Toc18057075"/>
      <w:bookmarkStart w:id="514" w:name="_Toc17879"/>
      <w:bookmarkStart w:id="515" w:name="_Toc17298"/>
      <w:bookmarkStart w:id="516" w:name="_Toc60173816"/>
      <w:bookmarkStart w:id="517" w:name="_Toc11972"/>
      <w:r>
        <w:rPr>
          <w:rFonts w:eastAsia="黑体" w:cs="Times New Roman"/>
        </w:rPr>
        <w:t>9.4</w:t>
      </w:r>
      <w:r>
        <w:rPr>
          <w:rFonts w:eastAsia="黑体" w:cs="Times New Roman"/>
          <w:b w:val="0"/>
        </w:rPr>
        <w:t>顶管掘进</w:t>
      </w:r>
      <w:bookmarkEnd w:id="507"/>
      <w:bookmarkEnd w:id="508"/>
      <w:bookmarkEnd w:id="509"/>
      <w:bookmarkEnd w:id="510"/>
      <w:bookmarkEnd w:id="511"/>
      <w:bookmarkEnd w:id="512"/>
      <w:bookmarkEnd w:id="513"/>
      <w:bookmarkEnd w:id="514"/>
      <w:bookmarkEnd w:id="515"/>
      <w:bookmarkEnd w:id="516"/>
      <w:bookmarkEnd w:id="517"/>
    </w:p>
    <w:p w14:paraId="6F96A1A1">
      <w:r>
        <w:rPr>
          <w:b/>
          <w:bCs/>
        </w:rPr>
        <w:t>9.4.1</w:t>
      </w:r>
      <w:r>
        <w:t>施工作业前应针对下列风险因素制定应急预案：</w:t>
      </w:r>
    </w:p>
    <w:p w14:paraId="36C3E0A9">
      <w:pPr>
        <w:ind w:firstLine="482" w:firstLineChars="200"/>
      </w:pPr>
      <w:r>
        <w:rPr>
          <w:b/>
          <w:bCs/>
        </w:rPr>
        <w:t xml:space="preserve">1 </w:t>
      </w:r>
      <w:r>
        <w:t>顶</w:t>
      </w:r>
      <w:r>
        <w:rPr>
          <w:rFonts w:hint="eastAsia"/>
        </w:rPr>
        <w:t>管机穿越众管线或</w:t>
      </w:r>
      <w:r>
        <w:t>地面复杂环境</w:t>
      </w:r>
      <w:r>
        <w:rPr>
          <w:rFonts w:hint="eastAsia"/>
        </w:rPr>
        <w:t>引起管线或</w:t>
      </w:r>
      <w:r>
        <w:t>地表</w:t>
      </w:r>
      <w:r>
        <w:rPr>
          <w:rFonts w:hint="eastAsia"/>
        </w:rPr>
        <w:t>沉降或隆起偏大的风险</w:t>
      </w:r>
      <w:r>
        <w:t>；</w:t>
      </w:r>
    </w:p>
    <w:p w14:paraId="44E2C55D">
      <w:pPr>
        <w:ind w:firstLine="482" w:firstLineChars="200"/>
      </w:pPr>
      <w:r>
        <w:rPr>
          <w:b/>
          <w:bCs/>
        </w:rPr>
        <w:t xml:space="preserve">2 </w:t>
      </w:r>
      <w:r>
        <w:t>施工期间存在突然停电、停水等影响工程质量的风险；</w:t>
      </w:r>
    </w:p>
    <w:p w14:paraId="57845AE1">
      <w:pPr>
        <w:ind w:firstLine="482" w:firstLineChars="200"/>
      </w:pPr>
      <w:r>
        <w:rPr>
          <w:b/>
          <w:bCs/>
        </w:rPr>
        <w:t xml:space="preserve">3 </w:t>
      </w:r>
      <w:r>
        <w:t>施工期间存在不可预见恶劣水文气候条件对工程产生不利影响的风险；</w:t>
      </w:r>
    </w:p>
    <w:p w14:paraId="4AD9CC36">
      <w:pPr>
        <w:ind w:firstLine="482" w:firstLineChars="200"/>
      </w:pPr>
      <w:r>
        <w:rPr>
          <w:b/>
          <w:bCs/>
        </w:rPr>
        <w:t xml:space="preserve">4 </w:t>
      </w:r>
      <w:r>
        <w:t>施工现场机械设备产生故障的风险；</w:t>
      </w:r>
    </w:p>
    <w:p w14:paraId="5092940D">
      <w:pPr>
        <w:ind w:firstLine="482" w:firstLineChars="200"/>
      </w:pPr>
      <w:r>
        <w:rPr>
          <w:b/>
          <w:bCs/>
        </w:rPr>
        <w:t xml:space="preserve">5 </w:t>
      </w:r>
      <w:r>
        <w:t>施工现场的</w:t>
      </w:r>
      <w:r>
        <w:rPr>
          <w:rFonts w:hint="eastAsia"/>
        </w:rPr>
        <w:t>地质</w:t>
      </w:r>
      <w:r>
        <w:t>风险。</w:t>
      </w:r>
    </w:p>
    <w:p w14:paraId="5D95C37A">
      <w:pPr>
        <w:ind w:firstLine="480" w:firstLineChars="200"/>
      </w:pPr>
      <w:r>
        <w:rPr>
          <w:rFonts w:hint="eastAsia"/>
        </w:rPr>
        <w:t>6</w:t>
      </w:r>
      <w:r>
        <w:t xml:space="preserve"> </w:t>
      </w:r>
      <w:r>
        <w:rPr>
          <w:rFonts w:hint="eastAsia"/>
        </w:rPr>
        <w:t>施工过程中可能对周边环境造成的风险。</w:t>
      </w:r>
    </w:p>
    <w:p w14:paraId="0620472B">
      <w:r>
        <w:rPr>
          <w:b/>
          <w:bCs/>
        </w:rPr>
        <w:t>9.4.</w:t>
      </w:r>
      <w:r>
        <w:rPr>
          <w:rFonts w:hint="eastAsia"/>
          <w:b/>
          <w:bCs/>
        </w:rPr>
        <w:t>2</w:t>
      </w:r>
      <w:r>
        <w:t>顶管机的选型</w:t>
      </w:r>
      <w:r>
        <w:rPr>
          <w:rFonts w:hint="eastAsia"/>
        </w:rPr>
        <w:t>应</w:t>
      </w:r>
      <w:r>
        <w:t>根据工程地质条件、水文地质条件、周边环境条件等因素综合确定。</w:t>
      </w:r>
    </w:p>
    <w:p w14:paraId="73301971">
      <w:r>
        <w:rPr>
          <w:b/>
          <w:bCs/>
        </w:rPr>
        <w:t>9.4.</w:t>
      </w:r>
      <w:r>
        <w:rPr>
          <w:rFonts w:hint="eastAsia"/>
          <w:b/>
          <w:bCs/>
        </w:rPr>
        <w:t>3</w:t>
      </w:r>
      <w:r>
        <w:t>土压平衡矩形顶管掘进施工应符合下列规定：</w:t>
      </w:r>
    </w:p>
    <w:p w14:paraId="326CEF18">
      <w:pPr>
        <w:ind w:firstLine="482" w:firstLineChars="200"/>
      </w:pPr>
      <w:r>
        <w:rPr>
          <w:b/>
          <w:bCs/>
        </w:rPr>
        <w:t>1</w:t>
      </w:r>
      <w:r>
        <w:t>掘进前，应根据顶进管道覆土厚度、土体性质、地下水埋深等因素确定土舱压力控制值；</w:t>
      </w:r>
    </w:p>
    <w:p w14:paraId="1E5E79A0">
      <w:pPr>
        <w:ind w:firstLine="482" w:firstLineChars="200"/>
      </w:pPr>
      <w:r>
        <w:rPr>
          <w:b/>
          <w:bCs/>
        </w:rPr>
        <w:t>2</w:t>
      </w:r>
      <w:r>
        <w:t>掘进中，</w:t>
      </w:r>
      <w:r>
        <w:rPr>
          <w:rFonts w:hint="eastAsia"/>
        </w:rPr>
        <w:t>应</w:t>
      </w:r>
      <w:r>
        <w:t>根据土舱压力的变化，调节排土速度与顶进速度，使土舱压力始终保持在预设范围内；</w:t>
      </w:r>
    </w:p>
    <w:p w14:paraId="6444B138">
      <w:pPr>
        <w:ind w:firstLine="482" w:firstLineChars="200"/>
      </w:pPr>
      <w:r>
        <w:rPr>
          <w:b/>
          <w:bCs/>
        </w:rPr>
        <w:t>3</w:t>
      </w:r>
      <w:r>
        <w:t>应根据不同的土质采取不同的渣土改良方法；</w:t>
      </w:r>
    </w:p>
    <w:p w14:paraId="1420E794">
      <w:pPr>
        <w:ind w:firstLine="482" w:firstLineChars="200"/>
      </w:pPr>
      <w:r>
        <w:rPr>
          <w:b/>
          <w:bCs/>
        </w:rPr>
        <w:t>4</w:t>
      </w:r>
      <w:r>
        <w:t>开顶时，应先启动刀盘转动，再启动油缸推进；停顶时，应先停止油缸推进，再停止刀盘转动；</w:t>
      </w:r>
    </w:p>
    <w:p w14:paraId="54ABF024">
      <w:pPr>
        <w:ind w:firstLine="482" w:firstLineChars="200"/>
      </w:pPr>
      <w:r>
        <w:rPr>
          <w:b/>
          <w:bCs/>
        </w:rPr>
        <w:t xml:space="preserve">5 </w:t>
      </w:r>
      <w:r>
        <w:t>掘进中，应同步向管外壁注入减阻泥浆，并应根据泥浆的损失适当补充注浆；</w:t>
      </w:r>
    </w:p>
    <w:p w14:paraId="666E5BC0">
      <w:pPr>
        <w:ind w:firstLine="482" w:firstLineChars="200"/>
      </w:pPr>
      <w:r>
        <w:rPr>
          <w:b/>
          <w:bCs/>
        </w:rPr>
        <w:t xml:space="preserve">6 </w:t>
      </w:r>
      <w:r>
        <w:t>掘进过程中，应随时对掘进机位置进行测量定位，及时纠偏；</w:t>
      </w:r>
    </w:p>
    <w:p w14:paraId="08DF0C08">
      <w:pPr>
        <w:ind w:firstLine="482" w:firstLineChars="200"/>
      </w:pPr>
      <w:r>
        <w:rPr>
          <w:b/>
          <w:bCs/>
        </w:rPr>
        <w:t xml:space="preserve">7 </w:t>
      </w:r>
      <w:r>
        <w:t>顶管贯通后，应向管外壁注入土体固结浆</w:t>
      </w:r>
      <w:r>
        <w:rPr>
          <w:rFonts w:hint="eastAsia"/>
        </w:rPr>
        <w:t>、</w:t>
      </w:r>
      <w:r>
        <w:t>置换减阻泥浆；</w:t>
      </w:r>
    </w:p>
    <w:p w14:paraId="51605965">
      <w:pPr>
        <w:ind w:firstLine="482" w:firstLineChars="200"/>
      </w:pPr>
      <w:r>
        <w:rPr>
          <w:b/>
          <w:bCs/>
        </w:rPr>
        <w:t>8</w:t>
      </w:r>
      <w:r>
        <w:t>距离地下管线、地下和地上建筑物或构筑物较近时，应适当降低顶进速度；</w:t>
      </w:r>
    </w:p>
    <w:p w14:paraId="62C9BB78">
      <w:pPr>
        <w:ind w:firstLine="482" w:firstLineChars="200"/>
      </w:pPr>
      <w:r>
        <w:rPr>
          <w:b/>
          <w:bCs/>
        </w:rPr>
        <w:t xml:space="preserve">9 </w:t>
      </w:r>
      <w:r>
        <w:t>当周边环境对土体变形</w:t>
      </w:r>
      <w:r>
        <w:rPr>
          <w:rFonts w:hint="eastAsia"/>
        </w:rPr>
        <w:t>有</w:t>
      </w:r>
      <w:r>
        <w:t>要求严格时，应进行土体变形监测，</w:t>
      </w:r>
      <w:r>
        <w:rPr>
          <w:rFonts w:hint="eastAsia"/>
        </w:rPr>
        <w:t>并应</w:t>
      </w:r>
      <w:r>
        <w:t>根据监测数据</w:t>
      </w:r>
      <w:r>
        <w:rPr>
          <w:rFonts w:hint="eastAsia"/>
        </w:rPr>
        <w:t>实时</w:t>
      </w:r>
      <w:r>
        <w:t>调整顶进参数</w:t>
      </w:r>
      <w:r>
        <w:rPr>
          <w:rFonts w:hint="eastAsia"/>
        </w:rPr>
        <w:t>。</w:t>
      </w:r>
    </w:p>
    <w:p w14:paraId="0483ABCF">
      <w:r>
        <w:rPr>
          <w:b/>
          <w:bCs/>
        </w:rPr>
        <w:t>9.4.</w:t>
      </w:r>
      <w:r>
        <w:rPr>
          <w:rFonts w:hint="eastAsia"/>
          <w:b/>
          <w:bCs/>
        </w:rPr>
        <w:t>4</w:t>
      </w:r>
      <w:r>
        <w:t>泥水平衡矩形顶管掘进施工应符合下列规定：</w:t>
      </w:r>
    </w:p>
    <w:p w14:paraId="7083C277">
      <w:pPr>
        <w:ind w:firstLine="482" w:firstLineChars="200"/>
      </w:pPr>
      <w:r>
        <w:rPr>
          <w:b/>
          <w:bCs/>
        </w:rPr>
        <w:t xml:space="preserve">1 </w:t>
      </w:r>
      <w:r>
        <w:t>掘进前，应根据顶管覆土厚度、土体性质、地下水埋深等因素确定泥水舱压力控制值；</w:t>
      </w:r>
    </w:p>
    <w:p w14:paraId="16F1FDFE">
      <w:pPr>
        <w:ind w:firstLine="482" w:firstLineChars="200"/>
      </w:pPr>
      <w:r>
        <w:rPr>
          <w:b/>
          <w:bCs/>
        </w:rPr>
        <w:t>2</w:t>
      </w:r>
      <w:r>
        <w:t>掘进中，应根据泥水舱压力的变化调节进水速度、排泥速度与掘进速度，泥水舱压力应保持在预设</w:t>
      </w:r>
      <w:r>
        <w:rPr>
          <w:rFonts w:hint="eastAsia"/>
        </w:rPr>
        <w:t>值</w:t>
      </w:r>
      <w:r>
        <w:t>以内；</w:t>
      </w:r>
    </w:p>
    <w:p w14:paraId="75BBB457">
      <w:pPr>
        <w:ind w:firstLine="482" w:firstLineChars="200"/>
      </w:pPr>
      <w:r>
        <w:rPr>
          <w:b/>
          <w:bCs/>
        </w:rPr>
        <w:t>3</w:t>
      </w:r>
      <w:r>
        <w:t>开顶时，应先启动进、排泥泵，进行机内循环，然后进行机外循环，再启动刀盘转动，最后启动油缸推进；停顶时，应先停止油缸推进，然后进行机外循环，再停止刀盘转动，转到机内循环，最后关闭进、排泥泵；</w:t>
      </w:r>
    </w:p>
    <w:p w14:paraId="009D2501">
      <w:pPr>
        <w:ind w:firstLine="482" w:firstLineChars="200"/>
      </w:pPr>
      <w:r>
        <w:rPr>
          <w:b/>
          <w:bCs/>
        </w:rPr>
        <w:t>4</w:t>
      </w:r>
      <w:r>
        <w:t>对顶管机内进水阀、排泥阀、旁通阀操作时，不得将所有的阀同时处于“关”的状态，并应符合下列规定：</w:t>
      </w:r>
    </w:p>
    <w:p w14:paraId="65FC2DA2">
      <w:pPr>
        <w:numPr>
          <w:ilvl w:val="255"/>
          <w:numId w:val="0"/>
        </w:numPr>
        <w:ind w:left="1133" w:leftChars="354" w:hanging="283" w:hangingChars="118"/>
      </w:pPr>
      <w:r>
        <w:t>1）从机内循环转换到机外循环时，应先打开进水、排泥直通阀，然后再关闭转换阀；</w:t>
      </w:r>
    </w:p>
    <w:p w14:paraId="01D0714D">
      <w:pPr>
        <w:numPr>
          <w:ilvl w:val="255"/>
          <w:numId w:val="0"/>
        </w:numPr>
        <w:ind w:left="1133" w:leftChars="354" w:hanging="283" w:hangingChars="118"/>
      </w:pPr>
      <w:r>
        <w:t>2）从机外循环状态转换到机内循环状态时，应先打开转换阀，再关闭进水、排泥阀。</w:t>
      </w:r>
    </w:p>
    <w:p w14:paraId="3FE56DE4">
      <w:pPr>
        <w:ind w:firstLine="482" w:firstLineChars="200"/>
      </w:pPr>
      <w:r>
        <w:rPr>
          <w:b/>
          <w:bCs/>
        </w:rPr>
        <w:t>6</w:t>
      </w:r>
      <w:r>
        <w:t>掘进中，应同步向管外壁注入减阻泥浆，并应根据泥浆的损失适当补充注浆；</w:t>
      </w:r>
    </w:p>
    <w:p w14:paraId="373C5FA1">
      <w:pPr>
        <w:ind w:firstLine="482" w:firstLineChars="200"/>
      </w:pPr>
      <w:r>
        <w:rPr>
          <w:b/>
          <w:bCs/>
        </w:rPr>
        <w:t>7</w:t>
      </w:r>
      <w:r>
        <w:t>掘进过程中，应随时对顶管机位置进行测量定位，及时纠偏；</w:t>
      </w:r>
    </w:p>
    <w:p w14:paraId="6132FBA4">
      <w:pPr>
        <w:ind w:firstLine="482" w:firstLineChars="200"/>
      </w:pPr>
      <w:r>
        <w:rPr>
          <w:b/>
          <w:bCs/>
        </w:rPr>
        <w:t>8</w:t>
      </w:r>
      <w:r>
        <w:t>顶管贯通后，应向管外壁注入土体固结浆</w:t>
      </w:r>
      <w:r>
        <w:rPr>
          <w:rFonts w:hint="eastAsia"/>
        </w:rPr>
        <w:t>、</w:t>
      </w:r>
      <w:r>
        <w:t>置换减阻泥浆；</w:t>
      </w:r>
    </w:p>
    <w:p w14:paraId="030CD1E4">
      <w:pPr>
        <w:ind w:firstLine="482" w:firstLineChars="200"/>
      </w:pPr>
      <w:r>
        <w:rPr>
          <w:b/>
          <w:bCs/>
        </w:rPr>
        <w:t>9</w:t>
      </w:r>
      <w:r>
        <w:t>距离地下管线、地下和地上建筑物或构筑物较近时，应适当降低顶进速度；</w:t>
      </w:r>
    </w:p>
    <w:p w14:paraId="1385F21A">
      <w:pPr>
        <w:ind w:firstLine="482" w:firstLineChars="200"/>
      </w:pPr>
      <w:r>
        <w:rPr>
          <w:b/>
          <w:bCs/>
        </w:rPr>
        <w:t xml:space="preserve">10 </w:t>
      </w:r>
      <w:r>
        <w:t>当周边环境对土体变形</w:t>
      </w:r>
      <w:r>
        <w:rPr>
          <w:rFonts w:hint="eastAsia"/>
        </w:rPr>
        <w:t>有</w:t>
      </w:r>
      <w:r>
        <w:t>要求严格时，应进行土体变形监测，</w:t>
      </w:r>
      <w:r>
        <w:rPr>
          <w:rFonts w:hint="eastAsia"/>
        </w:rPr>
        <w:t>并应</w:t>
      </w:r>
      <w:r>
        <w:t>根据监测数据随时调整顶进参数。</w:t>
      </w:r>
    </w:p>
    <w:p w14:paraId="0493E7D4">
      <w:r>
        <w:rPr>
          <w:b/>
          <w:bCs/>
        </w:rPr>
        <w:t>9.4.5</w:t>
      </w:r>
      <w:r>
        <w:rPr>
          <w:rFonts w:hint="eastAsia"/>
          <w:b/>
          <w:bCs/>
        </w:rPr>
        <w:t xml:space="preserve"> </w:t>
      </w:r>
      <w:r>
        <w:t>顶管掘进时应符合下列规定：</w:t>
      </w:r>
    </w:p>
    <w:p w14:paraId="3636D5FD">
      <w:pPr>
        <w:ind w:firstLine="482" w:firstLineChars="200"/>
      </w:pPr>
      <w:r>
        <w:rPr>
          <w:b/>
          <w:bCs/>
        </w:rPr>
        <w:t xml:space="preserve">1 </w:t>
      </w:r>
      <w:r>
        <w:t>初始掘进速度宜控制在5mm/min～10mm/min；</w:t>
      </w:r>
    </w:p>
    <w:p w14:paraId="017C893F">
      <w:pPr>
        <w:ind w:firstLine="482" w:firstLineChars="200"/>
      </w:pPr>
      <w:r>
        <w:rPr>
          <w:b/>
          <w:bCs/>
        </w:rPr>
        <w:t xml:space="preserve">2 </w:t>
      </w:r>
      <w:r>
        <w:t>正常掘进时，掘进速度宜控制在10mm/min～20mm/min；掘进时应不断调整掘进速度，优选掘进速度、正面土压力、出渣量的最佳匹配值；</w:t>
      </w:r>
    </w:p>
    <w:p w14:paraId="54EB4B70">
      <w:pPr>
        <w:ind w:firstLine="482" w:firstLineChars="200"/>
      </w:pPr>
      <w:r>
        <w:rPr>
          <w:b/>
          <w:bCs/>
        </w:rPr>
        <w:t xml:space="preserve">3 </w:t>
      </w:r>
      <w:r>
        <w:t>土压平衡式顶管机土舱内的土压力值应按下列公式计算，并应控制在顶管机所处土层的主动土压力与被动土压力之间</w:t>
      </w:r>
      <w:r>
        <w:rPr>
          <w:rFonts w:hint="eastAsia"/>
        </w:rPr>
        <w:t>：</w:t>
      </w:r>
    </w:p>
    <w:p w14:paraId="57CAD767">
      <w:pPr>
        <w:wordWrap w:val="0"/>
        <w:ind w:firstLine="480" w:firstLineChars="200"/>
        <w:jc w:val="right"/>
      </w:pPr>
      <w:r>
        <w:rPr>
          <w:position w:val="-14"/>
        </w:rPr>
        <w:object>
          <v:shape id="_x0000_i1139" o:spt="75" type="#_x0000_t75" style="height:18.75pt;width:57pt;" o:ole="t" filled="f" o:preferrelative="t" stroked="f" coordsize="21600,21600">
            <v:path/>
            <v:fill on="f" focussize="0,0"/>
            <v:stroke on="f" joinstyle="miter"/>
            <v:imagedata r:id="rId243" o:title=""/>
            <o:lock v:ext="edit" aspectratio="t"/>
            <w10:wrap type="none"/>
            <w10:anchorlock/>
          </v:shape>
          <o:OLEObject Type="Embed" ProgID="Equation.3" ShapeID="_x0000_i1139" DrawAspect="Content" ObjectID="_1468075839" r:id="rId242">
            <o:LockedField>false</o:LockedField>
          </o:OLEObject>
        </w:object>
      </w:r>
      <w:r>
        <w:t xml:space="preserve">                          （9.4.5-1）</w:t>
      </w:r>
    </w:p>
    <w:p w14:paraId="3D2AE61B">
      <w:pPr>
        <w:wordWrap w:val="0"/>
        <w:ind w:firstLine="480" w:firstLineChars="200"/>
        <w:jc w:val="right"/>
      </w:pPr>
      <w:r>
        <w:rPr>
          <w:position w:val="-12"/>
        </w:rPr>
        <w:object>
          <v:shape id="_x0000_i1140" o:spt="75" type="#_x0000_t75" style="height:18.75pt;width:54.75pt;" o:ole="t" filled="f" o:preferrelative="t" stroked="f" coordsize="21600,21600">
            <v:path/>
            <v:fill on="f" focussize="0,0"/>
            <v:stroke on="f" joinstyle="miter"/>
            <v:imagedata r:id="rId245" o:title=""/>
            <o:lock v:ext="edit" aspectratio="t"/>
            <w10:wrap type="none"/>
            <w10:anchorlock/>
          </v:shape>
          <o:OLEObject Type="Embed" ProgID="Equation.3" ShapeID="_x0000_i1140" DrawAspect="Content" ObjectID="_1468075840" r:id="rId244">
            <o:LockedField>false</o:LockedField>
          </o:OLEObject>
        </w:object>
      </w:r>
      <w:r>
        <w:t xml:space="preserve">                          （9.4.5-2）</w:t>
      </w:r>
    </w:p>
    <w:p w14:paraId="38CC90C1">
      <w:pPr>
        <w:ind w:firstLine="480" w:firstLineChars="200"/>
        <w:jc w:val="right"/>
      </w:pPr>
      <w:r>
        <w:rPr>
          <w:position w:val="-12"/>
        </w:rPr>
        <w:object>
          <v:shape id="_x0000_i1141" o:spt="75" type="#_x0000_t75" style="height:18.75pt;width:51pt;" o:ole="t" filled="f" o:preferrelative="t" stroked="f" coordsize="21600,21600">
            <v:path/>
            <v:fill on="f" focussize="0,0"/>
            <v:stroke on="f" joinstyle="miter"/>
            <v:imagedata r:id="rId247" o:title=""/>
            <o:lock v:ext="edit" aspectratio="t"/>
            <w10:wrap type="none"/>
            <w10:anchorlock/>
          </v:shape>
          <o:OLEObject Type="Embed" ProgID="Equation.DSMT4" ShapeID="_x0000_i1141" DrawAspect="Content" ObjectID="_1468075841" r:id="rId246">
            <o:LockedField>false</o:LockedField>
          </o:OLEObject>
        </w:object>
      </w:r>
      <w:r>
        <w:t xml:space="preserve">                          （9.4.5-3）</w:t>
      </w:r>
    </w:p>
    <w:p w14:paraId="536EDD3D">
      <w:pPr>
        <w:wordWrap w:val="0"/>
        <w:ind w:firstLine="480" w:firstLineChars="200"/>
        <w:jc w:val="right"/>
        <w:rPr>
          <w:b/>
          <w:bCs/>
          <w:i/>
          <w:iCs/>
        </w:rPr>
      </w:pPr>
      <w:r>
        <w:rPr>
          <w:position w:val="-14"/>
        </w:rPr>
        <w:object>
          <v:shape id="_x0000_i1142" o:spt="75" type="#_x0000_t75" style="height:21pt;width:235.55pt;" o:ole="t" filled="f" o:preferrelative="t" stroked="f" coordsize="21600,21600">
            <v:path/>
            <v:fill on="f" focussize="0,0"/>
            <v:stroke on="f" joinstyle="miter"/>
            <v:imagedata r:id="rId249" o:title=""/>
            <o:lock v:ext="edit" aspectratio="t"/>
            <w10:wrap type="none"/>
            <w10:anchorlock/>
          </v:shape>
          <o:OLEObject Type="Embed" ProgID="Equation.DSMT4" ShapeID="_x0000_i1142" DrawAspect="Content" ObjectID="_1468075842" r:id="rId248">
            <o:LockedField>false</o:LockedField>
          </o:OLEObject>
        </w:object>
      </w:r>
      <w:r>
        <w:t xml:space="preserve">           （9.4.5-4）</w:t>
      </w:r>
    </w:p>
    <w:p w14:paraId="5B8F1544">
      <w:pPr>
        <w:ind w:firstLine="480" w:firstLineChars="200"/>
        <w:jc w:val="right"/>
        <w:rPr>
          <w:b/>
          <w:bCs/>
          <w:i/>
          <w:iCs/>
        </w:rPr>
      </w:pPr>
      <w:r>
        <w:rPr>
          <w:position w:val="-14"/>
        </w:rPr>
        <w:object>
          <v:shape id="_x0000_i1143" o:spt="75" type="#_x0000_t75" style="height:21pt;width:238.5pt;" o:ole="t" filled="f" o:preferrelative="t" stroked="f" coordsize="21600,21600">
            <v:path/>
            <v:fill on="f" focussize="0,0"/>
            <v:stroke on="f" joinstyle="miter"/>
            <v:imagedata r:id="rId251" o:title=""/>
            <o:lock v:ext="edit" aspectratio="t"/>
            <w10:wrap type="none"/>
            <w10:anchorlock/>
          </v:shape>
          <o:OLEObject Type="Embed" ProgID="Equation.DSMT4" ShapeID="_x0000_i1143" DrawAspect="Content" ObjectID="_1468075843" r:id="rId250">
            <o:LockedField>false</o:LockedField>
          </o:OLEObject>
        </w:object>
      </w:r>
      <w:r>
        <w:t xml:space="preserve">           （9.4.5-5）</w:t>
      </w:r>
    </w:p>
    <w:p w14:paraId="3914FD72">
      <w:r>
        <w:t>式中：</w:t>
      </w:r>
      <w:r>
        <w:rPr>
          <w:position w:val="-12"/>
        </w:rPr>
        <w:object>
          <v:shape id="_x0000_i1144" o:spt="75" type="#_x0000_t75" style="height:18.75pt;width:14.25pt;" o:ole="t" filled="f" o:preferrelative="t" stroked="f" coordsize="21600,21600">
            <v:path/>
            <v:fill on="f" focussize="0,0"/>
            <v:stroke on="f" joinstyle="miter"/>
            <v:imagedata r:id="rId253" o:title=""/>
            <o:lock v:ext="edit" aspectratio="t"/>
            <w10:wrap type="none"/>
            <w10:anchorlock/>
          </v:shape>
          <o:OLEObject Type="Embed" ProgID="Equation.DSMT4" ShapeID="_x0000_i1144" DrawAspect="Content" ObjectID="_1468075844" r:id="rId252">
            <o:LockedField>false</o:LockedField>
          </o:OLEObject>
        </w:object>
      </w:r>
      <w:r>
        <w:t>——主动土压力（kPa）；</w:t>
      </w:r>
    </w:p>
    <w:p w14:paraId="6DC675B4">
      <w:pPr>
        <w:ind w:firstLine="741" w:firstLineChars="309"/>
      </w:pPr>
      <w:r>
        <w:rPr>
          <w:position w:val="-4"/>
        </w:rPr>
        <w:object>
          <v:shape id="_x0000_i1145" o:spt="75" type="#_x0000_t75" style="height:12pt;width:12pt;" o:ole="t" filled="f" o:preferrelative="t" stroked="f" coordsize="21600,21600">
            <v:path/>
            <v:fill on="f" focussize="0,0"/>
            <v:stroke on="f" joinstyle="miter"/>
            <v:imagedata r:id="rId58" o:title=""/>
            <o:lock v:ext="edit" aspectratio="t"/>
            <w10:wrap type="none"/>
            <w10:anchorlock/>
          </v:shape>
          <o:OLEObject Type="Embed" ProgID="Equation.DSMT4" ShapeID="_x0000_i1145" DrawAspect="Content" ObjectID="_1468075845" r:id="rId254">
            <o:LockedField>false</o:LockedField>
          </o:OLEObject>
        </w:object>
      </w:r>
      <w:r>
        <w:t>——控制土压力（kPa）；</w:t>
      </w:r>
    </w:p>
    <w:p w14:paraId="4103B72C">
      <w:pPr>
        <w:ind w:firstLine="741" w:firstLineChars="309"/>
      </w:pPr>
      <w:r>
        <w:rPr>
          <w:position w:val="-14"/>
        </w:rPr>
        <w:object>
          <v:shape id="_x0000_i1146" o:spt="75" type="#_x0000_t75" style="height:21pt;width:14.25pt;" o:ole="t" filled="f" o:preferrelative="t" stroked="f" coordsize="21600,21600">
            <v:path/>
            <v:fill on="f" focussize="0,0"/>
            <v:stroke on="f" joinstyle="miter"/>
            <v:imagedata r:id="rId256" o:title=""/>
            <o:lock v:ext="edit" aspectratio="t"/>
            <w10:wrap type="none"/>
            <w10:anchorlock/>
          </v:shape>
          <o:OLEObject Type="Embed" ProgID="Equation.DSMT4" ShapeID="_x0000_i1146" DrawAspect="Content" ObjectID="_1468075846" r:id="rId255">
            <o:LockedField>false</o:LockedField>
          </o:OLEObject>
        </w:object>
      </w:r>
      <w:r>
        <w:t>——被动土压力（kPa）；</w:t>
      </w:r>
    </w:p>
    <w:p w14:paraId="2000AC36">
      <w:pPr>
        <w:ind w:firstLine="825" w:firstLineChars="344"/>
      </w:pPr>
      <w:r>
        <w:rPr>
          <w:position w:val="-12"/>
        </w:rPr>
        <w:object>
          <v:shape id="_x0000_i1147" o:spt="75" type="#_x0000_t75" style="height:18.75pt;width:15.75pt;" o:ole="t" filled="f" o:preferrelative="t" stroked="f" coordsize="21600,21600">
            <v:path/>
            <v:fill on="f" focussize="0,0"/>
            <v:stroke on="f" joinstyle="miter"/>
            <v:imagedata r:id="rId258" o:title=""/>
            <o:lock v:ext="edit" aspectratio="t"/>
            <w10:wrap type="none"/>
            <w10:anchorlock/>
          </v:shape>
          <o:OLEObject Type="Embed" ProgID="Equation.DSMT4" ShapeID="_x0000_i1147" DrawAspect="Content" ObjectID="_1468075847" r:id="rId257">
            <o:LockedField>false</o:LockedField>
          </o:OLEObject>
        </w:object>
      </w:r>
      <w:r>
        <w:t>——静土压系数</w:t>
      </w:r>
      <w:r>
        <w:rPr>
          <w:rFonts w:hint="eastAsia"/>
        </w:rPr>
        <w:t>，</w:t>
      </w:r>
      <w:r>
        <w:t>砂性土取0.25～0.33，黏性土取0.33～0.7；</w:t>
      </w:r>
    </w:p>
    <w:p w14:paraId="22B09133">
      <w:pPr>
        <w:ind w:firstLine="825" w:firstLineChars="344"/>
      </w:pPr>
      <w:r>
        <w:rPr>
          <w:position w:val="-12"/>
        </w:rPr>
        <w:object>
          <v:shape id="_x0000_i1148" o:spt="75" type="#_x0000_t75" style="height:18.75pt;width:14.25pt;" o:ole="t" filled="f" o:preferrelative="t" stroked="f" coordsize="21600,21600">
            <v:path/>
            <v:fill on="f" focussize="0,0"/>
            <v:stroke on="f" joinstyle="miter"/>
            <v:imagedata r:id="rId60" o:title=""/>
            <o:lock v:ext="edit" aspectratio="t"/>
            <w10:wrap type="none"/>
            <w10:anchorlock/>
          </v:shape>
          <o:OLEObject Type="Embed" ProgID="Equation.DSMT4" ShapeID="_x0000_i1148" DrawAspect="Content" ObjectID="_1468075848" r:id="rId259">
            <o:LockedField>false</o:LockedField>
          </o:OLEObject>
        </w:object>
      </w:r>
      <w:r>
        <w:t>——</w:t>
      </w:r>
      <w:r>
        <w:rPr>
          <w:rFonts w:hint="eastAsia"/>
        </w:rPr>
        <w:t>静止土压力</w:t>
      </w:r>
      <w:r>
        <w:t>（kPa）；</w:t>
      </w:r>
    </w:p>
    <w:p w14:paraId="3EED8BD6">
      <w:pPr>
        <w:ind w:firstLine="825" w:firstLineChars="344"/>
      </w:pPr>
      <w:r>
        <w:rPr>
          <w:position w:val="-10"/>
        </w:rPr>
        <w:object>
          <v:shape id="_x0000_i1149" o:spt="75" type="#_x0000_t75" style="height:12pt;width:11.25pt;" o:ole="t" filled="f" o:preferrelative="t" stroked="f" coordsize="21600,21600">
            <v:path/>
            <v:fill on="f" focussize="0,0"/>
            <v:stroke on="f" joinstyle="miter"/>
            <v:imagedata r:id="rId261" o:title=""/>
            <o:lock v:ext="edit" aspectratio="t"/>
            <w10:wrap type="none"/>
            <w10:anchorlock/>
          </v:shape>
          <o:OLEObject Type="Embed" ProgID="Equation.DSMT4" ShapeID="_x0000_i1149" DrawAspect="Content" ObjectID="_1468075849" r:id="rId260">
            <o:LockedField>false</o:LockedField>
          </o:OLEObject>
        </w:object>
      </w:r>
      <w:r>
        <w:t>——土的重度（</w:t>
      </w:r>
      <w:r>
        <w:rPr>
          <w:rFonts w:hint="eastAsia"/>
        </w:rPr>
        <w:t>k</w:t>
      </w:r>
      <w:r>
        <w:t>N/m³）；</w:t>
      </w:r>
    </w:p>
    <w:p w14:paraId="06DC0745">
      <w:pPr>
        <w:ind w:firstLine="825" w:firstLineChars="344"/>
      </w:pPr>
      <w:r>
        <w:rPr>
          <w:position w:val="-12"/>
        </w:rPr>
        <w:object>
          <v:shape id="_x0000_i1150" o:spt="75" type="#_x0000_t75" style="height:18.75pt;width:15.75pt;" o:ole="t" filled="f" o:preferrelative="t" stroked="f" coordsize="21600,21600">
            <v:path/>
            <v:fill on="f" focussize="0,0"/>
            <v:stroke on="f" joinstyle="miter"/>
            <v:imagedata r:id="rId263" o:title=""/>
            <o:lock v:ext="edit" aspectratio="t"/>
            <w10:wrap type="none"/>
            <w10:anchorlock/>
          </v:shape>
          <o:OLEObject Type="Embed" ProgID="Equation.DSMT4" ShapeID="_x0000_i1150" DrawAspect="Content" ObjectID="_1468075850" r:id="rId262">
            <o:LockedField>false</o:LockedField>
          </o:OLEObject>
        </w:object>
      </w:r>
      <w:r>
        <w:t>——管顶至原状土地面的覆土深度（m）；</w:t>
      </w:r>
    </w:p>
    <w:p w14:paraId="523143DC">
      <w:pPr>
        <w:ind w:firstLine="825" w:firstLineChars="344"/>
      </w:pPr>
      <w:r>
        <w:rPr>
          <w:position w:val="-10"/>
        </w:rPr>
        <w:object>
          <v:shape id="_x0000_i1151" o:spt="75" type="#_x0000_t75" style="height:12pt;width:11.25pt;" o:ole="t" filled="f" o:preferrelative="t" stroked="f" coordsize="21600,21600">
            <v:path/>
            <v:fill on="f" focussize="0,0"/>
            <v:stroke on="f" joinstyle="miter"/>
            <v:imagedata r:id="rId265" o:title=""/>
            <o:lock v:ext="edit" aspectratio="t"/>
            <w10:wrap type="none"/>
            <w10:anchorlock/>
          </v:shape>
          <o:OLEObject Type="Embed" ProgID="Equation.DSMT4" ShapeID="_x0000_i1151" DrawAspect="Content" ObjectID="_1468075851" r:id="rId264">
            <o:LockedField>false</o:LockedField>
          </o:OLEObject>
        </w:object>
      </w:r>
      <w:r>
        <w:t>——土的内摩擦角（°）；</w:t>
      </w:r>
    </w:p>
    <w:p w14:paraId="5332CD3E">
      <w:pPr>
        <w:ind w:firstLine="825" w:firstLineChars="344"/>
      </w:pPr>
      <w:r>
        <w:rPr>
          <w:position w:val="-6"/>
        </w:rPr>
        <w:object>
          <v:shape id="_x0000_i1152" o:spt="75" type="#_x0000_t75" style="height:11.25pt;width:8.25pt;" o:ole="t" filled="f" o:preferrelative="t" stroked="f" coordsize="21600,21600">
            <v:path/>
            <v:fill on="f" focussize="0,0"/>
            <v:stroke on="f" joinstyle="miter"/>
            <v:imagedata r:id="rId267" o:title=""/>
            <o:lock v:ext="edit" aspectratio="t"/>
            <w10:wrap type="none"/>
            <w10:anchorlock/>
          </v:shape>
          <o:OLEObject Type="Embed" ProgID="Equation.3" ShapeID="_x0000_i1152" DrawAspect="Content" ObjectID="_1468075852" r:id="rId266">
            <o:LockedField>false</o:LockedField>
          </o:OLEObject>
        </w:object>
      </w:r>
      <w:r>
        <w:t>——土的黏聚力（kPa）。</w:t>
      </w:r>
    </w:p>
    <w:p w14:paraId="28159C6E">
      <w:pPr>
        <w:ind w:firstLine="482" w:firstLineChars="200"/>
      </w:pPr>
      <w:r>
        <w:rPr>
          <w:b/>
          <w:bCs/>
        </w:rPr>
        <w:t>4</w:t>
      </w:r>
      <w:r>
        <w:t>顶进时，对土舱内的控制土压力应将实测值与计算值做比较，修正计算值；</w:t>
      </w:r>
    </w:p>
    <w:p w14:paraId="5F2FA38D">
      <w:pPr>
        <w:ind w:firstLine="482" w:firstLineChars="200"/>
        <w:rPr>
          <w:rFonts w:eastAsiaTheme="minorEastAsia"/>
        </w:rPr>
      </w:pPr>
      <w:r>
        <w:rPr>
          <w:b/>
          <w:bCs/>
        </w:rPr>
        <w:t>5</w:t>
      </w:r>
      <w:r>
        <w:t>泥水平衡式顶管机正面泥水压力宜比水土压力高出</w:t>
      </w:r>
      <w:r>
        <w:rPr>
          <w:rFonts w:eastAsiaTheme="minorEastAsia"/>
        </w:rPr>
        <w:t>0.01MPa～0.03MPa；</w:t>
      </w:r>
    </w:p>
    <w:p w14:paraId="4F0A9A2A">
      <w:pPr>
        <w:ind w:firstLine="482" w:firstLineChars="200"/>
      </w:pPr>
      <w:r>
        <w:rPr>
          <w:rFonts w:eastAsiaTheme="minorEastAsia"/>
          <w:b/>
          <w:bCs/>
        </w:rPr>
        <w:t>6</w:t>
      </w:r>
      <w:r>
        <w:rPr>
          <w:rFonts w:eastAsiaTheme="minorEastAsia"/>
        </w:rPr>
        <w:t>应统计每节管节的出渣量，</w:t>
      </w:r>
      <w:r>
        <w:rPr>
          <w:rFonts w:hint="eastAsia" w:eastAsiaTheme="minorEastAsia"/>
        </w:rPr>
        <w:t>实际出渣量</w:t>
      </w:r>
      <w:r>
        <w:rPr>
          <w:rFonts w:eastAsiaTheme="minorEastAsia"/>
        </w:rPr>
        <w:t>应与理论出渣量保持一致。</w:t>
      </w:r>
    </w:p>
    <w:p w14:paraId="168F0EF6">
      <w:r>
        <w:rPr>
          <w:b/>
          <w:bCs/>
        </w:rPr>
        <w:t>9.4.</w:t>
      </w:r>
      <w:r>
        <w:rPr>
          <w:rFonts w:hint="eastAsia"/>
          <w:b/>
          <w:bCs/>
        </w:rPr>
        <w:t>6</w:t>
      </w:r>
      <w:r>
        <w:rPr>
          <w:b/>
          <w:bCs/>
        </w:rPr>
        <w:t xml:space="preserve"> </w:t>
      </w:r>
      <w:r>
        <w:rPr>
          <w:rFonts w:hint="eastAsia"/>
          <w:bCs/>
        </w:rPr>
        <w:t>顶管始发掘进通过工作井始发加固区后应进行试验段掘进，</w:t>
      </w:r>
      <w:r>
        <w:rPr>
          <w:rFonts w:hint="eastAsia"/>
        </w:rPr>
        <w:t>试验段宜取距离始发井始发加固区不小于</w:t>
      </w:r>
      <w:r>
        <w:t>1</w:t>
      </w:r>
      <w:r>
        <w:rPr>
          <w:rFonts w:hint="eastAsia"/>
        </w:rPr>
        <w:t>倍顶管机长度，并通过现场实测数据调整施工参数和匹配关系。</w:t>
      </w:r>
    </w:p>
    <w:p w14:paraId="00B1C17B">
      <w:r>
        <w:rPr>
          <w:b/>
          <w:bCs/>
        </w:rPr>
        <w:t>9.4.</w:t>
      </w:r>
      <w:r>
        <w:rPr>
          <w:rFonts w:hint="eastAsia"/>
          <w:b/>
          <w:bCs/>
        </w:rPr>
        <w:t>7</w:t>
      </w:r>
      <w:r>
        <w:rPr>
          <w:b/>
          <w:bCs/>
        </w:rPr>
        <w:t xml:space="preserve"> </w:t>
      </w:r>
      <w:r>
        <w:t>施工参数记录应符合下列规定：</w:t>
      </w:r>
    </w:p>
    <w:p w14:paraId="0E415353">
      <w:pPr>
        <w:ind w:firstLine="482" w:firstLineChars="200"/>
      </w:pPr>
      <w:r>
        <w:rPr>
          <w:b/>
          <w:bCs/>
        </w:rPr>
        <w:t>1</w:t>
      </w:r>
      <w:r>
        <w:t>顶管始发前应测量顶管机头的轴线和标高，并应将测量数据及时反馈进行调整；</w:t>
      </w:r>
    </w:p>
    <w:p w14:paraId="2C433BCD">
      <w:pPr>
        <w:ind w:firstLine="482" w:firstLineChars="200"/>
      </w:pPr>
      <w:r>
        <w:rPr>
          <w:b/>
          <w:bCs/>
        </w:rPr>
        <w:t>2</w:t>
      </w:r>
      <w:r>
        <w:t>掘进施工中的原始数据记录应连续、真实、完整；</w:t>
      </w:r>
    </w:p>
    <w:p w14:paraId="67E62D92">
      <w:pPr>
        <w:ind w:firstLine="482" w:firstLineChars="200"/>
      </w:pPr>
      <w:r>
        <w:rPr>
          <w:b/>
          <w:bCs/>
        </w:rPr>
        <w:t>3</w:t>
      </w:r>
      <w:r>
        <w:t>原始记录和测量分析资料应完整存档。</w:t>
      </w:r>
    </w:p>
    <w:p w14:paraId="2AF08D36">
      <w:r>
        <w:rPr>
          <w:b/>
          <w:bCs/>
        </w:rPr>
        <w:t>9.4.</w:t>
      </w:r>
      <w:r>
        <w:rPr>
          <w:rFonts w:hint="eastAsia"/>
          <w:b/>
          <w:bCs/>
        </w:rPr>
        <w:t>8</w:t>
      </w:r>
      <w:r>
        <w:rPr>
          <w:b/>
          <w:bCs/>
        </w:rPr>
        <w:t xml:space="preserve"> </w:t>
      </w:r>
      <w:r>
        <w:t>加接管节时，主推油缸在缩回前应对已掘进的管节采取止退措施。</w:t>
      </w:r>
    </w:p>
    <w:p w14:paraId="1AA29B05">
      <w:r>
        <w:rPr>
          <w:b/>
          <w:bCs/>
        </w:rPr>
        <w:t>9.4.</w:t>
      </w:r>
      <w:r>
        <w:rPr>
          <w:rFonts w:hint="eastAsia"/>
          <w:b/>
          <w:bCs/>
        </w:rPr>
        <w:t xml:space="preserve">9 </w:t>
      </w:r>
      <w:r>
        <w:t>掘进过程应连续进行，遇下列情况之一时，应暂停掘进、分析处理，并应采取防止顶管机前方塌方的措施：</w:t>
      </w:r>
    </w:p>
    <w:p w14:paraId="35F05B54">
      <w:pPr>
        <w:ind w:firstLine="482" w:firstLineChars="200"/>
      </w:pPr>
      <w:r>
        <w:rPr>
          <w:b/>
          <w:bCs/>
        </w:rPr>
        <w:t>1</w:t>
      </w:r>
      <w:r>
        <w:t>顶管机前方遇到不明障碍物；</w:t>
      </w:r>
    </w:p>
    <w:p w14:paraId="54195B94">
      <w:pPr>
        <w:ind w:firstLine="482" w:firstLineChars="200"/>
      </w:pPr>
      <w:r>
        <w:rPr>
          <w:b/>
          <w:bCs/>
        </w:rPr>
        <w:t>2</w:t>
      </w:r>
      <w:r>
        <w:t>后背墙变形严重；</w:t>
      </w:r>
    </w:p>
    <w:p w14:paraId="5C313DF3">
      <w:pPr>
        <w:ind w:firstLine="482" w:firstLineChars="200"/>
      </w:pPr>
      <w:r>
        <w:rPr>
          <w:b/>
          <w:bCs/>
        </w:rPr>
        <w:t>3</w:t>
      </w:r>
      <w:r>
        <w:t>顶铁发生扭曲现象；</w:t>
      </w:r>
    </w:p>
    <w:p w14:paraId="206F8BCC">
      <w:pPr>
        <w:ind w:firstLine="482" w:firstLineChars="200"/>
      </w:pPr>
      <w:r>
        <w:rPr>
          <w:b/>
          <w:bCs/>
        </w:rPr>
        <w:t>4</w:t>
      </w:r>
      <w:r>
        <w:t>管位偏差过大且纠偏无效；</w:t>
      </w:r>
    </w:p>
    <w:p w14:paraId="321ED95A">
      <w:pPr>
        <w:ind w:firstLine="482" w:firstLineChars="200"/>
      </w:pPr>
      <w:r>
        <w:rPr>
          <w:b/>
          <w:bCs/>
        </w:rPr>
        <w:t>5</w:t>
      </w:r>
      <w:r>
        <w:t>顶推力超过管材的允许推力；</w:t>
      </w:r>
    </w:p>
    <w:p w14:paraId="27C5BC26">
      <w:pPr>
        <w:ind w:firstLine="482" w:firstLineChars="200"/>
      </w:pPr>
      <w:r>
        <w:rPr>
          <w:b/>
          <w:bCs/>
        </w:rPr>
        <w:t>6</w:t>
      </w:r>
      <w:r>
        <w:t>油泵、油路发生异常现象；</w:t>
      </w:r>
    </w:p>
    <w:p w14:paraId="3390C2A1">
      <w:pPr>
        <w:ind w:firstLine="482" w:firstLineChars="200"/>
      </w:pPr>
      <w:r>
        <w:rPr>
          <w:b/>
          <w:bCs/>
        </w:rPr>
        <w:t>7</w:t>
      </w:r>
      <w:r>
        <w:t>管节接缝、中继间</w:t>
      </w:r>
      <w:r>
        <w:rPr>
          <w:rFonts w:hint="eastAsia"/>
        </w:rPr>
        <w:t>出现</w:t>
      </w:r>
      <w:r>
        <w:t>渗漏；</w:t>
      </w:r>
    </w:p>
    <w:p w14:paraId="33AD4879">
      <w:pPr>
        <w:ind w:firstLine="482" w:firstLineChars="200"/>
      </w:pPr>
      <w:r>
        <w:rPr>
          <w:b/>
          <w:bCs/>
        </w:rPr>
        <w:t>8</w:t>
      </w:r>
      <w:r>
        <w:t>地层、邻近建筑物或构筑物、管线等周围环境的</w:t>
      </w:r>
      <w:r>
        <w:rPr>
          <w:rFonts w:hint="eastAsia"/>
        </w:rPr>
        <w:t>变形</w:t>
      </w:r>
      <w:r>
        <w:t>量超出允许控制值。</w:t>
      </w:r>
    </w:p>
    <w:p w14:paraId="31B2D521">
      <w:r>
        <w:rPr>
          <w:b/>
          <w:bCs/>
        </w:rPr>
        <w:t>9.4.1</w:t>
      </w:r>
      <w:r>
        <w:rPr>
          <w:rFonts w:hint="eastAsia"/>
          <w:b/>
          <w:bCs/>
        </w:rPr>
        <w:t xml:space="preserve">0 </w:t>
      </w:r>
      <w:r>
        <w:t>当顶管施工穿跨建筑物</w:t>
      </w:r>
      <w:r>
        <w:rPr>
          <w:rFonts w:hint="eastAsia"/>
        </w:rPr>
        <w:t>、</w:t>
      </w:r>
      <w:r>
        <w:t>构筑物、轨道交通、铁路、公路、堤</w:t>
      </w:r>
      <w:r>
        <w:rPr>
          <w:rFonts w:hint="eastAsia"/>
        </w:rPr>
        <w:t>岸</w:t>
      </w:r>
      <w:r>
        <w:t>、重要地下管线及遇到地下障碍物等时，应符合下列规定：</w:t>
      </w:r>
    </w:p>
    <w:p w14:paraId="7D8CC686">
      <w:pPr>
        <w:ind w:firstLine="482" w:firstLineChars="200"/>
      </w:pPr>
      <w:r>
        <w:rPr>
          <w:b/>
          <w:bCs/>
        </w:rPr>
        <w:t>1</w:t>
      </w:r>
      <w:r>
        <w:t>施工前应对穿越建筑物或构筑物地段进行详细调查，评估施工对建筑物、构筑物的影响，并应采取针对性</w:t>
      </w:r>
      <w:r>
        <w:rPr>
          <w:rFonts w:hint="eastAsia"/>
        </w:rPr>
        <w:t>地</w:t>
      </w:r>
      <w:r>
        <w:t>保护措施控制地层变形；</w:t>
      </w:r>
    </w:p>
    <w:p w14:paraId="48B3F8C4">
      <w:pPr>
        <w:ind w:firstLine="482" w:firstLineChars="200"/>
      </w:pPr>
      <w:r>
        <w:rPr>
          <w:b/>
          <w:bCs/>
        </w:rPr>
        <w:t xml:space="preserve">2 </w:t>
      </w:r>
      <w:r>
        <w:t>宜根据建筑物或构筑物基础与结构的类型、现状，</w:t>
      </w:r>
      <w:r>
        <w:rPr>
          <w:rFonts w:hint="eastAsia"/>
        </w:rPr>
        <w:t>按照设计要求</w:t>
      </w:r>
      <w:r>
        <w:t>采取地基加固或桩基托换措施；</w:t>
      </w:r>
    </w:p>
    <w:p w14:paraId="67B8A64E">
      <w:pPr>
        <w:ind w:firstLine="482" w:firstLineChars="200"/>
      </w:pPr>
      <w:r>
        <w:rPr>
          <w:b/>
          <w:bCs/>
        </w:rPr>
        <w:t xml:space="preserve">3 </w:t>
      </w:r>
      <w:r>
        <w:t>应加强地表和建筑物或构筑物</w:t>
      </w:r>
      <w:r>
        <w:rPr>
          <w:rFonts w:hint="eastAsia"/>
        </w:rPr>
        <w:t>的</w:t>
      </w:r>
      <w:r>
        <w:t>变形监测，并</w:t>
      </w:r>
      <w:r>
        <w:rPr>
          <w:rFonts w:hint="eastAsia"/>
        </w:rPr>
        <w:t>应根据监测数据</w:t>
      </w:r>
      <w:r>
        <w:t>优化调整管节推进参数和同步注浆参数；</w:t>
      </w:r>
    </w:p>
    <w:p w14:paraId="0282AD11">
      <w:pPr>
        <w:ind w:firstLine="482" w:firstLineChars="200"/>
      </w:pPr>
      <w:r>
        <w:rPr>
          <w:b/>
          <w:bCs/>
        </w:rPr>
        <w:t xml:space="preserve">4 </w:t>
      </w:r>
      <w:r>
        <w:t>对施工引起的地表变形和周围环境的影响应进行实时监测，并</w:t>
      </w:r>
      <w:r>
        <w:rPr>
          <w:rFonts w:hint="eastAsia"/>
        </w:rPr>
        <w:t>应</w:t>
      </w:r>
      <w:r>
        <w:t>采取相应的安全保护措施，制定应急预案；</w:t>
      </w:r>
    </w:p>
    <w:p w14:paraId="66FB532D">
      <w:pPr>
        <w:ind w:firstLine="482" w:firstLineChars="200"/>
      </w:pPr>
      <w:r>
        <w:rPr>
          <w:b/>
          <w:bCs/>
        </w:rPr>
        <w:t>5</w:t>
      </w:r>
      <w:r>
        <w:t>穿越地铁、铁路、公路或其他设施时，除应符合本规程的有关规定外，尚应遵守相关行业对技术安全的有关规定；</w:t>
      </w:r>
    </w:p>
    <w:p w14:paraId="3B3EC38B">
      <w:pPr>
        <w:ind w:firstLine="482" w:firstLineChars="200"/>
      </w:pPr>
      <w:r>
        <w:rPr>
          <w:b/>
          <w:bCs/>
        </w:rPr>
        <w:t>6</w:t>
      </w:r>
      <w:r>
        <w:t>在遇到地下障碍物时，应在采取安全措施的条件下，先清除障碍物，然后再继续顶进，如遇特殊或紧急情况，应</w:t>
      </w:r>
      <w:r>
        <w:rPr>
          <w:rFonts w:hint="eastAsia"/>
        </w:rPr>
        <w:t>立即</w:t>
      </w:r>
      <w:r>
        <w:t>采取应变技术措施，并向有关部门汇报。</w:t>
      </w:r>
    </w:p>
    <w:p w14:paraId="79CA81E0">
      <w:pPr>
        <w:pStyle w:val="3"/>
        <w:rPr>
          <w:rFonts w:eastAsia="黑体" w:cs="Times New Roman"/>
          <w:b w:val="0"/>
        </w:rPr>
      </w:pPr>
      <w:bookmarkStart w:id="518" w:name="_Toc24549"/>
      <w:bookmarkStart w:id="519" w:name="_Toc28937"/>
      <w:bookmarkStart w:id="520" w:name="_Toc60172930"/>
      <w:bookmarkStart w:id="521" w:name="_Toc18057076"/>
      <w:bookmarkStart w:id="522" w:name="_Toc12591"/>
      <w:bookmarkStart w:id="523" w:name="_Toc9198"/>
      <w:bookmarkStart w:id="524" w:name="_Toc26837"/>
      <w:bookmarkStart w:id="525" w:name="_Toc60173817"/>
      <w:bookmarkStart w:id="526" w:name="_Toc47692189"/>
      <w:bookmarkStart w:id="527" w:name="_Toc15826"/>
      <w:bookmarkStart w:id="528" w:name="_Toc11432"/>
      <w:r>
        <w:rPr>
          <w:rFonts w:eastAsia="黑体" w:cs="Times New Roman"/>
        </w:rPr>
        <w:t>9.5</w:t>
      </w:r>
      <w:r>
        <w:rPr>
          <w:rFonts w:eastAsia="黑体" w:cs="Times New Roman"/>
          <w:b w:val="0"/>
        </w:rPr>
        <w:t>注浆减阻</w:t>
      </w:r>
      <w:bookmarkEnd w:id="518"/>
      <w:bookmarkEnd w:id="519"/>
      <w:bookmarkEnd w:id="520"/>
      <w:bookmarkEnd w:id="521"/>
      <w:bookmarkEnd w:id="522"/>
      <w:bookmarkEnd w:id="523"/>
      <w:bookmarkEnd w:id="524"/>
      <w:bookmarkEnd w:id="525"/>
      <w:bookmarkEnd w:id="526"/>
      <w:bookmarkEnd w:id="527"/>
      <w:bookmarkEnd w:id="528"/>
    </w:p>
    <w:p w14:paraId="4C097D69">
      <w:bookmarkStart w:id="529" w:name="_Toc508009062"/>
      <w:r>
        <w:rPr>
          <w:b/>
          <w:bCs/>
        </w:rPr>
        <w:t xml:space="preserve">9.5.1  </w:t>
      </w:r>
      <w:r>
        <w:t>施工现场应修建泥浆池，并应满足顶管工程所需不同泥浆的配置需求。</w:t>
      </w:r>
      <w:bookmarkEnd w:id="529"/>
    </w:p>
    <w:p w14:paraId="017AEABF">
      <w:r>
        <w:rPr>
          <w:b/>
          <w:bCs/>
        </w:rPr>
        <w:t xml:space="preserve">9.5.2  </w:t>
      </w:r>
      <w:r>
        <w:t>触变泥浆应符合下列规定：</w:t>
      </w:r>
    </w:p>
    <w:p w14:paraId="0C347C50">
      <w:pPr>
        <w:ind w:firstLine="482" w:firstLineChars="200"/>
      </w:pPr>
      <w:r>
        <w:rPr>
          <w:b/>
          <w:bCs/>
        </w:rPr>
        <w:t>1</w:t>
      </w:r>
      <w:r>
        <w:t>在管道外壁应压注触变泥浆，在管道四周形成一圈稳定的泥浆套，施工期间泥浆应保持不失水、不沉淀、不固结；</w:t>
      </w:r>
    </w:p>
    <w:p w14:paraId="346BC3D7">
      <w:pPr>
        <w:ind w:firstLine="482" w:firstLineChars="200"/>
      </w:pPr>
      <w:r>
        <w:rPr>
          <w:b/>
          <w:bCs/>
        </w:rPr>
        <w:t>2</w:t>
      </w:r>
      <w:r>
        <w:t>管道每节管节应设置触变泥浆管，压浆时可根据实际需要调整压泥浆管的间距；</w:t>
      </w:r>
    </w:p>
    <w:p w14:paraId="381C3F94">
      <w:pPr>
        <w:ind w:firstLine="482" w:firstLineChars="200"/>
      </w:pPr>
      <w:r>
        <w:rPr>
          <w:b/>
          <w:bCs/>
        </w:rPr>
        <w:t xml:space="preserve">3 </w:t>
      </w:r>
      <w:r>
        <w:t>触变泥浆应充分搅拌水化，泥浆搅拌完成后宜放置24h，膨润土泥浆</w:t>
      </w:r>
      <w:r>
        <w:rPr>
          <w:rFonts w:hint="eastAsia"/>
        </w:rPr>
        <w:t>应</w:t>
      </w:r>
      <w:r>
        <w:t>膨化24h；</w:t>
      </w:r>
    </w:p>
    <w:p w14:paraId="047C057D">
      <w:pPr>
        <w:ind w:firstLine="482" w:firstLineChars="200"/>
      </w:pPr>
      <w:r>
        <w:rPr>
          <w:b/>
          <w:bCs/>
        </w:rPr>
        <w:t>4</w:t>
      </w:r>
      <w:r>
        <w:t>压浆压力宜控制在比地下水的水压力高</w:t>
      </w:r>
      <w:r>
        <w:rPr>
          <w:rFonts w:hint="eastAsia"/>
        </w:rPr>
        <w:t>出</w:t>
      </w:r>
      <w:r>
        <w:t>0.02MPa～0.04MPa</w:t>
      </w:r>
      <w:r>
        <w:rPr>
          <w:rFonts w:hint="eastAsia"/>
        </w:rPr>
        <w:t>，压力下降时应及时补浆</w:t>
      </w:r>
      <w:r>
        <w:t>；</w:t>
      </w:r>
    </w:p>
    <w:p w14:paraId="45A09403">
      <w:pPr>
        <w:ind w:firstLine="482" w:firstLineChars="200"/>
      </w:pPr>
      <w:r>
        <w:rPr>
          <w:b/>
          <w:bCs/>
        </w:rPr>
        <w:t>5</w:t>
      </w:r>
      <w:r>
        <w:t>注浆量不应低于理论值的2倍。</w:t>
      </w:r>
    </w:p>
    <w:p w14:paraId="03FCDFDC">
      <w:r>
        <w:rPr>
          <w:b/>
          <w:bCs/>
        </w:rPr>
        <w:t xml:space="preserve">9.5.3  </w:t>
      </w:r>
      <w:r>
        <w:t>顶管掘进过程中应采取减小管壁摩擦阻力的措施，宜采用向管外壁与土体间注入润滑泥浆的方式减阻。注浆减阻应符合下列规定：</w:t>
      </w:r>
    </w:p>
    <w:p w14:paraId="7A32497E">
      <w:pPr>
        <w:ind w:firstLine="482" w:firstLineChars="200"/>
      </w:pPr>
      <w:r>
        <w:rPr>
          <w:b/>
          <w:bCs/>
        </w:rPr>
        <w:t xml:space="preserve">1 </w:t>
      </w:r>
      <w:r>
        <w:t>注浆</w:t>
      </w:r>
      <w:r>
        <w:rPr>
          <w:rFonts w:hint="eastAsia"/>
        </w:rPr>
        <w:t>应</w:t>
      </w:r>
      <w:r>
        <w:t>选择优质的触变泥浆材料；</w:t>
      </w:r>
    </w:p>
    <w:p w14:paraId="42FC5693">
      <w:pPr>
        <w:ind w:firstLine="482" w:firstLineChars="200"/>
      </w:pPr>
      <w:r>
        <w:rPr>
          <w:b/>
          <w:bCs/>
        </w:rPr>
        <w:t>2</w:t>
      </w:r>
      <w:r>
        <w:t>矩形顶管上</w:t>
      </w:r>
      <w:r>
        <w:rPr>
          <w:rFonts w:hint="eastAsia"/>
        </w:rPr>
        <w:t>应</w:t>
      </w:r>
      <w:r>
        <w:t>预设压浆孔，压浆孔的设置应确保掘进时管外壁和土体之间的间隙能形成稳定、连续的泥浆套；</w:t>
      </w:r>
    </w:p>
    <w:p w14:paraId="7FA5D020">
      <w:pPr>
        <w:ind w:firstLine="482" w:firstLineChars="200"/>
      </w:pPr>
      <w:r>
        <w:rPr>
          <w:b/>
          <w:bCs/>
        </w:rPr>
        <w:t xml:space="preserve">3 </w:t>
      </w:r>
      <w:r>
        <w:t>膨润土的储藏及浆液配制、搅拌、水化时间应按照产品的性能要求进行，使用前应先进行试验；</w:t>
      </w:r>
    </w:p>
    <w:p w14:paraId="5AB50596">
      <w:pPr>
        <w:ind w:firstLine="482" w:firstLineChars="200"/>
      </w:pPr>
      <w:r>
        <w:rPr>
          <w:b/>
          <w:bCs/>
        </w:rPr>
        <w:t>4</w:t>
      </w:r>
      <w:r>
        <w:t>注浆应遵循“同步注浆与补浆相结合”和“先注后顶、随顶随注、及时补浆”的原则；</w:t>
      </w:r>
    </w:p>
    <w:p w14:paraId="20F61EF7">
      <w:pPr>
        <w:ind w:firstLine="482" w:firstLineChars="200"/>
      </w:pPr>
      <w:r>
        <w:rPr>
          <w:b/>
          <w:bCs/>
        </w:rPr>
        <w:t>5</w:t>
      </w:r>
      <w:r>
        <w:t>注浆设备和管路应可靠，应具有足够的耐压和良好的密封性能；</w:t>
      </w:r>
    </w:p>
    <w:p w14:paraId="401C7A36">
      <w:pPr>
        <w:ind w:firstLine="482" w:firstLineChars="200"/>
      </w:pPr>
      <w:r>
        <w:rPr>
          <w:b/>
          <w:bCs/>
        </w:rPr>
        <w:t>6</w:t>
      </w:r>
      <w:r>
        <w:t>长距离顶管注浆</w:t>
      </w:r>
      <w:r>
        <w:rPr>
          <w:rFonts w:hint="eastAsia"/>
        </w:rPr>
        <w:t>时</w:t>
      </w:r>
      <w:r>
        <w:t>宜使用低压力、大流量，补浆</w:t>
      </w:r>
      <w:r>
        <w:rPr>
          <w:rFonts w:hint="eastAsia"/>
        </w:rPr>
        <w:t>时</w:t>
      </w:r>
      <w:r>
        <w:t>可使用高压力、小流量。</w:t>
      </w:r>
    </w:p>
    <w:p w14:paraId="0AB6BEA7">
      <w:r>
        <w:rPr>
          <w:b/>
          <w:bCs/>
        </w:rPr>
        <w:t xml:space="preserve">9.5.4  </w:t>
      </w:r>
      <w:r>
        <w:t>注浆浆液</w:t>
      </w:r>
      <w:r>
        <w:rPr>
          <w:rFonts w:hint="eastAsia"/>
        </w:rPr>
        <w:t>的</w:t>
      </w:r>
      <w:r>
        <w:t>选择应符合下列规定：</w:t>
      </w:r>
    </w:p>
    <w:p w14:paraId="029DFEA7">
      <w:pPr>
        <w:ind w:firstLine="482" w:firstLineChars="200"/>
      </w:pPr>
      <w:r>
        <w:rPr>
          <w:b/>
          <w:bCs/>
        </w:rPr>
        <w:t>1</w:t>
      </w:r>
      <w:r>
        <w:t>触变泥浆</w:t>
      </w:r>
      <w:r>
        <w:rPr>
          <w:rFonts w:hint="eastAsia"/>
        </w:rPr>
        <w:t>适用</w:t>
      </w:r>
      <w:r>
        <w:t>于黏性土、粉质土和渗透系数不大于10</w:t>
      </w:r>
      <w:r>
        <w:rPr>
          <w:vertAlign w:val="superscript"/>
        </w:rPr>
        <w:t>-3</w:t>
      </w:r>
      <w:r>
        <w:t>cm/s的砂性土等地层中</w:t>
      </w:r>
      <w:r>
        <w:rPr>
          <w:rFonts w:hint="eastAsia"/>
        </w:rPr>
        <w:t>，</w:t>
      </w:r>
      <w:r>
        <w:t>渗透系数大于10</w:t>
      </w:r>
      <w:r>
        <w:rPr>
          <w:vertAlign w:val="superscript"/>
        </w:rPr>
        <w:t>-5</w:t>
      </w:r>
      <w:r>
        <w:t>cm/s时应另添加化学稳定剂；</w:t>
      </w:r>
    </w:p>
    <w:p w14:paraId="432DC704">
      <w:pPr>
        <w:ind w:firstLine="482" w:firstLineChars="200"/>
      </w:pPr>
      <w:r>
        <w:rPr>
          <w:b/>
          <w:bCs/>
        </w:rPr>
        <w:t xml:space="preserve">2 </w:t>
      </w:r>
      <w:r>
        <w:t>渗透系数大于或等于10</w:t>
      </w:r>
      <w:r>
        <w:rPr>
          <w:vertAlign w:val="superscript"/>
        </w:rPr>
        <w:t>-2</w:t>
      </w:r>
      <w:r>
        <w:t>cm/s的粗砂和砂砾层宜采用高分子化学泥浆；</w:t>
      </w:r>
    </w:p>
    <w:p w14:paraId="0E813D2D">
      <w:pPr>
        <w:ind w:firstLine="482" w:firstLineChars="200"/>
      </w:pPr>
      <w:r>
        <w:rPr>
          <w:b/>
          <w:bCs/>
        </w:rPr>
        <w:t xml:space="preserve">3 </w:t>
      </w:r>
      <w:r>
        <w:t>石蜡非亲水减阻剂可用于无地下水的硬土层；</w:t>
      </w:r>
    </w:p>
    <w:p w14:paraId="5D05A733">
      <w:pPr>
        <w:ind w:firstLine="482" w:firstLineChars="200"/>
      </w:pPr>
      <w:r>
        <w:rPr>
          <w:b/>
          <w:bCs/>
        </w:rPr>
        <w:t xml:space="preserve">4 </w:t>
      </w:r>
      <w:r>
        <w:t>沿海地质条件下宜使用抗盐膨润土。</w:t>
      </w:r>
    </w:p>
    <w:p w14:paraId="595510D5">
      <w:r>
        <w:rPr>
          <w:b/>
          <w:bCs/>
        </w:rPr>
        <w:t xml:space="preserve">9.5.5  </w:t>
      </w:r>
      <w:r>
        <w:t>触变泥浆注浆系统应符合下列规定：</w:t>
      </w:r>
    </w:p>
    <w:p w14:paraId="3BC845D1">
      <w:pPr>
        <w:ind w:firstLine="482" w:firstLineChars="200"/>
      </w:pPr>
      <w:r>
        <w:rPr>
          <w:b/>
          <w:bCs/>
        </w:rPr>
        <w:t>1</w:t>
      </w:r>
      <w:r>
        <w:t>制浆装置容积应满足形成泥浆套的要求；</w:t>
      </w:r>
    </w:p>
    <w:p w14:paraId="6C008B68">
      <w:pPr>
        <w:ind w:firstLine="482" w:firstLineChars="200"/>
      </w:pPr>
      <w:r>
        <w:rPr>
          <w:b/>
          <w:bCs/>
        </w:rPr>
        <w:t>2</w:t>
      </w:r>
      <w:r>
        <w:t>注浆泵宜选用活塞泵或螺杆泵；</w:t>
      </w:r>
    </w:p>
    <w:p w14:paraId="3D2EA3BF">
      <w:pPr>
        <w:ind w:firstLine="482" w:firstLineChars="200"/>
      </w:pPr>
      <w:r>
        <w:rPr>
          <w:b/>
          <w:bCs/>
        </w:rPr>
        <w:t>3</w:t>
      </w:r>
      <w:r>
        <w:t>注浆管可分为主管和支管两种，应根据顶管长度和注浆孔位置酌情设置。主管道宜选用直径为40mm～50mm的钢管，支管可选用25mm～30mm的橡胶管。管接头应拆卸方便且在工作压力下</w:t>
      </w:r>
      <w:r>
        <w:rPr>
          <w:rFonts w:hint="eastAsia"/>
        </w:rPr>
        <w:t>应</w:t>
      </w:r>
      <w:r>
        <w:t>无渗漏现象；</w:t>
      </w:r>
    </w:p>
    <w:p w14:paraId="79A1B8DE">
      <w:pPr>
        <w:ind w:firstLine="482" w:firstLineChars="200"/>
      </w:pPr>
      <w:r>
        <w:rPr>
          <w:b/>
          <w:bCs/>
        </w:rPr>
        <w:t>4</w:t>
      </w:r>
      <w:r>
        <w:t>每3</w:t>
      </w:r>
      <w:r>
        <w:rPr>
          <w:rFonts w:hint="eastAsia"/>
        </w:rPr>
        <w:t>节～</w:t>
      </w:r>
      <w:r>
        <w:t>5</w:t>
      </w:r>
      <w:r>
        <w:rPr>
          <w:rFonts w:hint="eastAsia"/>
        </w:rPr>
        <w:t>节</w:t>
      </w:r>
      <w:r>
        <w:t>管节应设一组补浆孔，每组补浆孔轴向间距宜为10m～25m</w:t>
      </w:r>
      <w:r>
        <w:rPr>
          <w:rFonts w:hint="eastAsia"/>
        </w:rPr>
        <w:t>，</w:t>
      </w:r>
      <w:r>
        <w:t>可按下式估算：</w:t>
      </w:r>
    </w:p>
    <w:p w14:paraId="731699A8">
      <w:pPr>
        <w:ind w:firstLine="1920" w:firstLineChars="800"/>
        <w:jc w:val="right"/>
      </w:pPr>
      <w:r>
        <w:rPr>
          <w:position w:val="-12"/>
        </w:rPr>
        <w:object>
          <v:shape id="_x0000_i1153" o:spt="75" type="#_x0000_t75" style="height:21pt;width:57pt;" o:ole="t" filled="f" o:preferrelative="t" stroked="f" coordsize="21600,21600">
            <v:path/>
            <v:fill on="f" focussize="0,0"/>
            <v:stroke on="f" joinstyle="miter"/>
            <v:imagedata r:id="rId269" o:title=""/>
            <o:lock v:ext="edit" aspectratio="t"/>
            <w10:wrap type="none"/>
            <w10:anchorlock/>
          </v:shape>
          <o:OLEObject Type="Embed" ProgID="Equation.DSMT4" ShapeID="_x0000_i1153" DrawAspect="Content" ObjectID="_1468075853" r:id="rId268">
            <o:LockedField>false</o:LockedField>
          </o:OLEObject>
        </w:object>
      </w:r>
      <w:r>
        <w:t xml:space="preserve">                          （9.5.5）</w:t>
      </w:r>
    </w:p>
    <w:p w14:paraId="7DD5BCCB">
      <w:r>
        <w:t>式中：</w:t>
      </w:r>
      <w:r>
        <w:rPr>
          <w:i/>
          <w:iCs/>
        </w:rPr>
        <w:t>L</w:t>
      </w:r>
      <w:r>
        <w:rPr>
          <w:vertAlign w:val="subscript"/>
        </w:rPr>
        <w:t>m</w:t>
      </w:r>
      <w:r>
        <w:t>——补浆孔间距（m）；</w:t>
      </w:r>
    </w:p>
    <w:p w14:paraId="183228DA">
      <w:pPr>
        <w:ind w:firstLine="849" w:firstLineChars="354"/>
      </w:pPr>
      <w:r>
        <w:rPr>
          <w:i/>
          <w:iCs/>
        </w:rPr>
        <w:t>T</w:t>
      </w:r>
      <w:r>
        <w:t>——</w:t>
      </w:r>
      <w:r>
        <w:rPr>
          <w:rFonts w:hint="eastAsia"/>
        </w:rPr>
        <w:t>触变</w:t>
      </w:r>
      <w:r>
        <w:t>泥浆失效期（d），取6d～10d；</w:t>
      </w:r>
    </w:p>
    <w:p w14:paraId="0E558701">
      <w:pPr>
        <w:ind w:firstLine="849" w:firstLineChars="354"/>
      </w:pPr>
      <w:r>
        <w:rPr>
          <w:i/>
          <w:iCs/>
        </w:rPr>
        <w:t>V</w:t>
      </w:r>
      <w:r>
        <w:t>——平均掘进速度（m/d）。</w:t>
      </w:r>
    </w:p>
    <w:p w14:paraId="7DFC4FDA">
      <w:pPr>
        <w:ind w:firstLine="482" w:firstLineChars="200"/>
      </w:pPr>
      <w:r>
        <w:rPr>
          <w:b/>
          <w:bCs/>
        </w:rPr>
        <w:t xml:space="preserve">5 </w:t>
      </w:r>
      <w:r>
        <w:t>注浆孔的布置应按顶管断面尺寸确定，每个断面可设置8个～10个注浆孔；相邻断面上的注浆孔可平行布置或交错布置；注浆孔宜有排气功能，每个注浆孔宜安装球阀，在顶管机尾部和其他位置的注浆孔管道上应设置压力表；</w:t>
      </w:r>
    </w:p>
    <w:p w14:paraId="0F8C75A0">
      <w:pPr>
        <w:ind w:firstLine="482" w:firstLineChars="200"/>
      </w:pPr>
      <w:r>
        <w:rPr>
          <w:b/>
          <w:bCs/>
        </w:rPr>
        <w:t>6</w:t>
      </w:r>
      <w:r>
        <w:t>每套中继间应单独设置注浆孔，中继间的注浆应与中继间启动同步，运行中</w:t>
      </w:r>
      <w:r>
        <w:rPr>
          <w:rFonts w:hint="eastAsia"/>
        </w:rPr>
        <w:t>应</w:t>
      </w:r>
      <w:r>
        <w:t>连续注浆；</w:t>
      </w:r>
    </w:p>
    <w:p w14:paraId="6DA6B54C">
      <w:pPr>
        <w:ind w:firstLine="482" w:firstLineChars="200"/>
      </w:pPr>
      <w:r>
        <w:rPr>
          <w:b/>
          <w:bCs/>
        </w:rPr>
        <w:t>7</w:t>
      </w:r>
      <w:r>
        <w:t>注浆前应检查注浆装置的水密性，注浆时压力应逐步升至控制压力；</w:t>
      </w:r>
    </w:p>
    <w:p w14:paraId="3FA3AFD8">
      <w:pPr>
        <w:ind w:firstLine="482" w:firstLineChars="200"/>
      </w:pPr>
      <w:r>
        <w:rPr>
          <w:b/>
        </w:rPr>
        <w:t>8</w:t>
      </w:r>
      <w:r>
        <w:t>注浆遇有机械故障、管路堵塞、接头渗漏等情况时，应经处理后方可继续掘进。</w:t>
      </w:r>
    </w:p>
    <w:p w14:paraId="757CEC1F">
      <w:r>
        <w:rPr>
          <w:b/>
          <w:bCs/>
        </w:rPr>
        <w:t xml:space="preserve">9.5.6 </w:t>
      </w:r>
      <w:r>
        <w:t>触变泥浆的配合比，应结合顶管穿越地层的特性、地下水条件、触变泥浆的技术指标等因素确定，并应符合表9.5.6的规定。</w:t>
      </w:r>
    </w:p>
    <w:p w14:paraId="2FD9759B">
      <w:pPr>
        <w:jc w:val="center"/>
        <w:rPr>
          <w:b/>
          <w:sz w:val="21"/>
          <w:szCs w:val="18"/>
        </w:rPr>
      </w:pPr>
      <w:r>
        <w:rPr>
          <w:b/>
          <w:sz w:val="21"/>
          <w:szCs w:val="18"/>
        </w:rPr>
        <w:t>表9.5.6  触变泥浆技术指标</w:t>
      </w:r>
    </w:p>
    <w:tbl>
      <w:tblPr>
        <w:tblStyle w:val="36"/>
        <w:tblW w:w="7167"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134"/>
        <w:gridCol w:w="1119"/>
        <w:gridCol w:w="1689"/>
        <w:gridCol w:w="3225"/>
      </w:tblGrid>
      <w:tr w14:paraId="10853FA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134" w:type="dxa"/>
            <w:tcMar>
              <w:left w:w="0" w:type="dxa"/>
              <w:right w:w="0" w:type="dxa"/>
            </w:tcMar>
            <w:vAlign w:val="center"/>
          </w:tcPr>
          <w:p w14:paraId="532DC6EE">
            <w:pPr>
              <w:pStyle w:val="15"/>
              <w:spacing w:line="240" w:lineRule="auto"/>
              <w:rPr>
                <w:rFonts w:ascii="Times New Roman" w:hAnsi="Times New Roman"/>
                <w:sz w:val="21"/>
                <w:szCs w:val="21"/>
              </w:rPr>
            </w:pPr>
            <w:r>
              <w:rPr>
                <w:rFonts w:ascii="Times New Roman" w:hAnsi="Times New Roman"/>
                <w:sz w:val="21"/>
                <w:szCs w:val="21"/>
              </w:rPr>
              <w:t>指标</w:t>
            </w:r>
          </w:p>
        </w:tc>
        <w:tc>
          <w:tcPr>
            <w:tcW w:w="1119" w:type="dxa"/>
            <w:tcMar>
              <w:left w:w="0" w:type="dxa"/>
              <w:right w:w="0" w:type="dxa"/>
            </w:tcMar>
          </w:tcPr>
          <w:p w14:paraId="27DE1E0E">
            <w:pPr>
              <w:pStyle w:val="15"/>
              <w:spacing w:line="240" w:lineRule="auto"/>
              <w:rPr>
                <w:rFonts w:ascii="Times New Roman" w:hAnsi="Times New Roman"/>
                <w:sz w:val="21"/>
                <w:szCs w:val="21"/>
              </w:rPr>
            </w:pPr>
            <w:r>
              <w:rPr>
                <w:rFonts w:ascii="Times New Roman" w:hAnsi="Times New Roman"/>
                <w:sz w:val="21"/>
                <w:szCs w:val="21"/>
              </w:rPr>
              <w:t>单位</w:t>
            </w:r>
          </w:p>
        </w:tc>
        <w:tc>
          <w:tcPr>
            <w:tcW w:w="1689" w:type="dxa"/>
            <w:tcMar>
              <w:left w:w="0" w:type="dxa"/>
              <w:right w:w="0" w:type="dxa"/>
            </w:tcMar>
          </w:tcPr>
          <w:p w14:paraId="5BA1150B">
            <w:pPr>
              <w:pStyle w:val="15"/>
              <w:spacing w:line="240" w:lineRule="auto"/>
              <w:rPr>
                <w:rFonts w:ascii="Times New Roman" w:hAnsi="Times New Roman"/>
                <w:sz w:val="21"/>
                <w:szCs w:val="21"/>
              </w:rPr>
            </w:pPr>
            <w:r>
              <w:rPr>
                <w:rFonts w:ascii="Times New Roman" w:hAnsi="Times New Roman"/>
                <w:sz w:val="21"/>
                <w:szCs w:val="21"/>
              </w:rPr>
              <w:t>技术要求</w:t>
            </w:r>
          </w:p>
        </w:tc>
        <w:tc>
          <w:tcPr>
            <w:tcW w:w="3225" w:type="dxa"/>
            <w:tcMar>
              <w:left w:w="0" w:type="dxa"/>
              <w:right w:w="0" w:type="dxa"/>
            </w:tcMar>
          </w:tcPr>
          <w:p w14:paraId="2331E07B">
            <w:pPr>
              <w:pStyle w:val="15"/>
              <w:spacing w:line="240" w:lineRule="auto"/>
              <w:rPr>
                <w:rFonts w:ascii="Times New Roman" w:hAnsi="Times New Roman"/>
                <w:sz w:val="21"/>
                <w:szCs w:val="21"/>
              </w:rPr>
            </w:pPr>
            <w:r>
              <w:rPr>
                <w:rFonts w:ascii="Times New Roman" w:hAnsi="Times New Roman"/>
                <w:sz w:val="21"/>
                <w:szCs w:val="21"/>
              </w:rPr>
              <w:t>测试方法</w:t>
            </w:r>
          </w:p>
        </w:tc>
      </w:tr>
      <w:tr w14:paraId="740A561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134" w:type="dxa"/>
            <w:tcMar>
              <w:left w:w="0" w:type="dxa"/>
              <w:right w:w="0" w:type="dxa"/>
            </w:tcMar>
            <w:vAlign w:val="center"/>
          </w:tcPr>
          <w:p w14:paraId="4DC573C2">
            <w:pPr>
              <w:pStyle w:val="15"/>
              <w:spacing w:line="240" w:lineRule="auto"/>
              <w:rPr>
                <w:rFonts w:ascii="Times New Roman" w:hAnsi="Times New Roman"/>
                <w:sz w:val="21"/>
                <w:szCs w:val="21"/>
              </w:rPr>
            </w:pPr>
            <w:r>
              <w:rPr>
                <w:rFonts w:ascii="Times New Roman" w:hAnsi="Times New Roman"/>
                <w:sz w:val="21"/>
                <w:szCs w:val="21"/>
              </w:rPr>
              <w:t>动力粘度</w:t>
            </w:r>
          </w:p>
        </w:tc>
        <w:tc>
          <w:tcPr>
            <w:tcW w:w="1119" w:type="dxa"/>
            <w:tcMar>
              <w:left w:w="0" w:type="dxa"/>
              <w:right w:w="0" w:type="dxa"/>
            </w:tcMar>
            <w:vAlign w:val="center"/>
          </w:tcPr>
          <w:p w14:paraId="52FE6BF6">
            <w:pPr>
              <w:pStyle w:val="15"/>
              <w:spacing w:line="240" w:lineRule="auto"/>
              <w:rPr>
                <w:rFonts w:ascii="Times New Roman" w:hAnsi="Times New Roman"/>
                <w:sz w:val="21"/>
                <w:szCs w:val="21"/>
              </w:rPr>
            </w:pPr>
            <w:r>
              <w:rPr>
                <w:rFonts w:ascii="Times New Roman" w:hAnsi="Times New Roman"/>
                <w:sz w:val="21"/>
                <w:szCs w:val="21"/>
              </w:rPr>
              <w:t>Pa•s</w:t>
            </w:r>
          </w:p>
        </w:tc>
        <w:tc>
          <w:tcPr>
            <w:tcW w:w="1689" w:type="dxa"/>
            <w:tcMar>
              <w:left w:w="0" w:type="dxa"/>
              <w:right w:w="0" w:type="dxa"/>
            </w:tcMar>
            <w:vAlign w:val="center"/>
          </w:tcPr>
          <w:p w14:paraId="4B94EC6C">
            <w:pPr>
              <w:pStyle w:val="15"/>
              <w:spacing w:line="240" w:lineRule="auto"/>
              <w:rPr>
                <w:rFonts w:ascii="Times New Roman" w:hAnsi="Times New Roman"/>
                <w:sz w:val="21"/>
                <w:szCs w:val="21"/>
              </w:rPr>
            </w:pPr>
            <w:r>
              <w:rPr>
                <w:rFonts w:ascii="Times New Roman" w:hAnsi="Times New Roman"/>
                <w:sz w:val="21"/>
                <w:szCs w:val="21"/>
              </w:rPr>
              <w:t>＞30</w:t>
            </w:r>
          </w:p>
        </w:tc>
        <w:tc>
          <w:tcPr>
            <w:tcW w:w="3225" w:type="dxa"/>
            <w:tcMar>
              <w:left w:w="0" w:type="dxa"/>
              <w:right w:w="0" w:type="dxa"/>
            </w:tcMar>
          </w:tcPr>
          <w:p w14:paraId="05C5756A">
            <w:pPr>
              <w:pStyle w:val="15"/>
              <w:rPr>
                <w:rFonts w:ascii="Times New Roman" w:hAnsi="Times New Roman"/>
                <w:sz w:val="21"/>
                <w:szCs w:val="21"/>
              </w:rPr>
            </w:pPr>
            <w:r>
              <w:rPr>
                <w:rFonts w:ascii="Times New Roman" w:hAnsi="Times New Roman"/>
                <w:sz w:val="21"/>
                <w:szCs w:val="21"/>
              </w:rPr>
              <w:t>旋转式粘度计测定</w:t>
            </w:r>
          </w:p>
        </w:tc>
      </w:tr>
      <w:tr w14:paraId="49B6CF2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134" w:type="dxa"/>
            <w:tcMar>
              <w:left w:w="0" w:type="dxa"/>
              <w:right w:w="0" w:type="dxa"/>
            </w:tcMar>
            <w:vAlign w:val="center"/>
          </w:tcPr>
          <w:p w14:paraId="72ABA5DD">
            <w:pPr>
              <w:pStyle w:val="15"/>
              <w:spacing w:line="240" w:lineRule="auto"/>
              <w:rPr>
                <w:rFonts w:ascii="Times New Roman" w:hAnsi="Times New Roman"/>
                <w:sz w:val="21"/>
                <w:szCs w:val="21"/>
              </w:rPr>
            </w:pPr>
            <w:r>
              <w:rPr>
                <w:rFonts w:ascii="Times New Roman" w:hAnsi="Times New Roman"/>
                <w:sz w:val="21"/>
                <w:szCs w:val="21"/>
              </w:rPr>
              <w:t>滤失量</w:t>
            </w:r>
          </w:p>
        </w:tc>
        <w:tc>
          <w:tcPr>
            <w:tcW w:w="1119" w:type="dxa"/>
            <w:tcMar>
              <w:left w:w="0" w:type="dxa"/>
              <w:right w:w="0" w:type="dxa"/>
            </w:tcMar>
            <w:vAlign w:val="center"/>
          </w:tcPr>
          <w:p w14:paraId="576AE0FB">
            <w:pPr>
              <w:pStyle w:val="15"/>
              <w:spacing w:line="240" w:lineRule="auto"/>
              <w:rPr>
                <w:rFonts w:ascii="Times New Roman" w:hAnsi="Times New Roman"/>
                <w:sz w:val="21"/>
                <w:szCs w:val="21"/>
              </w:rPr>
            </w:pPr>
            <w:r>
              <w:rPr>
                <w:rFonts w:ascii="Times New Roman" w:hAnsi="Times New Roman"/>
                <w:sz w:val="21"/>
                <w:szCs w:val="21"/>
              </w:rPr>
              <w:t>cm</w:t>
            </w:r>
            <w:r>
              <w:rPr>
                <w:rFonts w:ascii="Times New Roman" w:hAnsi="Times New Roman"/>
                <w:sz w:val="21"/>
                <w:szCs w:val="21"/>
                <w:vertAlign w:val="superscript"/>
              </w:rPr>
              <w:t>3</w:t>
            </w:r>
            <w:r>
              <w:rPr>
                <w:rFonts w:ascii="Times New Roman" w:hAnsi="Times New Roman"/>
                <w:sz w:val="21"/>
                <w:szCs w:val="21"/>
              </w:rPr>
              <w:t>/30min</w:t>
            </w:r>
          </w:p>
        </w:tc>
        <w:tc>
          <w:tcPr>
            <w:tcW w:w="1689" w:type="dxa"/>
            <w:tcMar>
              <w:left w:w="0" w:type="dxa"/>
              <w:right w:w="0" w:type="dxa"/>
            </w:tcMar>
            <w:vAlign w:val="center"/>
          </w:tcPr>
          <w:p w14:paraId="05C2BB3F">
            <w:pPr>
              <w:pStyle w:val="15"/>
              <w:spacing w:line="240" w:lineRule="auto"/>
              <w:rPr>
                <w:rFonts w:ascii="Times New Roman" w:hAnsi="Times New Roman"/>
                <w:sz w:val="21"/>
                <w:szCs w:val="21"/>
              </w:rPr>
            </w:pPr>
            <w:r>
              <w:rPr>
                <w:rFonts w:ascii="Times New Roman" w:hAnsi="Times New Roman"/>
                <w:sz w:val="21"/>
                <w:szCs w:val="21"/>
              </w:rPr>
              <w:t>＜25</w:t>
            </w:r>
          </w:p>
        </w:tc>
        <w:tc>
          <w:tcPr>
            <w:tcW w:w="3225" w:type="dxa"/>
            <w:tcMar>
              <w:left w:w="0" w:type="dxa"/>
              <w:right w:w="0" w:type="dxa"/>
            </w:tcMar>
          </w:tcPr>
          <w:p w14:paraId="6880B451">
            <w:pPr>
              <w:pStyle w:val="15"/>
              <w:rPr>
                <w:rFonts w:ascii="Times New Roman" w:hAnsi="Times New Roman"/>
                <w:sz w:val="21"/>
                <w:szCs w:val="21"/>
              </w:rPr>
            </w:pPr>
            <w:r>
              <w:rPr>
                <w:rFonts w:ascii="Times New Roman" w:hAnsi="Times New Roman"/>
                <w:sz w:val="21"/>
                <w:szCs w:val="21"/>
              </w:rPr>
              <w:t>滤失量测定仪测定</w:t>
            </w:r>
          </w:p>
        </w:tc>
      </w:tr>
      <w:tr w14:paraId="7BE73FF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134" w:type="dxa"/>
            <w:tcMar>
              <w:left w:w="0" w:type="dxa"/>
              <w:right w:w="0" w:type="dxa"/>
            </w:tcMar>
            <w:vAlign w:val="center"/>
          </w:tcPr>
          <w:p w14:paraId="1E73546C">
            <w:pPr>
              <w:spacing w:line="240" w:lineRule="auto"/>
              <w:ind w:firstLine="210" w:firstLineChars="100"/>
              <w:jc w:val="center"/>
              <w:rPr>
                <w:sz w:val="21"/>
              </w:rPr>
            </w:pPr>
            <w:r>
              <w:rPr>
                <w:sz w:val="21"/>
              </w:rPr>
              <w:t>比重</w:t>
            </w:r>
          </w:p>
        </w:tc>
        <w:tc>
          <w:tcPr>
            <w:tcW w:w="1119" w:type="dxa"/>
            <w:tcMar>
              <w:left w:w="0" w:type="dxa"/>
              <w:right w:w="0" w:type="dxa"/>
            </w:tcMar>
            <w:vAlign w:val="center"/>
          </w:tcPr>
          <w:p w14:paraId="53DCE760">
            <w:pPr>
              <w:pStyle w:val="15"/>
              <w:spacing w:line="240" w:lineRule="auto"/>
              <w:rPr>
                <w:rFonts w:ascii="Times New Roman" w:hAnsi="Times New Roman"/>
                <w:sz w:val="21"/>
                <w:szCs w:val="21"/>
              </w:rPr>
            </w:pPr>
            <w:r>
              <w:rPr>
                <w:rFonts w:ascii="Times New Roman" w:hAnsi="Times New Roman"/>
                <w:sz w:val="21"/>
                <w:szCs w:val="21"/>
              </w:rPr>
              <w:t>g/cm</w:t>
            </w:r>
            <w:r>
              <w:rPr>
                <w:rFonts w:ascii="Times New Roman" w:hAnsi="Times New Roman"/>
                <w:sz w:val="21"/>
                <w:szCs w:val="21"/>
                <w:vertAlign w:val="superscript"/>
              </w:rPr>
              <w:t>3</w:t>
            </w:r>
          </w:p>
        </w:tc>
        <w:tc>
          <w:tcPr>
            <w:tcW w:w="1689" w:type="dxa"/>
            <w:tcMar>
              <w:left w:w="0" w:type="dxa"/>
              <w:right w:w="0" w:type="dxa"/>
            </w:tcMar>
            <w:vAlign w:val="center"/>
          </w:tcPr>
          <w:p w14:paraId="200F221D">
            <w:pPr>
              <w:pStyle w:val="15"/>
              <w:spacing w:line="240" w:lineRule="auto"/>
              <w:rPr>
                <w:rFonts w:ascii="Times New Roman" w:hAnsi="Times New Roman"/>
                <w:sz w:val="21"/>
                <w:szCs w:val="21"/>
              </w:rPr>
            </w:pPr>
            <w:r>
              <w:rPr>
                <w:rFonts w:ascii="Times New Roman" w:hAnsi="Times New Roman"/>
                <w:sz w:val="21"/>
                <w:szCs w:val="21"/>
              </w:rPr>
              <w:t>1.1～1.15</w:t>
            </w:r>
          </w:p>
        </w:tc>
        <w:tc>
          <w:tcPr>
            <w:tcW w:w="3225" w:type="dxa"/>
            <w:tcMar>
              <w:left w:w="0" w:type="dxa"/>
              <w:right w:w="0" w:type="dxa"/>
            </w:tcMar>
          </w:tcPr>
          <w:p w14:paraId="7F9756D5">
            <w:pPr>
              <w:pStyle w:val="15"/>
              <w:rPr>
                <w:rFonts w:ascii="Times New Roman" w:hAnsi="Times New Roman"/>
                <w:sz w:val="21"/>
                <w:szCs w:val="21"/>
              </w:rPr>
            </w:pPr>
            <w:r>
              <w:rPr>
                <w:rFonts w:ascii="Times New Roman" w:hAnsi="Times New Roman"/>
                <w:sz w:val="21"/>
                <w:szCs w:val="21"/>
              </w:rPr>
              <w:t>泥浆比重计测定</w:t>
            </w:r>
          </w:p>
        </w:tc>
      </w:tr>
      <w:tr w14:paraId="21EFCEA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134" w:type="dxa"/>
            <w:tcMar>
              <w:left w:w="0" w:type="dxa"/>
              <w:right w:w="0" w:type="dxa"/>
            </w:tcMar>
            <w:vAlign w:val="center"/>
          </w:tcPr>
          <w:p w14:paraId="50FCA78F">
            <w:pPr>
              <w:pStyle w:val="15"/>
              <w:spacing w:line="240" w:lineRule="auto"/>
              <w:rPr>
                <w:rFonts w:ascii="Times New Roman" w:hAnsi="Times New Roman"/>
                <w:sz w:val="21"/>
                <w:szCs w:val="21"/>
              </w:rPr>
            </w:pPr>
            <w:r>
              <w:rPr>
                <w:rFonts w:ascii="Times New Roman" w:hAnsi="Times New Roman"/>
                <w:sz w:val="21"/>
                <w:szCs w:val="21"/>
              </w:rPr>
              <w:t>pH值</w:t>
            </w:r>
          </w:p>
        </w:tc>
        <w:tc>
          <w:tcPr>
            <w:tcW w:w="1119" w:type="dxa"/>
            <w:tcMar>
              <w:left w:w="0" w:type="dxa"/>
              <w:right w:w="0" w:type="dxa"/>
            </w:tcMar>
            <w:vAlign w:val="center"/>
          </w:tcPr>
          <w:p w14:paraId="427E83AD">
            <w:pPr>
              <w:pStyle w:val="15"/>
              <w:spacing w:line="240" w:lineRule="auto"/>
              <w:rPr>
                <w:rFonts w:ascii="Times New Roman" w:hAnsi="Times New Roman"/>
                <w:sz w:val="21"/>
                <w:szCs w:val="21"/>
              </w:rPr>
            </w:pPr>
            <w:r>
              <w:rPr>
                <w:rFonts w:ascii="Times New Roman" w:hAnsi="Times New Roman"/>
                <w:sz w:val="21"/>
                <w:szCs w:val="21"/>
              </w:rPr>
              <w:t>—</w:t>
            </w:r>
          </w:p>
        </w:tc>
        <w:tc>
          <w:tcPr>
            <w:tcW w:w="1689" w:type="dxa"/>
            <w:tcMar>
              <w:left w:w="0" w:type="dxa"/>
              <w:right w:w="0" w:type="dxa"/>
            </w:tcMar>
            <w:vAlign w:val="center"/>
          </w:tcPr>
          <w:p w14:paraId="3D88F356">
            <w:pPr>
              <w:pStyle w:val="15"/>
              <w:spacing w:line="240" w:lineRule="auto"/>
              <w:rPr>
                <w:rFonts w:ascii="Times New Roman" w:hAnsi="Times New Roman"/>
                <w:sz w:val="21"/>
                <w:szCs w:val="21"/>
              </w:rPr>
            </w:pPr>
            <w:r>
              <w:rPr>
                <w:rFonts w:ascii="Times New Roman" w:hAnsi="Times New Roman"/>
                <w:sz w:val="21"/>
                <w:szCs w:val="21"/>
              </w:rPr>
              <w:t>8～10</w:t>
            </w:r>
          </w:p>
        </w:tc>
        <w:tc>
          <w:tcPr>
            <w:tcW w:w="3225" w:type="dxa"/>
            <w:tcMar>
              <w:left w:w="0" w:type="dxa"/>
              <w:right w:w="0" w:type="dxa"/>
            </w:tcMar>
          </w:tcPr>
          <w:p w14:paraId="0E3F1700">
            <w:pPr>
              <w:pStyle w:val="15"/>
              <w:rPr>
                <w:rFonts w:ascii="Times New Roman" w:hAnsi="Times New Roman"/>
                <w:sz w:val="21"/>
                <w:szCs w:val="21"/>
              </w:rPr>
            </w:pPr>
            <w:r>
              <w:rPr>
                <w:rFonts w:ascii="Times New Roman" w:hAnsi="Times New Roman"/>
                <w:sz w:val="21"/>
                <w:szCs w:val="21"/>
              </w:rPr>
              <w:t>pH试纸直接测定或取滤液用pH计测定</w:t>
            </w:r>
          </w:p>
        </w:tc>
      </w:tr>
      <w:tr w14:paraId="2197D55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134" w:type="dxa"/>
            <w:tcMar>
              <w:left w:w="0" w:type="dxa"/>
              <w:right w:w="0" w:type="dxa"/>
            </w:tcMar>
            <w:vAlign w:val="center"/>
          </w:tcPr>
          <w:p w14:paraId="762D6838">
            <w:pPr>
              <w:pStyle w:val="15"/>
              <w:spacing w:line="240" w:lineRule="auto"/>
              <w:rPr>
                <w:rFonts w:ascii="Times New Roman" w:hAnsi="Times New Roman"/>
                <w:sz w:val="21"/>
                <w:szCs w:val="21"/>
              </w:rPr>
            </w:pPr>
            <w:r>
              <w:rPr>
                <w:rFonts w:ascii="Times New Roman" w:hAnsi="Times New Roman"/>
                <w:sz w:val="21"/>
                <w:szCs w:val="21"/>
              </w:rPr>
              <w:t>含砂量</w:t>
            </w:r>
          </w:p>
        </w:tc>
        <w:tc>
          <w:tcPr>
            <w:tcW w:w="1119" w:type="dxa"/>
            <w:tcMar>
              <w:left w:w="0" w:type="dxa"/>
              <w:right w:w="0" w:type="dxa"/>
            </w:tcMar>
            <w:vAlign w:val="center"/>
          </w:tcPr>
          <w:p w14:paraId="7D4E98FF">
            <w:pPr>
              <w:pStyle w:val="15"/>
              <w:spacing w:line="240" w:lineRule="auto"/>
              <w:rPr>
                <w:rFonts w:ascii="Times New Roman" w:hAnsi="Times New Roman"/>
                <w:sz w:val="21"/>
                <w:szCs w:val="21"/>
              </w:rPr>
            </w:pPr>
            <w:r>
              <w:rPr>
                <w:rFonts w:ascii="Times New Roman" w:hAnsi="Times New Roman"/>
                <w:sz w:val="21"/>
                <w:szCs w:val="21"/>
              </w:rPr>
              <w:t>%</w:t>
            </w:r>
          </w:p>
        </w:tc>
        <w:tc>
          <w:tcPr>
            <w:tcW w:w="1689" w:type="dxa"/>
            <w:tcMar>
              <w:left w:w="0" w:type="dxa"/>
              <w:right w:w="0" w:type="dxa"/>
            </w:tcMar>
            <w:vAlign w:val="center"/>
          </w:tcPr>
          <w:p w14:paraId="4EDCB850">
            <w:pPr>
              <w:pStyle w:val="15"/>
              <w:spacing w:line="240" w:lineRule="auto"/>
              <w:rPr>
                <w:rFonts w:ascii="Times New Roman" w:hAnsi="Times New Roman"/>
                <w:sz w:val="21"/>
                <w:szCs w:val="21"/>
              </w:rPr>
            </w:pPr>
            <w:r>
              <w:rPr>
                <w:rFonts w:ascii="Times New Roman" w:hAnsi="Times New Roman"/>
                <w:sz w:val="21"/>
                <w:szCs w:val="21"/>
              </w:rPr>
              <w:t>＜3</w:t>
            </w:r>
          </w:p>
        </w:tc>
        <w:tc>
          <w:tcPr>
            <w:tcW w:w="3225" w:type="dxa"/>
            <w:tcMar>
              <w:left w:w="0" w:type="dxa"/>
              <w:right w:w="0" w:type="dxa"/>
            </w:tcMar>
          </w:tcPr>
          <w:p w14:paraId="4DCF72F1">
            <w:pPr>
              <w:pStyle w:val="15"/>
              <w:rPr>
                <w:rFonts w:ascii="Times New Roman" w:hAnsi="Times New Roman"/>
                <w:sz w:val="21"/>
                <w:szCs w:val="21"/>
              </w:rPr>
            </w:pPr>
            <w:r>
              <w:rPr>
                <w:rFonts w:ascii="Times New Roman" w:hAnsi="Times New Roman"/>
                <w:sz w:val="21"/>
                <w:szCs w:val="21"/>
              </w:rPr>
              <w:t>含砂率计测定</w:t>
            </w:r>
          </w:p>
        </w:tc>
      </w:tr>
      <w:tr w14:paraId="583151D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134" w:type="dxa"/>
            <w:tcMar>
              <w:left w:w="0" w:type="dxa"/>
              <w:right w:w="0" w:type="dxa"/>
            </w:tcMar>
            <w:vAlign w:val="center"/>
          </w:tcPr>
          <w:p w14:paraId="6041CB65">
            <w:pPr>
              <w:pStyle w:val="15"/>
              <w:spacing w:line="240" w:lineRule="auto"/>
              <w:rPr>
                <w:rFonts w:ascii="Times New Roman" w:hAnsi="Times New Roman"/>
                <w:sz w:val="21"/>
                <w:szCs w:val="21"/>
              </w:rPr>
            </w:pPr>
            <w:r>
              <w:rPr>
                <w:rFonts w:ascii="Times New Roman" w:hAnsi="Times New Roman"/>
                <w:sz w:val="21"/>
                <w:szCs w:val="21"/>
              </w:rPr>
              <w:t>稳定性</w:t>
            </w:r>
          </w:p>
        </w:tc>
        <w:tc>
          <w:tcPr>
            <w:tcW w:w="1119" w:type="dxa"/>
            <w:tcMar>
              <w:left w:w="0" w:type="dxa"/>
              <w:right w:w="0" w:type="dxa"/>
            </w:tcMar>
            <w:vAlign w:val="center"/>
          </w:tcPr>
          <w:p w14:paraId="5CA31482">
            <w:pPr>
              <w:pStyle w:val="15"/>
              <w:spacing w:line="240" w:lineRule="auto"/>
              <w:rPr>
                <w:rFonts w:ascii="Times New Roman" w:hAnsi="Times New Roman"/>
                <w:sz w:val="21"/>
                <w:szCs w:val="21"/>
              </w:rPr>
            </w:pPr>
            <w:r>
              <w:rPr>
                <w:rFonts w:ascii="Times New Roman" w:hAnsi="Times New Roman"/>
                <w:sz w:val="21"/>
                <w:szCs w:val="21"/>
              </w:rPr>
              <w:t>—</w:t>
            </w:r>
          </w:p>
        </w:tc>
        <w:tc>
          <w:tcPr>
            <w:tcW w:w="1689" w:type="dxa"/>
            <w:tcMar>
              <w:left w:w="0" w:type="dxa"/>
              <w:right w:w="0" w:type="dxa"/>
            </w:tcMar>
            <w:vAlign w:val="center"/>
          </w:tcPr>
          <w:p w14:paraId="0EFAE91F">
            <w:pPr>
              <w:pStyle w:val="15"/>
              <w:spacing w:line="240" w:lineRule="auto"/>
              <w:rPr>
                <w:rFonts w:ascii="Times New Roman" w:hAnsi="Times New Roman"/>
                <w:sz w:val="21"/>
                <w:szCs w:val="21"/>
              </w:rPr>
            </w:pPr>
            <w:r>
              <w:rPr>
                <w:rFonts w:ascii="Times New Roman" w:hAnsi="Times New Roman"/>
                <w:sz w:val="21"/>
                <w:szCs w:val="21"/>
              </w:rPr>
              <w:t>静止24h无析水</w:t>
            </w:r>
          </w:p>
        </w:tc>
        <w:tc>
          <w:tcPr>
            <w:tcW w:w="3225" w:type="dxa"/>
            <w:tcMar>
              <w:left w:w="0" w:type="dxa"/>
              <w:right w:w="0" w:type="dxa"/>
            </w:tcMar>
          </w:tcPr>
          <w:p w14:paraId="7036EE98">
            <w:pPr>
              <w:pStyle w:val="15"/>
              <w:rPr>
                <w:rFonts w:ascii="Times New Roman" w:hAnsi="Times New Roman"/>
                <w:sz w:val="21"/>
                <w:szCs w:val="21"/>
              </w:rPr>
            </w:pPr>
            <w:r>
              <w:rPr>
                <w:rFonts w:ascii="Times New Roman" w:hAnsi="Times New Roman"/>
                <w:sz w:val="21"/>
                <w:szCs w:val="21"/>
              </w:rPr>
              <w:t>稳定性测定仪测定</w:t>
            </w:r>
          </w:p>
        </w:tc>
      </w:tr>
      <w:tr w14:paraId="47A8B2A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1134" w:type="dxa"/>
            <w:tcMar>
              <w:left w:w="0" w:type="dxa"/>
              <w:right w:w="0" w:type="dxa"/>
            </w:tcMar>
            <w:vAlign w:val="center"/>
          </w:tcPr>
          <w:p w14:paraId="50295A97">
            <w:pPr>
              <w:pStyle w:val="15"/>
              <w:spacing w:line="240" w:lineRule="auto"/>
              <w:rPr>
                <w:rFonts w:ascii="Times New Roman" w:hAnsi="Times New Roman"/>
                <w:sz w:val="21"/>
                <w:szCs w:val="21"/>
              </w:rPr>
            </w:pPr>
            <w:r>
              <w:rPr>
                <w:rFonts w:ascii="Times New Roman" w:hAnsi="Times New Roman"/>
                <w:sz w:val="21"/>
                <w:szCs w:val="21"/>
              </w:rPr>
              <w:t>静切力</w:t>
            </w:r>
          </w:p>
        </w:tc>
        <w:tc>
          <w:tcPr>
            <w:tcW w:w="1119" w:type="dxa"/>
            <w:tcMar>
              <w:left w:w="0" w:type="dxa"/>
              <w:right w:w="0" w:type="dxa"/>
            </w:tcMar>
            <w:vAlign w:val="center"/>
          </w:tcPr>
          <w:p w14:paraId="559D48D2">
            <w:pPr>
              <w:pStyle w:val="15"/>
              <w:spacing w:line="240" w:lineRule="auto"/>
              <w:rPr>
                <w:rFonts w:ascii="Times New Roman" w:hAnsi="Times New Roman"/>
                <w:sz w:val="21"/>
                <w:szCs w:val="21"/>
              </w:rPr>
            </w:pPr>
            <w:r>
              <w:rPr>
                <w:rFonts w:ascii="Times New Roman" w:hAnsi="Times New Roman"/>
                <w:sz w:val="21"/>
                <w:szCs w:val="21"/>
              </w:rPr>
              <w:t>Pa</w:t>
            </w:r>
          </w:p>
        </w:tc>
        <w:tc>
          <w:tcPr>
            <w:tcW w:w="1689" w:type="dxa"/>
            <w:tcMar>
              <w:left w:w="0" w:type="dxa"/>
              <w:right w:w="0" w:type="dxa"/>
            </w:tcMar>
            <w:vAlign w:val="center"/>
          </w:tcPr>
          <w:p w14:paraId="335ABA8C">
            <w:pPr>
              <w:pStyle w:val="15"/>
              <w:spacing w:line="240" w:lineRule="auto"/>
              <w:rPr>
                <w:rFonts w:ascii="Times New Roman" w:hAnsi="Times New Roman"/>
                <w:sz w:val="21"/>
                <w:szCs w:val="21"/>
              </w:rPr>
            </w:pPr>
            <w:r>
              <w:rPr>
                <w:rFonts w:ascii="Times New Roman" w:hAnsi="Times New Roman"/>
                <w:sz w:val="21"/>
                <w:szCs w:val="21"/>
              </w:rPr>
              <w:t>100左右</w:t>
            </w:r>
          </w:p>
        </w:tc>
        <w:tc>
          <w:tcPr>
            <w:tcW w:w="3225" w:type="dxa"/>
            <w:tcMar>
              <w:left w:w="0" w:type="dxa"/>
              <w:right w:w="0" w:type="dxa"/>
            </w:tcMar>
          </w:tcPr>
          <w:p w14:paraId="0AC64F51">
            <w:pPr>
              <w:pStyle w:val="15"/>
              <w:rPr>
                <w:rFonts w:ascii="Times New Roman" w:hAnsi="Times New Roman"/>
                <w:sz w:val="21"/>
                <w:szCs w:val="21"/>
              </w:rPr>
            </w:pPr>
            <w:r>
              <w:rPr>
                <w:rFonts w:ascii="Times New Roman" w:hAnsi="Times New Roman"/>
                <w:sz w:val="21"/>
                <w:szCs w:val="21"/>
              </w:rPr>
              <w:t>浮筒切力计测定</w:t>
            </w:r>
          </w:p>
        </w:tc>
      </w:tr>
    </w:tbl>
    <w:p w14:paraId="6AD857C2">
      <w:r>
        <w:rPr>
          <w:b/>
          <w:bCs/>
        </w:rPr>
        <w:t>9.5.</w:t>
      </w:r>
      <w:r>
        <w:rPr>
          <w:rFonts w:hint="eastAsia"/>
          <w:b/>
          <w:bCs/>
        </w:rPr>
        <w:t>7</w:t>
      </w:r>
      <w:r>
        <w:rPr>
          <w:b/>
          <w:bCs/>
        </w:rPr>
        <w:t xml:space="preserve">  </w:t>
      </w:r>
      <w:r>
        <w:t>在注浆过程中，应根据减阻效果和控制地面变形的实际监测数据调整注浆流量和注浆压力等工艺参数。</w:t>
      </w:r>
    </w:p>
    <w:p w14:paraId="05BB651E">
      <w:r>
        <w:rPr>
          <w:b/>
          <w:bCs/>
        </w:rPr>
        <w:t>9.5.</w:t>
      </w:r>
      <w:r>
        <w:rPr>
          <w:rFonts w:hint="eastAsia"/>
          <w:b/>
          <w:bCs/>
        </w:rPr>
        <w:t>8</w:t>
      </w:r>
      <w:r>
        <w:t>注浆管出口应设单向阀，出口压力应大于地下水压力，在砂性土中掘进时，单向阀宜加装在注浆孔的管道外侧。</w:t>
      </w:r>
    </w:p>
    <w:p w14:paraId="462276C5"/>
    <w:p w14:paraId="0C604001">
      <w:pPr>
        <w:pStyle w:val="3"/>
        <w:rPr>
          <w:rFonts w:eastAsia="黑体" w:cs="Times New Roman"/>
          <w:b w:val="0"/>
        </w:rPr>
      </w:pPr>
      <w:bookmarkStart w:id="530" w:name="_Toc8833"/>
      <w:bookmarkStart w:id="531" w:name="_Toc6324"/>
      <w:bookmarkStart w:id="532" w:name="_Toc26108"/>
      <w:bookmarkStart w:id="533" w:name="_Toc28830"/>
      <w:bookmarkStart w:id="534" w:name="_Toc18057077"/>
      <w:bookmarkStart w:id="535" w:name="_Toc20393"/>
      <w:bookmarkStart w:id="536" w:name="_Toc27725"/>
      <w:bookmarkStart w:id="537" w:name="_Toc60173818"/>
      <w:bookmarkStart w:id="538" w:name="_Toc5689"/>
      <w:bookmarkStart w:id="539" w:name="_Toc47692190"/>
      <w:bookmarkStart w:id="540" w:name="_Toc60172931"/>
      <w:r>
        <w:rPr>
          <w:rFonts w:eastAsia="黑体" w:cs="Times New Roman"/>
        </w:rPr>
        <w:t xml:space="preserve">9.6 </w:t>
      </w:r>
      <w:r>
        <w:rPr>
          <w:rFonts w:hint="eastAsia" w:eastAsia="黑体" w:cs="Times New Roman"/>
          <w:b w:val="0"/>
        </w:rPr>
        <w:t>渣土</w:t>
      </w:r>
      <w:r>
        <w:rPr>
          <w:rFonts w:eastAsia="黑体" w:cs="Times New Roman"/>
          <w:b w:val="0"/>
        </w:rPr>
        <w:t>改良</w:t>
      </w:r>
      <w:bookmarkEnd w:id="530"/>
      <w:bookmarkEnd w:id="531"/>
      <w:bookmarkEnd w:id="532"/>
      <w:bookmarkEnd w:id="533"/>
      <w:bookmarkEnd w:id="534"/>
      <w:bookmarkEnd w:id="535"/>
      <w:bookmarkEnd w:id="536"/>
      <w:bookmarkEnd w:id="537"/>
      <w:bookmarkEnd w:id="538"/>
      <w:bookmarkEnd w:id="539"/>
      <w:bookmarkEnd w:id="540"/>
    </w:p>
    <w:p w14:paraId="3096F9C4">
      <w:r>
        <w:rPr>
          <w:b/>
          <w:bCs/>
        </w:rPr>
        <w:t xml:space="preserve">9.6.1  </w:t>
      </w:r>
      <w:r>
        <w:t>土压平衡顶管机在遇到中粗砂、砂卵石层等不良地层时，应通过设在顶管机刀盘和胸板上的注浆孔向土舱内注入改良用的黏土等作泥材料制成的浆液</w:t>
      </w:r>
      <w:r>
        <w:rPr>
          <w:rFonts w:hint="eastAsia"/>
        </w:rPr>
        <w:t>，</w:t>
      </w:r>
      <w:r>
        <w:t>并应符合下列规定：</w:t>
      </w:r>
    </w:p>
    <w:p w14:paraId="7B6B3495">
      <w:pPr>
        <w:ind w:firstLine="482" w:firstLineChars="200"/>
      </w:pPr>
      <w:r>
        <w:rPr>
          <w:b/>
          <w:bCs/>
        </w:rPr>
        <w:t>1</w:t>
      </w:r>
      <w:r>
        <w:t>土质的渗透系数较大时，</w:t>
      </w:r>
      <w:r>
        <w:rPr>
          <w:rFonts w:hint="eastAsia"/>
        </w:rPr>
        <w:t>配置</w:t>
      </w:r>
      <w:r>
        <w:t>的泥浆应具有较大的粘度，C型粘度计值</w:t>
      </w:r>
      <w:r>
        <w:rPr>
          <w:rFonts w:hint="eastAsia"/>
        </w:rPr>
        <w:t>宜为</w:t>
      </w:r>
      <w:r>
        <w:t>8000cp～10000cp，比重</w:t>
      </w:r>
      <w:r>
        <w:rPr>
          <w:rFonts w:hint="eastAsia"/>
        </w:rPr>
        <w:t>宜为</w:t>
      </w:r>
      <w:r>
        <w:t>1.30～1.50；</w:t>
      </w:r>
    </w:p>
    <w:p w14:paraId="688A3769">
      <w:pPr>
        <w:ind w:firstLine="482" w:firstLineChars="200"/>
      </w:pPr>
      <w:r>
        <w:rPr>
          <w:b/>
          <w:bCs/>
        </w:rPr>
        <w:t xml:space="preserve">2 </w:t>
      </w:r>
      <w:r>
        <w:t>泥浆的注入量宜为</w:t>
      </w:r>
      <w:r>
        <w:rPr>
          <w:rFonts w:hint="eastAsia"/>
        </w:rPr>
        <w:t>渣土体积</w:t>
      </w:r>
      <w:r>
        <w:t>15%～30%，应根据螺旋</w:t>
      </w:r>
      <w:r>
        <w:rPr>
          <w:rFonts w:hint="eastAsia"/>
        </w:rPr>
        <w:t>出土</w:t>
      </w:r>
      <w:r>
        <w:t>机所排渣土的状况确定</w:t>
      </w:r>
      <w:r>
        <w:rPr>
          <w:rFonts w:eastAsia="仿宋_GB2312"/>
          <w:sz w:val="28"/>
          <w:szCs w:val="28"/>
        </w:rPr>
        <w:t>，</w:t>
      </w:r>
      <w:r>
        <w:t>改良后的土体应具有良好的塑性、流动性以及止水性；</w:t>
      </w:r>
    </w:p>
    <w:p w14:paraId="653DDC3D">
      <w:pPr>
        <w:ind w:firstLine="482" w:firstLineChars="200"/>
      </w:pPr>
      <w:r>
        <w:rPr>
          <w:b/>
          <w:bCs/>
        </w:rPr>
        <w:t>3</w:t>
      </w:r>
      <w:r>
        <w:t>对不同的土质应选用不同的泥浆配比、注入不同的泥浆量；</w:t>
      </w:r>
    </w:p>
    <w:p w14:paraId="4C485F4A">
      <w:pPr>
        <w:ind w:firstLine="482" w:firstLineChars="200"/>
      </w:pPr>
      <w:r>
        <w:rPr>
          <w:rFonts w:hint="eastAsia"/>
          <w:b/>
          <w:bCs/>
        </w:rPr>
        <w:t>4</w:t>
      </w:r>
      <w:r>
        <w:t>泥浆注入应有专人负责，注入压力、注入量、泥浆配比等</w:t>
      </w:r>
      <w:r>
        <w:rPr>
          <w:rFonts w:hint="eastAsia"/>
        </w:rPr>
        <w:t>数据</w:t>
      </w:r>
      <w:r>
        <w:t>应有详细的记录，</w:t>
      </w:r>
      <w:r>
        <w:rPr>
          <w:rFonts w:hint="eastAsia"/>
        </w:rPr>
        <w:t>并通过初始推进阶段试验以后确定注入压力、注入量、泥浆配比等施工参数</w:t>
      </w:r>
      <w:r>
        <w:t>。</w:t>
      </w:r>
    </w:p>
    <w:p w14:paraId="0FEBCAF7">
      <w:r>
        <w:rPr>
          <w:b/>
          <w:bCs/>
        </w:rPr>
        <w:t xml:space="preserve">9.6.2  </w:t>
      </w:r>
      <w:r>
        <w:t>开挖舱土压力应符合下列规定：</w:t>
      </w:r>
    </w:p>
    <w:p w14:paraId="34F58A60">
      <w:pPr>
        <w:ind w:firstLine="482" w:firstLineChars="200"/>
      </w:pPr>
      <w:r>
        <w:rPr>
          <w:b/>
          <w:bCs/>
        </w:rPr>
        <w:t>1</w:t>
      </w:r>
      <w:r>
        <w:t>始发阶段顶管机进入原状土后，宜适当提高掘进速度，</w:t>
      </w:r>
      <w:r>
        <w:rPr>
          <w:rFonts w:hint="eastAsia"/>
        </w:rPr>
        <w:t>增大正面土压力</w:t>
      </w:r>
      <w:r>
        <w:t>；</w:t>
      </w:r>
    </w:p>
    <w:p w14:paraId="049BC38A">
      <w:pPr>
        <w:ind w:firstLine="482" w:firstLineChars="200"/>
      </w:pPr>
      <w:r>
        <w:rPr>
          <w:b/>
          <w:bCs/>
        </w:rPr>
        <w:t xml:space="preserve">2 </w:t>
      </w:r>
      <w:r>
        <w:t>在顶管掌子面进入接收井洞口加固区域时，应适当减慢掘进速度，调整出渣量，逐渐减小机头正面土压力；</w:t>
      </w:r>
    </w:p>
    <w:p w14:paraId="0B21E30B">
      <w:pPr>
        <w:ind w:firstLine="482" w:firstLineChars="200"/>
      </w:pPr>
      <w:r>
        <w:rPr>
          <w:b/>
          <w:bCs/>
        </w:rPr>
        <w:t>3</w:t>
      </w:r>
      <w:r>
        <w:t>顶进过程中应密切关注顶管机的土压力参数，</w:t>
      </w:r>
      <w:r>
        <w:rPr>
          <w:rFonts w:hint="eastAsia"/>
        </w:rPr>
        <w:t>并应</w:t>
      </w:r>
      <w:r>
        <w:t>随时掌握顶管机掌子面的压力数值。</w:t>
      </w:r>
    </w:p>
    <w:p w14:paraId="53F6EDAB">
      <w:r>
        <w:rPr>
          <w:rFonts w:eastAsiaTheme="minorEastAsia"/>
          <w:b/>
          <w:bCs/>
        </w:rPr>
        <w:t>9</w:t>
      </w:r>
      <w:r>
        <w:rPr>
          <w:b/>
          <w:bCs/>
        </w:rPr>
        <w:t>.</w:t>
      </w:r>
      <w:r>
        <w:rPr>
          <w:rFonts w:eastAsiaTheme="minorEastAsia"/>
          <w:b/>
          <w:bCs/>
        </w:rPr>
        <w:t>6</w:t>
      </w:r>
      <w:r>
        <w:rPr>
          <w:b/>
          <w:bCs/>
        </w:rPr>
        <w:t>.</w:t>
      </w:r>
      <w:r>
        <w:rPr>
          <w:rFonts w:eastAsiaTheme="minorEastAsia"/>
          <w:b/>
          <w:bCs/>
        </w:rPr>
        <w:t xml:space="preserve">3  </w:t>
      </w:r>
      <w:r>
        <w:t>渣土改良后的效果及作用应符合下列规定：</w:t>
      </w:r>
    </w:p>
    <w:p w14:paraId="1579BFCA">
      <w:pPr>
        <w:adjustRightInd w:val="0"/>
        <w:snapToGrid w:val="0"/>
        <w:ind w:firstLine="482" w:firstLineChars="200"/>
      </w:pPr>
      <w:r>
        <w:rPr>
          <w:b/>
          <w:bCs/>
        </w:rPr>
        <w:t>1</w:t>
      </w:r>
      <w:r>
        <w:t>渣土改良后的渣土应呈流塑状或膏状，并应平稳控制土压，开挖面</w:t>
      </w:r>
      <w:r>
        <w:rPr>
          <w:rFonts w:hint="eastAsia"/>
        </w:rPr>
        <w:t>地表</w:t>
      </w:r>
      <w:r>
        <w:t>不应出现大的隆起或沉降；</w:t>
      </w:r>
    </w:p>
    <w:p w14:paraId="64D733B3">
      <w:pPr>
        <w:adjustRightInd w:val="0"/>
        <w:snapToGrid w:val="0"/>
        <w:ind w:firstLine="482" w:firstLineChars="200"/>
      </w:pPr>
      <w:r>
        <w:rPr>
          <w:b/>
          <w:bCs/>
        </w:rPr>
        <w:t>2</w:t>
      </w:r>
      <w:r>
        <w:t>渣土改良后应降低土体的内摩擦角，增加土体的流动性，减小土体对刀具、面板、土仓、螺旋</w:t>
      </w:r>
      <w:r>
        <w:rPr>
          <w:rFonts w:hint="eastAsia"/>
        </w:rPr>
        <w:t>出土</w:t>
      </w:r>
      <w:r>
        <w:t>机的磨损；</w:t>
      </w:r>
    </w:p>
    <w:p w14:paraId="7F757BC9">
      <w:pPr>
        <w:adjustRightInd w:val="0"/>
        <w:snapToGrid w:val="0"/>
        <w:ind w:firstLine="482" w:firstLineChars="200"/>
      </w:pPr>
      <w:r>
        <w:rPr>
          <w:b/>
          <w:bCs/>
        </w:rPr>
        <w:t>3</w:t>
      </w:r>
      <w:r>
        <w:t>改良剂应加注到刀盘前方，切削土体</w:t>
      </w:r>
      <w:r>
        <w:rPr>
          <w:rFonts w:hint="eastAsia"/>
        </w:rPr>
        <w:t>应</w:t>
      </w:r>
      <w:r>
        <w:t>经过刀盘及搅拌棒的搅拌，土仓内的土体通过刀盘充分搅拌后应达到较好的流塑性，并可从螺旋机口顺利排出。</w:t>
      </w:r>
    </w:p>
    <w:p w14:paraId="3F843C9B">
      <w:r>
        <w:rPr>
          <w:b/>
          <w:bCs/>
        </w:rPr>
        <w:t>9.6.</w:t>
      </w:r>
      <w:r>
        <w:rPr>
          <w:rFonts w:eastAsiaTheme="minorEastAsia"/>
          <w:b/>
          <w:bCs/>
        </w:rPr>
        <w:t xml:space="preserve">4  </w:t>
      </w:r>
      <w:r>
        <w:t>矩形土压平衡顶管机掌子面防结泥饼应采取下列措施：</w:t>
      </w:r>
    </w:p>
    <w:p w14:paraId="7AA020AA">
      <w:pPr>
        <w:ind w:firstLine="482" w:firstLineChars="200"/>
      </w:pPr>
      <w:r>
        <w:rPr>
          <w:b/>
          <w:bCs/>
        </w:rPr>
        <w:t>1</w:t>
      </w:r>
      <w:r>
        <w:rPr>
          <w:rFonts w:hint="eastAsia"/>
        </w:rPr>
        <w:t>应</w:t>
      </w:r>
      <w:r>
        <w:t>在顶管机刀盘和胸板上</w:t>
      </w:r>
      <w:r>
        <w:rPr>
          <w:rFonts w:eastAsiaTheme="minorEastAsia"/>
        </w:rPr>
        <w:t>加强</w:t>
      </w:r>
      <w:r>
        <w:t>高压喷嘴注浆；</w:t>
      </w:r>
    </w:p>
    <w:p w14:paraId="211B5327">
      <w:pPr>
        <w:ind w:firstLine="482" w:firstLineChars="200"/>
      </w:pPr>
      <w:r>
        <w:rPr>
          <w:b/>
          <w:bCs/>
        </w:rPr>
        <w:t>2</w:t>
      </w:r>
      <w:r>
        <w:rPr>
          <w:rFonts w:hint="eastAsia"/>
        </w:rPr>
        <w:t>应</w:t>
      </w:r>
      <w:r>
        <w:t>在顶管机掌子面前方注入具有减粘</w:t>
      </w:r>
      <w:r>
        <w:rPr>
          <w:rFonts w:eastAsiaTheme="minorEastAsia"/>
        </w:rPr>
        <w:t>性</w:t>
      </w:r>
      <w:r>
        <w:t>和强润滑</w:t>
      </w:r>
      <w:r>
        <w:rPr>
          <w:rFonts w:eastAsiaTheme="minorEastAsia"/>
        </w:rPr>
        <w:t>性</w:t>
      </w:r>
      <w:r>
        <w:t>的改良浆液；</w:t>
      </w:r>
    </w:p>
    <w:p w14:paraId="4BD78165">
      <w:pPr>
        <w:ind w:firstLine="482" w:firstLineChars="200"/>
      </w:pPr>
      <w:r>
        <w:rPr>
          <w:b/>
          <w:bCs/>
        </w:rPr>
        <w:t>3</w:t>
      </w:r>
      <w:r>
        <w:rPr>
          <w:rFonts w:hint="eastAsia"/>
        </w:rPr>
        <w:t>应</w:t>
      </w:r>
      <w:r>
        <w:t>在机头前方适当</w:t>
      </w:r>
      <w:r>
        <w:rPr>
          <w:rFonts w:eastAsiaTheme="minorEastAsia"/>
        </w:rPr>
        <w:t>加大</w:t>
      </w:r>
      <w:r>
        <w:t>渣土改良剂的用量；</w:t>
      </w:r>
    </w:p>
    <w:p w14:paraId="205F2F8C">
      <w:pPr>
        <w:ind w:firstLine="482" w:firstLineChars="200"/>
      </w:pPr>
      <w:r>
        <w:rPr>
          <w:b/>
          <w:bCs/>
        </w:rPr>
        <w:t>4</w:t>
      </w:r>
      <w:r>
        <w:rPr>
          <w:rFonts w:eastAsiaTheme="minorEastAsia"/>
        </w:rPr>
        <w:t>可适当调高刀盘转速</w:t>
      </w:r>
      <w:r>
        <w:t>。</w:t>
      </w:r>
    </w:p>
    <w:p w14:paraId="017E2EA8">
      <w:r>
        <w:rPr>
          <w:b/>
          <w:bCs/>
        </w:rPr>
        <w:t>9.6.</w:t>
      </w:r>
      <w:r>
        <w:rPr>
          <w:rFonts w:eastAsiaTheme="minorEastAsia"/>
          <w:b/>
          <w:bCs/>
        </w:rPr>
        <w:t xml:space="preserve">5  </w:t>
      </w:r>
      <w:r>
        <w:t>矩形泥水平衡顶管机排渣应符合下列规定：</w:t>
      </w:r>
    </w:p>
    <w:p w14:paraId="05E33624">
      <w:pPr>
        <w:ind w:firstLine="420"/>
      </w:pPr>
      <w:r>
        <w:rPr>
          <w:b/>
          <w:bCs/>
        </w:rPr>
        <w:t>1</w:t>
      </w:r>
      <w:r>
        <w:t>泥水循环排土时，宜采用泥水分离器分离混合泥浆中的渣土；</w:t>
      </w:r>
    </w:p>
    <w:p w14:paraId="162A76D3">
      <w:pPr>
        <w:ind w:firstLine="420"/>
      </w:pPr>
      <w:r>
        <w:rPr>
          <w:b/>
          <w:bCs/>
        </w:rPr>
        <w:t xml:space="preserve">2 </w:t>
      </w:r>
      <w:r>
        <w:t>每段管节正常顶进完成后，在停机前宜对进排浆</w:t>
      </w:r>
      <w:r>
        <w:rPr>
          <w:rFonts w:eastAsiaTheme="minorEastAsia"/>
        </w:rPr>
        <w:t>管</w:t>
      </w:r>
      <w:r>
        <w:t>内的泥浆进行内循环</w:t>
      </w:r>
      <w:r>
        <w:rPr>
          <w:rFonts w:eastAsiaTheme="minorEastAsia"/>
        </w:rPr>
        <w:t>，</w:t>
      </w:r>
      <w:r>
        <w:t>管内泥渣应全部排出；</w:t>
      </w:r>
    </w:p>
    <w:p w14:paraId="190D1CFF">
      <w:pPr>
        <w:ind w:firstLine="420"/>
      </w:pPr>
      <w:r>
        <w:rPr>
          <w:b/>
          <w:bCs/>
        </w:rPr>
        <w:t>3</w:t>
      </w:r>
      <w:r>
        <w:t>拆卸泥浆管时，应关闭</w:t>
      </w:r>
      <w:r>
        <w:rPr>
          <w:rFonts w:eastAsiaTheme="minorEastAsia"/>
        </w:rPr>
        <w:t>顶管机</w:t>
      </w:r>
      <w:r>
        <w:t>泥水循环截止阀；</w:t>
      </w:r>
    </w:p>
    <w:p w14:paraId="64C59DB6">
      <w:pPr>
        <w:ind w:firstLine="420"/>
      </w:pPr>
      <w:r>
        <w:rPr>
          <w:b/>
          <w:bCs/>
        </w:rPr>
        <w:t>4</w:t>
      </w:r>
      <w:r>
        <w:rPr>
          <w:rFonts w:hint="eastAsia"/>
        </w:rPr>
        <w:t>应</w:t>
      </w:r>
      <w:r>
        <w:rPr>
          <w:rFonts w:eastAsiaTheme="minorEastAsia"/>
        </w:rPr>
        <w:t>根据</w:t>
      </w:r>
      <w:r>
        <w:t>进排浆泵的泵送能力设置中继泵；</w:t>
      </w:r>
    </w:p>
    <w:p w14:paraId="3F16AF6A">
      <w:pPr>
        <w:ind w:firstLine="420"/>
      </w:pPr>
      <w:r>
        <w:rPr>
          <w:b/>
          <w:bCs/>
        </w:rPr>
        <w:t xml:space="preserve">5 </w:t>
      </w:r>
      <w:r>
        <w:t>在粉细砂层掘进时，应</w:t>
      </w:r>
      <w:r>
        <w:rPr>
          <w:rFonts w:eastAsiaTheme="minorEastAsia"/>
        </w:rPr>
        <w:t>增加</w:t>
      </w:r>
      <w:r>
        <w:t>循环泥</w:t>
      </w:r>
      <w:r>
        <w:rPr>
          <w:rFonts w:eastAsiaTheme="minorEastAsia"/>
        </w:rPr>
        <w:t>浆</w:t>
      </w:r>
      <w:r>
        <w:t>的浓度，并应过滤掉粒径大于20mm的砂砾。</w:t>
      </w:r>
    </w:p>
    <w:p w14:paraId="6C9925E4">
      <w:pPr>
        <w:ind w:firstLine="420"/>
      </w:pPr>
    </w:p>
    <w:p w14:paraId="3D7178F5">
      <w:pPr>
        <w:pStyle w:val="3"/>
        <w:rPr>
          <w:rFonts w:eastAsia="黑体" w:cs="Times New Roman"/>
          <w:b w:val="0"/>
        </w:rPr>
      </w:pPr>
      <w:bookmarkStart w:id="541" w:name="_Toc60172932"/>
      <w:bookmarkStart w:id="542" w:name="_Toc1191"/>
      <w:bookmarkStart w:id="543" w:name="_Toc25080"/>
      <w:bookmarkStart w:id="544" w:name="_Toc949"/>
      <w:bookmarkStart w:id="545" w:name="_Toc60173819"/>
      <w:bookmarkStart w:id="546" w:name="_Toc31595"/>
      <w:bookmarkStart w:id="547" w:name="_Toc30980"/>
      <w:bookmarkStart w:id="548" w:name="_Toc8388"/>
      <w:bookmarkStart w:id="549" w:name="_Toc18057078"/>
      <w:bookmarkStart w:id="550" w:name="_Toc11967"/>
      <w:bookmarkStart w:id="551" w:name="_Toc47692191"/>
      <w:r>
        <w:rPr>
          <w:rFonts w:eastAsia="黑体" w:cs="Times New Roman"/>
        </w:rPr>
        <w:t>9.7</w:t>
      </w:r>
      <w:r>
        <w:rPr>
          <w:rFonts w:eastAsia="黑体" w:cs="Times New Roman"/>
          <w:b w:val="0"/>
        </w:rPr>
        <w:t>测量和姿态控制</w:t>
      </w:r>
      <w:bookmarkEnd w:id="541"/>
      <w:bookmarkEnd w:id="542"/>
      <w:bookmarkEnd w:id="543"/>
      <w:bookmarkEnd w:id="544"/>
      <w:bookmarkEnd w:id="545"/>
      <w:bookmarkEnd w:id="546"/>
      <w:bookmarkEnd w:id="547"/>
      <w:bookmarkEnd w:id="548"/>
      <w:bookmarkEnd w:id="549"/>
      <w:bookmarkEnd w:id="550"/>
      <w:bookmarkEnd w:id="551"/>
    </w:p>
    <w:p w14:paraId="156BA1EF">
      <w:r>
        <w:rPr>
          <w:rFonts w:hint="eastAsia"/>
          <w:b/>
        </w:rPr>
        <w:t>9.7.1</w:t>
      </w:r>
      <w:r>
        <w:t>顶管施工测量应建立地面与地下测量控制系统</w:t>
      </w:r>
      <w:r>
        <w:rPr>
          <w:rFonts w:hint="eastAsia"/>
        </w:rPr>
        <w:t>，并应符合下列规定：</w:t>
      </w:r>
    </w:p>
    <w:p w14:paraId="42C0E439">
      <w:pPr>
        <w:ind w:firstLine="482" w:firstLineChars="200"/>
      </w:pPr>
      <w:r>
        <w:rPr>
          <w:b/>
          <w:bCs/>
        </w:rPr>
        <w:t xml:space="preserve">1 </w:t>
      </w:r>
      <w:r>
        <w:t>控制点应设置在不易扰动、视线清楚、方便校核的位置，并应采取保护措施；</w:t>
      </w:r>
    </w:p>
    <w:p w14:paraId="056F6679">
      <w:pPr>
        <w:ind w:firstLine="482" w:firstLineChars="200"/>
      </w:pPr>
      <w:r>
        <w:rPr>
          <w:b/>
          <w:bCs/>
        </w:rPr>
        <w:t xml:space="preserve">2 </w:t>
      </w:r>
      <w:r>
        <w:t>测量使用的仪器应检查校正，精度应符合现行国家标准《工程测量规范》GB 50026的有关规定；</w:t>
      </w:r>
    </w:p>
    <w:p w14:paraId="259C84F2">
      <w:pPr>
        <w:ind w:firstLine="482" w:firstLineChars="200"/>
      </w:pPr>
      <w:r>
        <w:rPr>
          <w:b/>
          <w:bCs/>
        </w:rPr>
        <w:t xml:space="preserve">3 </w:t>
      </w:r>
      <w:r>
        <w:t>施工中应对掘进方向的高程偏差、轴线偏差、顶管掘进的姿态与掘进长度等参数进行测量。</w:t>
      </w:r>
    </w:p>
    <w:p w14:paraId="57E56309">
      <w:r>
        <w:rPr>
          <w:b/>
          <w:bCs/>
        </w:rPr>
        <w:t>9.7.</w:t>
      </w:r>
      <w:r>
        <w:rPr>
          <w:rFonts w:hint="eastAsia"/>
          <w:b/>
          <w:bCs/>
        </w:rPr>
        <w:t>2</w:t>
      </w:r>
      <w:r>
        <w:t>顶管定向测量应采用激光指向法，</w:t>
      </w:r>
      <w:r>
        <w:rPr>
          <w:rFonts w:hint="eastAsia"/>
        </w:rPr>
        <w:t>当定向测量存在困难时，</w:t>
      </w:r>
      <w:r>
        <w:t>应在管内设置测站，采用导线法转站测量。</w:t>
      </w:r>
    </w:p>
    <w:p w14:paraId="55112E46">
      <w:r>
        <w:rPr>
          <w:b/>
          <w:bCs/>
        </w:rPr>
        <w:t>9.7.</w:t>
      </w:r>
      <w:r>
        <w:rPr>
          <w:rFonts w:hint="eastAsia"/>
          <w:b/>
          <w:bCs/>
        </w:rPr>
        <w:t>3</w:t>
      </w:r>
      <w:r>
        <w:t>顶管高程测量精度应符合下列规定：</w:t>
      </w:r>
    </w:p>
    <w:p w14:paraId="094CAD15">
      <w:pPr>
        <w:ind w:firstLine="482" w:firstLineChars="200"/>
      </w:pPr>
      <w:r>
        <w:rPr>
          <w:b/>
          <w:bCs/>
        </w:rPr>
        <w:t>1</w:t>
      </w:r>
      <w:r>
        <w:t>水准测量，应达到四等水准测量的精度；</w:t>
      </w:r>
    </w:p>
    <w:p w14:paraId="2B803006">
      <w:pPr>
        <w:ind w:firstLine="482" w:firstLineChars="200"/>
      </w:pPr>
      <w:r>
        <w:rPr>
          <w:b/>
          <w:bCs/>
        </w:rPr>
        <w:t>2</w:t>
      </w:r>
      <w:r>
        <w:t>水准仪配合吊钢尺，每次应独立观测三测回，每测回均应变动仪器高度，三测回测得井上和井下水准点的高差应小于3mm；</w:t>
      </w:r>
    </w:p>
    <w:p w14:paraId="23AC5BBC">
      <w:pPr>
        <w:ind w:firstLine="482" w:firstLineChars="200"/>
      </w:pPr>
      <w:r>
        <w:rPr>
          <w:b/>
          <w:bCs/>
        </w:rPr>
        <w:t>3</w:t>
      </w:r>
      <w:r>
        <w:t>三角高程测量，应达到四等水准测量的精度。</w:t>
      </w:r>
    </w:p>
    <w:p w14:paraId="6C669017">
      <w:r>
        <w:rPr>
          <w:b/>
          <w:bCs/>
        </w:rPr>
        <w:t>9.7.</w:t>
      </w:r>
      <w:r>
        <w:rPr>
          <w:rFonts w:hint="eastAsia"/>
          <w:b/>
          <w:bCs/>
        </w:rPr>
        <w:t>4</w:t>
      </w:r>
      <w:r>
        <w:t>顶管施工的测量应符合下列规定：</w:t>
      </w:r>
    </w:p>
    <w:p w14:paraId="591EB469">
      <w:pPr>
        <w:ind w:firstLine="482" w:firstLineChars="200"/>
      </w:pPr>
      <w:r>
        <w:rPr>
          <w:rFonts w:hint="eastAsia"/>
          <w:b/>
          <w:bCs/>
        </w:rPr>
        <w:t>1</w:t>
      </w:r>
      <w:r>
        <w:t>掘进施工过程中，每次测量前应对井内的测量控制基准点进行复核，发生工作井位移、沉降、变形时应对基准点进行调整；</w:t>
      </w:r>
    </w:p>
    <w:p w14:paraId="5805034E">
      <w:pPr>
        <w:ind w:firstLine="482" w:firstLineChars="200"/>
      </w:pPr>
      <w:r>
        <w:rPr>
          <w:rFonts w:hint="eastAsia"/>
          <w:b/>
          <w:bCs/>
        </w:rPr>
        <w:t>2</w:t>
      </w:r>
      <w:r>
        <w:t>掘进测量控制应符合下列规定：</w:t>
      </w:r>
    </w:p>
    <w:p w14:paraId="7715E82C">
      <w:pPr>
        <w:ind w:left="1253" w:leftChars="372" w:hanging="360" w:hangingChars="150"/>
      </w:pPr>
      <w:r>
        <w:t>1）矩形顶管机始发前应测定顶管机切口的轴线和标高，并应与洞口数</w:t>
      </w:r>
    </w:p>
    <w:p w14:paraId="426725AF">
      <w:pPr>
        <w:ind w:firstLine="1200" w:firstLineChars="500"/>
      </w:pPr>
      <w:r>
        <w:t>值校核。掘进中原始数据、表格应连续真实、填写清楚；</w:t>
      </w:r>
    </w:p>
    <w:p w14:paraId="40947839">
      <w:pPr>
        <w:ind w:left="1200" w:leftChars="350" w:hanging="360" w:hangingChars="150"/>
      </w:pPr>
      <w:r>
        <w:t>2）交接班时应交清测量记录，将仪器对中，并应交清管道轨迹和纠偏措施；</w:t>
      </w:r>
    </w:p>
    <w:p w14:paraId="5C70A1DE">
      <w:pPr>
        <w:ind w:left="1200" w:leftChars="350" w:hanging="360" w:hangingChars="150"/>
      </w:pPr>
      <w:r>
        <w:rPr>
          <w:rFonts w:hint="eastAsia"/>
        </w:rPr>
        <w:t>3</w:t>
      </w:r>
      <w:r>
        <w:t>）在穿越道路时，应按</w:t>
      </w:r>
      <w:r>
        <w:rPr>
          <w:rFonts w:hint="eastAsia"/>
        </w:rPr>
        <w:t>设计单位</w:t>
      </w:r>
      <w:r>
        <w:t>的要求在指定地段进行施工监测点的布置，观测掘进过程中地表变形和土体位移情况</w:t>
      </w:r>
      <w:r>
        <w:rPr>
          <w:rFonts w:hint="eastAsia"/>
        </w:rPr>
        <w:t>；</w:t>
      </w:r>
      <w:r>
        <w:t>掘进结束后应绘制施工过程和竣工后的地面变形图。</w:t>
      </w:r>
    </w:p>
    <w:p w14:paraId="3643B2DC">
      <w:pPr>
        <w:ind w:firstLine="482" w:firstLineChars="200"/>
      </w:pPr>
      <w:r>
        <w:rPr>
          <w:rFonts w:hint="eastAsia"/>
          <w:b/>
          <w:bCs/>
        </w:rPr>
        <w:t>3</w:t>
      </w:r>
      <w:r>
        <w:t>顶管水平轴线和高程测量应符合下列规定：</w:t>
      </w:r>
    </w:p>
    <w:p w14:paraId="2220ABE8">
      <w:pPr>
        <w:ind w:left="1200" w:leftChars="350" w:hanging="360" w:hangingChars="150"/>
      </w:pPr>
      <w:r>
        <w:t>1）顶管机始发出洞后进入土层时，每掘进300mm，测量不应少于1次；正常掘进时，每掘进1000mm，测量不应少于1次；</w:t>
      </w:r>
    </w:p>
    <w:p w14:paraId="7FE2AA92">
      <w:pPr>
        <w:ind w:left="1132" w:leftChars="350" w:hanging="292" w:hangingChars="122"/>
      </w:pPr>
      <w:r>
        <w:t>2）顶管机进入接收井前</w:t>
      </w:r>
      <w:r>
        <w:rPr>
          <w:rFonts w:hint="eastAsia"/>
        </w:rPr>
        <w:t>不小于</w:t>
      </w:r>
      <w:r>
        <w:t>10m应增加测量</w:t>
      </w:r>
      <w:r>
        <w:rPr>
          <w:rFonts w:hint="eastAsia"/>
        </w:rPr>
        <w:t>次数</w:t>
      </w:r>
      <w:r>
        <w:t>，每掘进300mm，测量不应少于1次；</w:t>
      </w:r>
    </w:p>
    <w:p w14:paraId="46BB2B0E">
      <w:pPr>
        <w:ind w:left="1200" w:leftChars="350" w:hanging="360" w:hangingChars="150"/>
      </w:pPr>
      <w:r>
        <w:t>3）每节管道掘进结束后，应进行复测；</w:t>
      </w:r>
    </w:p>
    <w:p w14:paraId="70ED8DD4">
      <w:pPr>
        <w:ind w:left="1200" w:leftChars="350" w:hanging="360" w:hangingChars="150"/>
      </w:pPr>
      <w:r>
        <w:t>4）纠偏量较大或频繁纠偏时应增加测量次数。</w:t>
      </w:r>
    </w:p>
    <w:p w14:paraId="5B0D313C">
      <w:pPr>
        <w:ind w:firstLine="482" w:firstLineChars="200"/>
      </w:pPr>
      <w:r>
        <w:rPr>
          <w:rFonts w:hint="eastAsia"/>
          <w:b/>
          <w:bCs/>
        </w:rPr>
        <w:t>4</w:t>
      </w:r>
      <w:r>
        <w:t>长距离矩形顶管宜采用计算机辅助导线法进行测量；在矩形顶管内增设中间测站进行常规人工测量时，宜采用少设测站的长导线法，每次测量前均应对中间测站进行复核。</w:t>
      </w:r>
    </w:p>
    <w:p w14:paraId="2F0CB660">
      <w:r>
        <w:rPr>
          <w:b/>
          <w:bCs/>
        </w:rPr>
        <w:t>9.7.</w:t>
      </w:r>
      <w:r>
        <w:rPr>
          <w:rFonts w:hint="eastAsia"/>
          <w:b/>
          <w:bCs/>
        </w:rPr>
        <w:t>5</w:t>
      </w:r>
      <w:r>
        <w:t>顶管掘进过程中，应遵循“勤测量、勤纠偏、微纠偏”的原则，控制矩形顶管机前进方向和姿态，并应根据测量结果分析偏差产生的原因和发展趋势，确定纠偏的措施。</w:t>
      </w:r>
    </w:p>
    <w:p w14:paraId="0D0F6FE1">
      <w:r>
        <w:rPr>
          <w:b/>
          <w:bCs/>
        </w:rPr>
        <w:t>9.7.</w:t>
      </w:r>
      <w:r>
        <w:rPr>
          <w:rFonts w:hint="eastAsia"/>
          <w:b/>
          <w:bCs/>
        </w:rPr>
        <w:t>6</w:t>
      </w:r>
      <w:r>
        <w:t>顶管掘进姿态控制应符合下列规定：</w:t>
      </w:r>
    </w:p>
    <w:p w14:paraId="1A529C2B">
      <w:pPr>
        <w:ind w:firstLine="482" w:firstLineChars="200"/>
      </w:pPr>
      <w:r>
        <w:rPr>
          <w:b/>
          <w:bCs/>
        </w:rPr>
        <w:t xml:space="preserve">1 </w:t>
      </w:r>
      <w:r>
        <w:t>掘进施工过程中应对顶管水平轴线、高程、偏转、顶管机姿态等进行测量，并应对测量控制基准点进行复核，发生偏差时应立即纠正；</w:t>
      </w:r>
    </w:p>
    <w:p w14:paraId="28451A64">
      <w:pPr>
        <w:ind w:firstLine="482" w:firstLineChars="200"/>
      </w:pPr>
      <w:r>
        <w:rPr>
          <w:b/>
          <w:bCs/>
        </w:rPr>
        <w:t>2</w:t>
      </w:r>
      <w:r>
        <w:t>掘进结束后应全线复测、绘制管</w:t>
      </w:r>
      <w:r>
        <w:rPr>
          <w:rFonts w:hint="eastAsia"/>
        </w:rPr>
        <w:t>节</w:t>
      </w:r>
      <w:r>
        <w:t>掘进轨迹图，并应由施工技术人员检查复核</w:t>
      </w:r>
      <w:r>
        <w:rPr>
          <w:rFonts w:hint="eastAsia"/>
        </w:rPr>
        <w:t>。</w:t>
      </w:r>
    </w:p>
    <w:p w14:paraId="38EF08CC">
      <w:r>
        <w:rPr>
          <w:b/>
          <w:bCs/>
        </w:rPr>
        <w:t>9.7.</w:t>
      </w:r>
      <w:r>
        <w:rPr>
          <w:rFonts w:hint="eastAsia"/>
          <w:b/>
          <w:bCs/>
        </w:rPr>
        <w:t>7</w:t>
      </w:r>
      <w:r>
        <w:t>进入接收井前应提前进行矩形顶管机位置和姿态测量，并应根据进口位置提前进行调整。</w:t>
      </w:r>
    </w:p>
    <w:p w14:paraId="23CFCADF">
      <w:r>
        <w:rPr>
          <w:b/>
          <w:bCs/>
        </w:rPr>
        <w:t>9.7.</w:t>
      </w:r>
      <w:r>
        <w:rPr>
          <w:rFonts w:hint="eastAsia"/>
          <w:b/>
          <w:bCs/>
        </w:rPr>
        <w:t>8</w:t>
      </w:r>
      <w:r>
        <w:t>顶管掘进纠偏应符合下列规定：</w:t>
      </w:r>
    </w:p>
    <w:p w14:paraId="0574B952">
      <w:pPr>
        <w:ind w:firstLine="482" w:firstLineChars="200"/>
      </w:pPr>
      <w:r>
        <w:rPr>
          <w:b/>
          <w:bCs/>
        </w:rPr>
        <w:t xml:space="preserve">1 </w:t>
      </w:r>
      <w:r>
        <w:t>掘进过程中应绘制矩形顶管机水平与高程轨迹图、</w:t>
      </w:r>
      <w:r>
        <w:rPr>
          <w:rFonts w:hint="eastAsia"/>
        </w:rPr>
        <w:t>顶</w:t>
      </w:r>
      <w:r>
        <w:t>力变化曲线图、管节编号图，随时掌握掘进方向和趋势；</w:t>
      </w:r>
    </w:p>
    <w:p w14:paraId="5CBD4591">
      <w:pPr>
        <w:ind w:firstLine="482" w:firstLineChars="200"/>
      </w:pPr>
      <w:r>
        <w:rPr>
          <w:b/>
          <w:bCs/>
        </w:rPr>
        <w:t>2</w:t>
      </w:r>
      <w:r>
        <w:t>纠偏应在矩形顶管推进和刀盘旋转的过程中进行；</w:t>
      </w:r>
    </w:p>
    <w:p w14:paraId="5E24C259">
      <w:pPr>
        <w:ind w:firstLine="482" w:firstLineChars="200"/>
      </w:pPr>
      <w:r>
        <w:rPr>
          <w:b/>
          <w:bCs/>
        </w:rPr>
        <w:t>3</w:t>
      </w:r>
      <w:r>
        <w:t>应采用小角度纠偏方式，并应反复、多次进行纠偏操作；</w:t>
      </w:r>
    </w:p>
    <w:p w14:paraId="61D16653">
      <w:pPr>
        <w:ind w:firstLine="482" w:firstLineChars="200"/>
      </w:pPr>
      <w:r>
        <w:rPr>
          <w:b/>
          <w:bCs/>
        </w:rPr>
        <w:t>4</w:t>
      </w:r>
      <w:r>
        <w:t>纠偏时开挖面土体应保持稳定；采用挖土纠偏方式时，超挖量应符合地层变形控制和施工设计要求</w:t>
      </w:r>
      <w:r>
        <w:rPr>
          <w:rFonts w:hint="eastAsia"/>
        </w:rPr>
        <w:t>。</w:t>
      </w:r>
    </w:p>
    <w:p w14:paraId="3105F10C">
      <w:r>
        <w:rPr>
          <w:rFonts w:hint="eastAsia"/>
          <w:b/>
          <w:bCs/>
        </w:rPr>
        <w:t>9</w:t>
      </w:r>
      <w:r>
        <w:rPr>
          <w:b/>
          <w:bCs/>
        </w:rPr>
        <w:t>.7.9</w:t>
      </w:r>
      <w:r>
        <w:rPr>
          <w:rFonts w:hint="eastAsia"/>
        </w:rPr>
        <w:t>矩形顶管机防止扭转可采取下列措施：</w:t>
      </w:r>
    </w:p>
    <w:p w14:paraId="60A4F123">
      <w:pPr>
        <w:ind w:firstLine="480" w:firstLineChars="200"/>
      </w:pPr>
      <w:r>
        <w:rPr>
          <w:rFonts w:hint="eastAsia"/>
        </w:rPr>
        <w:t>1 通过主刀盘的正反转来调整机身扭转的姿态；</w:t>
      </w:r>
    </w:p>
    <w:p w14:paraId="53D29BE8">
      <w:pPr>
        <w:ind w:firstLine="480" w:firstLineChars="200"/>
      </w:pPr>
      <w:r>
        <w:rPr>
          <w:rFonts w:hint="eastAsia"/>
        </w:rPr>
        <w:t>2 通过顶管机壳顶底板的预留孔向机壳外侧高压压注复合胶泥，提供反转力矩来调整机身扭转的姿态。</w:t>
      </w:r>
    </w:p>
    <w:p w14:paraId="7DB6CAEA">
      <w:pPr>
        <w:ind w:firstLine="1200" w:firstLineChars="500"/>
      </w:pPr>
    </w:p>
    <w:p w14:paraId="0668DF22">
      <w:pPr>
        <w:pStyle w:val="3"/>
        <w:rPr>
          <w:rFonts w:eastAsia="黑体" w:cs="Times New Roman"/>
          <w:b w:val="0"/>
        </w:rPr>
      </w:pPr>
      <w:bookmarkStart w:id="552" w:name="_Toc18716"/>
      <w:bookmarkStart w:id="553" w:name="_Toc60172933"/>
      <w:bookmarkStart w:id="554" w:name="_Toc12861"/>
      <w:bookmarkStart w:id="555" w:name="_Toc18057079"/>
      <w:bookmarkStart w:id="556" w:name="_Toc19001"/>
      <w:bookmarkStart w:id="557" w:name="_Toc25571"/>
      <w:bookmarkStart w:id="558" w:name="_Toc47692192"/>
      <w:bookmarkStart w:id="559" w:name="_Toc3405"/>
      <w:bookmarkStart w:id="560" w:name="_Toc13790"/>
      <w:bookmarkStart w:id="561" w:name="_Toc60173820"/>
      <w:bookmarkStart w:id="562" w:name="_Toc31953"/>
      <w:r>
        <w:rPr>
          <w:rFonts w:eastAsia="黑体" w:cs="Times New Roman"/>
        </w:rPr>
        <w:t>9.8</w:t>
      </w:r>
      <w:r>
        <w:rPr>
          <w:rFonts w:eastAsia="黑体" w:cs="Times New Roman"/>
          <w:b w:val="0"/>
        </w:rPr>
        <w:t>监测与变形控制</w:t>
      </w:r>
      <w:bookmarkEnd w:id="552"/>
      <w:bookmarkEnd w:id="553"/>
      <w:bookmarkEnd w:id="554"/>
      <w:bookmarkEnd w:id="555"/>
      <w:bookmarkEnd w:id="556"/>
      <w:bookmarkEnd w:id="557"/>
      <w:bookmarkEnd w:id="558"/>
      <w:bookmarkEnd w:id="559"/>
      <w:bookmarkEnd w:id="560"/>
      <w:bookmarkEnd w:id="561"/>
      <w:bookmarkEnd w:id="562"/>
    </w:p>
    <w:p w14:paraId="16814984">
      <w:r>
        <w:rPr>
          <w:b/>
          <w:bCs/>
        </w:rPr>
        <w:t xml:space="preserve">9.8.1  </w:t>
      </w:r>
      <w:r>
        <w:t>矩形顶管施工监测应符合下列规定：</w:t>
      </w:r>
    </w:p>
    <w:p w14:paraId="0EA65CE4">
      <w:pPr>
        <w:tabs>
          <w:tab w:val="left" w:pos="979"/>
        </w:tabs>
        <w:ind w:firstLine="482" w:firstLineChars="200"/>
      </w:pPr>
      <w:r>
        <w:rPr>
          <w:b/>
          <w:bCs/>
        </w:rPr>
        <w:t>1</w:t>
      </w:r>
      <w:r>
        <w:t>施工监测的范围可分为地上和地下两部分。地上监测内容应包括地面沉降、隆起和临近建筑物的沉降、倾斜等，地下监测内容应包括顶管施工扰动范围内的地下构筑物、地下管线的竖直、水平位移及漏水、漏气等；</w:t>
      </w:r>
    </w:p>
    <w:p w14:paraId="0F64B84A">
      <w:pPr>
        <w:ind w:firstLine="482" w:firstLineChars="200"/>
      </w:pPr>
      <w:r>
        <w:rPr>
          <w:b/>
          <w:bCs/>
        </w:rPr>
        <w:t>2</w:t>
      </w:r>
      <w:r>
        <w:t>施工监测等级的确定应符合现行行业标准《建筑变形测量规范》JGJ 8的有关规定，宜采用二级变形测量级别；</w:t>
      </w:r>
    </w:p>
    <w:p w14:paraId="19267FC5">
      <w:pPr>
        <w:ind w:firstLine="482" w:firstLineChars="200"/>
      </w:pPr>
      <w:r>
        <w:rPr>
          <w:b/>
          <w:bCs/>
        </w:rPr>
        <w:t xml:space="preserve">3  </w:t>
      </w:r>
      <w:r>
        <w:t>监测项目应符合下列规定：</w:t>
      </w:r>
    </w:p>
    <w:p w14:paraId="081E80E3">
      <w:pPr>
        <w:tabs>
          <w:tab w:val="left" w:pos="709"/>
          <w:tab w:val="left" w:pos="993"/>
        </w:tabs>
        <w:ind w:left="1200" w:leftChars="350" w:hanging="360" w:hangingChars="150"/>
      </w:pPr>
      <w:r>
        <w:t>1）顶管管节结构监测应包括管节应力和外观监测，观察并记录裂缝的生成时间、裂缝的长度及宽度发展情况；</w:t>
      </w:r>
    </w:p>
    <w:p w14:paraId="63D6075F">
      <w:pPr>
        <w:tabs>
          <w:tab w:val="left" w:pos="851"/>
        </w:tabs>
        <w:ind w:left="1200" w:leftChars="350" w:hanging="360" w:hangingChars="150"/>
      </w:pPr>
      <w:r>
        <w:t>2）工作井支护结构宜采用目测巡视和监测相结合的方式，目测巡视应检查支护结构的成型质量、支护结构的裂缝、施工过程中洞口的涌土、涌砂等情况。此外，尚应对围护墙与工作井顶部的水平和竖向位移、支撑内力等项目进行监测，并应符合现行国家标准《建筑基坑工程监测技术规范》GB 50497的有关规定；</w:t>
      </w:r>
    </w:p>
    <w:p w14:paraId="51AA5346">
      <w:pPr>
        <w:ind w:left="1200" w:leftChars="350" w:hanging="360" w:hangingChars="150"/>
      </w:pPr>
      <w:r>
        <w:t>3）对顶管施工影响范围内的道路路面应进行水平位移、沉降和隆起监测，并应符合现行国家标准《工程测量规范》GB 50026的有关规定；</w:t>
      </w:r>
    </w:p>
    <w:p w14:paraId="62D746A2">
      <w:pPr>
        <w:ind w:left="1200" w:leftChars="350" w:hanging="360" w:hangingChars="150"/>
      </w:pPr>
      <w:r>
        <w:t>4）对邻近建筑物或构筑物、堤岸及可能引起严重后果的其他重要设施应进行监测；</w:t>
      </w:r>
    </w:p>
    <w:p w14:paraId="43D3EC58">
      <w:pPr>
        <w:ind w:left="1200" w:leftChars="350" w:hanging="360" w:hangingChars="150"/>
      </w:pPr>
      <w:r>
        <w:t>5）对地铁、地下重要管线等的监测应符合现行国家标准《</w:t>
      </w:r>
      <w:r>
        <w:fldChar w:fldCharType="begin"/>
      </w:r>
      <w:r>
        <w:instrText xml:space="preserve"> HYPERLINK "http://www.doc88.com/p-5806372025918.html" \t "_blank" </w:instrText>
      </w:r>
      <w:r>
        <w:fldChar w:fldCharType="separate"/>
      </w:r>
      <w:r>
        <w:t>城市轨道交通工程监测技术规范》GB 50911</w:t>
      </w:r>
      <w:r>
        <w:fldChar w:fldCharType="end"/>
      </w:r>
      <w:r>
        <w:t>、《工程测量规范》GB 50026的有关规定和</w:t>
      </w:r>
      <w:r>
        <w:rPr>
          <w:rFonts w:hint="eastAsia"/>
          <w:bCs/>
          <w:kern w:val="44"/>
        </w:rPr>
        <w:t>相关专业要求</w:t>
      </w:r>
      <w:r>
        <w:t>。</w:t>
      </w:r>
    </w:p>
    <w:p w14:paraId="2473DAF2">
      <w:pPr>
        <w:ind w:firstLine="482" w:firstLineChars="200"/>
      </w:pPr>
      <w:r>
        <w:rPr>
          <w:b/>
          <w:bCs/>
        </w:rPr>
        <w:t xml:space="preserve">4  </w:t>
      </w:r>
      <w:r>
        <w:rPr>
          <w:rFonts w:hint="eastAsia"/>
        </w:rPr>
        <w:t>监测</w:t>
      </w:r>
      <w:r>
        <w:t>点布设应符合下列规定：</w:t>
      </w:r>
    </w:p>
    <w:p w14:paraId="29815EAC">
      <w:pPr>
        <w:ind w:left="1200" w:leftChars="350" w:hanging="360" w:hangingChars="150"/>
      </w:pPr>
      <w:r>
        <w:t>1）路面沉降</w:t>
      </w:r>
      <w:r>
        <w:rPr>
          <w:rFonts w:hint="eastAsia"/>
        </w:rPr>
        <w:t>监测</w:t>
      </w:r>
      <w:r>
        <w:t>点横向</w:t>
      </w:r>
      <w:r>
        <w:rPr>
          <w:rFonts w:hint="eastAsia"/>
        </w:rPr>
        <w:t>布设</w:t>
      </w:r>
      <w:r>
        <w:t>应</w:t>
      </w:r>
      <w:r>
        <w:rPr>
          <w:rFonts w:hint="eastAsia"/>
        </w:rPr>
        <w:t>沿</w:t>
      </w:r>
      <w:r>
        <w:t>顶管机刀盘</w:t>
      </w:r>
      <w:r>
        <w:rPr>
          <w:rFonts w:hint="eastAsia"/>
        </w:rPr>
        <w:t>掘进</w:t>
      </w:r>
      <w:r>
        <w:t>面的45º角切线延伸到地面的范围内进行布点，</w:t>
      </w:r>
      <w:r>
        <w:rPr>
          <w:rFonts w:hint="eastAsia"/>
        </w:rPr>
        <w:t>顶管</w:t>
      </w:r>
      <w:r>
        <w:t>中心及两侧的投影线</w:t>
      </w:r>
      <w:r>
        <w:rPr>
          <w:rFonts w:hint="eastAsia"/>
        </w:rPr>
        <w:t>与</w:t>
      </w:r>
      <w:r>
        <w:t>地面线的交点应各布设</w:t>
      </w:r>
      <w:r>
        <w:rPr>
          <w:rFonts w:hint="eastAsia"/>
        </w:rPr>
        <w:t>1个测点</w:t>
      </w:r>
      <w:r>
        <w:t>45º角延伸切线与地平线的交点</w:t>
      </w:r>
      <w:r>
        <w:rPr>
          <w:rFonts w:hint="eastAsia"/>
        </w:rPr>
        <w:t>应各</w:t>
      </w:r>
      <w:r>
        <w:t>布设</w:t>
      </w:r>
      <w:r>
        <w:rPr>
          <w:rFonts w:hint="eastAsia"/>
        </w:rPr>
        <w:t>1个</w:t>
      </w:r>
      <w:r>
        <w:t>测点，在两</w:t>
      </w:r>
      <w:r>
        <w:rPr>
          <w:rFonts w:hint="eastAsia"/>
        </w:rPr>
        <w:t>个</w:t>
      </w:r>
      <w:r>
        <w:t>测点中间</w:t>
      </w:r>
      <w:r>
        <w:rPr>
          <w:rFonts w:hint="eastAsia"/>
        </w:rPr>
        <w:t>应</w:t>
      </w:r>
      <w:r>
        <w:t>布设</w:t>
      </w:r>
      <w:r>
        <w:rPr>
          <w:rFonts w:hint="eastAsia"/>
        </w:rPr>
        <w:t>1个</w:t>
      </w:r>
      <w:r>
        <w:t>测点，不少于5点位一排监测点（图9.8.1-1）；</w:t>
      </w:r>
    </w:p>
    <w:p w14:paraId="612927ED">
      <w:pPr>
        <w:jc w:val="center"/>
      </w:pPr>
    </w:p>
    <w:p w14:paraId="07EE0B80">
      <w:pPr>
        <w:jc w:val="center"/>
        <w:rPr>
          <w:b/>
          <w:bCs/>
          <w:kern w:val="0"/>
          <w:sz w:val="21"/>
          <w:szCs w:val="22"/>
        </w:rPr>
      </w:pPr>
      <w:r>
        <w:rPr>
          <w:rFonts w:hint="eastAsia"/>
          <w:b/>
          <w:bCs/>
          <w:kern w:val="0"/>
          <w:sz w:val="21"/>
          <w:szCs w:val="22"/>
        </w:rPr>
        <w:drawing>
          <wp:inline distT="0" distB="0" distL="0" distR="0">
            <wp:extent cx="4972050" cy="2279015"/>
            <wp:effectExtent l="1905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noChangeArrowheads="1"/>
                    </pic:cNvPicPr>
                  </pic:nvPicPr>
                  <pic:blipFill>
                    <a:blip r:embed="rId270"/>
                    <a:srcRect/>
                    <a:stretch>
                      <a:fillRect/>
                    </a:stretch>
                  </pic:blipFill>
                  <pic:spPr>
                    <a:xfrm>
                      <a:off x="0" y="0"/>
                      <a:ext cx="4972050" cy="2279223"/>
                    </a:xfrm>
                    <a:prstGeom prst="rect">
                      <a:avLst/>
                    </a:prstGeom>
                    <a:noFill/>
                    <a:ln w="9525">
                      <a:noFill/>
                      <a:miter lim="800000"/>
                      <a:headEnd/>
                      <a:tailEnd/>
                    </a:ln>
                  </pic:spPr>
                </pic:pic>
              </a:graphicData>
            </a:graphic>
          </wp:inline>
        </w:drawing>
      </w:r>
    </w:p>
    <w:p w14:paraId="25F06587">
      <w:pPr>
        <w:jc w:val="center"/>
        <w:rPr>
          <w:b/>
          <w:bCs/>
          <w:kern w:val="0"/>
          <w:sz w:val="21"/>
          <w:szCs w:val="22"/>
        </w:rPr>
      </w:pPr>
      <w:r>
        <w:rPr>
          <w:b/>
          <w:bCs/>
          <w:kern w:val="0"/>
          <w:sz w:val="21"/>
          <w:szCs w:val="22"/>
        </w:rPr>
        <w:t>图9.8.1-1  监测点横向布置示意图</w:t>
      </w:r>
    </w:p>
    <w:p w14:paraId="5514A71A">
      <w:pPr>
        <w:jc w:val="center"/>
        <w:rPr>
          <w:b/>
          <w:bCs/>
          <w:kern w:val="0"/>
          <w:sz w:val="18"/>
          <w:szCs w:val="18"/>
        </w:rPr>
      </w:pPr>
      <w:r>
        <w:rPr>
          <w:sz w:val="18"/>
          <w:szCs w:val="18"/>
        </w:rPr>
        <w:t>1—</w:t>
      </w:r>
      <w:r>
        <w:rPr>
          <w:rFonts w:hint="eastAsia"/>
          <w:sz w:val="18"/>
          <w:szCs w:val="18"/>
        </w:rPr>
        <w:t>地面</w:t>
      </w:r>
      <w:r>
        <w:rPr>
          <w:sz w:val="18"/>
          <w:szCs w:val="18"/>
        </w:rPr>
        <w:t>；2—</w:t>
      </w:r>
      <w:r>
        <w:rPr>
          <w:rFonts w:hint="eastAsia"/>
          <w:sz w:val="18"/>
          <w:szCs w:val="18"/>
        </w:rPr>
        <w:t>监测点</w:t>
      </w:r>
      <w:r>
        <w:rPr>
          <w:sz w:val="18"/>
          <w:szCs w:val="18"/>
        </w:rPr>
        <w:t>；3—</w:t>
      </w:r>
      <w:r>
        <w:rPr>
          <w:rFonts w:hint="eastAsia"/>
          <w:sz w:val="18"/>
          <w:szCs w:val="18"/>
        </w:rPr>
        <w:t>顶管管节；</w:t>
      </w:r>
    </w:p>
    <w:p w14:paraId="5CB461C8">
      <w:pPr>
        <w:ind w:left="1200" w:leftChars="350" w:hanging="360" w:hangingChars="150"/>
      </w:pPr>
      <w:r>
        <w:t>2）路面沉降</w:t>
      </w:r>
      <w:r>
        <w:rPr>
          <w:rFonts w:hint="eastAsia"/>
        </w:rPr>
        <w:t>监测</w:t>
      </w:r>
      <w:r>
        <w:t>点的纵向布设应</w:t>
      </w:r>
      <w:r>
        <w:rPr>
          <w:rFonts w:hint="eastAsia"/>
        </w:rPr>
        <w:t>沿</w:t>
      </w:r>
      <w:r>
        <w:t>顶管掘进方向在距离始发井1m布设一排深度为0.5m且进入原状土的监测点，</w:t>
      </w:r>
      <w:r>
        <w:rPr>
          <w:rFonts w:hint="eastAsia"/>
        </w:rPr>
        <w:t>并宜按</w:t>
      </w:r>
      <w:r>
        <w:t>5m</w:t>
      </w:r>
      <w:r>
        <w:rPr>
          <w:rFonts w:hint="eastAsia"/>
        </w:rPr>
        <w:t>~10m的间距依次往接收井方向布设</w:t>
      </w:r>
      <w:r>
        <w:t>；</w:t>
      </w:r>
    </w:p>
    <w:p w14:paraId="4D3FAAB0">
      <w:r>
        <w:drawing>
          <wp:inline distT="0" distB="0" distL="0" distR="0">
            <wp:extent cx="4925695" cy="2397760"/>
            <wp:effectExtent l="0" t="0" r="8255" b="254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noChangeArrowheads="1"/>
                    </pic:cNvPicPr>
                  </pic:nvPicPr>
                  <pic:blipFill>
                    <a:blip r:embed="rId271"/>
                    <a:srcRect b="9690"/>
                    <a:stretch>
                      <a:fillRect/>
                    </a:stretch>
                  </pic:blipFill>
                  <pic:spPr>
                    <a:xfrm>
                      <a:off x="0" y="0"/>
                      <a:ext cx="4950897" cy="2409792"/>
                    </a:xfrm>
                    <a:prstGeom prst="rect">
                      <a:avLst/>
                    </a:prstGeom>
                    <a:noFill/>
                    <a:ln w="9525">
                      <a:noFill/>
                      <a:miter lim="800000"/>
                      <a:headEnd/>
                      <a:tailEnd/>
                    </a:ln>
                  </pic:spPr>
                </pic:pic>
              </a:graphicData>
            </a:graphic>
          </wp:inline>
        </w:drawing>
      </w:r>
    </w:p>
    <w:p w14:paraId="0A234BF8">
      <w:pPr>
        <w:jc w:val="center"/>
        <w:rPr>
          <w:b/>
          <w:bCs/>
          <w:kern w:val="0"/>
          <w:sz w:val="21"/>
          <w:szCs w:val="22"/>
        </w:rPr>
      </w:pPr>
      <w:r>
        <w:rPr>
          <w:b/>
          <w:bCs/>
          <w:kern w:val="0"/>
          <w:sz w:val="21"/>
          <w:szCs w:val="22"/>
        </w:rPr>
        <w:t xml:space="preserve">图9.8.1-2  </w:t>
      </w:r>
      <w:r>
        <w:rPr>
          <w:rFonts w:hint="eastAsia"/>
          <w:b/>
          <w:bCs/>
          <w:kern w:val="0"/>
          <w:sz w:val="21"/>
          <w:szCs w:val="22"/>
        </w:rPr>
        <w:t>监测点纵向布置示意图</w:t>
      </w:r>
    </w:p>
    <w:p w14:paraId="7A85E6E3">
      <w:pPr>
        <w:ind w:left="1200" w:leftChars="350" w:hanging="360" w:hangingChars="150"/>
      </w:pPr>
      <w:r>
        <w:t>3）掘进施工时，应在顶管机的</w:t>
      </w:r>
      <w:r>
        <w:rPr>
          <w:rFonts w:hint="eastAsia"/>
        </w:rPr>
        <w:t>底</w:t>
      </w:r>
      <w:r>
        <w:t>部按45º角往前延伸线与监测点交汇时开始监测</w:t>
      </w:r>
      <w:r>
        <w:rPr>
          <w:rFonts w:hint="eastAsia"/>
        </w:rPr>
        <w:t>（</w:t>
      </w:r>
      <w:r>
        <w:rPr>
          <w:b/>
          <w:bCs/>
          <w:kern w:val="0"/>
          <w:sz w:val="21"/>
          <w:szCs w:val="22"/>
        </w:rPr>
        <w:t>图9.8.1-3</w:t>
      </w:r>
      <w:r>
        <w:rPr>
          <w:rFonts w:hint="eastAsia"/>
        </w:rPr>
        <w:t>）</w:t>
      </w:r>
      <w:r>
        <w:t>。</w:t>
      </w:r>
    </w:p>
    <w:p w14:paraId="5AC04D0C">
      <w:pPr>
        <w:ind w:left="1200" w:leftChars="350" w:hanging="360" w:hangingChars="150"/>
      </w:pPr>
      <w:r>
        <w:rPr>
          <w:rFonts w:hint="eastAsia"/>
        </w:rPr>
        <w:drawing>
          <wp:inline distT="0" distB="0" distL="0" distR="0">
            <wp:extent cx="4552950" cy="2109470"/>
            <wp:effectExtent l="1905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noChangeArrowheads="1"/>
                    </pic:cNvPicPr>
                  </pic:nvPicPr>
                  <pic:blipFill>
                    <a:blip r:embed="rId272"/>
                    <a:srcRect/>
                    <a:stretch>
                      <a:fillRect/>
                    </a:stretch>
                  </pic:blipFill>
                  <pic:spPr>
                    <a:xfrm>
                      <a:off x="0" y="0"/>
                      <a:ext cx="4552950" cy="2109804"/>
                    </a:xfrm>
                    <a:prstGeom prst="rect">
                      <a:avLst/>
                    </a:prstGeom>
                    <a:noFill/>
                    <a:ln w="9525">
                      <a:noFill/>
                      <a:miter lim="800000"/>
                      <a:headEnd/>
                      <a:tailEnd/>
                    </a:ln>
                  </pic:spPr>
                </pic:pic>
              </a:graphicData>
            </a:graphic>
          </wp:inline>
        </w:drawing>
      </w:r>
    </w:p>
    <w:p w14:paraId="7591CE69">
      <w:pPr>
        <w:jc w:val="center"/>
        <w:rPr>
          <w:b/>
          <w:bCs/>
          <w:kern w:val="0"/>
          <w:sz w:val="21"/>
          <w:szCs w:val="22"/>
        </w:rPr>
      </w:pPr>
      <w:r>
        <w:rPr>
          <w:b/>
          <w:bCs/>
          <w:kern w:val="0"/>
          <w:sz w:val="21"/>
          <w:szCs w:val="22"/>
        </w:rPr>
        <w:t xml:space="preserve">图9.8.1-3  </w:t>
      </w:r>
      <w:r>
        <w:rPr>
          <w:rFonts w:hint="eastAsia"/>
          <w:b/>
          <w:bCs/>
          <w:kern w:val="0"/>
          <w:sz w:val="21"/>
          <w:szCs w:val="22"/>
        </w:rPr>
        <w:t>监测点布置示意图</w:t>
      </w:r>
    </w:p>
    <w:p w14:paraId="395E683F">
      <w:pPr>
        <w:jc w:val="center"/>
        <w:rPr>
          <w:b/>
          <w:bCs/>
          <w:kern w:val="0"/>
          <w:sz w:val="18"/>
          <w:szCs w:val="18"/>
        </w:rPr>
      </w:pPr>
      <w:r>
        <w:rPr>
          <w:sz w:val="18"/>
          <w:szCs w:val="18"/>
        </w:rPr>
        <w:t>1—</w:t>
      </w:r>
      <w:r>
        <w:rPr>
          <w:rFonts w:hint="eastAsia"/>
          <w:sz w:val="18"/>
          <w:szCs w:val="18"/>
        </w:rPr>
        <w:t>地面；</w:t>
      </w:r>
      <w:r>
        <w:rPr>
          <w:sz w:val="18"/>
          <w:szCs w:val="18"/>
        </w:rPr>
        <w:t>2—</w:t>
      </w:r>
      <w:r>
        <w:rPr>
          <w:rFonts w:hint="eastAsia"/>
          <w:sz w:val="18"/>
          <w:szCs w:val="18"/>
        </w:rPr>
        <w:t>监测点；</w:t>
      </w:r>
      <w:r>
        <w:rPr>
          <w:sz w:val="18"/>
          <w:szCs w:val="18"/>
        </w:rPr>
        <w:t>3—</w:t>
      </w:r>
      <w:r>
        <w:rPr>
          <w:rFonts w:hint="eastAsia"/>
          <w:sz w:val="18"/>
          <w:szCs w:val="18"/>
        </w:rPr>
        <w:t>顶管管节；</w:t>
      </w:r>
      <w:r>
        <w:rPr>
          <w:sz w:val="18"/>
          <w:szCs w:val="18"/>
        </w:rPr>
        <w:t>4</w:t>
      </w:r>
      <w:r>
        <w:rPr>
          <w:rFonts w:hint="eastAsia"/>
          <w:sz w:val="18"/>
          <w:szCs w:val="18"/>
        </w:rPr>
        <w:t>—顶管机</w:t>
      </w:r>
    </w:p>
    <w:p w14:paraId="24BDE6F7">
      <w:pPr>
        <w:ind w:firstLine="482" w:firstLineChars="200"/>
      </w:pPr>
      <w:r>
        <w:rPr>
          <w:b/>
          <w:bCs/>
        </w:rPr>
        <w:t xml:space="preserve">5  </w:t>
      </w:r>
      <w:r>
        <w:t>监测预警标准和预警等级应根据工程特点、监测项目控制值及当地施工经验等确定，同时应符合设计文件和现行国家标准《</w:t>
      </w:r>
      <w:r>
        <w:fldChar w:fldCharType="begin"/>
      </w:r>
      <w:r>
        <w:instrText xml:space="preserve"> HYPERLINK "http://www.doc88.com/p-5806372025918.html" \t "_blank" </w:instrText>
      </w:r>
      <w:r>
        <w:fldChar w:fldCharType="separate"/>
      </w:r>
      <w:r>
        <w:t>城市轨道交通工程监测技术规范》GB 50911</w:t>
      </w:r>
      <w:r>
        <w:fldChar w:fldCharType="end"/>
      </w:r>
      <w:r>
        <w:t>的有关规定。</w:t>
      </w:r>
    </w:p>
    <w:p w14:paraId="01975A16">
      <w:pPr>
        <w:rPr>
          <w:bCs/>
          <w:kern w:val="44"/>
        </w:rPr>
      </w:pPr>
      <w:r>
        <w:rPr>
          <w:b/>
          <w:bCs/>
          <w:kern w:val="44"/>
        </w:rPr>
        <w:t>9.8.2</w:t>
      </w:r>
      <w:r>
        <w:rPr>
          <w:rFonts w:hint="eastAsia"/>
          <w:bCs/>
          <w:kern w:val="44"/>
        </w:rPr>
        <w:t xml:space="preserve"> 监测点的监测频率应符合下列要求：</w:t>
      </w:r>
    </w:p>
    <w:p w14:paraId="0D6B12CC">
      <w:pPr>
        <w:ind w:firstLine="480" w:firstLineChars="200"/>
        <w:rPr>
          <w:bCs/>
          <w:kern w:val="44"/>
        </w:rPr>
      </w:pPr>
      <w:r>
        <w:rPr>
          <w:bCs/>
          <w:kern w:val="44"/>
        </w:rPr>
        <w:t>1</w:t>
      </w:r>
      <w:r>
        <w:rPr>
          <w:rFonts w:hint="eastAsia"/>
          <w:bCs/>
          <w:kern w:val="44"/>
        </w:rPr>
        <w:t>顶管机刀盘前后</w:t>
      </w:r>
      <w:r>
        <w:rPr>
          <w:bCs/>
          <w:kern w:val="44"/>
        </w:rPr>
        <w:t>10m-20m</w:t>
      </w:r>
      <w:r>
        <w:rPr>
          <w:rFonts w:hint="eastAsia"/>
          <w:bCs/>
          <w:kern w:val="44"/>
        </w:rPr>
        <w:t>为重点监测段，监测次数不应少于每天</w:t>
      </w:r>
      <w:r>
        <w:rPr>
          <w:bCs/>
          <w:kern w:val="44"/>
        </w:rPr>
        <w:t>2</w:t>
      </w:r>
      <w:r>
        <w:rPr>
          <w:rFonts w:hint="eastAsia"/>
          <w:bCs/>
          <w:kern w:val="44"/>
        </w:rPr>
        <w:t>次。</w:t>
      </w:r>
    </w:p>
    <w:p w14:paraId="1FC062BD">
      <w:pPr>
        <w:ind w:firstLine="480" w:firstLineChars="200"/>
        <w:rPr>
          <w:bCs/>
          <w:kern w:val="44"/>
        </w:rPr>
      </w:pPr>
      <w:r>
        <w:rPr>
          <w:bCs/>
          <w:kern w:val="44"/>
        </w:rPr>
        <w:t>2</w:t>
      </w:r>
      <w:r>
        <w:rPr>
          <w:rFonts w:hint="eastAsia"/>
          <w:bCs/>
          <w:kern w:val="44"/>
        </w:rPr>
        <w:t>除重点监测段外的监测点，监测次数不应少于每天</w:t>
      </w:r>
      <w:r>
        <w:rPr>
          <w:bCs/>
          <w:kern w:val="44"/>
        </w:rPr>
        <w:t>1</w:t>
      </w:r>
      <w:r>
        <w:rPr>
          <w:rFonts w:hint="eastAsia"/>
          <w:bCs/>
          <w:kern w:val="44"/>
        </w:rPr>
        <w:t>次。</w:t>
      </w:r>
    </w:p>
    <w:p w14:paraId="5E11BDC6">
      <w:pPr>
        <w:ind w:firstLine="480" w:firstLineChars="200"/>
        <w:rPr>
          <w:bCs/>
          <w:kern w:val="44"/>
        </w:rPr>
      </w:pPr>
      <w:r>
        <w:rPr>
          <w:bCs/>
          <w:kern w:val="44"/>
        </w:rPr>
        <w:t xml:space="preserve">3 </w:t>
      </w:r>
      <w:r>
        <w:rPr>
          <w:rFonts w:hint="eastAsia"/>
          <w:bCs/>
          <w:kern w:val="44"/>
        </w:rPr>
        <w:t>当地面、井壁结构或周边建筑（构）物出现裂缝、沉降或隆起，遇到降雨、降雪、气温骤变，工作井内或管节内出现异常的渗水或漏水等各种环境条件变化或异常情况时，应立即进行连续监测，直至连续三天的监测数值稳定。</w:t>
      </w:r>
    </w:p>
    <w:p w14:paraId="33FE7F0E">
      <w:pPr>
        <w:ind w:firstLine="480" w:firstLineChars="200"/>
        <w:rPr>
          <w:bCs/>
          <w:kern w:val="44"/>
        </w:rPr>
      </w:pPr>
      <w:r>
        <w:rPr>
          <w:bCs/>
          <w:kern w:val="44"/>
        </w:rPr>
        <w:t xml:space="preserve">4 </w:t>
      </w:r>
      <w:r>
        <w:rPr>
          <w:rFonts w:hint="eastAsia"/>
          <w:bCs/>
          <w:kern w:val="44"/>
        </w:rPr>
        <w:t>当地面变形速率大于或等于前次监测的变形速率时，则应进行连续监测。</w:t>
      </w:r>
    </w:p>
    <w:p w14:paraId="5F615FCC">
      <w:pPr>
        <w:ind w:firstLine="480" w:firstLineChars="200"/>
        <w:rPr>
          <w:bCs/>
          <w:kern w:val="44"/>
        </w:rPr>
      </w:pPr>
      <w:r>
        <w:rPr>
          <w:bCs/>
          <w:kern w:val="44"/>
        </w:rPr>
        <w:t xml:space="preserve">5 </w:t>
      </w:r>
      <w:r>
        <w:rPr>
          <w:rFonts w:hint="eastAsia"/>
          <w:bCs/>
          <w:kern w:val="44"/>
        </w:rPr>
        <w:t>在监测数值稳定期间，尚应根据变形稳定值的大小及工程实际情况定期进行监测。</w:t>
      </w:r>
    </w:p>
    <w:p w14:paraId="7354C258">
      <w:pPr>
        <w:ind w:firstLine="480" w:firstLineChars="200"/>
        <w:rPr>
          <w:bCs/>
          <w:kern w:val="44"/>
        </w:rPr>
      </w:pPr>
      <w:r>
        <w:rPr>
          <w:bCs/>
          <w:kern w:val="44"/>
        </w:rPr>
        <w:t>6</w:t>
      </w:r>
      <w:r>
        <w:rPr>
          <w:rFonts w:hint="eastAsia"/>
          <w:bCs/>
          <w:kern w:val="44"/>
        </w:rPr>
        <w:t>顶管穿越地面建筑物、地铁隧道、铁路、桥梁、防汛墙、地下管线等重要构筑物时，应对构筑物及其周围土体进行变形监测，并提高监测频率，应符合相关专业要求。</w:t>
      </w:r>
    </w:p>
    <w:p w14:paraId="27F9DFE2">
      <w:r>
        <w:rPr>
          <w:b/>
          <w:bCs/>
        </w:rPr>
        <w:t>9.8.</w:t>
      </w:r>
      <w:r>
        <w:rPr>
          <w:rFonts w:hint="eastAsia"/>
          <w:b/>
          <w:bCs/>
        </w:rPr>
        <w:t>3</w:t>
      </w:r>
      <w:r>
        <w:rPr>
          <w:b/>
          <w:bCs/>
        </w:rPr>
        <w:t xml:space="preserve">  </w:t>
      </w:r>
      <w:r>
        <w:t>顶管机掘进中对地层变形的控制应符合下列规定：</w:t>
      </w:r>
    </w:p>
    <w:p w14:paraId="283640CD">
      <w:pPr>
        <w:ind w:firstLine="482" w:firstLineChars="200"/>
      </w:pPr>
      <w:r>
        <w:rPr>
          <w:b/>
          <w:bCs/>
        </w:rPr>
        <w:t>1</w:t>
      </w:r>
      <w:r>
        <w:t>应进行实时监测和信息化施工，发生偏差时应立即纠偏并优化掘进的控制参数；</w:t>
      </w:r>
    </w:p>
    <w:p w14:paraId="06795ECF">
      <w:pPr>
        <w:ind w:firstLine="482" w:firstLineChars="200"/>
      </w:pPr>
      <w:r>
        <w:rPr>
          <w:b/>
          <w:bCs/>
        </w:rPr>
        <w:t xml:space="preserve">2 </w:t>
      </w:r>
      <w:r>
        <w:rPr>
          <w:rFonts w:hint="eastAsia"/>
        </w:rPr>
        <w:t>应</w:t>
      </w:r>
      <w:r>
        <w:t>采用同步注浆和补浆，填充管外壁与土体之间的施工间隙；</w:t>
      </w:r>
    </w:p>
    <w:p w14:paraId="5DE884FB">
      <w:pPr>
        <w:ind w:firstLine="482" w:firstLineChars="200"/>
      </w:pPr>
      <w:r>
        <w:rPr>
          <w:b/>
          <w:bCs/>
        </w:rPr>
        <w:t xml:space="preserve">3 </w:t>
      </w:r>
      <w:r>
        <w:rPr>
          <w:rFonts w:hint="eastAsia"/>
        </w:rPr>
        <w:t>应</w:t>
      </w:r>
      <w:r>
        <w:t>避免管节接口、中继间、工作井洞口及顶管机尾部等部位的水土流失和泥浆渗漏，并应确保管节接口端面完好；</w:t>
      </w:r>
    </w:p>
    <w:p w14:paraId="3A0D0538">
      <w:pPr>
        <w:ind w:firstLine="482" w:firstLineChars="200"/>
      </w:pPr>
      <w:r>
        <w:rPr>
          <w:b/>
          <w:bCs/>
        </w:rPr>
        <w:t xml:space="preserve">4 </w:t>
      </w:r>
      <w:r>
        <w:rPr>
          <w:rFonts w:hint="eastAsia"/>
        </w:rPr>
        <w:t>应</w:t>
      </w:r>
      <w:r>
        <w:t>保持开挖量与出渣量的平衡；</w:t>
      </w:r>
    </w:p>
    <w:p w14:paraId="0C91DEB0">
      <w:pPr>
        <w:ind w:firstLine="482" w:firstLineChars="200"/>
      </w:pPr>
      <w:r>
        <w:rPr>
          <w:b/>
          <w:bCs/>
        </w:rPr>
        <w:t>5</w:t>
      </w:r>
      <w:r>
        <w:rPr>
          <w:rFonts w:hint="eastAsia"/>
        </w:rPr>
        <w:t>应</w:t>
      </w:r>
      <w:r>
        <w:t>通过控制土压、水压平衡力来控制地面变形。</w:t>
      </w:r>
    </w:p>
    <w:p w14:paraId="394C75BC">
      <w:r>
        <w:rPr>
          <w:b/>
          <w:bCs/>
        </w:rPr>
        <w:t>9.8.</w:t>
      </w:r>
      <w:r>
        <w:rPr>
          <w:rFonts w:hint="eastAsia"/>
          <w:b/>
          <w:bCs/>
        </w:rPr>
        <w:t>4</w:t>
      </w:r>
      <w:r>
        <w:rPr>
          <w:b/>
          <w:bCs/>
        </w:rPr>
        <w:t xml:space="preserve">  </w:t>
      </w:r>
      <w:r>
        <w:t>地面变形</w:t>
      </w:r>
      <w:r>
        <w:rPr>
          <w:rFonts w:hint="eastAsia"/>
        </w:rPr>
        <w:t>的控制</w:t>
      </w:r>
      <w:r>
        <w:t>应符合下列规定：</w:t>
      </w:r>
    </w:p>
    <w:p w14:paraId="52E87BE9">
      <w:pPr>
        <w:ind w:firstLine="482" w:firstLineChars="200"/>
      </w:pPr>
      <w:r>
        <w:rPr>
          <w:b/>
          <w:bCs/>
        </w:rPr>
        <w:t>1</w:t>
      </w:r>
      <w:r>
        <w:t>顶管施工造成的地面变形不应造成道路开裂</w:t>
      </w:r>
      <w:r>
        <w:rPr>
          <w:rFonts w:hint="eastAsia"/>
        </w:rPr>
        <w:t>、</w:t>
      </w:r>
      <w:r>
        <w:t>大堤及地下设施损坏和渗水；</w:t>
      </w:r>
    </w:p>
    <w:p w14:paraId="1468CA93">
      <w:pPr>
        <w:ind w:firstLine="482" w:firstLineChars="200"/>
      </w:pPr>
      <w:r>
        <w:rPr>
          <w:b/>
          <w:bCs/>
        </w:rPr>
        <w:t>2</w:t>
      </w:r>
      <w:r>
        <w:t>顶管施工地面变形</w:t>
      </w:r>
      <w:r>
        <w:rPr>
          <w:rFonts w:hint="eastAsia"/>
        </w:rPr>
        <w:t>限值</w:t>
      </w:r>
      <w:r>
        <w:t>应符合下列规定：</w:t>
      </w:r>
    </w:p>
    <w:p w14:paraId="26BB0F75">
      <w:pPr>
        <w:ind w:left="1200" w:leftChars="350" w:hanging="360" w:hangingChars="150"/>
      </w:pPr>
      <w:r>
        <w:t>1）碾压式土石坝、堤</w:t>
      </w:r>
      <w:r>
        <w:rPr>
          <w:rFonts w:hint="eastAsia"/>
        </w:rPr>
        <w:t>岸</w:t>
      </w:r>
      <w:r>
        <w:t>变形</w:t>
      </w:r>
      <w:r>
        <w:rPr>
          <w:rFonts w:hint="eastAsia"/>
        </w:rPr>
        <w:t>量</w:t>
      </w:r>
      <w:r>
        <w:t>应控制在-30mm～+10mm；</w:t>
      </w:r>
    </w:p>
    <w:p w14:paraId="544EEA38">
      <w:pPr>
        <w:ind w:left="1200" w:leftChars="350" w:hanging="360" w:hangingChars="150"/>
      </w:pPr>
      <w:r>
        <w:t>2）</w:t>
      </w:r>
      <w:r>
        <w:rPr>
          <w:rFonts w:hint="eastAsia"/>
        </w:rPr>
        <w:t>道路</w:t>
      </w:r>
      <w:r>
        <w:t>的地面变形</w:t>
      </w:r>
      <w:r>
        <w:rPr>
          <w:rFonts w:hint="eastAsia"/>
        </w:rPr>
        <w:t>量</w:t>
      </w:r>
      <w:r>
        <w:t>应控制在-20mm～+10mm；</w:t>
      </w:r>
    </w:p>
    <w:p w14:paraId="4F776C86">
      <w:pPr>
        <w:ind w:left="1200" w:leftChars="350" w:hanging="360" w:hangingChars="150"/>
      </w:pPr>
      <w:r>
        <w:t>3）当顶管穿越铁路、地铁或其他对变形敏感的地下设施时，累计变形量应符合现行国家标准《</w:t>
      </w:r>
      <w:r>
        <w:fldChar w:fldCharType="begin"/>
      </w:r>
      <w:r>
        <w:instrText xml:space="preserve"> HYPERLINK "http://www.doc88.com/p-5806372025918.html" \t "_blank" </w:instrText>
      </w:r>
      <w:r>
        <w:fldChar w:fldCharType="separate"/>
      </w:r>
      <w:r>
        <w:t>城市轨道交通工程监测技术规范》GB 50911</w:t>
      </w:r>
      <w:r>
        <w:fldChar w:fldCharType="end"/>
      </w:r>
      <w:r>
        <w:t>的有关规定和工程设计要求。</w:t>
      </w:r>
    </w:p>
    <w:p w14:paraId="2B460F0E">
      <w:pPr>
        <w:ind w:firstLine="482" w:firstLineChars="200"/>
      </w:pPr>
      <w:r>
        <w:rPr>
          <w:b/>
          <w:bCs/>
        </w:rPr>
        <w:t>3</w:t>
      </w:r>
      <w:r>
        <w:t>当监测数据达到变形限值的70%时，应立即报警并适时启动应急事故处理方案。</w:t>
      </w:r>
    </w:p>
    <w:p w14:paraId="3D4523D2">
      <w:r>
        <w:rPr>
          <w:b/>
          <w:bCs/>
        </w:rPr>
        <w:t>9.8.</w:t>
      </w:r>
      <w:r>
        <w:rPr>
          <w:rFonts w:hint="eastAsia"/>
          <w:b/>
          <w:bCs/>
        </w:rPr>
        <w:t>5</w:t>
      </w:r>
      <w:r>
        <w:rPr>
          <w:b/>
          <w:bCs/>
        </w:rPr>
        <w:t xml:space="preserve">  </w:t>
      </w:r>
      <w:r>
        <w:t>地面变形控制应</w:t>
      </w:r>
      <w:r>
        <w:rPr>
          <w:rFonts w:hint="eastAsia"/>
        </w:rPr>
        <w:t>采取</w:t>
      </w:r>
      <w:r>
        <w:t>下列</w:t>
      </w:r>
      <w:r>
        <w:rPr>
          <w:rFonts w:hint="eastAsia"/>
        </w:rPr>
        <w:t>措施</w:t>
      </w:r>
      <w:r>
        <w:t>：</w:t>
      </w:r>
    </w:p>
    <w:p w14:paraId="7A82A174">
      <w:pPr>
        <w:ind w:firstLine="482" w:firstLineChars="200"/>
      </w:pPr>
      <w:r>
        <w:rPr>
          <w:b/>
          <w:bCs/>
        </w:rPr>
        <w:t>1</w:t>
      </w:r>
      <w:r>
        <w:t>应根据监测数据</w:t>
      </w:r>
      <w:r>
        <w:rPr>
          <w:rFonts w:hint="eastAsia"/>
        </w:rPr>
        <w:t>实时</w:t>
      </w:r>
      <w:r>
        <w:t>调整注浆量与注浆压力；</w:t>
      </w:r>
    </w:p>
    <w:p w14:paraId="46E30BE9">
      <w:pPr>
        <w:ind w:firstLine="482" w:firstLineChars="200"/>
      </w:pPr>
      <w:r>
        <w:rPr>
          <w:b/>
          <w:bCs/>
        </w:rPr>
        <w:t>2</w:t>
      </w:r>
      <w:r>
        <w:t>应严格遵守操作规程进行测量，并应避免大幅度纠偏；</w:t>
      </w:r>
    </w:p>
    <w:p w14:paraId="2BAAF748">
      <w:pPr>
        <w:ind w:firstLine="482" w:firstLineChars="200"/>
      </w:pPr>
      <w:r>
        <w:rPr>
          <w:b/>
          <w:bCs/>
        </w:rPr>
        <w:t>3</w:t>
      </w:r>
      <w:r>
        <w:t>应严格控制出渣量，不得超出设计出渣量范围；</w:t>
      </w:r>
    </w:p>
    <w:p w14:paraId="3A0D9FEF">
      <w:pPr>
        <w:ind w:firstLine="482" w:firstLineChars="200"/>
      </w:pPr>
      <w:r>
        <w:rPr>
          <w:b/>
          <w:bCs/>
        </w:rPr>
        <w:t xml:space="preserve">4 </w:t>
      </w:r>
      <w:r>
        <w:t>在掘进时，应加强地面变形</w:t>
      </w:r>
      <w:r>
        <w:rPr>
          <w:rFonts w:hint="eastAsia"/>
        </w:rPr>
        <w:t>监</w:t>
      </w:r>
      <w:r>
        <w:t>测并做好记录；</w:t>
      </w:r>
    </w:p>
    <w:p w14:paraId="7B71B50E">
      <w:pPr>
        <w:ind w:firstLine="482" w:firstLineChars="200"/>
      </w:pPr>
      <w:r>
        <w:rPr>
          <w:b/>
          <w:bCs/>
        </w:rPr>
        <w:t>5</w:t>
      </w:r>
      <w:r>
        <w:t>顶管结束后应采用水泥浆置换减阻泥浆。</w:t>
      </w:r>
    </w:p>
    <w:p w14:paraId="46811335">
      <w:pPr>
        <w:ind w:firstLine="480" w:firstLineChars="200"/>
      </w:pPr>
    </w:p>
    <w:p w14:paraId="1BAC54A4">
      <w:pPr>
        <w:pStyle w:val="3"/>
        <w:rPr>
          <w:rFonts w:eastAsia="黑体" w:cs="Times New Roman"/>
          <w:b w:val="0"/>
        </w:rPr>
      </w:pPr>
      <w:bookmarkStart w:id="563" w:name="_Toc4170"/>
      <w:bookmarkStart w:id="564" w:name="_Toc29488"/>
      <w:bookmarkStart w:id="565" w:name="_Toc18057080"/>
      <w:bookmarkStart w:id="566" w:name="_Toc4541"/>
      <w:bookmarkStart w:id="567" w:name="_Toc60173821"/>
      <w:bookmarkStart w:id="568" w:name="_Toc60172934"/>
      <w:bookmarkStart w:id="569" w:name="_Toc47692193"/>
      <w:bookmarkStart w:id="570" w:name="_Toc6945"/>
      <w:bookmarkStart w:id="571" w:name="_Toc9424"/>
      <w:bookmarkStart w:id="572" w:name="_Toc22351"/>
      <w:bookmarkStart w:id="573" w:name="_Toc15752"/>
      <w:r>
        <w:rPr>
          <w:rFonts w:eastAsia="黑体" w:cs="Times New Roman"/>
        </w:rPr>
        <w:t xml:space="preserve">9.9 </w:t>
      </w:r>
      <w:r>
        <w:rPr>
          <w:rFonts w:eastAsia="黑体" w:cs="Times New Roman"/>
          <w:b w:val="0"/>
        </w:rPr>
        <w:t>顶管机拆解与吊出</w:t>
      </w:r>
      <w:bookmarkEnd w:id="563"/>
      <w:bookmarkEnd w:id="564"/>
      <w:bookmarkEnd w:id="565"/>
      <w:bookmarkEnd w:id="566"/>
      <w:bookmarkEnd w:id="567"/>
      <w:bookmarkEnd w:id="568"/>
      <w:bookmarkEnd w:id="569"/>
      <w:bookmarkEnd w:id="570"/>
      <w:bookmarkEnd w:id="571"/>
      <w:bookmarkEnd w:id="572"/>
      <w:bookmarkEnd w:id="573"/>
    </w:p>
    <w:p w14:paraId="60D1E6E9">
      <w:r>
        <w:rPr>
          <w:b/>
          <w:bCs/>
        </w:rPr>
        <w:t xml:space="preserve">9.9.1  </w:t>
      </w:r>
      <w:r>
        <w:t>矩形顶管机拆机吊装作业前，应编制详细</w:t>
      </w:r>
      <w:r>
        <w:rPr>
          <w:rFonts w:hint="eastAsia"/>
        </w:rPr>
        <w:t>的</w:t>
      </w:r>
      <w:r>
        <w:t>拆机方案，并应与所有参与拆机、吊装的作业人员做技术交底。</w:t>
      </w:r>
    </w:p>
    <w:p w14:paraId="6F10207B">
      <w:r>
        <w:rPr>
          <w:b/>
          <w:bCs/>
        </w:rPr>
        <w:t xml:space="preserve">9.9.2  </w:t>
      </w:r>
      <w:r>
        <w:t>顶管机拆卸场地及设备准备应符合下列规定：</w:t>
      </w:r>
    </w:p>
    <w:p w14:paraId="547D05FB">
      <w:pPr>
        <w:ind w:firstLine="482" w:firstLineChars="200"/>
      </w:pPr>
      <w:r>
        <w:rPr>
          <w:b/>
          <w:bCs/>
        </w:rPr>
        <w:t>1</w:t>
      </w:r>
      <w:r>
        <w:t>井下作业面应具有足够的作业空间，接收导轨应准确定位并牢靠固定，导轨不得出现错台、错缝、弯曲等现象，接收导轨整体轴线应与矩形顶管机轴线对齐；</w:t>
      </w:r>
    </w:p>
    <w:p w14:paraId="0EE251D7">
      <w:pPr>
        <w:ind w:firstLine="482" w:firstLineChars="200"/>
      </w:pPr>
      <w:r>
        <w:rPr>
          <w:b/>
          <w:bCs/>
        </w:rPr>
        <w:t>2</w:t>
      </w:r>
      <w:r>
        <w:t>井上作业面应保证有足够的地基承载力，起吊设备和输送车辆等辅助设备的组装、作业空间应充裕。</w:t>
      </w:r>
    </w:p>
    <w:p w14:paraId="35C99D6E">
      <w:r>
        <w:rPr>
          <w:b/>
          <w:bCs/>
        </w:rPr>
        <w:t xml:space="preserve">9.9.3  </w:t>
      </w:r>
      <w:r>
        <w:t>顶管机拆机应符合下列规定：</w:t>
      </w:r>
    </w:p>
    <w:p w14:paraId="55AC86E6">
      <w:pPr>
        <w:ind w:firstLine="482" w:firstLineChars="200"/>
      </w:pPr>
      <w:r>
        <w:rPr>
          <w:b/>
          <w:bCs/>
        </w:rPr>
        <w:t>1</w:t>
      </w:r>
      <w:r>
        <w:t>顶管机拆机前应进行清洁，并应对各机械部件及电气、流体、液压管路做好标识；</w:t>
      </w:r>
    </w:p>
    <w:p w14:paraId="47A6F1D8">
      <w:pPr>
        <w:ind w:firstLine="482" w:firstLineChars="200"/>
      </w:pPr>
      <w:r>
        <w:rPr>
          <w:b/>
          <w:bCs/>
        </w:rPr>
        <w:t>2</w:t>
      </w:r>
      <w:r>
        <w:t>顶管机拆机应遵循由前向后、先上后下、先机械后液压电气的原则；</w:t>
      </w:r>
    </w:p>
    <w:p w14:paraId="29C2138B">
      <w:pPr>
        <w:ind w:firstLine="482" w:firstLineChars="200"/>
      </w:pPr>
      <w:r>
        <w:rPr>
          <w:b/>
          <w:bCs/>
        </w:rPr>
        <w:t>3</w:t>
      </w:r>
      <w:r>
        <w:t>拆除刀盘、螺旋</w:t>
      </w:r>
      <w:r>
        <w:rPr>
          <w:rFonts w:hint="eastAsia"/>
        </w:rPr>
        <w:t>出土</w:t>
      </w:r>
      <w:r>
        <w:t>机等系统后，顶管机各连接部位应清洁干净并涂抹防锈油；</w:t>
      </w:r>
    </w:p>
    <w:p w14:paraId="08C273A1">
      <w:pPr>
        <w:ind w:firstLine="482" w:firstLineChars="200"/>
      </w:pPr>
      <w:r>
        <w:rPr>
          <w:b/>
          <w:bCs/>
        </w:rPr>
        <w:t>4</w:t>
      </w:r>
      <w:r>
        <w:t>液压系统拆卸前应确定液压系统处于无压状态，拆除过程中应保持液压元器件周边的清洁；</w:t>
      </w:r>
    </w:p>
    <w:p w14:paraId="00F4A0CC">
      <w:pPr>
        <w:ind w:firstLine="482" w:firstLineChars="200"/>
      </w:pPr>
      <w:r>
        <w:rPr>
          <w:b/>
          <w:bCs/>
        </w:rPr>
        <w:t xml:space="preserve">5 </w:t>
      </w:r>
      <w:r>
        <w:t>拆除电气系统前，应确认电源已关闭，并应安排专人</w:t>
      </w:r>
      <w:r>
        <w:rPr>
          <w:rFonts w:hint="eastAsia"/>
        </w:rPr>
        <w:t>看护</w:t>
      </w:r>
      <w:r>
        <w:t>。</w:t>
      </w:r>
    </w:p>
    <w:p w14:paraId="0F46587C">
      <w:r>
        <w:rPr>
          <w:b/>
          <w:bCs/>
        </w:rPr>
        <w:t xml:space="preserve">9.9.4  </w:t>
      </w:r>
      <w:r>
        <w:t>各部件起吊前，应对起吊装置检查、安装，临时焊接的吊耳应按设计要求对焊缝进行探伤。</w:t>
      </w:r>
    </w:p>
    <w:p w14:paraId="60B8A187">
      <w:r>
        <w:rPr>
          <w:b/>
          <w:bCs/>
        </w:rPr>
        <w:t xml:space="preserve">9.9.5  </w:t>
      </w:r>
      <w:r>
        <w:t>矩形顶管机拆解与吊出应符合下列规定：</w:t>
      </w:r>
    </w:p>
    <w:p w14:paraId="25AAD288">
      <w:pPr>
        <w:ind w:firstLine="482" w:firstLineChars="200"/>
      </w:pPr>
      <w:r>
        <w:rPr>
          <w:b/>
          <w:bCs/>
        </w:rPr>
        <w:t>1</w:t>
      </w:r>
      <w:r>
        <w:t>矩形顶管机到达接收井后进行顶管机拆解、吊出的顺序应依次为刀盘、螺旋</w:t>
      </w:r>
      <w:r>
        <w:rPr>
          <w:rFonts w:hint="eastAsia"/>
        </w:rPr>
        <w:t>出土</w:t>
      </w:r>
      <w:r>
        <w:t>机、动力系统、前壳体上分体、前壳体下分体、中后壳体及其他部件；</w:t>
      </w:r>
    </w:p>
    <w:p w14:paraId="57240CCB">
      <w:pPr>
        <w:ind w:firstLine="482" w:firstLineChars="200"/>
      </w:pPr>
      <w:r>
        <w:rPr>
          <w:b/>
          <w:bCs/>
        </w:rPr>
        <w:t>2</w:t>
      </w:r>
      <w:r>
        <w:t>拆解完成后应立即装车，</w:t>
      </w:r>
      <w:r>
        <w:rPr>
          <w:rFonts w:hint="eastAsia"/>
        </w:rPr>
        <w:t>宜</w:t>
      </w:r>
      <w:r>
        <w:t>采用大型液压平板拖车转运，运输前应对运输线路进行实地考察。运输过程中，每个部件均应固定可靠，并应采取安全防护措施；</w:t>
      </w:r>
    </w:p>
    <w:p w14:paraId="6DFBB39D">
      <w:pPr>
        <w:ind w:firstLine="482" w:firstLineChars="200"/>
        <w:rPr>
          <w:rFonts w:eastAsiaTheme="minorEastAsia"/>
        </w:rPr>
      </w:pPr>
      <w:r>
        <w:rPr>
          <w:rFonts w:eastAsiaTheme="minorEastAsia"/>
          <w:b/>
          <w:bCs/>
        </w:rPr>
        <w:t>3</w:t>
      </w:r>
      <w:r>
        <w:t>顶管机在</w:t>
      </w:r>
      <w:r>
        <w:rPr>
          <w:rFonts w:eastAsiaTheme="minorEastAsia"/>
        </w:rPr>
        <w:t>拆解</w:t>
      </w:r>
      <w:r>
        <w:t>过程中应做好零部件的保护性措施</w:t>
      </w:r>
      <w:r>
        <w:rPr>
          <w:rFonts w:eastAsiaTheme="minorEastAsia"/>
        </w:rPr>
        <w:t>，</w:t>
      </w:r>
      <w:r>
        <w:t>拆除完成后应做好防腐防潮措施</w:t>
      </w:r>
      <w:r>
        <w:rPr>
          <w:rFonts w:eastAsiaTheme="minorEastAsia"/>
        </w:rPr>
        <w:t>。</w:t>
      </w:r>
    </w:p>
    <w:p w14:paraId="44CF2301">
      <w:pPr>
        <w:ind w:firstLine="480" w:firstLineChars="200"/>
        <w:rPr>
          <w:rFonts w:eastAsiaTheme="minorEastAsia"/>
        </w:rPr>
      </w:pPr>
    </w:p>
    <w:p w14:paraId="1FE612DB">
      <w:pPr>
        <w:pStyle w:val="3"/>
        <w:rPr>
          <w:rFonts w:eastAsia="黑体" w:cs="Times New Roman"/>
          <w:b w:val="0"/>
        </w:rPr>
      </w:pPr>
      <w:bookmarkStart w:id="574" w:name="_Toc17374"/>
      <w:bookmarkStart w:id="575" w:name="_Toc10778"/>
      <w:bookmarkStart w:id="576" w:name="_Toc15246"/>
      <w:bookmarkStart w:id="577" w:name="_Toc60172935"/>
      <w:bookmarkStart w:id="578" w:name="_Toc25006"/>
      <w:bookmarkStart w:id="579" w:name="_Toc12028"/>
      <w:bookmarkStart w:id="580" w:name="_Toc18057081"/>
      <w:bookmarkStart w:id="581" w:name="_Toc25609"/>
      <w:bookmarkStart w:id="582" w:name="_Toc47692194"/>
      <w:bookmarkStart w:id="583" w:name="_Toc29634"/>
      <w:bookmarkStart w:id="584" w:name="_Toc60173822"/>
      <w:r>
        <w:rPr>
          <w:rFonts w:eastAsia="黑体" w:cs="Times New Roman"/>
        </w:rPr>
        <w:t>9.10</w:t>
      </w:r>
      <w:r>
        <w:rPr>
          <w:rFonts w:eastAsia="黑体" w:cs="Times New Roman"/>
          <w:b w:val="0"/>
        </w:rPr>
        <w:t>质量控制</w:t>
      </w:r>
      <w:bookmarkEnd w:id="574"/>
      <w:bookmarkEnd w:id="575"/>
      <w:bookmarkEnd w:id="576"/>
      <w:bookmarkEnd w:id="577"/>
      <w:bookmarkEnd w:id="578"/>
      <w:bookmarkEnd w:id="579"/>
      <w:bookmarkEnd w:id="580"/>
      <w:bookmarkEnd w:id="581"/>
      <w:bookmarkEnd w:id="582"/>
      <w:bookmarkEnd w:id="583"/>
      <w:bookmarkEnd w:id="584"/>
    </w:p>
    <w:p w14:paraId="012DF318">
      <w:pPr>
        <w:jc w:val="center"/>
        <w:rPr>
          <w:rFonts w:eastAsia="仿宋"/>
          <w:b/>
          <w:bCs/>
        </w:rPr>
      </w:pPr>
      <w:r>
        <w:rPr>
          <w:rFonts w:eastAsia="仿宋"/>
          <w:b/>
          <w:bCs/>
        </w:rPr>
        <w:t>Ⅰ  主控项目</w:t>
      </w:r>
    </w:p>
    <w:p w14:paraId="617766C0">
      <w:pPr>
        <w:rPr>
          <w:bCs/>
        </w:rPr>
      </w:pPr>
      <w:r>
        <w:rPr>
          <w:b/>
          <w:bCs/>
        </w:rPr>
        <w:t>9.10.1</w:t>
      </w:r>
      <w:r>
        <w:rPr>
          <w:bCs/>
        </w:rPr>
        <w:t>管节及附件等工程材料的产品质量应符合设计文件和本规程第6章的有关规定。</w:t>
      </w:r>
    </w:p>
    <w:p w14:paraId="5143B030">
      <w:pPr>
        <w:ind w:firstLine="480" w:firstLineChars="200"/>
        <w:rPr>
          <w:bCs/>
        </w:rPr>
      </w:pPr>
      <w:r>
        <w:rPr>
          <w:rFonts w:hint="eastAsia"/>
          <w:bCs/>
        </w:rPr>
        <w:t>检验</w:t>
      </w:r>
      <w:r>
        <w:rPr>
          <w:bCs/>
        </w:rPr>
        <w:t>方法：检查产品质量合格证明书、各项性能</w:t>
      </w:r>
      <w:r>
        <w:rPr>
          <w:rFonts w:hint="eastAsia"/>
          <w:bCs/>
        </w:rPr>
        <w:t>的</w:t>
      </w:r>
      <w:r>
        <w:rPr>
          <w:bCs/>
        </w:rPr>
        <w:t>检验报告，检查产品制造原材料质量保证资料；检查产品进场验收记录。</w:t>
      </w:r>
    </w:p>
    <w:p w14:paraId="6746ED36">
      <w:pPr>
        <w:ind w:firstLine="480" w:firstLineChars="200"/>
        <w:rPr>
          <w:bCs/>
        </w:rPr>
      </w:pPr>
      <w:r>
        <w:rPr>
          <w:bCs/>
        </w:rPr>
        <w:t>检查数量：全数检查。</w:t>
      </w:r>
    </w:p>
    <w:p w14:paraId="13605562">
      <w:pPr>
        <w:rPr>
          <w:bCs/>
        </w:rPr>
      </w:pPr>
      <w:r>
        <w:rPr>
          <w:b/>
        </w:rPr>
        <w:t xml:space="preserve">9.10.2 </w:t>
      </w:r>
      <w:r>
        <w:rPr>
          <w:bCs/>
        </w:rPr>
        <w:t>接口橡胶圈安装位置应正确，不得有位移、脱落现象；</w:t>
      </w:r>
    </w:p>
    <w:p w14:paraId="501DB9F2">
      <w:pPr>
        <w:ind w:firstLine="480" w:firstLineChars="200"/>
        <w:rPr>
          <w:bCs/>
        </w:rPr>
      </w:pPr>
      <w:r>
        <w:rPr>
          <w:rFonts w:hint="eastAsia"/>
          <w:bCs/>
        </w:rPr>
        <w:t>检验</w:t>
      </w:r>
      <w:r>
        <w:rPr>
          <w:bCs/>
        </w:rPr>
        <w:t>方法：逐个接口观察。</w:t>
      </w:r>
    </w:p>
    <w:p w14:paraId="36855C0B">
      <w:pPr>
        <w:ind w:firstLine="480" w:firstLineChars="200"/>
        <w:rPr>
          <w:bCs/>
        </w:rPr>
      </w:pPr>
      <w:r>
        <w:rPr>
          <w:bCs/>
        </w:rPr>
        <w:t>检查数量：全数检查。</w:t>
      </w:r>
    </w:p>
    <w:p w14:paraId="0B768E34">
      <w:pPr>
        <w:rPr>
          <w:bCs/>
        </w:rPr>
      </w:pPr>
      <w:r>
        <w:rPr>
          <w:b/>
        </w:rPr>
        <w:t xml:space="preserve">9.10.3  </w:t>
      </w:r>
      <w:r>
        <w:rPr>
          <w:bCs/>
        </w:rPr>
        <w:t>管节及接口应无破损、无裂缝；</w:t>
      </w:r>
    </w:p>
    <w:p w14:paraId="42F9DD88">
      <w:pPr>
        <w:ind w:firstLine="480" w:firstLineChars="200"/>
        <w:rPr>
          <w:bCs/>
        </w:rPr>
      </w:pPr>
      <w:r>
        <w:rPr>
          <w:rFonts w:hint="eastAsia"/>
          <w:bCs/>
        </w:rPr>
        <w:t>检验</w:t>
      </w:r>
      <w:r>
        <w:rPr>
          <w:bCs/>
        </w:rPr>
        <w:t>方法：逐节观察。</w:t>
      </w:r>
    </w:p>
    <w:p w14:paraId="04BF6AC5">
      <w:pPr>
        <w:ind w:firstLine="480" w:firstLineChars="200"/>
        <w:rPr>
          <w:bCs/>
        </w:rPr>
      </w:pPr>
      <w:r>
        <w:rPr>
          <w:bCs/>
        </w:rPr>
        <w:t>检查数量：全数检查。</w:t>
      </w:r>
    </w:p>
    <w:p w14:paraId="0B33AB4C">
      <w:pPr>
        <w:rPr>
          <w:bCs/>
        </w:rPr>
      </w:pPr>
      <w:r>
        <w:rPr>
          <w:b/>
        </w:rPr>
        <w:t>9.10.4</w:t>
      </w:r>
      <w:r>
        <w:rPr>
          <w:bCs/>
        </w:rPr>
        <w:t>矩形顶管的隧道应无水珠、滴漏、线流</w:t>
      </w:r>
      <w:r>
        <w:rPr>
          <w:rFonts w:hint="eastAsia"/>
          <w:bCs/>
        </w:rPr>
        <w:t>等明显渗水现象</w:t>
      </w:r>
      <w:r>
        <w:rPr>
          <w:bCs/>
        </w:rPr>
        <w:t>。</w:t>
      </w:r>
    </w:p>
    <w:p w14:paraId="6ACA373A">
      <w:pPr>
        <w:ind w:firstLine="480" w:firstLineChars="200"/>
        <w:rPr>
          <w:bCs/>
        </w:rPr>
      </w:pPr>
      <w:r>
        <w:rPr>
          <w:rFonts w:hint="eastAsia"/>
          <w:bCs/>
        </w:rPr>
        <w:t>检验</w:t>
      </w:r>
      <w:r>
        <w:rPr>
          <w:bCs/>
        </w:rPr>
        <w:t>方法：逐节观察，按本规程表7.3.4执行。</w:t>
      </w:r>
    </w:p>
    <w:p w14:paraId="167C2E05">
      <w:pPr>
        <w:ind w:firstLine="480" w:firstLineChars="200"/>
        <w:rPr>
          <w:bCs/>
        </w:rPr>
      </w:pPr>
      <w:r>
        <w:rPr>
          <w:bCs/>
        </w:rPr>
        <w:t>检查数量：全数检查。</w:t>
      </w:r>
    </w:p>
    <w:p w14:paraId="52B71442">
      <w:pPr>
        <w:jc w:val="center"/>
        <w:rPr>
          <w:rFonts w:eastAsia="仿宋"/>
          <w:b/>
          <w:bCs/>
        </w:rPr>
      </w:pPr>
      <w:r>
        <w:rPr>
          <w:rFonts w:eastAsia="仿宋"/>
          <w:b/>
          <w:bCs/>
        </w:rPr>
        <w:t>Ⅱ  一般项目</w:t>
      </w:r>
    </w:p>
    <w:p w14:paraId="6B0B305A">
      <w:pPr>
        <w:snapToGrid w:val="0"/>
        <w:rPr>
          <w:bCs/>
        </w:rPr>
      </w:pPr>
      <w:r>
        <w:rPr>
          <w:b/>
        </w:rPr>
        <w:t>9.10.</w:t>
      </w:r>
      <w:r>
        <w:rPr>
          <w:rFonts w:hint="eastAsia"/>
          <w:b/>
        </w:rPr>
        <w:t>5</w:t>
      </w:r>
      <w:r>
        <w:rPr>
          <w:bCs/>
        </w:rPr>
        <w:t>管节接口允许偏差应符合表9.10.</w:t>
      </w:r>
      <w:r>
        <w:rPr>
          <w:rFonts w:hint="eastAsia"/>
          <w:bCs/>
        </w:rPr>
        <w:t>5</w:t>
      </w:r>
      <w:r>
        <w:rPr>
          <w:bCs/>
        </w:rPr>
        <w:t>的规定。</w:t>
      </w:r>
    </w:p>
    <w:p w14:paraId="5E13EA11">
      <w:pPr>
        <w:snapToGrid w:val="0"/>
        <w:ind w:firstLine="480" w:firstLineChars="200"/>
        <w:rPr>
          <w:bCs/>
        </w:rPr>
      </w:pPr>
      <w:r>
        <w:rPr>
          <w:rFonts w:hint="eastAsia"/>
          <w:bCs/>
        </w:rPr>
        <w:t>检验</w:t>
      </w:r>
      <w:r>
        <w:rPr>
          <w:bCs/>
        </w:rPr>
        <w:t>方法：量测。</w:t>
      </w:r>
    </w:p>
    <w:p w14:paraId="4CBEF7C3">
      <w:pPr>
        <w:snapToGrid w:val="0"/>
        <w:ind w:firstLine="480" w:firstLineChars="200"/>
        <w:rPr>
          <w:bCs/>
        </w:rPr>
      </w:pPr>
      <w:r>
        <w:rPr>
          <w:bCs/>
        </w:rPr>
        <w:t>检查数量：全数检查。</w:t>
      </w:r>
    </w:p>
    <w:p w14:paraId="0853B1DE">
      <w:pPr>
        <w:ind w:firstLine="539"/>
        <w:jc w:val="center"/>
        <w:rPr>
          <w:rFonts w:eastAsiaTheme="minorEastAsia"/>
          <w:b/>
          <w:bCs/>
        </w:rPr>
      </w:pPr>
      <w:r>
        <w:rPr>
          <w:rFonts w:eastAsiaTheme="minorEastAsia"/>
          <w:b/>
          <w:bCs/>
          <w:sz w:val="21"/>
          <w:szCs w:val="18"/>
        </w:rPr>
        <w:t>表9.10.</w:t>
      </w:r>
      <w:r>
        <w:rPr>
          <w:rFonts w:hint="eastAsia" w:eastAsiaTheme="minorEastAsia"/>
          <w:b/>
          <w:bCs/>
          <w:sz w:val="21"/>
          <w:szCs w:val="18"/>
        </w:rPr>
        <w:t>5管节</w:t>
      </w:r>
      <w:r>
        <w:rPr>
          <w:rFonts w:eastAsiaTheme="minorEastAsia"/>
          <w:b/>
          <w:bCs/>
          <w:sz w:val="21"/>
          <w:szCs w:val="18"/>
        </w:rPr>
        <w:t>接口允许偏差（mm）</w:t>
      </w:r>
    </w:p>
    <w:tbl>
      <w:tblPr>
        <w:tblStyle w:val="35"/>
        <w:tblW w:w="7206"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090"/>
        <w:gridCol w:w="1559"/>
        <w:gridCol w:w="3557"/>
      </w:tblGrid>
      <w:tr w14:paraId="4E3FC97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3649" w:type="dxa"/>
            <w:gridSpan w:val="2"/>
            <w:vAlign w:val="center"/>
          </w:tcPr>
          <w:p w14:paraId="3CD8EBE6">
            <w:pPr>
              <w:spacing w:line="240" w:lineRule="auto"/>
              <w:jc w:val="center"/>
              <w:rPr>
                <w:sz w:val="21"/>
              </w:rPr>
            </w:pPr>
            <w:r>
              <w:rPr>
                <w:sz w:val="21"/>
              </w:rPr>
              <w:t>项目</w:t>
            </w:r>
          </w:p>
        </w:tc>
        <w:tc>
          <w:tcPr>
            <w:tcW w:w="3557" w:type="dxa"/>
            <w:vAlign w:val="center"/>
          </w:tcPr>
          <w:p w14:paraId="7FAEC261">
            <w:pPr>
              <w:spacing w:line="240" w:lineRule="auto"/>
              <w:jc w:val="center"/>
              <w:rPr>
                <w:sz w:val="21"/>
              </w:rPr>
            </w:pPr>
            <w:r>
              <w:rPr>
                <w:sz w:val="21"/>
              </w:rPr>
              <w:t>允许偏差</w:t>
            </w:r>
          </w:p>
        </w:tc>
      </w:tr>
      <w:tr w14:paraId="12FCCC3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2090" w:type="dxa"/>
            <w:vMerge w:val="restart"/>
            <w:vAlign w:val="center"/>
          </w:tcPr>
          <w:p w14:paraId="2DBF73ED">
            <w:pPr>
              <w:spacing w:line="240" w:lineRule="auto"/>
              <w:jc w:val="center"/>
              <w:rPr>
                <w:sz w:val="21"/>
              </w:rPr>
            </w:pPr>
            <w:r>
              <w:rPr>
                <w:sz w:val="21"/>
              </w:rPr>
              <w:t>相邻管间错口</w:t>
            </w:r>
          </w:p>
        </w:tc>
        <w:tc>
          <w:tcPr>
            <w:tcW w:w="1559" w:type="dxa"/>
            <w:vAlign w:val="center"/>
          </w:tcPr>
          <w:p w14:paraId="28735677">
            <w:pPr>
              <w:widowControl/>
              <w:spacing w:line="240" w:lineRule="auto"/>
              <w:jc w:val="center"/>
              <w:rPr>
                <w:sz w:val="21"/>
              </w:rPr>
            </w:pPr>
            <w:r>
              <w:rPr>
                <w:sz w:val="21"/>
              </w:rPr>
              <w:t>上下错口</w:t>
            </w:r>
          </w:p>
        </w:tc>
        <w:tc>
          <w:tcPr>
            <w:tcW w:w="3557" w:type="dxa"/>
            <w:vAlign w:val="center"/>
          </w:tcPr>
          <w:p w14:paraId="60157D9C">
            <w:pPr>
              <w:spacing w:line="240" w:lineRule="auto"/>
              <w:jc w:val="center"/>
              <w:rPr>
                <w:sz w:val="21"/>
              </w:rPr>
            </w:pPr>
            <w:r>
              <w:rPr>
                <w:sz w:val="21"/>
              </w:rPr>
              <w:t>0.5%H，且≤10</w:t>
            </w:r>
          </w:p>
        </w:tc>
      </w:tr>
      <w:tr w14:paraId="4E109C7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397" w:hRule="atLeast"/>
          <w:jc w:val="center"/>
        </w:trPr>
        <w:tc>
          <w:tcPr>
            <w:tcW w:w="2090" w:type="dxa"/>
            <w:vMerge w:val="continue"/>
            <w:vAlign w:val="center"/>
          </w:tcPr>
          <w:p w14:paraId="56936F6C">
            <w:pPr>
              <w:spacing w:line="240" w:lineRule="auto"/>
              <w:jc w:val="center"/>
              <w:rPr>
                <w:sz w:val="21"/>
              </w:rPr>
            </w:pPr>
          </w:p>
        </w:tc>
        <w:tc>
          <w:tcPr>
            <w:tcW w:w="1559" w:type="dxa"/>
            <w:vAlign w:val="center"/>
          </w:tcPr>
          <w:p w14:paraId="13F2FE26">
            <w:pPr>
              <w:spacing w:line="240" w:lineRule="auto"/>
              <w:jc w:val="center"/>
              <w:rPr>
                <w:sz w:val="21"/>
              </w:rPr>
            </w:pPr>
            <w:r>
              <w:rPr>
                <w:sz w:val="21"/>
              </w:rPr>
              <w:t>左右错口</w:t>
            </w:r>
          </w:p>
        </w:tc>
        <w:tc>
          <w:tcPr>
            <w:tcW w:w="3557" w:type="dxa"/>
            <w:vAlign w:val="center"/>
          </w:tcPr>
          <w:p w14:paraId="59A14606">
            <w:pPr>
              <w:spacing w:line="240" w:lineRule="auto"/>
              <w:jc w:val="center"/>
              <w:rPr>
                <w:sz w:val="21"/>
              </w:rPr>
            </w:pPr>
            <w:r>
              <w:rPr>
                <w:sz w:val="21"/>
              </w:rPr>
              <w:t>0.5%B，且≤20</w:t>
            </w:r>
          </w:p>
        </w:tc>
      </w:tr>
    </w:tbl>
    <w:p w14:paraId="56AEEBAC">
      <w:pPr>
        <w:ind w:firstLine="720" w:firstLineChars="400"/>
        <w:rPr>
          <w:sz w:val="18"/>
          <w:szCs w:val="20"/>
        </w:rPr>
      </w:pPr>
      <w:r>
        <w:rPr>
          <w:sz w:val="18"/>
          <w:szCs w:val="20"/>
        </w:rPr>
        <w:t>注：H为管节高度（mm），B为管节宽度（mm）。</w:t>
      </w:r>
    </w:p>
    <w:p w14:paraId="291DA6E0">
      <w:pPr>
        <w:snapToGrid w:val="0"/>
        <w:rPr>
          <w:bCs/>
        </w:rPr>
      </w:pPr>
      <w:r>
        <w:rPr>
          <w:b/>
          <w:bCs/>
        </w:rPr>
        <w:t>9.10.</w:t>
      </w:r>
      <w:r>
        <w:rPr>
          <w:rFonts w:hint="eastAsia"/>
          <w:b/>
          <w:bCs/>
        </w:rPr>
        <w:t>6</w:t>
      </w:r>
      <w:r>
        <w:rPr>
          <w:bCs/>
        </w:rPr>
        <w:t>管节接口嵌缝的质量除应符合现行国家标准《地下防水工程质量验收规范》GB 50208的有关规定外，管节接口嵌缝的厚度</w:t>
      </w:r>
      <w:r>
        <w:rPr>
          <w:rFonts w:hint="eastAsia"/>
          <w:bCs/>
        </w:rPr>
        <w:t>和</w:t>
      </w:r>
      <w:r>
        <w:rPr>
          <w:bCs/>
        </w:rPr>
        <w:t>表面粘结力的允许偏差尚应符合表9.10.</w:t>
      </w:r>
      <w:r>
        <w:rPr>
          <w:rFonts w:hint="eastAsia"/>
          <w:bCs/>
        </w:rPr>
        <w:t>6</w:t>
      </w:r>
      <w:r>
        <w:rPr>
          <w:bCs/>
        </w:rPr>
        <w:t>的规定。</w:t>
      </w:r>
    </w:p>
    <w:p w14:paraId="4B8D01AC">
      <w:pPr>
        <w:snapToGrid w:val="0"/>
        <w:ind w:firstLine="480" w:firstLineChars="200"/>
      </w:pPr>
      <w:r>
        <w:rPr>
          <w:rFonts w:hint="eastAsia"/>
          <w:bCs/>
        </w:rPr>
        <w:t>检验</w:t>
      </w:r>
      <w:r>
        <w:rPr>
          <w:bCs/>
        </w:rPr>
        <w:t>方法：量测。</w:t>
      </w:r>
    </w:p>
    <w:p w14:paraId="2818C19D">
      <w:pPr>
        <w:snapToGrid w:val="0"/>
        <w:ind w:firstLine="480" w:firstLineChars="200"/>
        <w:rPr>
          <w:bCs/>
        </w:rPr>
      </w:pPr>
      <w:r>
        <w:rPr>
          <w:bCs/>
        </w:rPr>
        <w:t>检查数量：全数检查。</w:t>
      </w:r>
    </w:p>
    <w:p w14:paraId="4639382E">
      <w:pPr>
        <w:jc w:val="center"/>
        <w:rPr>
          <w:b/>
          <w:bCs/>
          <w:sz w:val="21"/>
          <w:szCs w:val="18"/>
        </w:rPr>
      </w:pPr>
      <w:r>
        <w:rPr>
          <w:b/>
          <w:bCs/>
          <w:sz w:val="21"/>
          <w:szCs w:val="18"/>
        </w:rPr>
        <w:t>表9.10.</w:t>
      </w:r>
      <w:r>
        <w:rPr>
          <w:rFonts w:hint="eastAsia"/>
          <w:b/>
          <w:bCs/>
          <w:sz w:val="21"/>
          <w:szCs w:val="18"/>
        </w:rPr>
        <w:t>6</w:t>
      </w:r>
      <w:r>
        <w:rPr>
          <w:b/>
          <w:bCs/>
          <w:sz w:val="21"/>
          <w:szCs w:val="18"/>
        </w:rPr>
        <w:t>管</w:t>
      </w:r>
      <w:r>
        <w:rPr>
          <w:rFonts w:hint="eastAsia"/>
          <w:b/>
          <w:bCs/>
          <w:sz w:val="21"/>
          <w:szCs w:val="18"/>
        </w:rPr>
        <w:t>节</w:t>
      </w:r>
      <w:r>
        <w:rPr>
          <w:b/>
          <w:bCs/>
          <w:sz w:val="21"/>
          <w:szCs w:val="18"/>
        </w:rPr>
        <w:t>接口嵌缝的</w:t>
      </w:r>
      <w:r>
        <w:rPr>
          <w:rFonts w:hint="eastAsia"/>
          <w:b/>
          <w:bCs/>
          <w:sz w:val="21"/>
          <w:szCs w:val="18"/>
        </w:rPr>
        <w:t>厚度和表面粘结力的</w:t>
      </w:r>
      <w:r>
        <w:rPr>
          <w:b/>
          <w:bCs/>
          <w:sz w:val="21"/>
          <w:szCs w:val="18"/>
        </w:rPr>
        <w:t>允许偏差</w:t>
      </w:r>
    </w:p>
    <w:tbl>
      <w:tblPr>
        <w:tblStyle w:val="35"/>
        <w:tblW w:w="7695"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964"/>
        <w:gridCol w:w="1770"/>
        <w:gridCol w:w="4961"/>
      </w:tblGrid>
      <w:tr w14:paraId="6BCC648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964" w:type="dxa"/>
            <w:vAlign w:val="center"/>
          </w:tcPr>
          <w:p w14:paraId="3057C55C">
            <w:pPr>
              <w:spacing w:line="240" w:lineRule="auto"/>
              <w:jc w:val="center"/>
              <w:rPr>
                <w:sz w:val="21"/>
              </w:rPr>
            </w:pPr>
            <w:r>
              <w:rPr>
                <w:sz w:val="21"/>
              </w:rPr>
              <w:t>序号</w:t>
            </w:r>
          </w:p>
        </w:tc>
        <w:tc>
          <w:tcPr>
            <w:tcW w:w="1770" w:type="dxa"/>
            <w:vAlign w:val="center"/>
          </w:tcPr>
          <w:p w14:paraId="7B7195C2">
            <w:pPr>
              <w:spacing w:line="240" w:lineRule="auto"/>
              <w:jc w:val="center"/>
              <w:rPr>
                <w:sz w:val="21"/>
              </w:rPr>
            </w:pPr>
            <w:r>
              <w:rPr>
                <w:sz w:val="21"/>
              </w:rPr>
              <w:t>项目</w:t>
            </w:r>
          </w:p>
        </w:tc>
        <w:tc>
          <w:tcPr>
            <w:tcW w:w="4961" w:type="dxa"/>
            <w:vAlign w:val="center"/>
          </w:tcPr>
          <w:p w14:paraId="1E2DAA6D">
            <w:pPr>
              <w:spacing w:line="240" w:lineRule="auto"/>
              <w:jc w:val="center"/>
              <w:rPr>
                <w:sz w:val="21"/>
              </w:rPr>
            </w:pPr>
            <w:r>
              <w:rPr>
                <w:sz w:val="21"/>
              </w:rPr>
              <w:t>允许偏差</w:t>
            </w:r>
          </w:p>
        </w:tc>
      </w:tr>
      <w:tr w14:paraId="061A73F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964" w:type="dxa"/>
            <w:vAlign w:val="center"/>
          </w:tcPr>
          <w:p w14:paraId="5F0B61E1">
            <w:pPr>
              <w:spacing w:line="240" w:lineRule="auto"/>
              <w:jc w:val="center"/>
              <w:rPr>
                <w:kern w:val="0"/>
                <w:sz w:val="21"/>
              </w:rPr>
            </w:pPr>
            <w:r>
              <w:rPr>
                <w:kern w:val="0"/>
                <w:sz w:val="21"/>
              </w:rPr>
              <w:t>1</w:t>
            </w:r>
          </w:p>
        </w:tc>
        <w:tc>
          <w:tcPr>
            <w:tcW w:w="1770" w:type="dxa"/>
            <w:vAlign w:val="center"/>
          </w:tcPr>
          <w:p w14:paraId="19E4172E">
            <w:pPr>
              <w:spacing w:line="240" w:lineRule="auto"/>
              <w:jc w:val="center"/>
              <w:rPr>
                <w:kern w:val="0"/>
                <w:sz w:val="21"/>
              </w:rPr>
            </w:pPr>
            <w:r>
              <w:rPr>
                <w:kern w:val="0"/>
                <w:sz w:val="21"/>
              </w:rPr>
              <w:t>厚度</w:t>
            </w:r>
          </w:p>
        </w:tc>
        <w:tc>
          <w:tcPr>
            <w:tcW w:w="4961" w:type="dxa"/>
            <w:vAlign w:val="center"/>
          </w:tcPr>
          <w:p w14:paraId="7E824864">
            <w:pPr>
              <w:spacing w:line="240" w:lineRule="auto"/>
              <w:jc w:val="center"/>
              <w:rPr>
                <w:sz w:val="21"/>
              </w:rPr>
            </w:pPr>
            <w:r>
              <w:rPr>
                <w:kern w:val="0"/>
                <w:sz w:val="21"/>
              </w:rPr>
              <w:t>+3mm</w:t>
            </w:r>
          </w:p>
          <w:p w14:paraId="18BC865D">
            <w:pPr>
              <w:spacing w:line="240" w:lineRule="auto"/>
              <w:jc w:val="center"/>
              <w:rPr>
                <w:sz w:val="21"/>
              </w:rPr>
            </w:pPr>
            <w:r>
              <w:rPr>
                <w:sz w:val="21"/>
              </w:rPr>
              <w:t>0</w:t>
            </w:r>
          </w:p>
        </w:tc>
      </w:tr>
      <w:tr w14:paraId="347FC13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964" w:type="dxa"/>
            <w:vAlign w:val="center"/>
          </w:tcPr>
          <w:p w14:paraId="6DF5DF83">
            <w:pPr>
              <w:spacing w:line="240" w:lineRule="auto"/>
              <w:jc w:val="center"/>
              <w:rPr>
                <w:kern w:val="0"/>
                <w:sz w:val="21"/>
              </w:rPr>
            </w:pPr>
            <w:r>
              <w:rPr>
                <w:kern w:val="0"/>
                <w:sz w:val="21"/>
              </w:rPr>
              <w:t>2</w:t>
            </w:r>
          </w:p>
        </w:tc>
        <w:tc>
          <w:tcPr>
            <w:tcW w:w="1770" w:type="dxa"/>
            <w:vAlign w:val="center"/>
          </w:tcPr>
          <w:p w14:paraId="2C212BC3">
            <w:pPr>
              <w:spacing w:line="240" w:lineRule="auto"/>
              <w:jc w:val="center"/>
              <w:rPr>
                <w:kern w:val="0"/>
                <w:sz w:val="21"/>
              </w:rPr>
            </w:pPr>
            <w:r>
              <w:rPr>
                <w:kern w:val="0"/>
                <w:sz w:val="21"/>
              </w:rPr>
              <w:t>与砼表面粘结力</w:t>
            </w:r>
          </w:p>
        </w:tc>
        <w:tc>
          <w:tcPr>
            <w:tcW w:w="4961" w:type="dxa"/>
            <w:vAlign w:val="center"/>
          </w:tcPr>
          <w:p w14:paraId="57C074DB">
            <w:pPr>
              <w:spacing w:line="240" w:lineRule="auto"/>
              <w:rPr>
                <w:kern w:val="0"/>
                <w:sz w:val="21"/>
              </w:rPr>
            </w:pPr>
            <w:r>
              <w:rPr>
                <w:kern w:val="0"/>
                <w:sz w:val="21"/>
              </w:rPr>
              <w:t>将嵌缝密封胶在缝中切断，用手以90°从一端拉起，胶条断裂或粘结剥离有效面积比≥60%为合格</w:t>
            </w:r>
          </w:p>
        </w:tc>
      </w:tr>
    </w:tbl>
    <w:p w14:paraId="61D77128">
      <w:pPr>
        <w:spacing w:line="240" w:lineRule="auto"/>
        <w:ind w:left="775" w:leftChars="184" w:right="451" w:rightChars="188" w:hanging="333" w:hangingChars="185"/>
        <w:rPr>
          <w:sz w:val="18"/>
          <w:szCs w:val="20"/>
        </w:rPr>
      </w:pPr>
      <w:r>
        <w:rPr>
          <w:bCs/>
          <w:sz w:val="18"/>
          <w:szCs w:val="20"/>
        </w:rPr>
        <w:t>注：</w:t>
      </w:r>
      <w:r>
        <w:rPr>
          <w:sz w:val="18"/>
          <w:szCs w:val="20"/>
        </w:rPr>
        <w:t>粘结剥离有效面积比是指密封胶从槽中拉起时，两侧胶面扯裂面积加砼剥离附着面积之和与两侧总面积之比。</w:t>
      </w:r>
    </w:p>
    <w:p w14:paraId="7546FE40">
      <w:pPr>
        <w:spacing w:line="240" w:lineRule="auto"/>
        <w:ind w:left="830" w:leftChars="184" w:right="451" w:rightChars="188" w:hanging="388" w:hangingChars="185"/>
        <w:rPr>
          <w:sz w:val="21"/>
          <w:szCs w:val="20"/>
        </w:rPr>
      </w:pPr>
    </w:p>
    <w:p w14:paraId="437ED346">
      <w:pPr>
        <w:rPr>
          <w:bCs/>
        </w:rPr>
      </w:pPr>
      <w:r>
        <w:rPr>
          <w:b/>
          <w:bCs/>
        </w:rPr>
        <w:t>9.10.</w:t>
      </w:r>
      <w:r>
        <w:rPr>
          <w:rFonts w:hint="eastAsia"/>
          <w:b/>
          <w:bCs/>
        </w:rPr>
        <w:t>7</w:t>
      </w:r>
      <w:r>
        <w:rPr>
          <w:bCs/>
        </w:rPr>
        <w:t>矩形顶管的隧道轴线允许偏差应符合表9.10.</w:t>
      </w:r>
      <w:r>
        <w:rPr>
          <w:rFonts w:hint="eastAsia"/>
          <w:bCs/>
        </w:rPr>
        <w:t>7</w:t>
      </w:r>
      <w:r>
        <w:rPr>
          <w:bCs/>
        </w:rPr>
        <w:t>的规定。</w:t>
      </w:r>
    </w:p>
    <w:p w14:paraId="6F733938">
      <w:pPr>
        <w:ind w:firstLine="480" w:firstLineChars="200"/>
        <w:rPr>
          <w:bCs/>
        </w:rPr>
      </w:pPr>
      <w:r>
        <w:rPr>
          <w:rFonts w:hint="eastAsia"/>
          <w:bCs/>
        </w:rPr>
        <w:t>检验</w:t>
      </w:r>
      <w:r>
        <w:rPr>
          <w:bCs/>
        </w:rPr>
        <w:t>方法：量测。</w:t>
      </w:r>
    </w:p>
    <w:p w14:paraId="54071E30">
      <w:pPr>
        <w:ind w:firstLine="480" w:firstLineChars="200"/>
        <w:rPr>
          <w:bCs/>
        </w:rPr>
      </w:pPr>
      <w:r>
        <w:rPr>
          <w:bCs/>
        </w:rPr>
        <w:t>检查数量：全数检查，每节1点。</w:t>
      </w:r>
    </w:p>
    <w:p w14:paraId="00132185">
      <w:pPr>
        <w:ind w:firstLine="480" w:firstLineChars="200"/>
        <w:rPr>
          <w:bCs/>
        </w:rPr>
      </w:pPr>
    </w:p>
    <w:p w14:paraId="23A50830">
      <w:pPr>
        <w:ind w:firstLine="480" w:firstLineChars="200"/>
        <w:rPr>
          <w:bCs/>
        </w:rPr>
      </w:pPr>
    </w:p>
    <w:p w14:paraId="64F42AAF">
      <w:pPr>
        <w:ind w:firstLine="480" w:firstLineChars="200"/>
        <w:rPr>
          <w:bCs/>
        </w:rPr>
      </w:pPr>
    </w:p>
    <w:p w14:paraId="51355566">
      <w:pPr>
        <w:ind w:right="28"/>
        <w:jc w:val="center"/>
        <w:rPr>
          <w:b/>
          <w:bCs/>
          <w:sz w:val="21"/>
          <w:szCs w:val="18"/>
        </w:rPr>
      </w:pPr>
      <w:r>
        <w:rPr>
          <w:b/>
          <w:bCs/>
          <w:sz w:val="21"/>
          <w:szCs w:val="18"/>
        </w:rPr>
        <w:t>表9.10.</w:t>
      </w:r>
      <w:r>
        <w:rPr>
          <w:rFonts w:hint="eastAsia"/>
          <w:b/>
          <w:bCs/>
          <w:sz w:val="21"/>
          <w:szCs w:val="18"/>
        </w:rPr>
        <w:t>7矩形顶管的隧道轴线</w:t>
      </w:r>
      <w:r>
        <w:rPr>
          <w:b/>
          <w:bCs/>
          <w:sz w:val="21"/>
          <w:szCs w:val="18"/>
        </w:rPr>
        <w:t>允许偏差（mm）</w:t>
      </w:r>
    </w:p>
    <w:tbl>
      <w:tblPr>
        <w:tblStyle w:val="35"/>
        <w:tblW w:w="7233" w:type="dxa"/>
        <w:jc w:val="cente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
      <w:tblGrid>
        <w:gridCol w:w="1894"/>
        <w:gridCol w:w="1909"/>
        <w:gridCol w:w="1825"/>
        <w:gridCol w:w="1605"/>
      </w:tblGrid>
      <w:tr w14:paraId="65E5C420">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1894" w:type="dxa"/>
            <w:vAlign w:val="center"/>
          </w:tcPr>
          <w:p w14:paraId="6087BC33">
            <w:pPr>
              <w:spacing w:line="240" w:lineRule="auto"/>
              <w:jc w:val="center"/>
              <w:rPr>
                <w:sz w:val="21"/>
              </w:rPr>
            </w:pPr>
            <w:r>
              <w:rPr>
                <w:sz w:val="21"/>
              </w:rPr>
              <w:t>顶进长度L</w:t>
            </w:r>
          </w:p>
          <w:p w14:paraId="3E95BFE5">
            <w:pPr>
              <w:spacing w:line="240" w:lineRule="auto"/>
              <w:jc w:val="center"/>
              <w:rPr>
                <w:sz w:val="21"/>
              </w:rPr>
            </w:pPr>
            <w:r>
              <w:rPr>
                <w:sz w:val="21"/>
              </w:rPr>
              <w:t>（m）</w:t>
            </w:r>
          </w:p>
        </w:tc>
        <w:tc>
          <w:tcPr>
            <w:tcW w:w="1909" w:type="dxa"/>
            <w:vAlign w:val="center"/>
          </w:tcPr>
          <w:p w14:paraId="45702F72">
            <w:pPr>
              <w:spacing w:line="240" w:lineRule="auto"/>
              <w:jc w:val="center"/>
              <w:rPr>
                <w:sz w:val="21"/>
              </w:rPr>
            </w:pPr>
            <w:r>
              <w:rPr>
                <w:sz w:val="21"/>
              </w:rPr>
              <w:t>顶管底面高程</w:t>
            </w:r>
          </w:p>
        </w:tc>
        <w:tc>
          <w:tcPr>
            <w:tcW w:w="1825" w:type="dxa"/>
            <w:vAlign w:val="center"/>
          </w:tcPr>
          <w:p w14:paraId="4DF8C82B">
            <w:pPr>
              <w:spacing w:line="240" w:lineRule="auto"/>
              <w:jc w:val="center"/>
              <w:rPr>
                <w:sz w:val="21"/>
              </w:rPr>
            </w:pPr>
            <w:r>
              <w:rPr>
                <w:sz w:val="21"/>
              </w:rPr>
              <w:t>平面</w:t>
            </w:r>
          </w:p>
        </w:tc>
        <w:tc>
          <w:tcPr>
            <w:tcW w:w="1605" w:type="dxa"/>
            <w:vAlign w:val="center"/>
          </w:tcPr>
          <w:p w14:paraId="0FE97D18">
            <w:pPr>
              <w:spacing w:line="240" w:lineRule="auto"/>
              <w:jc w:val="center"/>
              <w:rPr>
                <w:sz w:val="21"/>
              </w:rPr>
            </w:pPr>
            <w:r>
              <w:rPr>
                <w:sz w:val="21"/>
              </w:rPr>
              <w:t>管节旋转</w:t>
            </w:r>
          </w:p>
        </w:tc>
      </w:tr>
      <w:tr w14:paraId="1A2E96A4">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1894" w:type="dxa"/>
            <w:vAlign w:val="center"/>
          </w:tcPr>
          <w:p w14:paraId="45F49182">
            <w:pPr>
              <w:spacing w:line="240" w:lineRule="auto"/>
              <w:jc w:val="center"/>
              <w:rPr>
                <w:sz w:val="21"/>
              </w:rPr>
            </w:pPr>
            <w:r>
              <w:rPr>
                <w:sz w:val="21"/>
              </w:rPr>
              <w:t>&lt;100</w:t>
            </w:r>
          </w:p>
        </w:tc>
        <w:tc>
          <w:tcPr>
            <w:tcW w:w="1909" w:type="dxa"/>
            <w:vAlign w:val="center"/>
          </w:tcPr>
          <w:p w14:paraId="493F5059">
            <w:pPr>
              <w:spacing w:line="240" w:lineRule="auto"/>
              <w:jc w:val="center"/>
              <w:rPr>
                <w:sz w:val="21"/>
              </w:rPr>
            </w:pPr>
            <w:r>
              <w:rPr>
                <w:sz w:val="21"/>
              </w:rPr>
              <w:t>±50</w:t>
            </w:r>
          </w:p>
        </w:tc>
        <w:tc>
          <w:tcPr>
            <w:tcW w:w="1825" w:type="dxa"/>
            <w:vAlign w:val="center"/>
          </w:tcPr>
          <w:p w14:paraId="4963622B">
            <w:pPr>
              <w:spacing w:line="240" w:lineRule="auto"/>
              <w:jc w:val="center"/>
              <w:rPr>
                <w:sz w:val="21"/>
              </w:rPr>
            </w:pPr>
            <w:r>
              <w:rPr>
                <w:sz w:val="21"/>
              </w:rPr>
              <w:t>±80</w:t>
            </w:r>
          </w:p>
        </w:tc>
        <w:tc>
          <w:tcPr>
            <w:tcW w:w="1605" w:type="dxa"/>
            <w:vAlign w:val="center"/>
          </w:tcPr>
          <w:p w14:paraId="3EF7CA11">
            <w:pPr>
              <w:spacing w:line="240" w:lineRule="auto"/>
              <w:jc w:val="center"/>
              <w:rPr>
                <w:sz w:val="21"/>
              </w:rPr>
            </w:pPr>
            <w:r>
              <w:rPr>
                <w:sz w:val="21"/>
              </w:rPr>
              <w:t>±80</w:t>
            </w:r>
          </w:p>
        </w:tc>
      </w:tr>
      <w:tr w14:paraId="46B38EDB">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1894" w:type="dxa"/>
            <w:vAlign w:val="center"/>
          </w:tcPr>
          <w:p w14:paraId="0BD7C333">
            <w:pPr>
              <w:spacing w:line="240" w:lineRule="auto"/>
              <w:jc w:val="center"/>
              <w:rPr>
                <w:sz w:val="21"/>
              </w:rPr>
            </w:pPr>
            <w:r>
              <w:rPr>
                <w:sz w:val="21"/>
              </w:rPr>
              <w:t>100≤</w:t>
            </w:r>
            <w:r>
              <w:rPr>
                <w:i/>
                <w:sz w:val="21"/>
              </w:rPr>
              <w:t>L</w:t>
            </w:r>
            <w:r>
              <w:rPr>
                <w:sz w:val="21"/>
              </w:rPr>
              <w:t>≤</w:t>
            </w:r>
            <w:r>
              <w:rPr>
                <w:i/>
                <w:sz w:val="21"/>
              </w:rPr>
              <w:t>200</w:t>
            </w:r>
          </w:p>
        </w:tc>
        <w:tc>
          <w:tcPr>
            <w:tcW w:w="1909" w:type="dxa"/>
            <w:vAlign w:val="center"/>
          </w:tcPr>
          <w:p w14:paraId="360D3B20">
            <w:pPr>
              <w:spacing w:line="240" w:lineRule="auto"/>
              <w:jc w:val="center"/>
              <w:rPr>
                <w:sz w:val="21"/>
              </w:rPr>
            </w:pPr>
            <w:r>
              <w:rPr>
                <w:sz w:val="21"/>
              </w:rPr>
              <w:t>±80</w:t>
            </w:r>
          </w:p>
        </w:tc>
        <w:tc>
          <w:tcPr>
            <w:tcW w:w="1825" w:type="dxa"/>
            <w:vAlign w:val="center"/>
          </w:tcPr>
          <w:p w14:paraId="753B3C38">
            <w:pPr>
              <w:spacing w:line="240" w:lineRule="auto"/>
              <w:jc w:val="center"/>
              <w:rPr>
                <w:sz w:val="21"/>
              </w:rPr>
            </w:pPr>
            <w:r>
              <w:rPr>
                <w:sz w:val="21"/>
              </w:rPr>
              <w:t>±100</w:t>
            </w:r>
          </w:p>
        </w:tc>
        <w:tc>
          <w:tcPr>
            <w:tcW w:w="1605" w:type="dxa"/>
            <w:vAlign w:val="center"/>
          </w:tcPr>
          <w:p w14:paraId="0D004DCD">
            <w:pPr>
              <w:spacing w:line="240" w:lineRule="auto"/>
              <w:jc w:val="center"/>
              <w:rPr>
                <w:sz w:val="21"/>
              </w:rPr>
            </w:pPr>
            <w:r>
              <w:rPr>
                <w:sz w:val="21"/>
              </w:rPr>
              <w:t>±80</w:t>
            </w:r>
          </w:p>
        </w:tc>
      </w:tr>
      <w:tr w14:paraId="5DB7A87D">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397" w:hRule="atLeast"/>
          <w:jc w:val="center"/>
        </w:trPr>
        <w:tc>
          <w:tcPr>
            <w:tcW w:w="1894" w:type="dxa"/>
            <w:vAlign w:val="center"/>
          </w:tcPr>
          <w:p w14:paraId="45520F88">
            <w:pPr>
              <w:spacing w:line="240" w:lineRule="auto"/>
              <w:jc w:val="center"/>
              <w:rPr>
                <w:sz w:val="21"/>
              </w:rPr>
            </w:pPr>
            <w:r>
              <w:rPr>
                <w:sz w:val="21"/>
              </w:rPr>
              <w:t>&gt;200</w:t>
            </w:r>
          </w:p>
        </w:tc>
        <w:tc>
          <w:tcPr>
            <w:tcW w:w="1909" w:type="dxa"/>
            <w:vAlign w:val="center"/>
          </w:tcPr>
          <w:p w14:paraId="2399B9A6">
            <w:pPr>
              <w:spacing w:line="240" w:lineRule="auto"/>
              <w:jc w:val="center"/>
              <w:rPr>
                <w:sz w:val="21"/>
              </w:rPr>
            </w:pPr>
            <w:r>
              <w:rPr>
                <w:sz w:val="21"/>
              </w:rPr>
              <w:t>±80</w:t>
            </w:r>
          </w:p>
        </w:tc>
        <w:tc>
          <w:tcPr>
            <w:tcW w:w="1825" w:type="dxa"/>
            <w:vAlign w:val="center"/>
          </w:tcPr>
          <w:p w14:paraId="737C0067">
            <w:pPr>
              <w:spacing w:line="240" w:lineRule="auto"/>
              <w:jc w:val="center"/>
              <w:rPr>
                <w:sz w:val="21"/>
              </w:rPr>
            </w:pPr>
            <w:r>
              <w:rPr>
                <w:sz w:val="21"/>
              </w:rPr>
              <w:t>±150</w:t>
            </w:r>
          </w:p>
        </w:tc>
        <w:tc>
          <w:tcPr>
            <w:tcW w:w="1605" w:type="dxa"/>
            <w:vAlign w:val="center"/>
          </w:tcPr>
          <w:p w14:paraId="46FF83C4">
            <w:pPr>
              <w:spacing w:line="240" w:lineRule="auto"/>
              <w:jc w:val="center"/>
              <w:rPr>
                <w:sz w:val="21"/>
              </w:rPr>
            </w:pPr>
            <w:r>
              <w:rPr>
                <w:sz w:val="21"/>
              </w:rPr>
              <w:t>±80</w:t>
            </w:r>
          </w:p>
        </w:tc>
      </w:tr>
    </w:tbl>
    <w:p w14:paraId="663E3E7C">
      <w:pPr>
        <w:ind w:firstLine="810" w:firstLineChars="450"/>
        <w:rPr>
          <w:sz w:val="18"/>
          <w:szCs w:val="20"/>
        </w:rPr>
      </w:pPr>
      <w:r>
        <w:rPr>
          <w:sz w:val="18"/>
          <w:szCs w:val="20"/>
        </w:rPr>
        <w:t>注：管节旋转指截面底板顶面中线高程与单侧角点底板顶面高程差。</w:t>
      </w:r>
    </w:p>
    <w:p w14:paraId="3E36E01B">
      <w:pPr>
        <w:ind w:firstLine="810" w:firstLineChars="450"/>
        <w:rPr>
          <w:sz w:val="18"/>
          <w:szCs w:val="20"/>
        </w:rPr>
      </w:pPr>
    </w:p>
    <w:p w14:paraId="1FFDC0E9">
      <w:pPr>
        <w:ind w:firstLine="810" w:firstLineChars="450"/>
        <w:rPr>
          <w:sz w:val="18"/>
          <w:szCs w:val="20"/>
        </w:rPr>
      </w:pPr>
    </w:p>
    <w:p w14:paraId="4783F221"/>
    <w:p w14:paraId="514F2859">
      <w:pPr>
        <w:ind w:firstLine="480" w:firstLineChars="200"/>
      </w:pPr>
    </w:p>
    <w:p w14:paraId="4F11C8E8">
      <w:pPr>
        <w:ind w:firstLine="480" w:firstLineChars="200"/>
        <w:sectPr>
          <w:pgSz w:w="11850" w:h="16783"/>
          <w:pgMar w:top="1440" w:right="1800" w:bottom="1440" w:left="1800" w:header="720" w:footer="720" w:gutter="0"/>
          <w:cols w:space="720" w:num="1"/>
          <w:docGrid w:linePitch="360" w:charSpace="0"/>
        </w:sectPr>
      </w:pPr>
    </w:p>
    <w:p w14:paraId="0281118F">
      <w:pPr>
        <w:pStyle w:val="2"/>
        <w:rPr>
          <w:rFonts w:cs="Times New Roman"/>
        </w:rPr>
      </w:pPr>
      <w:bookmarkStart w:id="585" w:name="_Toc7681"/>
      <w:bookmarkStart w:id="586" w:name="_Toc18057082"/>
      <w:bookmarkStart w:id="587" w:name="_Toc24401"/>
      <w:bookmarkStart w:id="588" w:name="_Toc24634"/>
      <w:bookmarkStart w:id="589" w:name="_Toc8022"/>
      <w:bookmarkStart w:id="590" w:name="_Toc60172936"/>
      <w:bookmarkStart w:id="591" w:name="_Toc60173823"/>
      <w:bookmarkStart w:id="592" w:name="_Toc15632"/>
      <w:bookmarkStart w:id="593" w:name="_Toc17171"/>
      <w:bookmarkStart w:id="594" w:name="_Toc47692195"/>
      <w:bookmarkStart w:id="595" w:name="_Toc8345"/>
      <w:r>
        <w:rPr>
          <w:rFonts w:cs="Times New Roman"/>
        </w:rPr>
        <w:t>10  工程验收</w:t>
      </w:r>
      <w:bookmarkEnd w:id="585"/>
      <w:bookmarkEnd w:id="586"/>
      <w:bookmarkEnd w:id="587"/>
      <w:bookmarkEnd w:id="588"/>
      <w:bookmarkEnd w:id="589"/>
      <w:bookmarkEnd w:id="590"/>
      <w:bookmarkEnd w:id="591"/>
      <w:bookmarkEnd w:id="592"/>
      <w:bookmarkEnd w:id="593"/>
      <w:bookmarkEnd w:id="594"/>
      <w:bookmarkEnd w:id="595"/>
    </w:p>
    <w:p w14:paraId="752E906B">
      <w:r>
        <w:rPr>
          <w:b/>
          <w:bCs/>
        </w:rPr>
        <w:t xml:space="preserve">10.0.1  </w:t>
      </w:r>
      <w:r>
        <w:t>顶管施工前，施工单位应会同建设单位、质监单位、监理单位确认构成建设项目的单位（子单位）工程、分部（子分部）工程、分项工程和检验批，作为施工质量检验、验收的基础。</w:t>
      </w:r>
    </w:p>
    <w:p w14:paraId="120F6B12">
      <w:pPr>
        <w:rPr>
          <w:rFonts w:eastAsiaTheme="minorEastAsia"/>
          <w:szCs w:val="22"/>
        </w:rPr>
      </w:pPr>
      <w:r>
        <w:rPr>
          <w:b/>
          <w:bCs/>
        </w:rPr>
        <w:t xml:space="preserve">10.0.2  </w:t>
      </w:r>
      <w:r>
        <w:t>单位（子单位）工程</w:t>
      </w:r>
      <w:r>
        <w:rPr>
          <w:rFonts w:eastAsiaTheme="minorEastAsia"/>
          <w:szCs w:val="22"/>
        </w:rPr>
        <w:t>、</w:t>
      </w:r>
      <w:r>
        <w:t>分部（子分部）工程</w:t>
      </w:r>
      <w:r>
        <w:rPr>
          <w:rFonts w:eastAsiaTheme="minorEastAsia"/>
          <w:szCs w:val="22"/>
        </w:rPr>
        <w:t>、分项工程和</w:t>
      </w:r>
      <w:r>
        <w:rPr>
          <w:rFonts w:hint="eastAsia" w:eastAsiaTheme="minorEastAsia"/>
          <w:szCs w:val="22"/>
        </w:rPr>
        <w:t>检验批</w:t>
      </w:r>
      <w:r>
        <w:rPr>
          <w:rFonts w:eastAsiaTheme="minorEastAsia"/>
          <w:szCs w:val="22"/>
        </w:rPr>
        <w:t>的划分可按本规程附录A执行。</w:t>
      </w:r>
    </w:p>
    <w:p w14:paraId="7D3A11C2">
      <w:r>
        <w:rPr>
          <w:b/>
          <w:bCs/>
        </w:rPr>
        <w:t xml:space="preserve">10.0.3 </w:t>
      </w:r>
      <w:r>
        <w:rPr>
          <w:rFonts w:eastAsiaTheme="minorEastAsia"/>
          <w:szCs w:val="22"/>
        </w:rPr>
        <w:t xml:space="preserve"> </w:t>
      </w:r>
      <w:r>
        <w:t>工程施工质量验收应在施工单位自检基础上，</w:t>
      </w:r>
      <w:r>
        <w:rPr>
          <w:rFonts w:hint="eastAsia"/>
        </w:rPr>
        <w:t>按照本规程</w:t>
      </w:r>
      <w:r>
        <w:t>附录B</w:t>
      </w:r>
      <w:r>
        <w:rPr>
          <w:rFonts w:hint="eastAsia"/>
        </w:rPr>
        <w:t>的规定依次填写检验批</w:t>
      </w:r>
      <w:r>
        <w:t>、分项工程、分部（子分部）工程的</w:t>
      </w:r>
      <w:r>
        <w:rPr>
          <w:rFonts w:hint="eastAsia"/>
        </w:rPr>
        <w:t>质量验收记录表，</w:t>
      </w:r>
      <w:r>
        <w:t>并应符合下列规定：</w:t>
      </w:r>
    </w:p>
    <w:p w14:paraId="6D2256AE">
      <w:pPr>
        <w:ind w:firstLine="482" w:firstLineChars="200"/>
      </w:pPr>
      <w:r>
        <w:rPr>
          <w:b/>
          <w:bCs/>
        </w:rPr>
        <w:t>1</w:t>
      </w:r>
      <w:r>
        <w:t xml:space="preserve">  工程施工质量</w:t>
      </w:r>
      <w:r>
        <w:rPr>
          <w:rFonts w:hint="eastAsia"/>
        </w:rPr>
        <w:t>验收</w:t>
      </w:r>
      <w:r>
        <w:t>应符合本规程和相关专业验收规程的规定；</w:t>
      </w:r>
    </w:p>
    <w:p w14:paraId="09F7FBC2">
      <w:pPr>
        <w:ind w:firstLine="482" w:firstLineChars="200"/>
      </w:pPr>
      <w:r>
        <w:rPr>
          <w:b/>
          <w:bCs/>
        </w:rPr>
        <w:t>2</w:t>
      </w:r>
      <w:r>
        <w:t xml:space="preserve">  工程施工质量应满足设计文件的要求；</w:t>
      </w:r>
    </w:p>
    <w:p w14:paraId="29E42C11">
      <w:pPr>
        <w:ind w:firstLine="482" w:firstLineChars="200"/>
      </w:pPr>
      <w:r>
        <w:rPr>
          <w:b/>
          <w:bCs/>
        </w:rPr>
        <w:t>3</w:t>
      </w:r>
      <w:r>
        <w:t xml:space="preserve">  参加工程施工质量验收的各方人员应具备</w:t>
      </w:r>
      <w:r>
        <w:rPr>
          <w:rFonts w:hint="eastAsia"/>
        </w:rPr>
        <w:t>规定</w:t>
      </w:r>
      <w:r>
        <w:t>的资格；</w:t>
      </w:r>
    </w:p>
    <w:p w14:paraId="78460A25">
      <w:pPr>
        <w:ind w:firstLine="482" w:firstLineChars="200"/>
      </w:pPr>
      <w:r>
        <w:rPr>
          <w:b/>
          <w:bCs/>
        </w:rPr>
        <w:t>4</w:t>
      </w:r>
      <w:r>
        <w:t xml:space="preserve">  工程施工质量验收应在施工单位自检合格的基础上进行；</w:t>
      </w:r>
    </w:p>
    <w:p w14:paraId="44006C3C">
      <w:pPr>
        <w:ind w:firstLine="482" w:firstLineChars="200"/>
      </w:pPr>
      <w:r>
        <w:rPr>
          <w:b/>
          <w:bCs/>
        </w:rPr>
        <w:t xml:space="preserve">5 </w:t>
      </w:r>
      <w:r>
        <w:t xml:space="preserve"> 隐蔽工程在隐蔽前应由施工单位通知监理等单位进行验收，并形成验收文件；</w:t>
      </w:r>
    </w:p>
    <w:p w14:paraId="430E5AC6">
      <w:pPr>
        <w:ind w:firstLine="482" w:firstLineChars="200"/>
      </w:pPr>
      <w:r>
        <w:rPr>
          <w:b/>
          <w:bCs/>
        </w:rPr>
        <w:t>6</w:t>
      </w:r>
      <w:r>
        <w:t xml:space="preserve">  涉及结构安全和使用功能的试块、试件和现场检测项目，应进行平行检测或见证取样检测；</w:t>
      </w:r>
    </w:p>
    <w:p w14:paraId="57BD5BA2">
      <w:pPr>
        <w:ind w:firstLine="482" w:firstLineChars="200"/>
      </w:pPr>
      <w:r>
        <w:rPr>
          <w:b/>
          <w:bCs/>
        </w:rPr>
        <w:t>7</w:t>
      </w:r>
      <w:r>
        <w:t xml:space="preserve">  </w:t>
      </w:r>
      <w:r>
        <w:rPr>
          <w:rFonts w:hint="eastAsia"/>
        </w:rPr>
        <w:t>检验批</w:t>
      </w:r>
      <w:r>
        <w:t>的质量应按主控项目和一般项目进行验收；每个检查项目的检查数量，除本规程有关条款有明确规定外，应全数检查；</w:t>
      </w:r>
    </w:p>
    <w:p w14:paraId="6EECD081">
      <w:pPr>
        <w:ind w:firstLine="482" w:firstLineChars="200"/>
      </w:pPr>
      <w:r>
        <w:rPr>
          <w:b/>
          <w:bCs/>
        </w:rPr>
        <w:t>8</w:t>
      </w:r>
      <w:r>
        <w:t xml:space="preserve">  对涉及结构安全和使用功能的分部工程应进行试验或检测；</w:t>
      </w:r>
    </w:p>
    <w:p w14:paraId="039162C5">
      <w:pPr>
        <w:ind w:firstLine="482" w:firstLineChars="200"/>
      </w:pPr>
      <w:r>
        <w:rPr>
          <w:b/>
          <w:bCs/>
        </w:rPr>
        <w:t>9</w:t>
      </w:r>
      <w:r>
        <w:t xml:space="preserve">  外观质量应由质量验收人员通过现场检查共同确认。</w:t>
      </w:r>
    </w:p>
    <w:p w14:paraId="51286B4E">
      <w:r>
        <w:rPr>
          <w:b/>
          <w:bCs/>
        </w:rPr>
        <w:t xml:space="preserve">10.0.4  </w:t>
      </w:r>
      <w:r>
        <w:rPr>
          <w:rFonts w:hint="eastAsia"/>
        </w:rPr>
        <w:t>检验批</w:t>
      </w:r>
      <w:r>
        <w:t>质量验收合格应符合下列规定：</w:t>
      </w:r>
    </w:p>
    <w:p w14:paraId="22E8A65A">
      <w:pPr>
        <w:ind w:firstLine="482" w:firstLineChars="200"/>
      </w:pPr>
      <w:r>
        <w:rPr>
          <w:b/>
          <w:bCs/>
        </w:rPr>
        <w:t>1</w:t>
      </w:r>
      <w:r>
        <w:t xml:space="preserve">  主控项目的质量</w:t>
      </w:r>
      <w:r>
        <w:rPr>
          <w:rFonts w:hint="eastAsia"/>
        </w:rPr>
        <w:t>应</w:t>
      </w:r>
      <w:r>
        <w:t>经抽样检验合格；</w:t>
      </w:r>
    </w:p>
    <w:p w14:paraId="50232137">
      <w:pPr>
        <w:ind w:firstLine="482" w:firstLineChars="200"/>
      </w:pPr>
      <w:r>
        <w:rPr>
          <w:b/>
          <w:bCs/>
        </w:rPr>
        <w:t>2</w:t>
      </w:r>
      <w:r>
        <w:t xml:space="preserve">  一般项目中的允许偏差实测项目</w:t>
      </w:r>
      <w:r>
        <w:rPr>
          <w:rFonts w:hint="eastAsia"/>
        </w:rPr>
        <w:t>，</w:t>
      </w:r>
      <w:r>
        <w:t>抽样检验的合格率应达到80％</w:t>
      </w:r>
      <w:r>
        <w:rPr>
          <w:rFonts w:hint="eastAsia"/>
        </w:rPr>
        <w:t>及以上</w:t>
      </w:r>
      <w:r>
        <w:t>，且</w:t>
      </w:r>
      <w:r>
        <w:rPr>
          <w:rFonts w:hint="eastAsia"/>
        </w:rPr>
        <w:t>抽查</w:t>
      </w:r>
      <w:r>
        <w:t>点的最大偏差值应在允许偏差值的1.5倍范围内；</w:t>
      </w:r>
    </w:p>
    <w:p w14:paraId="7AEA2CAA">
      <w:pPr>
        <w:ind w:firstLine="482" w:firstLineChars="200"/>
      </w:pPr>
      <w:r>
        <w:rPr>
          <w:b/>
          <w:bCs/>
        </w:rPr>
        <w:t>3</w:t>
      </w:r>
      <w:r>
        <w:t xml:space="preserve">  主要工程材料的进场验收和复验应合格，试块、试件检验应合格；</w:t>
      </w:r>
    </w:p>
    <w:p w14:paraId="625BE003">
      <w:pPr>
        <w:ind w:firstLine="482" w:firstLineChars="200"/>
      </w:pPr>
      <w:r>
        <w:rPr>
          <w:b/>
          <w:bCs/>
        </w:rPr>
        <w:t>4</w:t>
      </w:r>
      <w:r>
        <w:t xml:space="preserve">  主要工程材料的质量保证资料及试验检测资料应齐全、正确，并应具有完整的施工操作依据和质量检查记录。</w:t>
      </w:r>
    </w:p>
    <w:p w14:paraId="2EEFE0EE">
      <w:r>
        <w:rPr>
          <w:b/>
          <w:bCs/>
        </w:rPr>
        <w:t xml:space="preserve">10.0.5  </w:t>
      </w:r>
      <w:r>
        <w:t>分项工程质量验收合格应符合下列规定：</w:t>
      </w:r>
    </w:p>
    <w:p w14:paraId="179428F7">
      <w:pPr>
        <w:ind w:firstLine="482" w:firstLineChars="200"/>
      </w:pPr>
      <w:r>
        <w:rPr>
          <w:b/>
          <w:bCs/>
        </w:rPr>
        <w:t>1</w:t>
      </w:r>
      <w:r>
        <w:t xml:space="preserve">  分项工程所含的</w:t>
      </w:r>
      <w:r>
        <w:rPr>
          <w:rFonts w:hint="eastAsia"/>
        </w:rPr>
        <w:t>检验批</w:t>
      </w:r>
      <w:r>
        <w:t>质量验收</w:t>
      </w:r>
      <w:r>
        <w:rPr>
          <w:rFonts w:hint="eastAsia"/>
        </w:rPr>
        <w:t>应</w:t>
      </w:r>
      <w:r>
        <w:t>全部合格；</w:t>
      </w:r>
    </w:p>
    <w:p w14:paraId="7DE14EC2">
      <w:pPr>
        <w:ind w:firstLine="482" w:firstLineChars="200"/>
      </w:pPr>
      <w:r>
        <w:rPr>
          <w:b/>
          <w:bCs/>
        </w:rPr>
        <w:t xml:space="preserve">2 </w:t>
      </w:r>
      <w:r>
        <w:t xml:space="preserve"> 分项工程所含的</w:t>
      </w:r>
      <w:r>
        <w:rPr>
          <w:rFonts w:hint="eastAsia"/>
        </w:rPr>
        <w:t>检验批</w:t>
      </w:r>
      <w:r>
        <w:t>的质量验收记录应完整、正确；有关质量保证资料和试验检测资料应齐全、正确。</w:t>
      </w:r>
    </w:p>
    <w:p w14:paraId="6B7B4A44">
      <w:r>
        <w:rPr>
          <w:b/>
          <w:bCs/>
        </w:rPr>
        <w:t>10.0.6</w:t>
      </w:r>
      <w:r>
        <w:t xml:space="preserve">  分部（子分部）工程质量验收合格应符合下列规定：</w:t>
      </w:r>
    </w:p>
    <w:p w14:paraId="326E638A">
      <w:pPr>
        <w:ind w:firstLine="482" w:firstLineChars="200"/>
      </w:pPr>
      <w:r>
        <w:rPr>
          <w:b/>
          <w:bCs/>
        </w:rPr>
        <w:t>1</w:t>
      </w:r>
      <w:r>
        <w:t xml:space="preserve">  分部（子分部）工程所含分项工程的质量验收</w:t>
      </w:r>
      <w:r>
        <w:rPr>
          <w:rFonts w:hint="eastAsia"/>
        </w:rPr>
        <w:t>应</w:t>
      </w:r>
      <w:r>
        <w:t>全部合格；</w:t>
      </w:r>
    </w:p>
    <w:p w14:paraId="32F99DDB">
      <w:pPr>
        <w:ind w:firstLine="482" w:firstLineChars="200"/>
      </w:pPr>
      <w:r>
        <w:rPr>
          <w:b/>
          <w:bCs/>
        </w:rPr>
        <w:t>2</w:t>
      </w:r>
      <w:r>
        <w:t xml:space="preserve">  质量控制资料应完整；</w:t>
      </w:r>
    </w:p>
    <w:p w14:paraId="53E18B12">
      <w:pPr>
        <w:ind w:firstLine="482" w:firstLineChars="200"/>
      </w:pPr>
      <w:r>
        <w:rPr>
          <w:b/>
          <w:bCs/>
        </w:rPr>
        <w:t>3</w:t>
      </w:r>
      <w:r>
        <w:t xml:space="preserve">  分部（子分部）工程中，地基基础处理、桩基础检测、混凝土强度、混凝土抗渗、水压试验、严密性试验、设备安装调试、阴极保护安装测试、回填压实等的检验和抽样检测结果应符合</w:t>
      </w:r>
      <w:r>
        <w:rPr>
          <w:rFonts w:hint="eastAsia"/>
        </w:rPr>
        <w:t>现行行业标准《建筑地基处理技术规范》JGJ 79和</w:t>
      </w:r>
      <w:r>
        <w:t>本规程有关</w:t>
      </w:r>
      <w:r>
        <w:rPr>
          <w:rFonts w:hint="eastAsia"/>
        </w:rPr>
        <w:t>质量控制方面的</w:t>
      </w:r>
      <w:r>
        <w:t>规定；</w:t>
      </w:r>
    </w:p>
    <w:p w14:paraId="077204A4">
      <w:pPr>
        <w:ind w:firstLine="482" w:firstLineChars="200"/>
      </w:pPr>
      <w:r>
        <w:rPr>
          <w:b/>
          <w:bCs/>
        </w:rPr>
        <w:t>4</w:t>
      </w:r>
      <w:r>
        <w:t xml:space="preserve">  外观质量验收应</w:t>
      </w:r>
      <w:r>
        <w:rPr>
          <w:rFonts w:hint="eastAsia"/>
        </w:rPr>
        <w:t>满足本规程6.7节的有关规定</w:t>
      </w:r>
      <w:r>
        <w:t>。</w:t>
      </w:r>
    </w:p>
    <w:p w14:paraId="685B4386">
      <w:r>
        <w:rPr>
          <w:b/>
          <w:bCs/>
        </w:rPr>
        <w:t xml:space="preserve">10.0.7  </w:t>
      </w:r>
      <w:r>
        <w:t>单位（子单位）工程质量验收合格应符合下列规定：</w:t>
      </w:r>
    </w:p>
    <w:p w14:paraId="2433FD7F">
      <w:pPr>
        <w:ind w:firstLine="482" w:firstLineChars="200"/>
      </w:pPr>
      <w:r>
        <w:rPr>
          <w:b/>
          <w:bCs/>
        </w:rPr>
        <w:t xml:space="preserve">1 </w:t>
      </w:r>
      <w:r>
        <w:t xml:space="preserve"> 单位（子单位）工程所含分部（子分部）工程的质量验收</w:t>
      </w:r>
      <w:r>
        <w:rPr>
          <w:rFonts w:hint="eastAsia"/>
        </w:rPr>
        <w:t>应</w:t>
      </w:r>
      <w:r>
        <w:t>全部合格；</w:t>
      </w:r>
    </w:p>
    <w:p w14:paraId="7D9FEC7E">
      <w:pPr>
        <w:ind w:firstLine="482" w:firstLineChars="200"/>
      </w:pPr>
      <w:r>
        <w:rPr>
          <w:b/>
          <w:bCs/>
        </w:rPr>
        <w:t xml:space="preserve">2 </w:t>
      </w:r>
      <w:r>
        <w:t xml:space="preserve"> 质量控制资料应完整；</w:t>
      </w:r>
    </w:p>
    <w:p w14:paraId="2801246A">
      <w:pPr>
        <w:ind w:firstLine="482" w:firstLineChars="200"/>
      </w:pPr>
      <w:r>
        <w:rPr>
          <w:b/>
          <w:bCs/>
        </w:rPr>
        <w:t>3</w:t>
      </w:r>
      <w:r>
        <w:t xml:space="preserve">  单位（子单位）工程所含分部（子分部）工程有关安全及使用功能的检测资料应完整；</w:t>
      </w:r>
    </w:p>
    <w:p w14:paraId="4405F4C9">
      <w:pPr>
        <w:ind w:firstLine="482" w:firstLineChars="200"/>
      </w:pPr>
      <w:r>
        <w:rPr>
          <w:b/>
          <w:bCs/>
        </w:rPr>
        <w:t xml:space="preserve">4 </w:t>
      </w:r>
      <w:r>
        <w:t xml:space="preserve"> 涉及隧道设备运行、隧道位置及高程等的试验检测、抽查结果以及隧道使用功能试验应符合本规程</w:t>
      </w:r>
      <w:r>
        <w:rPr>
          <w:rFonts w:hint="eastAsia"/>
        </w:rPr>
        <w:t>第9章的有关</w:t>
      </w:r>
      <w:r>
        <w:t>规定；</w:t>
      </w:r>
    </w:p>
    <w:p w14:paraId="2E969E9E">
      <w:pPr>
        <w:ind w:firstLine="482" w:firstLineChars="200"/>
      </w:pPr>
      <w:r>
        <w:rPr>
          <w:b/>
          <w:bCs/>
        </w:rPr>
        <w:t>5</w:t>
      </w:r>
      <w:r>
        <w:t xml:space="preserve">  外观质量验收应</w:t>
      </w:r>
      <w:r>
        <w:rPr>
          <w:rFonts w:hint="eastAsia"/>
        </w:rPr>
        <w:t>符合本规程6.7节的有关规定</w:t>
      </w:r>
      <w:r>
        <w:t>。</w:t>
      </w:r>
    </w:p>
    <w:p w14:paraId="1F86AE8A">
      <w:r>
        <w:rPr>
          <w:b/>
          <w:bCs/>
        </w:rPr>
        <w:t xml:space="preserve">10.0.8  </w:t>
      </w:r>
      <w:r>
        <w:t>工程质量验收不合格时，应按下列规定处理：</w:t>
      </w:r>
    </w:p>
    <w:p w14:paraId="1EF912BB">
      <w:pPr>
        <w:ind w:firstLine="482" w:firstLineChars="200"/>
      </w:pPr>
      <w:r>
        <w:rPr>
          <w:b/>
          <w:bCs/>
        </w:rPr>
        <w:t>1</w:t>
      </w:r>
      <w:r>
        <w:t xml:space="preserve">  经返工重做的</w:t>
      </w:r>
      <w:r>
        <w:rPr>
          <w:rFonts w:hint="eastAsia"/>
        </w:rPr>
        <w:t>检验批</w:t>
      </w:r>
      <w:r>
        <w:t>，应重新进行验收；</w:t>
      </w:r>
    </w:p>
    <w:p w14:paraId="1919569D">
      <w:pPr>
        <w:ind w:firstLine="482" w:firstLineChars="200"/>
      </w:pPr>
      <w:r>
        <w:rPr>
          <w:b/>
          <w:bCs/>
        </w:rPr>
        <w:t>2</w:t>
      </w:r>
      <w:r>
        <w:t xml:space="preserve">  经检测单位检测鉴定能够达到设计要求的</w:t>
      </w:r>
      <w:r>
        <w:rPr>
          <w:rFonts w:hint="eastAsia"/>
        </w:rPr>
        <w:t>检验批</w:t>
      </w:r>
      <w:r>
        <w:t>，应予以验收；</w:t>
      </w:r>
    </w:p>
    <w:p w14:paraId="32991A3C">
      <w:pPr>
        <w:ind w:firstLine="482" w:firstLineChars="200"/>
      </w:pPr>
      <w:r>
        <w:rPr>
          <w:b/>
          <w:bCs/>
        </w:rPr>
        <w:t>3</w:t>
      </w:r>
      <w:r>
        <w:t xml:space="preserve">  经检测单位检测鉴定达不到设计要求，但经原设计单位验算认可，能够满足结构安全和使用功能要求的</w:t>
      </w:r>
      <w:r>
        <w:rPr>
          <w:rFonts w:hint="eastAsia"/>
        </w:rPr>
        <w:t>检验批</w:t>
      </w:r>
      <w:r>
        <w:t>，可予以验收；</w:t>
      </w:r>
    </w:p>
    <w:p w14:paraId="2FAB2342">
      <w:pPr>
        <w:ind w:firstLine="482" w:firstLineChars="200"/>
      </w:pPr>
      <w:r>
        <w:rPr>
          <w:b/>
          <w:bCs/>
        </w:rPr>
        <w:t>4</w:t>
      </w:r>
      <w:r>
        <w:t xml:space="preserve">  经返修或加固处理的分项工程、分部（子分部）工程，虽改变外形尺寸但仍能满足结构安全和使用功能要求，可按技术处理方案文件和协商文件进行验收。</w:t>
      </w:r>
    </w:p>
    <w:p w14:paraId="70DB9690">
      <w:r>
        <w:rPr>
          <w:b/>
          <w:bCs/>
        </w:rPr>
        <w:t xml:space="preserve">10.0.9  </w:t>
      </w:r>
      <w:r>
        <w:t>通过返修或加固处理仍不能满足结构安全或使用功能要求的分部（子分部）工程、单位（子单位）工程，严禁验收。</w:t>
      </w:r>
    </w:p>
    <w:p w14:paraId="5CF4BF04">
      <w:r>
        <w:rPr>
          <w:b/>
          <w:bCs/>
        </w:rPr>
        <w:t>10.0.10</w:t>
      </w:r>
      <w:r>
        <w:t xml:space="preserve">  </w:t>
      </w:r>
      <w:r>
        <w:rPr>
          <w:rFonts w:hint="eastAsia"/>
        </w:rPr>
        <w:t>检验批</w:t>
      </w:r>
      <w:r>
        <w:t>及分项工程应由专业监理工程师组织施工项目的技术负责人或专业质量检查员等进行验收。</w:t>
      </w:r>
    </w:p>
    <w:p w14:paraId="2A747E31">
      <w:r>
        <w:rPr>
          <w:b/>
          <w:bCs/>
        </w:rPr>
        <w:t xml:space="preserve">10.0.11  </w:t>
      </w:r>
      <w:r>
        <w:t>分部（子分部）工程应由专业监理工程师组织施工项目质量负责人、设计和勘察单位工程项目负责人、施工单位技术质量部门负责人等进行验收。</w:t>
      </w:r>
    </w:p>
    <w:p w14:paraId="55CEF063">
      <w:r>
        <w:rPr>
          <w:b/>
          <w:bCs/>
        </w:rPr>
        <w:t xml:space="preserve">10.0.12 </w:t>
      </w:r>
      <w:r>
        <w:t xml:space="preserve"> 单位工程经施工单位自行检验合格后，应由施工单位向建设单位提出验收申请。单位工程</w:t>
      </w:r>
      <w:r>
        <w:rPr>
          <w:rFonts w:hint="eastAsia"/>
        </w:rPr>
        <w:t>由</w:t>
      </w:r>
      <w:r>
        <w:t>分包单位施工时，分包单位应对所承包的工程按本规程的规定进行验收，验收时总承包单位应派人参加；分包工程完成后，应将有关资料移交总承包单位。</w:t>
      </w:r>
    </w:p>
    <w:p w14:paraId="4F3D808D">
      <w:r>
        <w:rPr>
          <w:b/>
          <w:bCs/>
        </w:rPr>
        <w:t xml:space="preserve">10.0.13 </w:t>
      </w:r>
      <w:r>
        <w:t xml:space="preserve"> 对符合竣工验收条件的单位工程，应由建设单位组织验收。施工、勘察、设计、监理等单位等有关负责人以及工程的管理或使用单位有关人员应参加验收。</w:t>
      </w:r>
    </w:p>
    <w:p w14:paraId="7D0A325A">
      <w:r>
        <w:rPr>
          <w:b/>
          <w:bCs/>
        </w:rPr>
        <w:t xml:space="preserve">10.0.14 </w:t>
      </w:r>
      <w:r>
        <w:t xml:space="preserve"> 参加验收各方对工程质量验收意见不一致时，可由工程所在地建设行政主管部门或工程质量监督机构协调解决。</w:t>
      </w:r>
    </w:p>
    <w:p w14:paraId="0CCE23C2">
      <w:r>
        <w:rPr>
          <w:b/>
          <w:bCs/>
        </w:rPr>
        <w:t xml:space="preserve">10.0.15  </w:t>
      </w:r>
      <w:r>
        <w:t>单位工程质量验收合格后，建设单位应将竣工验收报告和有关文件，报工程所在地建设行政主管部门备案。</w:t>
      </w:r>
    </w:p>
    <w:p w14:paraId="1381CA5A">
      <w:r>
        <w:rPr>
          <w:b/>
          <w:bCs/>
        </w:rPr>
        <w:t xml:space="preserve">10.0.16  </w:t>
      </w:r>
      <w:r>
        <w:t>工程竣工验收后，建设单位应将有关文件和技术资料归档。</w:t>
      </w:r>
    </w:p>
    <w:p w14:paraId="2F14AFC1">
      <w:r>
        <w:rPr>
          <w:b/>
          <w:bCs/>
        </w:rPr>
        <w:t xml:space="preserve">10.0.17  </w:t>
      </w:r>
      <w:r>
        <w:t>工程应经过竣工验收合格后，方可投入使用。</w:t>
      </w:r>
    </w:p>
    <w:p w14:paraId="408F81C4">
      <w:pPr>
        <w:rPr>
          <w:rFonts w:eastAsiaTheme="minorEastAsia"/>
          <w:szCs w:val="22"/>
        </w:rPr>
        <w:sectPr>
          <w:pgSz w:w="11850" w:h="16783"/>
          <w:pgMar w:top="1440" w:right="1502" w:bottom="1440" w:left="1800" w:header="720" w:footer="720" w:gutter="0"/>
          <w:cols w:space="720" w:num="1"/>
          <w:docGrid w:linePitch="360" w:charSpace="0"/>
        </w:sectPr>
      </w:pPr>
    </w:p>
    <w:p w14:paraId="2D48FB15">
      <w:pPr>
        <w:pStyle w:val="2"/>
        <w:rPr>
          <w:rFonts w:cs="Times New Roman"/>
        </w:rPr>
      </w:pPr>
      <w:bookmarkStart w:id="596" w:name="_Toc448396209"/>
      <w:bookmarkStart w:id="597" w:name="_Toc7748"/>
      <w:bookmarkStart w:id="598" w:name="_Toc60172937"/>
      <w:bookmarkStart w:id="599" w:name="_Toc60173824"/>
      <w:bookmarkStart w:id="600" w:name="_Toc2182"/>
      <w:bookmarkStart w:id="601" w:name="_Toc21653"/>
      <w:bookmarkStart w:id="602" w:name="_Toc15341"/>
      <w:bookmarkStart w:id="603" w:name="_Toc47692196"/>
      <w:bookmarkStart w:id="604" w:name="_Toc455393095"/>
      <w:bookmarkStart w:id="605" w:name="_Toc303695548"/>
      <w:bookmarkStart w:id="606" w:name="_Toc340513510"/>
      <w:bookmarkStart w:id="607" w:name="_Toc463446196"/>
      <w:bookmarkStart w:id="608" w:name="_Toc335228796"/>
      <w:r>
        <w:rPr>
          <w:rFonts w:cs="Times New Roman"/>
        </w:rPr>
        <w:t>附录A  矩形顶管分部、分项工程和检验批划分</w:t>
      </w:r>
      <w:bookmarkEnd w:id="596"/>
      <w:r>
        <w:rPr>
          <w:rFonts w:cs="Times New Roman"/>
        </w:rPr>
        <w:t>表</w:t>
      </w:r>
      <w:bookmarkEnd w:id="597"/>
      <w:bookmarkEnd w:id="598"/>
      <w:bookmarkEnd w:id="599"/>
      <w:bookmarkEnd w:id="600"/>
      <w:bookmarkEnd w:id="601"/>
      <w:bookmarkEnd w:id="602"/>
      <w:bookmarkEnd w:id="603"/>
    </w:p>
    <w:p w14:paraId="061E142A">
      <w:pPr>
        <w:jc w:val="center"/>
        <w:rPr>
          <w:b/>
          <w:sz w:val="21"/>
          <w:szCs w:val="18"/>
        </w:rPr>
      </w:pPr>
      <w:r>
        <w:rPr>
          <w:b/>
          <w:sz w:val="21"/>
          <w:szCs w:val="18"/>
        </w:rPr>
        <w:t>表A  矩形顶管分部、分项工程和检验批划分表</w:t>
      </w:r>
    </w:p>
    <w:tbl>
      <w:tblPr>
        <w:tblStyle w:val="35"/>
        <w:tblW w:w="7957"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0" w:type="dxa"/>
          <w:bottom w:w="0" w:type="dxa"/>
          <w:right w:w="0" w:type="dxa"/>
        </w:tblCellMar>
      </w:tblPr>
      <w:tblGrid>
        <w:gridCol w:w="1339"/>
        <w:gridCol w:w="2442"/>
        <w:gridCol w:w="2378"/>
        <w:gridCol w:w="1798"/>
      </w:tblGrid>
      <w:tr w14:paraId="182AC0F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532" w:hRule="atLeast"/>
          <w:jc w:val="center"/>
        </w:trPr>
        <w:tc>
          <w:tcPr>
            <w:tcW w:w="1339" w:type="dxa"/>
            <w:tcBorders>
              <w:right w:val="single" w:color="auto" w:sz="4" w:space="0"/>
            </w:tcBorders>
            <w:vAlign w:val="center"/>
          </w:tcPr>
          <w:p w14:paraId="235790A0">
            <w:pPr>
              <w:widowControl/>
              <w:spacing w:line="240" w:lineRule="auto"/>
              <w:jc w:val="center"/>
              <w:rPr>
                <w:sz w:val="21"/>
                <w:szCs w:val="18"/>
              </w:rPr>
            </w:pPr>
            <w:r>
              <w:rPr>
                <w:sz w:val="21"/>
                <w:szCs w:val="18"/>
              </w:rPr>
              <w:t>单位工程</w:t>
            </w:r>
          </w:p>
        </w:tc>
        <w:tc>
          <w:tcPr>
            <w:tcW w:w="2442" w:type="dxa"/>
            <w:tcBorders>
              <w:left w:val="single" w:color="auto" w:sz="4" w:space="0"/>
              <w:right w:val="single" w:color="auto" w:sz="4" w:space="0"/>
            </w:tcBorders>
            <w:vAlign w:val="center"/>
          </w:tcPr>
          <w:p w14:paraId="37CED2FE">
            <w:pPr>
              <w:widowControl/>
              <w:spacing w:line="240" w:lineRule="auto"/>
              <w:jc w:val="center"/>
              <w:rPr>
                <w:sz w:val="21"/>
                <w:szCs w:val="18"/>
              </w:rPr>
            </w:pPr>
            <w:r>
              <w:rPr>
                <w:sz w:val="21"/>
                <w:szCs w:val="18"/>
              </w:rPr>
              <w:t>分部工程（子分部工程）</w:t>
            </w:r>
          </w:p>
        </w:tc>
        <w:tc>
          <w:tcPr>
            <w:tcW w:w="2378" w:type="dxa"/>
            <w:tcBorders>
              <w:left w:val="single" w:color="auto" w:sz="4" w:space="0"/>
            </w:tcBorders>
            <w:vAlign w:val="center"/>
          </w:tcPr>
          <w:p w14:paraId="37441BF3">
            <w:pPr>
              <w:spacing w:line="240" w:lineRule="auto"/>
              <w:jc w:val="center"/>
              <w:rPr>
                <w:sz w:val="21"/>
                <w:szCs w:val="18"/>
              </w:rPr>
            </w:pPr>
            <w:r>
              <w:rPr>
                <w:sz w:val="21"/>
                <w:szCs w:val="18"/>
              </w:rPr>
              <w:t>分项工程</w:t>
            </w:r>
          </w:p>
        </w:tc>
        <w:tc>
          <w:tcPr>
            <w:tcW w:w="1798" w:type="dxa"/>
            <w:vAlign w:val="center"/>
          </w:tcPr>
          <w:p w14:paraId="79B1A810">
            <w:pPr>
              <w:spacing w:line="240" w:lineRule="auto"/>
              <w:jc w:val="center"/>
              <w:rPr>
                <w:sz w:val="21"/>
                <w:szCs w:val="18"/>
              </w:rPr>
            </w:pPr>
            <w:r>
              <w:rPr>
                <w:sz w:val="21"/>
                <w:szCs w:val="18"/>
              </w:rPr>
              <w:t>检验批</w:t>
            </w:r>
          </w:p>
        </w:tc>
      </w:tr>
      <w:tr w14:paraId="1AD6435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397" w:hRule="atLeast"/>
          <w:jc w:val="center"/>
        </w:trPr>
        <w:tc>
          <w:tcPr>
            <w:tcW w:w="1339" w:type="dxa"/>
            <w:vMerge w:val="restart"/>
            <w:vAlign w:val="center"/>
          </w:tcPr>
          <w:p w14:paraId="77B1C885">
            <w:pPr>
              <w:spacing w:line="240" w:lineRule="auto"/>
              <w:jc w:val="center"/>
              <w:rPr>
                <w:sz w:val="21"/>
                <w:szCs w:val="18"/>
              </w:rPr>
            </w:pPr>
            <w:r>
              <w:rPr>
                <w:sz w:val="21"/>
                <w:szCs w:val="18"/>
              </w:rPr>
              <w:t>矩形顶管工程</w:t>
            </w:r>
          </w:p>
        </w:tc>
        <w:tc>
          <w:tcPr>
            <w:tcW w:w="2442" w:type="dxa"/>
            <w:vAlign w:val="center"/>
          </w:tcPr>
          <w:p w14:paraId="200EBEDF">
            <w:pPr>
              <w:spacing w:line="240" w:lineRule="auto"/>
              <w:jc w:val="center"/>
              <w:rPr>
                <w:sz w:val="21"/>
                <w:szCs w:val="18"/>
              </w:rPr>
            </w:pPr>
            <w:r>
              <w:rPr>
                <w:sz w:val="21"/>
                <w:szCs w:val="18"/>
              </w:rPr>
              <w:t>工作井</w:t>
            </w:r>
          </w:p>
        </w:tc>
        <w:tc>
          <w:tcPr>
            <w:tcW w:w="2378" w:type="dxa"/>
            <w:vAlign w:val="center"/>
          </w:tcPr>
          <w:p w14:paraId="4FD0D5B3">
            <w:pPr>
              <w:spacing w:line="240" w:lineRule="auto"/>
              <w:jc w:val="center"/>
              <w:rPr>
                <w:sz w:val="21"/>
                <w:szCs w:val="18"/>
              </w:rPr>
            </w:pPr>
            <w:r>
              <w:rPr>
                <w:sz w:val="21"/>
                <w:szCs w:val="18"/>
              </w:rPr>
              <w:t>工作井围护结构、工作井</w:t>
            </w:r>
          </w:p>
        </w:tc>
        <w:tc>
          <w:tcPr>
            <w:tcW w:w="1798" w:type="dxa"/>
            <w:vAlign w:val="center"/>
          </w:tcPr>
          <w:p w14:paraId="3ECEA341">
            <w:pPr>
              <w:spacing w:line="240" w:lineRule="auto"/>
              <w:jc w:val="center"/>
              <w:rPr>
                <w:sz w:val="21"/>
                <w:szCs w:val="18"/>
              </w:rPr>
            </w:pPr>
            <w:r>
              <w:rPr>
                <w:sz w:val="21"/>
                <w:szCs w:val="18"/>
              </w:rPr>
              <w:t>每座井</w:t>
            </w:r>
          </w:p>
        </w:tc>
      </w:tr>
      <w:tr w14:paraId="74D7B7E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397" w:hRule="atLeast"/>
          <w:jc w:val="center"/>
        </w:trPr>
        <w:tc>
          <w:tcPr>
            <w:tcW w:w="1339" w:type="dxa"/>
            <w:vMerge w:val="continue"/>
            <w:vAlign w:val="center"/>
          </w:tcPr>
          <w:p w14:paraId="0EE26C60">
            <w:pPr>
              <w:spacing w:line="240" w:lineRule="auto"/>
              <w:jc w:val="center"/>
              <w:rPr>
                <w:sz w:val="21"/>
                <w:szCs w:val="18"/>
              </w:rPr>
            </w:pPr>
          </w:p>
        </w:tc>
        <w:tc>
          <w:tcPr>
            <w:tcW w:w="2442" w:type="dxa"/>
            <w:vAlign w:val="center"/>
          </w:tcPr>
          <w:p w14:paraId="3E9E41F8">
            <w:pPr>
              <w:spacing w:line="240" w:lineRule="auto"/>
              <w:jc w:val="center"/>
              <w:rPr>
                <w:sz w:val="21"/>
                <w:szCs w:val="18"/>
              </w:rPr>
            </w:pPr>
            <w:r>
              <w:rPr>
                <w:sz w:val="21"/>
                <w:szCs w:val="18"/>
              </w:rPr>
              <w:t>顶管</w:t>
            </w:r>
          </w:p>
        </w:tc>
        <w:tc>
          <w:tcPr>
            <w:tcW w:w="2378" w:type="dxa"/>
            <w:vAlign w:val="center"/>
          </w:tcPr>
          <w:p w14:paraId="4CFA7048">
            <w:pPr>
              <w:spacing w:line="240" w:lineRule="auto"/>
              <w:jc w:val="center"/>
              <w:rPr>
                <w:sz w:val="21"/>
                <w:szCs w:val="18"/>
              </w:rPr>
            </w:pPr>
            <w:r>
              <w:rPr>
                <w:sz w:val="21"/>
                <w:szCs w:val="18"/>
              </w:rPr>
              <w:t>管道接口连接、钢筋混凝土管管节</w:t>
            </w:r>
          </w:p>
        </w:tc>
        <w:tc>
          <w:tcPr>
            <w:tcW w:w="1798" w:type="dxa"/>
            <w:vAlign w:val="center"/>
          </w:tcPr>
          <w:p w14:paraId="6A7F483C">
            <w:pPr>
              <w:spacing w:line="240" w:lineRule="auto"/>
              <w:jc w:val="center"/>
              <w:rPr>
                <w:sz w:val="21"/>
                <w:szCs w:val="18"/>
              </w:rPr>
            </w:pPr>
            <w:r>
              <w:rPr>
                <w:sz w:val="21"/>
                <w:szCs w:val="18"/>
              </w:rPr>
              <w:t>顶管顶进：每节段；</w:t>
            </w:r>
          </w:p>
        </w:tc>
      </w:tr>
      <w:tr w14:paraId="40A5F43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397" w:hRule="atLeast"/>
          <w:jc w:val="center"/>
        </w:trPr>
        <w:tc>
          <w:tcPr>
            <w:tcW w:w="1339" w:type="dxa"/>
            <w:vMerge w:val="continue"/>
            <w:vAlign w:val="center"/>
          </w:tcPr>
          <w:p w14:paraId="0B97BD86">
            <w:pPr>
              <w:spacing w:line="240" w:lineRule="auto"/>
              <w:jc w:val="center"/>
              <w:rPr>
                <w:sz w:val="21"/>
                <w:szCs w:val="18"/>
              </w:rPr>
            </w:pPr>
          </w:p>
        </w:tc>
        <w:tc>
          <w:tcPr>
            <w:tcW w:w="2442" w:type="dxa"/>
            <w:vAlign w:val="center"/>
          </w:tcPr>
          <w:p w14:paraId="5C337B68">
            <w:pPr>
              <w:spacing w:line="240" w:lineRule="auto"/>
              <w:jc w:val="center"/>
              <w:rPr>
                <w:sz w:val="21"/>
                <w:szCs w:val="18"/>
              </w:rPr>
            </w:pPr>
            <w:r>
              <w:rPr>
                <w:sz w:val="21"/>
                <w:szCs w:val="18"/>
              </w:rPr>
              <w:t>混凝土压重工程</w:t>
            </w:r>
          </w:p>
        </w:tc>
        <w:tc>
          <w:tcPr>
            <w:tcW w:w="2378" w:type="dxa"/>
            <w:vAlign w:val="center"/>
          </w:tcPr>
          <w:p w14:paraId="68285725">
            <w:pPr>
              <w:spacing w:line="240" w:lineRule="auto"/>
              <w:jc w:val="center"/>
              <w:rPr>
                <w:sz w:val="21"/>
                <w:szCs w:val="18"/>
              </w:rPr>
            </w:pPr>
            <w:r>
              <w:rPr>
                <w:sz w:val="21"/>
                <w:szCs w:val="18"/>
              </w:rPr>
              <w:t>混凝土浇筑</w:t>
            </w:r>
          </w:p>
        </w:tc>
        <w:tc>
          <w:tcPr>
            <w:tcW w:w="1798" w:type="dxa"/>
            <w:vAlign w:val="center"/>
          </w:tcPr>
          <w:p w14:paraId="1ABDBA07">
            <w:pPr>
              <w:spacing w:line="240" w:lineRule="auto"/>
              <w:jc w:val="center"/>
              <w:rPr>
                <w:sz w:val="21"/>
                <w:szCs w:val="18"/>
              </w:rPr>
            </w:pPr>
            <w:r>
              <w:rPr>
                <w:sz w:val="21"/>
                <w:szCs w:val="18"/>
              </w:rPr>
              <w:t>每一分段</w:t>
            </w:r>
          </w:p>
        </w:tc>
      </w:tr>
      <w:tr w14:paraId="35AACA2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397" w:hRule="atLeast"/>
          <w:jc w:val="center"/>
        </w:trPr>
        <w:tc>
          <w:tcPr>
            <w:tcW w:w="1339" w:type="dxa"/>
            <w:vMerge w:val="continue"/>
            <w:vAlign w:val="center"/>
          </w:tcPr>
          <w:p w14:paraId="735C1516">
            <w:pPr>
              <w:spacing w:line="240" w:lineRule="auto"/>
              <w:jc w:val="center"/>
              <w:rPr>
                <w:sz w:val="21"/>
                <w:szCs w:val="18"/>
              </w:rPr>
            </w:pPr>
          </w:p>
        </w:tc>
        <w:tc>
          <w:tcPr>
            <w:tcW w:w="2442" w:type="dxa"/>
            <w:vAlign w:val="center"/>
          </w:tcPr>
          <w:p w14:paraId="6204B603">
            <w:pPr>
              <w:spacing w:line="240" w:lineRule="auto"/>
              <w:jc w:val="center"/>
              <w:rPr>
                <w:sz w:val="21"/>
                <w:szCs w:val="18"/>
              </w:rPr>
            </w:pPr>
            <w:r>
              <w:rPr>
                <w:sz w:val="21"/>
                <w:szCs w:val="18"/>
              </w:rPr>
              <w:t>排水工程</w:t>
            </w:r>
          </w:p>
        </w:tc>
        <w:tc>
          <w:tcPr>
            <w:tcW w:w="2378" w:type="dxa"/>
            <w:vAlign w:val="center"/>
          </w:tcPr>
          <w:p w14:paraId="7D5427F6">
            <w:pPr>
              <w:spacing w:line="240" w:lineRule="auto"/>
              <w:jc w:val="center"/>
              <w:rPr>
                <w:sz w:val="21"/>
                <w:szCs w:val="18"/>
              </w:rPr>
            </w:pPr>
            <w:r>
              <w:rPr>
                <w:sz w:val="21"/>
                <w:szCs w:val="18"/>
              </w:rPr>
              <w:t>排水沟渠施工</w:t>
            </w:r>
          </w:p>
        </w:tc>
        <w:tc>
          <w:tcPr>
            <w:tcW w:w="1798" w:type="dxa"/>
            <w:vAlign w:val="center"/>
          </w:tcPr>
          <w:p w14:paraId="457E1559">
            <w:pPr>
              <w:spacing w:line="240" w:lineRule="auto"/>
              <w:jc w:val="center"/>
              <w:rPr>
                <w:sz w:val="21"/>
                <w:szCs w:val="18"/>
              </w:rPr>
            </w:pPr>
            <w:r>
              <w:rPr>
                <w:sz w:val="21"/>
                <w:szCs w:val="18"/>
              </w:rPr>
              <w:t>每一分段</w:t>
            </w:r>
          </w:p>
        </w:tc>
      </w:tr>
      <w:tr w14:paraId="0F7FACA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397" w:hRule="atLeast"/>
          <w:jc w:val="center"/>
        </w:trPr>
        <w:tc>
          <w:tcPr>
            <w:tcW w:w="1339" w:type="dxa"/>
            <w:vMerge w:val="continue"/>
            <w:vAlign w:val="center"/>
          </w:tcPr>
          <w:p w14:paraId="65C914EF">
            <w:pPr>
              <w:spacing w:line="240" w:lineRule="auto"/>
              <w:jc w:val="center"/>
              <w:rPr>
                <w:sz w:val="21"/>
                <w:szCs w:val="18"/>
              </w:rPr>
            </w:pPr>
          </w:p>
        </w:tc>
        <w:tc>
          <w:tcPr>
            <w:tcW w:w="2442" w:type="dxa"/>
            <w:vAlign w:val="center"/>
          </w:tcPr>
          <w:p w14:paraId="33305FC8">
            <w:pPr>
              <w:spacing w:line="240" w:lineRule="auto"/>
              <w:jc w:val="center"/>
              <w:rPr>
                <w:sz w:val="21"/>
                <w:szCs w:val="18"/>
              </w:rPr>
            </w:pPr>
            <w:r>
              <w:rPr>
                <w:sz w:val="21"/>
                <w:szCs w:val="18"/>
              </w:rPr>
              <w:t>沥青路面工程</w:t>
            </w:r>
          </w:p>
        </w:tc>
        <w:tc>
          <w:tcPr>
            <w:tcW w:w="2378" w:type="dxa"/>
            <w:vAlign w:val="center"/>
          </w:tcPr>
          <w:p w14:paraId="08E2667B">
            <w:pPr>
              <w:spacing w:line="240" w:lineRule="auto"/>
              <w:jc w:val="center"/>
              <w:rPr>
                <w:sz w:val="21"/>
                <w:szCs w:val="18"/>
              </w:rPr>
            </w:pPr>
            <w:r>
              <w:rPr>
                <w:sz w:val="21"/>
                <w:szCs w:val="18"/>
              </w:rPr>
              <w:t>沥青路面施工</w:t>
            </w:r>
          </w:p>
        </w:tc>
        <w:tc>
          <w:tcPr>
            <w:tcW w:w="1798" w:type="dxa"/>
            <w:vAlign w:val="center"/>
          </w:tcPr>
          <w:p w14:paraId="42242DA7">
            <w:pPr>
              <w:spacing w:line="240" w:lineRule="auto"/>
              <w:jc w:val="center"/>
              <w:rPr>
                <w:sz w:val="21"/>
                <w:szCs w:val="18"/>
              </w:rPr>
            </w:pPr>
            <w:r>
              <w:rPr>
                <w:sz w:val="21"/>
                <w:szCs w:val="18"/>
              </w:rPr>
              <w:t>每一分段</w:t>
            </w:r>
          </w:p>
        </w:tc>
      </w:tr>
      <w:tr w14:paraId="33C6729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397" w:hRule="atLeast"/>
          <w:jc w:val="center"/>
        </w:trPr>
        <w:tc>
          <w:tcPr>
            <w:tcW w:w="1339" w:type="dxa"/>
            <w:vMerge w:val="continue"/>
            <w:vAlign w:val="center"/>
          </w:tcPr>
          <w:p w14:paraId="273F536F">
            <w:pPr>
              <w:spacing w:line="240" w:lineRule="auto"/>
              <w:jc w:val="center"/>
              <w:rPr>
                <w:sz w:val="21"/>
                <w:szCs w:val="18"/>
              </w:rPr>
            </w:pPr>
          </w:p>
        </w:tc>
        <w:tc>
          <w:tcPr>
            <w:tcW w:w="2442" w:type="dxa"/>
            <w:vAlign w:val="center"/>
          </w:tcPr>
          <w:p w14:paraId="2EC9F72B">
            <w:pPr>
              <w:spacing w:line="240" w:lineRule="auto"/>
              <w:jc w:val="center"/>
              <w:rPr>
                <w:sz w:val="21"/>
                <w:szCs w:val="18"/>
              </w:rPr>
            </w:pPr>
            <w:r>
              <w:rPr>
                <w:sz w:val="21"/>
                <w:szCs w:val="18"/>
              </w:rPr>
              <w:t>装饰工程</w:t>
            </w:r>
          </w:p>
        </w:tc>
        <w:tc>
          <w:tcPr>
            <w:tcW w:w="2378" w:type="dxa"/>
            <w:vAlign w:val="center"/>
          </w:tcPr>
          <w:p w14:paraId="6E798DB7">
            <w:pPr>
              <w:spacing w:line="240" w:lineRule="auto"/>
              <w:jc w:val="center"/>
              <w:rPr>
                <w:sz w:val="21"/>
                <w:szCs w:val="18"/>
              </w:rPr>
            </w:pPr>
            <w:r>
              <w:rPr>
                <w:sz w:val="21"/>
                <w:szCs w:val="18"/>
              </w:rPr>
              <w:t>装饰侧墙、顶板施工</w:t>
            </w:r>
          </w:p>
        </w:tc>
        <w:tc>
          <w:tcPr>
            <w:tcW w:w="1798" w:type="dxa"/>
            <w:vAlign w:val="center"/>
          </w:tcPr>
          <w:p w14:paraId="63F237C2">
            <w:pPr>
              <w:spacing w:line="240" w:lineRule="auto"/>
              <w:jc w:val="center"/>
              <w:rPr>
                <w:sz w:val="21"/>
                <w:szCs w:val="18"/>
              </w:rPr>
            </w:pPr>
            <w:r>
              <w:rPr>
                <w:sz w:val="21"/>
                <w:szCs w:val="18"/>
              </w:rPr>
              <w:t>每一分段</w:t>
            </w:r>
          </w:p>
        </w:tc>
      </w:tr>
      <w:tr w14:paraId="2AF69C8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397" w:hRule="atLeast"/>
          <w:jc w:val="center"/>
        </w:trPr>
        <w:tc>
          <w:tcPr>
            <w:tcW w:w="1339" w:type="dxa"/>
            <w:vMerge w:val="continue"/>
            <w:vAlign w:val="center"/>
          </w:tcPr>
          <w:p w14:paraId="568FF3E8">
            <w:pPr>
              <w:spacing w:line="240" w:lineRule="auto"/>
              <w:jc w:val="center"/>
              <w:rPr>
                <w:sz w:val="21"/>
                <w:szCs w:val="18"/>
              </w:rPr>
            </w:pPr>
          </w:p>
        </w:tc>
        <w:tc>
          <w:tcPr>
            <w:tcW w:w="2442" w:type="dxa"/>
            <w:vAlign w:val="center"/>
          </w:tcPr>
          <w:p w14:paraId="4DFB23C0">
            <w:pPr>
              <w:spacing w:line="240" w:lineRule="auto"/>
              <w:jc w:val="center"/>
              <w:rPr>
                <w:sz w:val="21"/>
                <w:szCs w:val="18"/>
              </w:rPr>
            </w:pPr>
            <w:r>
              <w:rPr>
                <w:sz w:val="21"/>
                <w:szCs w:val="18"/>
              </w:rPr>
              <w:t>机电工程</w:t>
            </w:r>
          </w:p>
        </w:tc>
        <w:tc>
          <w:tcPr>
            <w:tcW w:w="2378" w:type="dxa"/>
            <w:vAlign w:val="center"/>
          </w:tcPr>
          <w:p w14:paraId="2C30905A">
            <w:pPr>
              <w:spacing w:line="240" w:lineRule="auto"/>
              <w:jc w:val="center"/>
              <w:rPr>
                <w:sz w:val="21"/>
                <w:szCs w:val="18"/>
              </w:rPr>
            </w:pPr>
            <w:r>
              <w:rPr>
                <w:sz w:val="21"/>
                <w:szCs w:val="18"/>
              </w:rPr>
              <w:t>机电安装</w:t>
            </w:r>
          </w:p>
        </w:tc>
        <w:tc>
          <w:tcPr>
            <w:tcW w:w="1798" w:type="dxa"/>
            <w:vAlign w:val="center"/>
          </w:tcPr>
          <w:p w14:paraId="68CF76FD">
            <w:pPr>
              <w:spacing w:line="240" w:lineRule="auto"/>
              <w:jc w:val="center"/>
              <w:rPr>
                <w:sz w:val="21"/>
                <w:szCs w:val="18"/>
              </w:rPr>
            </w:pPr>
            <w:r>
              <w:rPr>
                <w:sz w:val="21"/>
                <w:szCs w:val="18"/>
              </w:rPr>
              <w:t>每一设备或设施</w:t>
            </w:r>
          </w:p>
        </w:tc>
      </w:tr>
    </w:tbl>
    <w:p w14:paraId="7647A193">
      <w:pPr>
        <w:ind w:left="1237" w:leftChars="183" w:hanging="798" w:hangingChars="380"/>
        <w:rPr>
          <w:sz w:val="21"/>
          <w:szCs w:val="18"/>
        </w:rPr>
      </w:pPr>
      <w:r>
        <w:rPr>
          <w:sz w:val="21"/>
          <w:szCs w:val="18"/>
        </w:rPr>
        <w:t>注：1  地下铁道矩形顶管工程可按现行国家标准《地下铁道工程施工标准》GB 51310的有关规定执行。</w:t>
      </w:r>
    </w:p>
    <w:p w14:paraId="09948A3C">
      <w:pPr>
        <w:ind w:left="1253" w:leftChars="354" w:hanging="403" w:hangingChars="192"/>
        <w:rPr>
          <w:sz w:val="21"/>
          <w:szCs w:val="18"/>
        </w:rPr>
      </w:pPr>
      <w:r>
        <w:rPr>
          <w:sz w:val="21"/>
          <w:szCs w:val="18"/>
        </w:rPr>
        <w:t>2  人行地道矩形顶管工程可按现行行业标准《城镇道路工程施工与质量验收规范》CJJ 1的有关规定执行。</w:t>
      </w:r>
    </w:p>
    <w:p w14:paraId="3DF043A8">
      <w:pPr>
        <w:ind w:left="1253" w:leftChars="354" w:hanging="403" w:hangingChars="192"/>
        <w:rPr>
          <w:sz w:val="21"/>
          <w:szCs w:val="18"/>
        </w:rPr>
      </w:pPr>
      <w:r>
        <w:rPr>
          <w:sz w:val="21"/>
          <w:szCs w:val="18"/>
        </w:rPr>
        <w:t>3  车行隧道矩形顶管工程可按现行行业标准《城镇道路工程施工与质量验收规范》CJJ 1的有关规定执行。</w:t>
      </w:r>
    </w:p>
    <w:p w14:paraId="0E10A18A"/>
    <w:p w14:paraId="3A4F0A4E">
      <w:pPr>
        <w:rPr>
          <w:b/>
        </w:rPr>
      </w:pPr>
      <w:bookmarkStart w:id="609" w:name="_Toc448396210"/>
    </w:p>
    <w:p w14:paraId="37D1FF48">
      <w:pPr>
        <w:rPr>
          <w:b/>
        </w:rPr>
      </w:pPr>
    </w:p>
    <w:p w14:paraId="13AE3203">
      <w:pPr>
        <w:rPr>
          <w:b/>
        </w:rPr>
        <w:sectPr>
          <w:pgSz w:w="11850" w:h="16783"/>
          <w:pgMar w:top="1440" w:right="1800" w:bottom="1440" w:left="1800" w:header="720" w:footer="720" w:gutter="0"/>
          <w:cols w:space="720" w:num="1"/>
          <w:docGrid w:linePitch="360" w:charSpace="0"/>
        </w:sectPr>
      </w:pPr>
    </w:p>
    <w:p w14:paraId="312162E1">
      <w:pPr>
        <w:pStyle w:val="2"/>
        <w:rPr>
          <w:rFonts w:cs="Times New Roman"/>
        </w:rPr>
      </w:pPr>
      <w:bookmarkStart w:id="610" w:name="_Toc29162"/>
      <w:bookmarkStart w:id="611" w:name="_Toc60172938"/>
      <w:bookmarkStart w:id="612" w:name="_Toc60173825"/>
      <w:bookmarkStart w:id="613" w:name="_Toc16345"/>
      <w:bookmarkStart w:id="614" w:name="_Toc16064"/>
      <w:bookmarkStart w:id="615" w:name="_Toc47692197"/>
      <w:bookmarkStart w:id="616" w:name="_Toc2132"/>
      <w:r>
        <w:rPr>
          <w:rFonts w:cs="Times New Roman"/>
        </w:rPr>
        <w:t>附录B  质量验收记录</w:t>
      </w:r>
      <w:bookmarkEnd w:id="609"/>
      <w:bookmarkEnd w:id="610"/>
      <w:bookmarkEnd w:id="611"/>
      <w:bookmarkEnd w:id="612"/>
      <w:bookmarkEnd w:id="613"/>
      <w:bookmarkEnd w:id="614"/>
      <w:bookmarkEnd w:id="615"/>
      <w:bookmarkEnd w:id="616"/>
    </w:p>
    <w:p w14:paraId="6097F920">
      <w:r>
        <w:rPr>
          <w:b/>
        </w:rPr>
        <w:t xml:space="preserve">B.0.1  </w:t>
      </w:r>
      <w:r>
        <w:t>检验批的质量验收记录</w:t>
      </w:r>
      <w:r>
        <w:rPr>
          <w:rFonts w:hint="eastAsia"/>
        </w:rPr>
        <w:t>应</w:t>
      </w:r>
      <w:r>
        <w:t>由施工项目专业质量检查员填写，检验批应由专业监理工程师或建设项目专业技术负责人组织施工项目专业质量检查员、工长等进行验收，并宜按表B.0.1记录。</w:t>
      </w:r>
    </w:p>
    <w:p w14:paraId="25A6F391">
      <w:pPr>
        <w:jc w:val="center"/>
        <w:rPr>
          <w:b/>
          <w:bCs/>
          <w:sz w:val="21"/>
          <w:szCs w:val="18"/>
        </w:rPr>
      </w:pPr>
      <w:r>
        <w:rPr>
          <w:b/>
          <w:bCs/>
          <w:sz w:val="21"/>
          <w:szCs w:val="18"/>
        </w:rPr>
        <w:t xml:space="preserve">表B.0.1  </w:t>
      </w:r>
      <w:r>
        <w:rPr>
          <w:b/>
          <w:sz w:val="21"/>
          <w:szCs w:val="18"/>
        </w:rPr>
        <w:t>检验批</w:t>
      </w:r>
      <w:r>
        <w:rPr>
          <w:b/>
          <w:bCs/>
          <w:sz w:val="21"/>
          <w:szCs w:val="18"/>
        </w:rPr>
        <w:t>质量验收记录表</w:t>
      </w:r>
    </w:p>
    <w:p w14:paraId="54EE0F3E">
      <w:pPr>
        <w:spacing w:line="240" w:lineRule="auto"/>
        <w:jc w:val="right"/>
        <w:rPr>
          <w:bCs/>
          <w:sz w:val="21"/>
          <w:szCs w:val="18"/>
        </w:rPr>
      </w:pPr>
      <w:r>
        <w:rPr>
          <w:bCs/>
          <w:sz w:val="21"/>
          <w:szCs w:val="18"/>
        </w:rPr>
        <w:t>编号:__________</w:t>
      </w:r>
    </w:p>
    <w:tbl>
      <w:tblPr>
        <w:tblStyle w:val="35"/>
        <w:tblW w:w="8774"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425"/>
        <w:gridCol w:w="1167"/>
        <w:gridCol w:w="704"/>
        <w:gridCol w:w="358"/>
        <w:gridCol w:w="358"/>
        <w:gridCol w:w="359"/>
        <w:gridCol w:w="358"/>
        <w:gridCol w:w="358"/>
        <w:gridCol w:w="181"/>
        <w:gridCol w:w="178"/>
        <w:gridCol w:w="358"/>
        <w:gridCol w:w="358"/>
        <w:gridCol w:w="359"/>
        <w:gridCol w:w="270"/>
        <w:gridCol w:w="88"/>
        <w:gridCol w:w="358"/>
        <w:gridCol w:w="359"/>
        <w:gridCol w:w="287"/>
        <w:gridCol w:w="71"/>
        <w:gridCol w:w="359"/>
        <w:gridCol w:w="910"/>
        <w:gridCol w:w="551"/>
      </w:tblGrid>
      <w:tr w14:paraId="74EA824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92" w:type="dxa"/>
            <w:gridSpan w:val="2"/>
            <w:vAlign w:val="center"/>
          </w:tcPr>
          <w:p w14:paraId="15630476">
            <w:pPr>
              <w:spacing w:line="240" w:lineRule="auto"/>
              <w:jc w:val="center"/>
              <w:rPr>
                <w:sz w:val="21"/>
              </w:rPr>
            </w:pPr>
            <w:r>
              <w:rPr>
                <w:sz w:val="21"/>
              </w:rPr>
              <w:t>工程名称</w:t>
            </w:r>
          </w:p>
        </w:tc>
        <w:tc>
          <w:tcPr>
            <w:tcW w:w="2676" w:type="dxa"/>
            <w:gridSpan w:val="7"/>
            <w:vAlign w:val="center"/>
          </w:tcPr>
          <w:p w14:paraId="4886EB6F">
            <w:pPr>
              <w:spacing w:line="240" w:lineRule="auto"/>
              <w:jc w:val="center"/>
              <w:rPr>
                <w:sz w:val="21"/>
              </w:rPr>
            </w:pPr>
          </w:p>
        </w:tc>
        <w:tc>
          <w:tcPr>
            <w:tcW w:w="1523" w:type="dxa"/>
            <w:gridSpan w:val="5"/>
            <w:vAlign w:val="center"/>
          </w:tcPr>
          <w:p w14:paraId="1DB2EBF8">
            <w:pPr>
              <w:spacing w:line="240" w:lineRule="auto"/>
              <w:jc w:val="center"/>
              <w:rPr>
                <w:sz w:val="21"/>
              </w:rPr>
            </w:pPr>
            <w:r>
              <w:rPr>
                <w:sz w:val="21"/>
              </w:rPr>
              <w:t>分部工程名称</w:t>
            </w:r>
          </w:p>
        </w:tc>
        <w:tc>
          <w:tcPr>
            <w:tcW w:w="1092" w:type="dxa"/>
            <w:gridSpan w:val="4"/>
            <w:vAlign w:val="center"/>
          </w:tcPr>
          <w:p w14:paraId="127EAC13">
            <w:pPr>
              <w:spacing w:line="240" w:lineRule="auto"/>
              <w:jc w:val="center"/>
              <w:rPr>
                <w:sz w:val="21"/>
              </w:rPr>
            </w:pPr>
          </w:p>
        </w:tc>
        <w:tc>
          <w:tcPr>
            <w:tcW w:w="1340" w:type="dxa"/>
            <w:gridSpan w:val="3"/>
            <w:vAlign w:val="center"/>
          </w:tcPr>
          <w:p w14:paraId="3906EB2C">
            <w:pPr>
              <w:spacing w:line="240" w:lineRule="auto"/>
              <w:jc w:val="center"/>
              <w:rPr>
                <w:spacing w:val="-20"/>
                <w:sz w:val="21"/>
              </w:rPr>
            </w:pPr>
            <w:r>
              <w:rPr>
                <w:spacing w:val="-20"/>
                <w:sz w:val="21"/>
              </w:rPr>
              <w:t>分项工程名称</w:t>
            </w:r>
          </w:p>
        </w:tc>
        <w:tc>
          <w:tcPr>
            <w:tcW w:w="551" w:type="dxa"/>
            <w:vAlign w:val="center"/>
          </w:tcPr>
          <w:p w14:paraId="4FB9BDB0">
            <w:pPr>
              <w:spacing w:line="240" w:lineRule="auto"/>
              <w:jc w:val="center"/>
              <w:rPr>
                <w:sz w:val="21"/>
              </w:rPr>
            </w:pPr>
          </w:p>
        </w:tc>
      </w:tr>
      <w:tr w14:paraId="30EB3BE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92" w:type="dxa"/>
            <w:gridSpan w:val="2"/>
            <w:vAlign w:val="center"/>
          </w:tcPr>
          <w:p w14:paraId="5B8DAE13">
            <w:pPr>
              <w:spacing w:line="240" w:lineRule="auto"/>
              <w:jc w:val="center"/>
              <w:rPr>
                <w:sz w:val="21"/>
              </w:rPr>
            </w:pPr>
            <w:r>
              <w:rPr>
                <w:sz w:val="21"/>
              </w:rPr>
              <w:t>施工单位</w:t>
            </w:r>
          </w:p>
        </w:tc>
        <w:tc>
          <w:tcPr>
            <w:tcW w:w="2676" w:type="dxa"/>
            <w:gridSpan w:val="7"/>
            <w:vAlign w:val="center"/>
          </w:tcPr>
          <w:p w14:paraId="291A2266">
            <w:pPr>
              <w:spacing w:line="240" w:lineRule="auto"/>
              <w:jc w:val="center"/>
              <w:rPr>
                <w:sz w:val="21"/>
              </w:rPr>
            </w:pPr>
          </w:p>
        </w:tc>
        <w:tc>
          <w:tcPr>
            <w:tcW w:w="1523" w:type="dxa"/>
            <w:gridSpan w:val="5"/>
            <w:vAlign w:val="center"/>
          </w:tcPr>
          <w:p w14:paraId="740AB924">
            <w:pPr>
              <w:spacing w:line="240" w:lineRule="auto"/>
              <w:jc w:val="center"/>
              <w:rPr>
                <w:sz w:val="21"/>
              </w:rPr>
            </w:pPr>
            <w:r>
              <w:rPr>
                <w:sz w:val="21"/>
              </w:rPr>
              <w:t>项目经理</w:t>
            </w:r>
          </w:p>
        </w:tc>
        <w:tc>
          <w:tcPr>
            <w:tcW w:w="1092" w:type="dxa"/>
            <w:gridSpan w:val="4"/>
            <w:vAlign w:val="center"/>
          </w:tcPr>
          <w:p w14:paraId="1AFA46B3">
            <w:pPr>
              <w:spacing w:line="240" w:lineRule="auto"/>
              <w:jc w:val="center"/>
              <w:rPr>
                <w:sz w:val="21"/>
              </w:rPr>
            </w:pPr>
          </w:p>
        </w:tc>
        <w:tc>
          <w:tcPr>
            <w:tcW w:w="1340" w:type="dxa"/>
            <w:gridSpan w:val="3"/>
            <w:vAlign w:val="center"/>
          </w:tcPr>
          <w:p w14:paraId="2FFFE920">
            <w:pPr>
              <w:spacing w:line="240" w:lineRule="auto"/>
              <w:jc w:val="center"/>
              <w:rPr>
                <w:sz w:val="21"/>
              </w:rPr>
            </w:pPr>
            <w:r>
              <w:rPr>
                <w:sz w:val="21"/>
              </w:rPr>
              <w:t>专业工长</w:t>
            </w:r>
          </w:p>
        </w:tc>
        <w:tc>
          <w:tcPr>
            <w:tcW w:w="551" w:type="dxa"/>
            <w:vAlign w:val="center"/>
          </w:tcPr>
          <w:p w14:paraId="75F1A565">
            <w:pPr>
              <w:spacing w:line="240" w:lineRule="auto"/>
              <w:jc w:val="center"/>
              <w:rPr>
                <w:sz w:val="21"/>
              </w:rPr>
            </w:pPr>
          </w:p>
        </w:tc>
      </w:tr>
      <w:tr w14:paraId="4B477B5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92" w:type="dxa"/>
            <w:gridSpan w:val="2"/>
            <w:vAlign w:val="center"/>
          </w:tcPr>
          <w:p w14:paraId="21260BB8">
            <w:pPr>
              <w:spacing w:line="240" w:lineRule="auto"/>
              <w:jc w:val="center"/>
              <w:rPr>
                <w:spacing w:val="-20"/>
                <w:sz w:val="21"/>
              </w:rPr>
            </w:pPr>
            <w:r>
              <w:rPr>
                <w:spacing w:val="-20"/>
                <w:sz w:val="21"/>
              </w:rPr>
              <w:t>检验批名称、部位</w:t>
            </w:r>
          </w:p>
        </w:tc>
        <w:tc>
          <w:tcPr>
            <w:tcW w:w="7182" w:type="dxa"/>
            <w:gridSpan w:val="20"/>
            <w:vAlign w:val="center"/>
          </w:tcPr>
          <w:p w14:paraId="7D5B097A">
            <w:pPr>
              <w:spacing w:line="240" w:lineRule="auto"/>
              <w:jc w:val="center"/>
              <w:rPr>
                <w:sz w:val="21"/>
              </w:rPr>
            </w:pPr>
          </w:p>
        </w:tc>
      </w:tr>
      <w:tr w14:paraId="46319FA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92" w:type="dxa"/>
            <w:gridSpan w:val="2"/>
            <w:vAlign w:val="center"/>
          </w:tcPr>
          <w:p w14:paraId="0EDFAF32">
            <w:pPr>
              <w:spacing w:line="240" w:lineRule="auto"/>
              <w:jc w:val="center"/>
              <w:rPr>
                <w:sz w:val="21"/>
              </w:rPr>
            </w:pPr>
            <w:r>
              <w:rPr>
                <w:sz w:val="21"/>
              </w:rPr>
              <w:t>专业分包单位</w:t>
            </w:r>
          </w:p>
        </w:tc>
        <w:tc>
          <w:tcPr>
            <w:tcW w:w="2676" w:type="dxa"/>
            <w:gridSpan w:val="7"/>
            <w:vAlign w:val="center"/>
          </w:tcPr>
          <w:p w14:paraId="42861098">
            <w:pPr>
              <w:spacing w:line="240" w:lineRule="auto"/>
              <w:jc w:val="center"/>
              <w:rPr>
                <w:sz w:val="21"/>
              </w:rPr>
            </w:pPr>
          </w:p>
        </w:tc>
        <w:tc>
          <w:tcPr>
            <w:tcW w:w="1523" w:type="dxa"/>
            <w:gridSpan w:val="5"/>
            <w:vAlign w:val="center"/>
          </w:tcPr>
          <w:p w14:paraId="6D517822">
            <w:pPr>
              <w:spacing w:line="240" w:lineRule="auto"/>
              <w:jc w:val="center"/>
              <w:rPr>
                <w:spacing w:val="-20"/>
                <w:sz w:val="21"/>
              </w:rPr>
            </w:pPr>
            <w:r>
              <w:rPr>
                <w:spacing w:val="-20"/>
                <w:sz w:val="21"/>
              </w:rPr>
              <w:t>专业分包项目经理</w:t>
            </w:r>
          </w:p>
        </w:tc>
        <w:tc>
          <w:tcPr>
            <w:tcW w:w="1092" w:type="dxa"/>
            <w:gridSpan w:val="4"/>
            <w:vAlign w:val="center"/>
          </w:tcPr>
          <w:p w14:paraId="4E5ABD58">
            <w:pPr>
              <w:spacing w:line="240" w:lineRule="auto"/>
              <w:jc w:val="center"/>
              <w:rPr>
                <w:sz w:val="21"/>
              </w:rPr>
            </w:pPr>
          </w:p>
        </w:tc>
        <w:tc>
          <w:tcPr>
            <w:tcW w:w="1340" w:type="dxa"/>
            <w:gridSpan w:val="3"/>
            <w:vAlign w:val="center"/>
          </w:tcPr>
          <w:p w14:paraId="2490831B">
            <w:pPr>
              <w:spacing w:line="240" w:lineRule="auto"/>
              <w:jc w:val="center"/>
              <w:rPr>
                <w:sz w:val="21"/>
              </w:rPr>
            </w:pPr>
            <w:r>
              <w:rPr>
                <w:sz w:val="21"/>
              </w:rPr>
              <w:t>施工班组长</w:t>
            </w:r>
          </w:p>
        </w:tc>
        <w:tc>
          <w:tcPr>
            <w:tcW w:w="551" w:type="dxa"/>
            <w:vAlign w:val="center"/>
          </w:tcPr>
          <w:p w14:paraId="1392CF36">
            <w:pPr>
              <w:spacing w:line="240" w:lineRule="auto"/>
              <w:jc w:val="center"/>
              <w:rPr>
                <w:sz w:val="21"/>
              </w:rPr>
            </w:pPr>
          </w:p>
        </w:tc>
      </w:tr>
      <w:tr w14:paraId="429C4F6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25" w:type="dxa"/>
            <w:vMerge w:val="restart"/>
            <w:vAlign w:val="center"/>
          </w:tcPr>
          <w:p w14:paraId="261F0C3E">
            <w:pPr>
              <w:spacing w:line="240" w:lineRule="auto"/>
              <w:rPr>
                <w:sz w:val="21"/>
              </w:rPr>
            </w:pPr>
          </w:p>
          <w:p w14:paraId="5CFBAEA5">
            <w:pPr>
              <w:spacing w:line="240" w:lineRule="auto"/>
              <w:jc w:val="center"/>
              <w:rPr>
                <w:sz w:val="21"/>
              </w:rPr>
            </w:pPr>
            <w:r>
              <w:rPr>
                <w:sz w:val="21"/>
              </w:rPr>
              <w:t>主</w:t>
            </w:r>
          </w:p>
          <w:p w14:paraId="6255B5A5">
            <w:pPr>
              <w:spacing w:line="240" w:lineRule="auto"/>
              <w:jc w:val="center"/>
              <w:rPr>
                <w:sz w:val="21"/>
              </w:rPr>
            </w:pPr>
          </w:p>
          <w:p w14:paraId="7D6F9624">
            <w:pPr>
              <w:spacing w:line="240" w:lineRule="auto"/>
              <w:jc w:val="center"/>
              <w:rPr>
                <w:sz w:val="21"/>
              </w:rPr>
            </w:pPr>
            <w:r>
              <w:rPr>
                <w:sz w:val="21"/>
              </w:rPr>
              <w:t>控</w:t>
            </w:r>
          </w:p>
          <w:p w14:paraId="310C6C94">
            <w:pPr>
              <w:spacing w:line="240" w:lineRule="auto"/>
              <w:jc w:val="center"/>
              <w:rPr>
                <w:sz w:val="21"/>
              </w:rPr>
            </w:pPr>
          </w:p>
          <w:p w14:paraId="07A74B4E">
            <w:pPr>
              <w:spacing w:line="240" w:lineRule="auto"/>
              <w:jc w:val="center"/>
              <w:rPr>
                <w:sz w:val="21"/>
              </w:rPr>
            </w:pPr>
            <w:r>
              <w:rPr>
                <w:sz w:val="21"/>
              </w:rPr>
              <w:t>项</w:t>
            </w:r>
          </w:p>
          <w:p w14:paraId="739D3FF2">
            <w:pPr>
              <w:spacing w:line="240" w:lineRule="auto"/>
              <w:jc w:val="center"/>
              <w:rPr>
                <w:sz w:val="21"/>
              </w:rPr>
            </w:pPr>
          </w:p>
          <w:p w14:paraId="4A57B9CA">
            <w:pPr>
              <w:spacing w:line="240" w:lineRule="auto"/>
              <w:jc w:val="center"/>
              <w:rPr>
                <w:sz w:val="21"/>
              </w:rPr>
            </w:pPr>
            <w:r>
              <w:rPr>
                <w:sz w:val="21"/>
              </w:rPr>
              <w:t>目</w:t>
            </w:r>
          </w:p>
        </w:tc>
        <w:tc>
          <w:tcPr>
            <w:tcW w:w="1871" w:type="dxa"/>
            <w:gridSpan w:val="2"/>
            <w:vAlign w:val="center"/>
          </w:tcPr>
          <w:p w14:paraId="4302D80C">
            <w:pPr>
              <w:spacing w:line="240" w:lineRule="auto"/>
              <w:jc w:val="center"/>
              <w:rPr>
                <w:sz w:val="21"/>
              </w:rPr>
            </w:pPr>
            <w:r>
              <w:rPr>
                <w:sz w:val="21"/>
              </w:rPr>
              <w:t>质量验收规范规定的检查项目及验收标准</w:t>
            </w:r>
          </w:p>
        </w:tc>
        <w:tc>
          <w:tcPr>
            <w:tcW w:w="5017" w:type="dxa"/>
            <w:gridSpan w:val="17"/>
            <w:vAlign w:val="center"/>
          </w:tcPr>
          <w:p w14:paraId="4CF3DD43">
            <w:pPr>
              <w:spacing w:line="240" w:lineRule="auto"/>
              <w:jc w:val="center"/>
              <w:rPr>
                <w:sz w:val="21"/>
              </w:rPr>
            </w:pPr>
            <w:r>
              <w:rPr>
                <w:sz w:val="21"/>
              </w:rPr>
              <w:t>施工单位检查评定记录</w:t>
            </w:r>
          </w:p>
        </w:tc>
        <w:tc>
          <w:tcPr>
            <w:tcW w:w="1461" w:type="dxa"/>
            <w:gridSpan w:val="2"/>
            <w:vAlign w:val="center"/>
          </w:tcPr>
          <w:p w14:paraId="50D5473B">
            <w:pPr>
              <w:spacing w:line="240" w:lineRule="auto"/>
              <w:jc w:val="center"/>
              <w:rPr>
                <w:sz w:val="21"/>
              </w:rPr>
            </w:pPr>
            <w:r>
              <w:rPr>
                <w:sz w:val="21"/>
              </w:rPr>
              <w:t>监理（建设）</w:t>
            </w:r>
          </w:p>
          <w:p w14:paraId="75394429">
            <w:pPr>
              <w:spacing w:line="240" w:lineRule="auto"/>
              <w:jc w:val="center"/>
              <w:rPr>
                <w:sz w:val="21"/>
              </w:rPr>
            </w:pPr>
            <w:r>
              <w:rPr>
                <w:sz w:val="21"/>
              </w:rPr>
              <w:t>单位验收记录</w:t>
            </w:r>
          </w:p>
        </w:tc>
      </w:tr>
      <w:tr w14:paraId="1048AF7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25" w:type="dxa"/>
            <w:vMerge w:val="continue"/>
            <w:vAlign w:val="center"/>
          </w:tcPr>
          <w:p w14:paraId="0B418F93">
            <w:pPr>
              <w:widowControl/>
              <w:spacing w:line="240" w:lineRule="auto"/>
              <w:jc w:val="left"/>
              <w:rPr>
                <w:sz w:val="21"/>
              </w:rPr>
            </w:pPr>
          </w:p>
        </w:tc>
        <w:tc>
          <w:tcPr>
            <w:tcW w:w="1167" w:type="dxa"/>
            <w:vAlign w:val="center"/>
          </w:tcPr>
          <w:p w14:paraId="131C0E5E">
            <w:pPr>
              <w:pStyle w:val="86"/>
              <w:spacing w:line="240" w:lineRule="auto"/>
              <w:rPr>
                <w:sz w:val="21"/>
                <w:szCs w:val="21"/>
              </w:rPr>
            </w:pPr>
            <w:r>
              <w:rPr>
                <w:sz w:val="21"/>
                <w:szCs w:val="21"/>
              </w:rPr>
              <w:t>1</w:t>
            </w:r>
          </w:p>
        </w:tc>
        <w:tc>
          <w:tcPr>
            <w:tcW w:w="704" w:type="dxa"/>
            <w:vAlign w:val="center"/>
          </w:tcPr>
          <w:p w14:paraId="0740E5AE">
            <w:pPr>
              <w:spacing w:line="240" w:lineRule="auto"/>
              <w:jc w:val="center"/>
              <w:rPr>
                <w:sz w:val="21"/>
              </w:rPr>
            </w:pPr>
          </w:p>
        </w:tc>
        <w:tc>
          <w:tcPr>
            <w:tcW w:w="5017" w:type="dxa"/>
            <w:gridSpan w:val="17"/>
            <w:vAlign w:val="center"/>
          </w:tcPr>
          <w:p w14:paraId="48612B27">
            <w:pPr>
              <w:spacing w:line="240" w:lineRule="auto"/>
              <w:jc w:val="center"/>
              <w:rPr>
                <w:sz w:val="21"/>
              </w:rPr>
            </w:pPr>
          </w:p>
        </w:tc>
        <w:tc>
          <w:tcPr>
            <w:tcW w:w="1461" w:type="dxa"/>
            <w:gridSpan w:val="2"/>
            <w:vMerge w:val="restart"/>
            <w:vAlign w:val="center"/>
          </w:tcPr>
          <w:p w14:paraId="6A5958FA">
            <w:pPr>
              <w:spacing w:line="240" w:lineRule="auto"/>
              <w:jc w:val="center"/>
              <w:rPr>
                <w:sz w:val="21"/>
              </w:rPr>
            </w:pPr>
          </w:p>
        </w:tc>
      </w:tr>
      <w:tr w14:paraId="1C208E8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25" w:type="dxa"/>
            <w:vMerge w:val="continue"/>
            <w:vAlign w:val="center"/>
          </w:tcPr>
          <w:p w14:paraId="32BCED56">
            <w:pPr>
              <w:widowControl/>
              <w:spacing w:line="240" w:lineRule="auto"/>
              <w:jc w:val="left"/>
              <w:rPr>
                <w:sz w:val="21"/>
              </w:rPr>
            </w:pPr>
          </w:p>
        </w:tc>
        <w:tc>
          <w:tcPr>
            <w:tcW w:w="1167" w:type="dxa"/>
            <w:vAlign w:val="center"/>
          </w:tcPr>
          <w:p w14:paraId="32F4657A">
            <w:pPr>
              <w:spacing w:line="240" w:lineRule="auto"/>
              <w:rPr>
                <w:sz w:val="21"/>
              </w:rPr>
            </w:pPr>
            <w:r>
              <w:rPr>
                <w:sz w:val="21"/>
              </w:rPr>
              <w:t>2</w:t>
            </w:r>
          </w:p>
        </w:tc>
        <w:tc>
          <w:tcPr>
            <w:tcW w:w="704" w:type="dxa"/>
            <w:vAlign w:val="center"/>
          </w:tcPr>
          <w:p w14:paraId="51781CD7">
            <w:pPr>
              <w:spacing w:line="240" w:lineRule="auto"/>
              <w:jc w:val="center"/>
              <w:rPr>
                <w:sz w:val="21"/>
              </w:rPr>
            </w:pPr>
          </w:p>
        </w:tc>
        <w:tc>
          <w:tcPr>
            <w:tcW w:w="5017" w:type="dxa"/>
            <w:gridSpan w:val="17"/>
            <w:vAlign w:val="center"/>
          </w:tcPr>
          <w:p w14:paraId="2634969D">
            <w:pPr>
              <w:spacing w:line="240" w:lineRule="auto"/>
              <w:jc w:val="center"/>
              <w:rPr>
                <w:sz w:val="21"/>
              </w:rPr>
            </w:pPr>
          </w:p>
        </w:tc>
        <w:tc>
          <w:tcPr>
            <w:tcW w:w="1461" w:type="dxa"/>
            <w:gridSpan w:val="2"/>
            <w:vMerge w:val="continue"/>
            <w:vAlign w:val="center"/>
          </w:tcPr>
          <w:p w14:paraId="37D60EEB">
            <w:pPr>
              <w:widowControl/>
              <w:spacing w:line="240" w:lineRule="auto"/>
              <w:jc w:val="left"/>
              <w:rPr>
                <w:sz w:val="21"/>
              </w:rPr>
            </w:pPr>
          </w:p>
        </w:tc>
      </w:tr>
      <w:tr w14:paraId="4F758F0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25" w:type="dxa"/>
            <w:vMerge w:val="continue"/>
            <w:vAlign w:val="center"/>
          </w:tcPr>
          <w:p w14:paraId="0312B965">
            <w:pPr>
              <w:widowControl/>
              <w:spacing w:line="240" w:lineRule="auto"/>
              <w:jc w:val="left"/>
              <w:rPr>
                <w:sz w:val="21"/>
              </w:rPr>
            </w:pPr>
          </w:p>
        </w:tc>
        <w:tc>
          <w:tcPr>
            <w:tcW w:w="1167" w:type="dxa"/>
            <w:vAlign w:val="center"/>
          </w:tcPr>
          <w:p w14:paraId="4C93959A">
            <w:pPr>
              <w:spacing w:line="240" w:lineRule="auto"/>
              <w:rPr>
                <w:sz w:val="21"/>
              </w:rPr>
            </w:pPr>
            <w:r>
              <w:rPr>
                <w:sz w:val="21"/>
              </w:rPr>
              <w:t>3</w:t>
            </w:r>
          </w:p>
        </w:tc>
        <w:tc>
          <w:tcPr>
            <w:tcW w:w="704" w:type="dxa"/>
            <w:vAlign w:val="center"/>
          </w:tcPr>
          <w:p w14:paraId="14A23BCF">
            <w:pPr>
              <w:spacing w:line="240" w:lineRule="auto"/>
              <w:jc w:val="center"/>
              <w:rPr>
                <w:sz w:val="21"/>
              </w:rPr>
            </w:pPr>
          </w:p>
        </w:tc>
        <w:tc>
          <w:tcPr>
            <w:tcW w:w="5017" w:type="dxa"/>
            <w:gridSpan w:val="17"/>
            <w:vAlign w:val="center"/>
          </w:tcPr>
          <w:p w14:paraId="3049148B">
            <w:pPr>
              <w:spacing w:line="240" w:lineRule="auto"/>
              <w:jc w:val="center"/>
              <w:rPr>
                <w:sz w:val="21"/>
              </w:rPr>
            </w:pPr>
          </w:p>
        </w:tc>
        <w:tc>
          <w:tcPr>
            <w:tcW w:w="1461" w:type="dxa"/>
            <w:gridSpan w:val="2"/>
            <w:vMerge w:val="continue"/>
            <w:vAlign w:val="center"/>
          </w:tcPr>
          <w:p w14:paraId="4AF8264D">
            <w:pPr>
              <w:widowControl/>
              <w:spacing w:line="240" w:lineRule="auto"/>
              <w:jc w:val="left"/>
              <w:rPr>
                <w:sz w:val="21"/>
              </w:rPr>
            </w:pPr>
          </w:p>
        </w:tc>
      </w:tr>
      <w:tr w14:paraId="22E037C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25" w:type="dxa"/>
            <w:vMerge w:val="continue"/>
            <w:vAlign w:val="center"/>
          </w:tcPr>
          <w:p w14:paraId="0451001E">
            <w:pPr>
              <w:widowControl/>
              <w:spacing w:line="240" w:lineRule="auto"/>
              <w:jc w:val="left"/>
              <w:rPr>
                <w:sz w:val="21"/>
              </w:rPr>
            </w:pPr>
          </w:p>
        </w:tc>
        <w:tc>
          <w:tcPr>
            <w:tcW w:w="1167" w:type="dxa"/>
            <w:vAlign w:val="center"/>
          </w:tcPr>
          <w:p w14:paraId="5161C3AB">
            <w:pPr>
              <w:spacing w:line="240" w:lineRule="auto"/>
              <w:rPr>
                <w:sz w:val="21"/>
              </w:rPr>
            </w:pPr>
            <w:r>
              <w:rPr>
                <w:sz w:val="21"/>
              </w:rPr>
              <w:t>4</w:t>
            </w:r>
          </w:p>
        </w:tc>
        <w:tc>
          <w:tcPr>
            <w:tcW w:w="704" w:type="dxa"/>
            <w:vAlign w:val="center"/>
          </w:tcPr>
          <w:p w14:paraId="2061713E">
            <w:pPr>
              <w:spacing w:line="240" w:lineRule="auto"/>
              <w:jc w:val="center"/>
              <w:rPr>
                <w:sz w:val="21"/>
              </w:rPr>
            </w:pPr>
          </w:p>
        </w:tc>
        <w:tc>
          <w:tcPr>
            <w:tcW w:w="5017" w:type="dxa"/>
            <w:gridSpan w:val="17"/>
            <w:vAlign w:val="center"/>
          </w:tcPr>
          <w:p w14:paraId="173D7B7F">
            <w:pPr>
              <w:spacing w:line="240" w:lineRule="auto"/>
              <w:jc w:val="center"/>
              <w:rPr>
                <w:sz w:val="21"/>
              </w:rPr>
            </w:pPr>
          </w:p>
        </w:tc>
        <w:tc>
          <w:tcPr>
            <w:tcW w:w="1461" w:type="dxa"/>
            <w:gridSpan w:val="2"/>
            <w:vMerge w:val="continue"/>
            <w:vAlign w:val="center"/>
          </w:tcPr>
          <w:p w14:paraId="1F040071">
            <w:pPr>
              <w:widowControl/>
              <w:spacing w:line="240" w:lineRule="auto"/>
              <w:jc w:val="left"/>
              <w:rPr>
                <w:sz w:val="21"/>
              </w:rPr>
            </w:pPr>
          </w:p>
        </w:tc>
      </w:tr>
      <w:tr w14:paraId="1C550CA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25" w:type="dxa"/>
            <w:vMerge w:val="continue"/>
            <w:vAlign w:val="center"/>
          </w:tcPr>
          <w:p w14:paraId="6F19B31A">
            <w:pPr>
              <w:widowControl/>
              <w:spacing w:line="240" w:lineRule="auto"/>
              <w:jc w:val="left"/>
              <w:rPr>
                <w:sz w:val="21"/>
              </w:rPr>
            </w:pPr>
          </w:p>
        </w:tc>
        <w:tc>
          <w:tcPr>
            <w:tcW w:w="1167" w:type="dxa"/>
            <w:vAlign w:val="center"/>
          </w:tcPr>
          <w:p w14:paraId="7A10B4D4">
            <w:pPr>
              <w:spacing w:line="240" w:lineRule="auto"/>
              <w:rPr>
                <w:sz w:val="21"/>
              </w:rPr>
            </w:pPr>
            <w:r>
              <w:rPr>
                <w:sz w:val="21"/>
              </w:rPr>
              <w:t>5</w:t>
            </w:r>
          </w:p>
        </w:tc>
        <w:tc>
          <w:tcPr>
            <w:tcW w:w="704" w:type="dxa"/>
            <w:vAlign w:val="center"/>
          </w:tcPr>
          <w:p w14:paraId="3E5A35F7">
            <w:pPr>
              <w:spacing w:line="240" w:lineRule="auto"/>
              <w:jc w:val="center"/>
              <w:rPr>
                <w:sz w:val="21"/>
              </w:rPr>
            </w:pPr>
          </w:p>
        </w:tc>
        <w:tc>
          <w:tcPr>
            <w:tcW w:w="358" w:type="dxa"/>
            <w:vAlign w:val="center"/>
          </w:tcPr>
          <w:p w14:paraId="652D836F">
            <w:pPr>
              <w:spacing w:line="240" w:lineRule="auto"/>
              <w:jc w:val="center"/>
              <w:rPr>
                <w:sz w:val="21"/>
              </w:rPr>
            </w:pPr>
          </w:p>
        </w:tc>
        <w:tc>
          <w:tcPr>
            <w:tcW w:w="358" w:type="dxa"/>
            <w:vAlign w:val="center"/>
          </w:tcPr>
          <w:p w14:paraId="0AD5384F">
            <w:pPr>
              <w:spacing w:line="240" w:lineRule="auto"/>
              <w:jc w:val="center"/>
              <w:rPr>
                <w:sz w:val="21"/>
              </w:rPr>
            </w:pPr>
          </w:p>
        </w:tc>
        <w:tc>
          <w:tcPr>
            <w:tcW w:w="359" w:type="dxa"/>
            <w:vAlign w:val="center"/>
          </w:tcPr>
          <w:p w14:paraId="2387EC12">
            <w:pPr>
              <w:spacing w:line="240" w:lineRule="auto"/>
              <w:jc w:val="center"/>
              <w:rPr>
                <w:sz w:val="21"/>
              </w:rPr>
            </w:pPr>
          </w:p>
        </w:tc>
        <w:tc>
          <w:tcPr>
            <w:tcW w:w="358" w:type="dxa"/>
            <w:vAlign w:val="center"/>
          </w:tcPr>
          <w:p w14:paraId="583F2720">
            <w:pPr>
              <w:spacing w:line="240" w:lineRule="auto"/>
              <w:jc w:val="center"/>
              <w:rPr>
                <w:sz w:val="21"/>
              </w:rPr>
            </w:pPr>
          </w:p>
        </w:tc>
        <w:tc>
          <w:tcPr>
            <w:tcW w:w="358" w:type="dxa"/>
            <w:vAlign w:val="center"/>
          </w:tcPr>
          <w:p w14:paraId="71EEC14E">
            <w:pPr>
              <w:spacing w:line="240" w:lineRule="auto"/>
              <w:jc w:val="center"/>
              <w:rPr>
                <w:sz w:val="21"/>
              </w:rPr>
            </w:pPr>
          </w:p>
        </w:tc>
        <w:tc>
          <w:tcPr>
            <w:tcW w:w="359" w:type="dxa"/>
            <w:gridSpan w:val="2"/>
            <w:vAlign w:val="center"/>
          </w:tcPr>
          <w:p w14:paraId="71333C8D">
            <w:pPr>
              <w:spacing w:line="240" w:lineRule="auto"/>
              <w:jc w:val="center"/>
              <w:rPr>
                <w:sz w:val="21"/>
              </w:rPr>
            </w:pPr>
          </w:p>
        </w:tc>
        <w:tc>
          <w:tcPr>
            <w:tcW w:w="358" w:type="dxa"/>
            <w:vAlign w:val="center"/>
          </w:tcPr>
          <w:p w14:paraId="0EF44F2D">
            <w:pPr>
              <w:spacing w:line="240" w:lineRule="auto"/>
              <w:jc w:val="center"/>
              <w:rPr>
                <w:sz w:val="21"/>
              </w:rPr>
            </w:pPr>
          </w:p>
        </w:tc>
        <w:tc>
          <w:tcPr>
            <w:tcW w:w="358" w:type="dxa"/>
            <w:vAlign w:val="center"/>
          </w:tcPr>
          <w:p w14:paraId="167A69A5">
            <w:pPr>
              <w:spacing w:line="240" w:lineRule="auto"/>
              <w:jc w:val="center"/>
              <w:rPr>
                <w:sz w:val="21"/>
              </w:rPr>
            </w:pPr>
          </w:p>
        </w:tc>
        <w:tc>
          <w:tcPr>
            <w:tcW w:w="359" w:type="dxa"/>
            <w:vAlign w:val="center"/>
          </w:tcPr>
          <w:p w14:paraId="4D20A30D">
            <w:pPr>
              <w:spacing w:line="240" w:lineRule="auto"/>
              <w:jc w:val="center"/>
              <w:rPr>
                <w:sz w:val="21"/>
              </w:rPr>
            </w:pPr>
          </w:p>
        </w:tc>
        <w:tc>
          <w:tcPr>
            <w:tcW w:w="358" w:type="dxa"/>
            <w:gridSpan w:val="2"/>
            <w:vAlign w:val="center"/>
          </w:tcPr>
          <w:p w14:paraId="241E10E6">
            <w:pPr>
              <w:spacing w:line="240" w:lineRule="auto"/>
              <w:jc w:val="center"/>
              <w:rPr>
                <w:sz w:val="21"/>
              </w:rPr>
            </w:pPr>
          </w:p>
        </w:tc>
        <w:tc>
          <w:tcPr>
            <w:tcW w:w="358" w:type="dxa"/>
            <w:vAlign w:val="center"/>
          </w:tcPr>
          <w:p w14:paraId="085CA865">
            <w:pPr>
              <w:spacing w:line="240" w:lineRule="auto"/>
              <w:jc w:val="center"/>
              <w:rPr>
                <w:sz w:val="21"/>
              </w:rPr>
            </w:pPr>
          </w:p>
        </w:tc>
        <w:tc>
          <w:tcPr>
            <w:tcW w:w="359" w:type="dxa"/>
            <w:vAlign w:val="center"/>
          </w:tcPr>
          <w:p w14:paraId="4A7E3B0E">
            <w:pPr>
              <w:spacing w:line="240" w:lineRule="auto"/>
              <w:jc w:val="center"/>
              <w:rPr>
                <w:sz w:val="21"/>
              </w:rPr>
            </w:pPr>
          </w:p>
        </w:tc>
        <w:tc>
          <w:tcPr>
            <w:tcW w:w="358" w:type="dxa"/>
            <w:gridSpan w:val="2"/>
            <w:vAlign w:val="center"/>
          </w:tcPr>
          <w:p w14:paraId="3F0EEC69">
            <w:pPr>
              <w:spacing w:line="240" w:lineRule="auto"/>
              <w:jc w:val="center"/>
              <w:rPr>
                <w:sz w:val="21"/>
              </w:rPr>
            </w:pPr>
          </w:p>
        </w:tc>
        <w:tc>
          <w:tcPr>
            <w:tcW w:w="359" w:type="dxa"/>
            <w:vAlign w:val="center"/>
          </w:tcPr>
          <w:p w14:paraId="2CF04E59">
            <w:pPr>
              <w:spacing w:line="240" w:lineRule="auto"/>
              <w:jc w:val="center"/>
              <w:rPr>
                <w:sz w:val="21"/>
              </w:rPr>
            </w:pPr>
          </w:p>
        </w:tc>
        <w:tc>
          <w:tcPr>
            <w:tcW w:w="1461" w:type="dxa"/>
            <w:gridSpan w:val="2"/>
            <w:vAlign w:val="center"/>
          </w:tcPr>
          <w:p w14:paraId="32EBFA99">
            <w:pPr>
              <w:widowControl/>
              <w:spacing w:line="240" w:lineRule="auto"/>
              <w:jc w:val="left"/>
              <w:rPr>
                <w:sz w:val="21"/>
              </w:rPr>
            </w:pPr>
            <w:r>
              <w:rPr>
                <w:sz w:val="21"/>
              </w:rPr>
              <w:t>合格率</w:t>
            </w:r>
          </w:p>
        </w:tc>
      </w:tr>
      <w:tr w14:paraId="1E34C57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25" w:type="dxa"/>
            <w:vMerge w:val="continue"/>
            <w:vAlign w:val="center"/>
          </w:tcPr>
          <w:p w14:paraId="27EBBC55">
            <w:pPr>
              <w:widowControl/>
              <w:spacing w:line="240" w:lineRule="auto"/>
              <w:jc w:val="left"/>
              <w:rPr>
                <w:sz w:val="21"/>
              </w:rPr>
            </w:pPr>
          </w:p>
        </w:tc>
        <w:tc>
          <w:tcPr>
            <w:tcW w:w="1167" w:type="dxa"/>
            <w:vAlign w:val="center"/>
          </w:tcPr>
          <w:p w14:paraId="34E3205A">
            <w:pPr>
              <w:pStyle w:val="86"/>
              <w:spacing w:line="240" w:lineRule="auto"/>
              <w:rPr>
                <w:sz w:val="21"/>
                <w:szCs w:val="21"/>
              </w:rPr>
            </w:pPr>
            <w:r>
              <w:rPr>
                <w:sz w:val="21"/>
                <w:szCs w:val="21"/>
              </w:rPr>
              <w:t>6</w:t>
            </w:r>
          </w:p>
        </w:tc>
        <w:tc>
          <w:tcPr>
            <w:tcW w:w="704" w:type="dxa"/>
            <w:vAlign w:val="center"/>
          </w:tcPr>
          <w:p w14:paraId="28CF8DDA">
            <w:pPr>
              <w:spacing w:line="240" w:lineRule="auto"/>
              <w:jc w:val="center"/>
              <w:rPr>
                <w:sz w:val="21"/>
              </w:rPr>
            </w:pPr>
          </w:p>
        </w:tc>
        <w:tc>
          <w:tcPr>
            <w:tcW w:w="358" w:type="dxa"/>
            <w:vAlign w:val="center"/>
          </w:tcPr>
          <w:p w14:paraId="07A9861D">
            <w:pPr>
              <w:spacing w:line="240" w:lineRule="auto"/>
              <w:jc w:val="center"/>
              <w:rPr>
                <w:sz w:val="21"/>
              </w:rPr>
            </w:pPr>
          </w:p>
        </w:tc>
        <w:tc>
          <w:tcPr>
            <w:tcW w:w="358" w:type="dxa"/>
            <w:vAlign w:val="center"/>
          </w:tcPr>
          <w:p w14:paraId="4F1B6841">
            <w:pPr>
              <w:spacing w:line="240" w:lineRule="auto"/>
              <w:jc w:val="center"/>
              <w:rPr>
                <w:sz w:val="21"/>
              </w:rPr>
            </w:pPr>
          </w:p>
        </w:tc>
        <w:tc>
          <w:tcPr>
            <w:tcW w:w="359" w:type="dxa"/>
            <w:vAlign w:val="center"/>
          </w:tcPr>
          <w:p w14:paraId="26F51C4B">
            <w:pPr>
              <w:spacing w:line="240" w:lineRule="auto"/>
              <w:jc w:val="center"/>
              <w:rPr>
                <w:sz w:val="21"/>
              </w:rPr>
            </w:pPr>
          </w:p>
        </w:tc>
        <w:tc>
          <w:tcPr>
            <w:tcW w:w="358" w:type="dxa"/>
            <w:vAlign w:val="center"/>
          </w:tcPr>
          <w:p w14:paraId="5DF4D214">
            <w:pPr>
              <w:spacing w:line="240" w:lineRule="auto"/>
              <w:jc w:val="center"/>
              <w:rPr>
                <w:sz w:val="21"/>
              </w:rPr>
            </w:pPr>
          </w:p>
        </w:tc>
        <w:tc>
          <w:tcPr>
            <w:tcW w:w="358" w:type="dxa"/>
            <w:vAlign w:val="center"/>
          </w:tcPr>
          <w:p w14:paraId="44CE422D">
            <w:pPr>
              <w:spacing w:line="240" w:lineRule="auto"/>
              <w:jc w:val="center"/>
              <w:rPr>
                <w:sz w:val="21"/>
              </w:rPr>
            </w:pPr>
          </w:p>
        </w:tc>
        <w:tc>
          <w:tcPr>
            <w:tcW w:w="359" w:type="dxa"/>
            <w:gridSpan w:val="2"/>
            <w:vAlign w:val="center"/>
          </w:tcPr>
          <w:p w14:paraId="6C2FBA4F">
            <w:pPr>
              <w:spacing w:line="240" w:lineRule="auto"/>
              <w:jc w:val="center"/>
              <w:rPr>
                <w:sz w:val="21"/>
              </w:rPr>
            </w:pPr>
          </w:p>
        </w:tc>
        <w:tc>
          <w:tcPr>
            <w:tcW w:w="358" w:type="dxa"/>
            <w:vAlign w:val="center"/>
          </w:tcPr>
          <w:p w14:paraId="6246BFE1">
            <w:pPr>
              <w:spacing w:line="240" w:lineRule="auto"/>
              <w:jc w:val="center"/>
              <w:rPr>
                <w:sz w:val="21"/>
              </w:rPr>
            </w:pPr>
          </w:p>
        </w:tc>
        <w:tc>
          <w:tcPr>
            <w:tcW w:w="358" w:type="dxa"/>
            <w:vAlign w:val="center"/>
          </w:tcPr>
          <w:p w14:paraId="5FD37D52">
            <w:pPr>
              <w:spacing w:line="240" w:lineRule="auto"/>
              <w:jc w:val="center"/>
              <w:rPr>
                <w:sz w:val="21"/>
              </w:rPr>
            </w:pPr>
          </w:p>
        </w:tc>
        <w:tc>
          <w:tcPr>
            <w:tcW w:w="359" w:type="dxa"/>
            <w:vAlign w:val="center"/>
          </w:tcPr>
          <w:p w14:paraId="238DE328">
            <w:pPr>
              <w:spacing w:line="240" w:lineRule="auto"/>
              <w:jc w:val="center"/>
              <w:rPr>
                <w:sz w:val="21"/>
              </w:rPr>
            </w:pPr>
          </w:p>
        </w:tc>
        <w:tc>
          <w:tcPr>
            <w:tcW w:w="358" w:type="dxa"/>
            <w:gridSpan w:val="2"/>
            <w:vAlign w:val="center"/>
          </w:tcPr>
          <w:p w14:paraId="1B7DBF6A">
            <w:pPr>
              <w:spacing w:line="240" w:lineRule="auto"/>
              <w:jc w:val="center"/>
              <w:rPr>
                <w:sz w:val="21"/>
              </w:rPr>
            </w:pPr>
          </w:p>
        </w:tc>
        <w:tc>
          <w:tcPr>
            <w:tcW w:w="358" w:type="dxa"/>
            <w:vAlign w:val="center"/>
          </w:tcPr>
          <w:p w14:paraId="42D5517A">
            <w:pPr>
              <w:spacing w:line="240" w:lineRule="auto"/>
              <w:jc w:val="center"/>
              <w:rPr>
                <w:sz w:val="21"/>
              </w:rPr>
            </w:pPr>
          </w:p>
        </w:tc>
        <w:tc>
          <w:tcPr>
            <w:tcW w:w="359" w:type="dxa"/>
            <w:vAlign w:val="center"/>
          </w:tcPr>
          <w:p w14:paraId="7EF6B38E">
            <w:pPr>
              <w:spacing w:line="240" w:lineRule="auto"/>
              <w:jc w:val="center"/>
              <w:rPr>
                <w:sz w:val="21"/>
              </w:rPr>
            </w:pPr>
          </w:p>
        </w:tc>
        <w:tc>
          <w:tcPr>
            <w:tcW w:w="358" w:type="dxa"/>
            <w:gridSpan w:val="2"/>
            <w:vAlign w:val="center"/>
          </w:tcPr>
          <w:p w14:paraId="09D6ED3B">
            <w:pPr>
              <w:spacing w:line="240" w:lineRule="auto"/>
              <w:jc w:val="center"/>
              <w:rPr>
                <w:sz w:val="21"/>
              </w:rPr>
            </w:pPr>
          </w:p>
        </w:tc>
        <w:tc>
          <w:tcPr>
            <w:tcW w:w="359" w:type="dxa"/>
            <w:vAlign w:val="center"/>
          </w:tcPr>
          <w:p w14:paraId="15A366F9">
            <w:pPr>
              <w:spacing w:line="240" w:lineRule="auto"/>
              <w:jc w:val="center"/>
              <w:rPr>
                <w:sz w:val="21"/>
              </w:rPr>
            </w:pPr>
          </w:p>
        </w:tc>
        <w:tc>
          <w:tcPr>
            <w:tcW w:w="1461" w:type="dxa"/>
            <w:gridSpan w:val="2"/>
            <w:vAlign w:val="center"/>
          </w:tcPr>
          <w:p w14:paraId="279CCCDA">
            <w:pPr>
              <w:widowControl/>
              <w:spacing w:line="240" w:lineRule="auto"/>
              <w:jc w:val="left"/>
              <w:rPr>
                <w:sz w:val="21"/>
              </w:rPr>
            </w:pPr>
            <w:r>
              <w:rPr>
                <w:sz w:val="21"/>
              </w:rPr>
              <w:t>合格率</w:t>
            </w:r>
          </w:p>
        </w:tc>
      </w:tr>
      <w:tr w14:paraId="271AED5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25" w:type="dxa"/>
            <w:vMerge w:val="restart"/>
            <w:vAlign w:val="center"/>
          </w:tcPr>
          <w:p w14:paraId="2302AA48">
            <w:pPr>
              <w:spacing w:line="240" w:lineRule="auto"/>
              <w:jc w:val="center"/>
              <w:rPr>
                <w:sz w:val="21"/>
              </w:rPr>
            </w:pPr>
          </w:p>
          <w:p w14:paraId="3411EEF1">
            <w:pPr>
              <w:spacing w:line="240" w:lineRule="auto"/>
              <w:jc w:val="center"/>
              <w:rPr>
                <w:sz w:val="21"/>
              </w:rPr>
            </w:pPr>
            <w:r>
              <w:rPr>
                <w:sz w:val="21"/>
              </w:rPr>
              <w:t>一</w:t>
            </w:r>
          </w:p>
          <w:p w14:paraId="1ADBE1BF">
            <w:pPr>
              <w:spacing w:line="240" w:lineRule="auto"/>
              <w:jc w:val="center"/>
              <w:rPr>
                <w:sz w:val="21"/>
              </w:rPr>
            </w:pPr>
          </w:p>
          <w:p w14:paraId="27021D24">
            <w:pPr>
              <w:spacing w:line="240" w:lineRule="auto"/>
              <w:jc w:val="center"/>
              <w:rPr>
                <w:sz w:val="21"/>
              </w:rPr>
            </w:pPr>
            <w:r>
              <w:rPr>
                <w:sz w:val="21"/>
              </w:rPr>
              <w:t>般</w:t>
            </w:r>
          </w:p>
          <w:p w14:paraId="38FEBF27">
            <w:pPr>
              <w:spacing w:line="240" w:lineRule="auto"/>
              <w:jc w:val="center"/>
              <w:rPr>
                <w:sz w:val="21"/>
              </w:rPr>
            </w:pPr>
          </w:p>
          <w:p w14:paraId="40746138">
            <w:pPr>
              <w:spacing w:line="240" w:lineRule="auto"/>
              <w:jc w:val="center"/>
              <w:rPr>
                <w:sz w:val="21"/>
              </w:rPr>
            </w:pPr>
            <w:r>
              <w:rPr>
                <w:sz w:val="21"/>
              </w:rPr>
              <w:t>项</w:t>
            </w:r>
          </w:p>
          <w:p w14:paraId="43D29621">
            <w:pPr>
              <w:spacing w:line="240" w:lineRule="auto"/>
              <w:jc w:val="center"/>
              <w:rPr>
                <w:sz w:val="21"/>
              </w:rPr>
            </w:pPr>
          </w:p>
          <w:p w14:paraId="11ECB2E7">
            <w:pPr>
              <w:spacing w:line="240" w:lineRule="auto"/>
              <w:jc w:val="center"/>
              <w:rPr>
                <w:sz w:val="21"/>
              </w:rPr>
            </w:pPr>
            <w:r>
              <w:rPr>
                <w:sz w:val="21"/>
              </w:rPr>
              <w:t>目</w:t>
            </w:r>
          </w:p>
        </w:tc>
        <w:tc>
          <w:tcPr>
            <w:tcW w:w="1167" w:type="dxa"/>
            <w:vAlign w:val="center"/>
          </w:tcPr>
          <w:p w14:paraId="339C1983">
            <w:pPr>
              <w:spacing w:line="240" w:lineRule="auto"/>
              <w:rPr>
                <w:sz w:val="21"/>
              </w:rPr>
            </w:pPr>
            <w:r>
              <w:rPr>
                <w:sz w:val="21"/>
              </w:rPr>
              <w:t>1</w:t>
            </w:r>
          </w:p>
        </w:tc>
        <w:tc>
          <w:tcPr>
            <w:tcW w:w="704" w:type="dxa"/>
            <w:vAlign w:val="center"/>
          </w:tcPr>
          <w:p w14:paraId="6C546F95">
            <w:pPr>
              <w:spacing w:line="240" w:lineRule="auto"/>
              <w:jc w:val="center"/>
              <w:rPr>
                <w:sz w:val="21"/>
              </w:rPr>
            </w:pPr>
          </w:p>
        </w:tc>
        <w:tc>
          <w:tcPr>
            <w:tcW w:w="5017" w:type="dxa"/>
            <w:gridSpan w:val="17"/>
            <w:vAlign w:val="center"/>
          </w:tcPr>
          <w:p w14:paraId="07E50160">
            <w:pPr>
              <w:spacing w:line="240" w:lineRule="auto"/>
              <w:jc w:val="center"/>
              <w:rPr>
                <w:sz w:val="21"/>
              </w:rPr>
            </w:pPr>
          </w:p>
        </w:tc>
        <w:tc>
          <w:tcPr>
            <w:tcW w:w="1461" w:type="dxa"/>
            <w:gridSpan w:val="2"/>
            <w:vMerge w:val="restart"/>
            <w:vAlign w:val="center"/>
          </w:tcPr>
          <w:p w14:paraId="1D77ED52">
            <w:pPr>
              <w:widowControl/>
              <w:spacing w:line="240" w:lineRule="auto"/>
              <w:jc w:val="left"/>
              <w:rPr>
                <w:sz w:val="21"/>
              </w:rPr>
            </w:pPr>
          </w:p>
        </w:tc>
      </w:tr>
      <w:tr w14:paraId="750E16D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25" w:type="dxa"/>
            <w:vMerge w:val="continue"/>
            <w:vAlign w:val="center"/>
          </w:tcPr>
          <w:p w14:paraId="5B1C96FC">
            <w:pPr>
              <w:widowControl/>
              <w:spacing w:line="240" w:lineRule="auto"/>
              <w:jc w:val="left"/>
              <w:rPr>
                <w:sz w:val="21"/>
              </w:rPr>
            </w:pPr>
          </w:p>
        </w:tc>
        <w:tc>
          <w:tcPr>
            <w:tcW w:w="1167" w:type="dxa"/>
            <w:vAlign w:val="center"/>
          </w:tcPr>
          <w:p w14:paraId="64225FD2">
            <w:pPr>
              <w:pStyle w:val="86"/>
              <w:spacing w:line="240" w:lineRule="auto"/>
              <w:rPr>
                <w:sz w:val="21"/>
                <w:szCs w:val="21"/>
              </w:rPr>
            </w:pPr>
            <w:r>
              <w:rPr>
                <w:sz w:val="21"/>
                <w:szCs w:val="21"/>
              </w:rPr>
              <w:t>2</w:t>
            </w:r>
          </w:p>
        </w:tc>
        <w:tc>
          <w:tcPr>
            <w:tcW w:w="704" w:type="dxa"/>
            <w:vAlign w:val="center"/>
          </w:tcPr>
          <w:p w14:paraId="2123E339">
            <w:pPr>
              <w:spacing w:line="240" w:lineRule="auto"/>
              <w:jc w:val="center"/>
              <w:rPr>
                <w:sz w:val="21"/>
              </w:rPr>
            </w:pPr>
          </w:p>
        </w:tc>
        <w:tc>
          <w:tcPr>
            <w:tcW w:w="5017" w:type="dxa"/>
            <w:gridSpan w:val="17"/>
            <w:vAlign w:val="center"/>
          </w:tcPr>
          <w:p w14:paraId="4AED91B8">
            <w:pPr>
              <w:spacing w:line="240" w:lineRule="auto"/>
              <w:jc w:val="center"/>
              <w:rPr>
                <w:sz w:val="21"/>
              </w:rPr>
            </w:pPr>
          </w:p>
        </w:tc>
        <w:tc>
          <w:tcPr>
            <w:tcW w:w="1461" w:type="dxa"/>
            <w:gridSpan w:val="2"/>
            <w:vMerge w:val="continue"/>
            <w:vAlign w:val="center"/>
          </w:tcPr>
          <w:p w14:paraId="3F166195">
            <w:pPr>
              <w:widowControl/>
              <w:spacing w:line="240" w:lineRule="auto"/>
              <w:jc w:val="left"/>
              <w:rPr>
                <w:sz w:val="21"/>
              </w:rPr>
            </w:pPr>
          </w:p>
        </w:tc>
      </w:tr>
      <w:tr w14:paraId="3D3FE93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25" w:type="dxa"/>
            <w:vMerge w:val="continue"/>
            <w:vAlign w:val="center"/>
          </w:tcPr>
          <w:p w14:paraId="15106DF9">
            <w:pPr>
              <w:widowControl/>
              <w:spacing w:line="240" w:lineRule="auto"/>
              <w:jc w:val="left"/>
              <w:rPr>
                <w:sz w:val="21"/>
              </w:rPr>
            </w:pPr>
          </w:p>
        </w:tc>
        <w:tc>
          <w:tcPr>
            <w:tcW w:w="1167" w:type="dxa"/>
            <w:vAlign w:val="center"/>
          </w:tcPr>
          <w:p w14:paraId="302BFF32">
            <w:pPr>
              <w:spacing w:line="240" w:lineRule="auto"/>
              <w:rPr>
                <w:sz w:val="21"/>
              </w:rPr>
            </w:pPr>
            <w:r>
              <w:rPr>
                <w:sz w:val="21"/>
              </w:rPr>
              <w:t>3</w:t>
            </w:r>
          </w:p>
        </w:tc>
        <w:tc>
          <w:tcPr>
            <w:tcW w:w="704" w:type="dxa"/>
            <w:vAlign w:val="center"/>
          </w:tcPr>
          <w:p w14:paraId="01EE06A6">
            <w:pPr>
              <w:spacing w:line="240" w:lineRule="auto"/>
              <w:jc w:val="center"/>
              <w:rPr>
                <w:sz w:val="21"/>
              </w:rPr>
            </w:pPr>
          </w:p>
        </w:tc>
        <w:tc>
          <w:tcPr>
            <w:tcW w:w="5017" w:type="dxa"/>
            <w:gridSpan w:val="17"/>
            <w:vAlign w:val="center"/>
          </w:tcPr>
          <w:p w14:paraId="05F46589">
            <w:pPr>
              <w:spacing w:line="240" w:lineRule="auto"/>
              <w:jc w:val="center"/>
              <w:rPr>
                <w:sz w:val="21"/>
              </w:rPr>
            </w:pPr>
          </w:p>
        </w:tc>
        <w:tc>
          <w:tcPr>
            <w:tcW w:w="1461" w:type="dxa"/>
            <w:gridSpan w:val="2"/>
            <w:vMerge w:val="continue"/>
            <w:vAlign w:val="center"/>
          </w:tcPr>
          <w:p w14:paraId="27F99FA2">
            <w:pPr>
              <w:widowControl/>
              <w:spacing w:line="240" w:lineRule="auto"/>
              <w:jc w:val="left"/>
              <w:rPr>
                <w:sz w:val="21"/>
              </w:rPr>
            </w:pPr>
          </w:p>
        </w:tc>
      </w:tr>
      <w:tr w14:paraId="03C8C63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25" w:type="dxa"/>
            <w:vMerge w:val="continue"/>
            <w:vAlign w:val="center"/>
          </w:tcPr>
          <w:p w14:paraId="7CDE18F6">
            <w:pPr>
              <w:widowControl/>
              <w:spacing w:line="240" w:lineRule="auto"/>
              <w:jc w:val="left"/>
              <w:rPr>
                <w:sz w:val="21"/>
              </w:rPr>
            </w:pPr>
          </w:p>
        </w:tc>
        <w:tc>
          <w:tcPr>
            <w:tcW w:w="1167" w:type="dxa"/>
            <w:vAlign w:val="center"/>
          </w:tcPr>
          <w:p w14:paraId="446D1BBC">
            <w:pPr>
              <w:spacing w:line="240" w:lineRule="auto"/>
              <w:rPr>
                <w:sz w:val="21"/>
              </w:rPr>
            </w:pPr>
            <w:r>
              <w:rPr>
                <w:sz w:val="21"/>
              </w:rPr>
              <w:t>4</w:t>
            </w:r>
          </w:p>
        </w:tc>
        <w:tc>
          <w:tcPr>
            <w:tcW w:w="704" w:type="dxa"/>
            <w:vAlign w:val="center"/>
          </w:tcPr>
          <w:p w14:paraId="6ECE771A">
            <w:pPr>
              <w:spacing w:line="240" w:lineRule="auto"/>
              <w:jc w:val="center"/>
              <w:rPr>
                <w:sz w:val="21"/>
              </w:rPr>
            </w:pPr>
          </w:p>
        </w:tc>
        <w:tc>
          <w:tcPr>
            <w:tcW w:w="358" w:type="dxa"/>
            <w:vAlign w:val="center"/>
          </w:tcPr>
          <w:p w14:paraId="483A1B56">
            <w:pPr>
              <w:spacing w:line="240" w:lineRule="auto"/>
              <w:jc w:val="center"/>
              <w:rPr>
                <w:sz w:val="21"/>
              </w:rPr>
            </w:pPr>
          </w:p>
        </w:tc>
        <w:tc>
          <w:tcPr>
            <w:tcW w:w="358" w:type="dxa"/>
            <w:vAlign w:val="center"/>
          </w:tcPr>
          <w:p w14:paraId="5D4F8F1D">
            <w:pPr>
              <w:spacing w:line="240" w:lineRule="auto"/>
              <w:jc w:val="center"/>
              <w:rPr>
                <w:sz w:val="21"/>
              </w:rPr>
            </w:pPr>
          </w:p>
        </w:tc>
        <w:tc>
          <w:tcPr>
            <w:tcW w:w="359" w:type="dxa"/>
            <w:vAlign w:val="center"/>
          </w:tcPr>
          <w:p w14:paraId="43D97B79">
            <w:pPr>
              <w:spacing w:line="240" w:lineRule="auto"/>
              <w:jc w:val="center"/>
              <w:rPr>
                <w:sz w:val="21"/>
              </w:rPr>
            </w:pPr>
          </w:p>
        </w:tc>
        <w:tc>
          <w:tcPr>
            <w:tcW w:w="358" w:type="dxa"/>
            <w:vAlign w:val="center"/>
          </w:tcPr>
          <w:p w14:paraId="0F60E34A">
            <w:pPr>
              <w:spacing w:line="240" w:lineRule="auto"/>
              <w:jc w:val="center"/>
              <w:rPr>
                <w:sz w:val="21"/>
              </w:rPr>
            </w:pPr>
          </w:p>
        </w:tc>
        <w:tc>
          <w:tcPr>
            <w:tcW w:w="358" w:type="dxa"/>
            <w:vAlign w:val="center"/>
          </w:tcPr>
          <w:p w14:paraId="230F4015">
            <w:pPr>
              <w:spacing w:line="240" w:lineRule="auto"/>
              <w:jc w:val="center"/>
              <w:rPr>
                <w:sz w:val="21"/>
              </w:rPr>
            </w:pPr>
          </w:p>
        </w:tc>
        <w:tc>
          <w:tcPr>
            <w:tcW w:w="359" w:type="dxa"/>
            <w:gridSpan w:val="2"/>
            <w:vAlign w:val="center"/>
          </w:tcPr>
          <w:p w14:paraId="26A2921A">
            <w:pPr>
              <w:spacing w:line="240" w:lineRule="auto"/>
              <w:jc w:val="center"/>
              <w:rPr>
                <w:sz w:val="21"/>
              </w:rPr>
            </w:pPr>
          </w:p>
        </w:tc>
        <w:tc>
          <w:tcPr>
            <w:tcW w:w="358" w:type="dxa"/>
            <w:vAlign w:val="center"/>
          </w:tcPr>
          <w:p w14:paraId="4130AAA5">
            <w:pPr>
              <w:spacing w:line="240" w:lineRule="auto"/>
              <w:jc w:val="center"/>
              <w:rPr>
                <w:sz w:val="21"/>
              </w:rPr>
            </w:pPr>
          </w:p>
        </w:tc>
        <w:tc>
          <w:tcPr>
            <w:tcW w:w="358" w:type="dxa"/>
            <w:vAlign w:val="center"/>
          </w:tcPr>
          <w:p w14:paraId="36C25589">
            <w:pPr>
              <w:spacing w:line="240" w:lineRule="auto"/>
              <w:jc w:val="center"/>
              <w:rPr>
                <w:sz w:val="21"/>
              </w:rPr>
            </w:pPr>
          </w:p>
        </w:tc>
        <w:tc>
          <w:tcPr>
            <w:tcW w:w="359" w:type="dxa"/>
            <w:vAlign w:val="center"/>
          </w:tcPr>
          <w:p w14:paraId="5A0FB4C3">
            <w:pPr>
              <w:spacing w:line="240" w:lineRule="auto"/>
              <w:jc w:val="center"/>
              <w:rPr>
                <w:sz w:val="21"/>
              </w:rPr>
            </w:pPr>
          </w:p>
        </w:tc>
        <w:tc>
          <w:tcPr>
            <w:tcW w:w="358" w:type="dxa"/>
            <w:gridSpan w:val="2"/>
            <w:vAlign w:val="center"/>
          </w:tcPr>
          <w:p w14:paraId="310CE9D3">
            <w:pPr>
              <w:spacing w:line="240" w:lineRule="auto"/>
              <w:jc w:val="center"/>
              <w:rPr>
                <w:sz w:val="21"/>
              </w:rPr>
            </w:pPr>
          </w:p>
        </w:tc>
        <w:tc>
          <w:tcPr>
            <w:tcW w:w="358" w:type="dxa"/>
            <w:vAlign w:val="center"/>
          </w:tcPr>
          <w:p w14:paraId="4CB0CC9B">
            <w:pPr>
              <w:spacing w:line="240" w:lineRule="auto"/>
              <w:jc w:val="center"/>
              <w:rPr>
                <w:sz w:val="21"/>
              </w:rPr>
            </w:pPr>
          </w:p>
        </w:tc>
        <w:tc>
          <w:tcPr>
            <w:tcW w:w="359" w:type="dxa"/>
            <w:vAlign w:val="center"/>
          </w:tcPr>
          <w:p w14:paraId="564CE2CE">
            <w:pPr>
              <w:spacing w:line="240" w:lineRule="auto"/>
              <w:jc w:val="center"/>
              <w:rPr>
                <w:sz w:val="21"/>
              </w:rPr>
            </w:pPr>
          </w:p>
        </w:tc>
        <w:tc>
          <w:tcPr>
            <w:tcW w:w="358" w:type="dxa"/>
            <w:gridSpan w:val="2"/>
            <w:vAlign w:val="center"/>
          </w:tcPr>
          <w:p w14:paraId="2211066A">
            <w:pPr>
              <w:spacing w:line="240" w:lineRule="auto"/>
              <w:jc w:val="center"/>
              <w:rPr>
                <w:sz w:val="21"/>
              </w:rPr>
            </w:pPr>
          </w:p>
        </w:tc>
        <w:tc>
          <w:tcPr>
            <w:tcW w:w="359" w:type="dxa"/>
            <w:vAlign w:val="center"/>
          </w:tcPr>
          <w:p w14:paraId="63BE5368">
            <w:pPr>
              <w:spacing w:line="240" w:lineRule="auto"/>
              <w:jc w:val="center"/>
              <w:rPr>
                <w:sz w:val="21"/>
              </w:rPr>
            </w:pPr>
          </w:p>
        </w:tc>
        <w:tc>
          <w:tcPr>
            <w:tcW w:w="1461" w:type="dxa"/>
            <w:gridSpan w:val="2"/>
            <w:vAlign w:val="center"/>
          </w:tcPr>
          <w:p w14:paraId="303EC739">
            <w:pPr>
              <w:widowControl/>
              <w:spacing w:line="240" w:lineRule="auto"/>
              <w:rPr>
                <w:sz w:val="21"/>
              </w:rPr>
            </w:pPr>
            <w:r>
              <w:rPr>
                <w:sz w:val="21"/>
              </w:rPr>
              <w:t>合格率</w:t>
            </w:r>
          </w:p>
        </w:tc>
      </w:tr>
      <w:tr w14:paraId="7808895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25" w:type="dxa"/>
            <w:vMerge w:val="continue"/>
            <w:vAlign w:val="center"/>
          </w:tcPr>
          <w:p w14:paraId="2F14645E">
            <w:pPr>
              <w:widowControl/>
              <w:spacing w:line="240" w:lineRule="auto"/>
              <w:jc w:val="left"/>
              <w:rPr>
                <w:sz w:val="21"/>
              </w:rPr>
            </w:pPr>
          </w:p>
        </w:tc>
        <w:tc>
          <w:tcPr>
            <w:tcW w:w="1167" w:type="dxa"/>
            <w:vAlign w:val="center"/>
          </w:tcPr>
          <w:p w14:paraId="2D77D125">
            <w:pPr>
              <w:spacing w:line="240" w:lineRule="auto"/>
              <w:rPr>
                <w:sz w:val="21"/>
              </w:rPr>
            </w:pPr>
            <w:r>
              <w:rPr>
                <w:sz w:val="21"/>
              </w:rPr>
              <w:t>5</w:t>
            </w:r>
          </w:p>
        </w:tc>
        <w:tc>
          <w:tcPr>
            <w:tcW w:w="704" w:type="dxa"/>
            <w:vAlign w:val="center"/>
          </w:tcPr>
          <w:p w14:paraId="690F6CAA">
            <w:pPr>
              <w:spacing w:line="240" w:lineRule="auto"/>
              <w:jc w:val="center"/>
              <w:rPr>
                <w:sz w:val="21"/>
              </w:rPr>
            </w:pPr>
          </w:p>
        </w:tc>
        <w:tc>
          <w:tcPr>
            <w:tcW w:w="358" w:type="dxa"/>
            <w:vAlign w:val="center"/>
          </w:tcPr>
          <w:p w14:paraId="03734C9F">
            <w:pPr>
              <w:spacing w:line="240" w:lineRule="auto"/>
              <w:jc w:val="center"/>
              <w:rPr>
                <w:sz w:val="21"/>
              </w:rPr>
            </w:pPr>
          </w:p>
        </w:tc>
        <w:tc>
          <w:tcPr>
            <w:tcW w:w="358" w:type="dxa"/>
            <w:vAlign w:val="center"/>
          </w:tcPr>
          <w:p w14:paraId="4558EAB5">
            <w:pPr>
              <w:spacing w:line="240" w:lineRule="auto"/>
              <w:jc w:val="center"/>
              <w:rPr>
                <w:sz w:val="21"/>
              </w:rPr>
            </w:pPr>
          </w:p>
        </w:tc>
        <w:tc>
          <w:tcPr>
            <w:tcW w:w="359" w:type="dxa"/>
            <w:vAlign w:val="center"/>
          </w:tcPr>
          <w:p w14:paraId="0AF20079">
            <w:pPr>
              <w:spacing w:line="240" w:lineRule="auto"/>
              <w:jc w:val="center"/>
              <w:rPr>
                <w:sz w:val="21"/>
              </w:rPr>
            </w:pPr>
          </w:p>
        </w:tc>
        <w:tc>
          <w:tcPr>
            <w:tcW w:w="358" w:type="dxa"/>
            <w:vAlign w:val="center"/>
          </w:tcPr>
          <w:p w14:paraId="65B6A8C8">
            <w:pPr>
              <w:spacing w:line="240" w:lineRule="auto"/>
              <w:jc w:val="center"/>
              <w:rPr>
                <w:sz w:val="21"/>
              </w:rPr>
            </w:pPr>
          </w:p>
        </w:tc>
        <w:tc>
          <w:tcPr>
            <w:tcW w:w="358" w:type="dxa"/>
            <w:vAlign w:val="center"/>
          </w:tcPr>
          <w:p w14:paraId="4037E5A7">
            <w:pPr>
              <w:spacing w:line="240" w:lineRule="auto"/>
              <w:jc w:val="center"/>
              <w:rPr>
                <w:sz w:val="21"/>
              </w:rPr>
            </w:pPr>
          </w:p>
        </w:tc>
        <w:tc>
          <w:tcPr>
            <w:tcW w:w="359" w:type="dxa"/>
            <w:gridSpan w:val="2"/>
            <w:vAlign w:val="center"/>
          </w:tcPr>
          <w:p w14:paraId="404DC8F7">
            <w:pPr>
              <w:spacing w:line="240" w:lineRule="auto"/>
              <w:jc w:val="center"/>
              <w:rPr>
                <w:sz w:val="21"/>
              </w:rPr>
            </w:pPr>
          </w:p>
        </w:tc>
        <w:tc>
          <w:tcPr>
            <w:tcW w:w="358" w:type="dxa"/>
            <w:vAlign w:val="center"/>
          </w:tcPr>
          <w:p w14:paraId="2EF5BBEE">
            <w:pPr>
              <w:spacing w:line="240" w:lineRule="auto"/>
              <w:jc w:val="center"/>
              <w:rPr>
                <w:sz w:val="21"/>
              </w:rPr>
            </w:pPr>
          </w:p>
        </w:tc>
        <w:tc>
          <w:tcPr>
            <w:tcW w:w="358" w:type="dxa"/>
            <w:vAlign w:val="center"/>
          </w:tcPr>
          <w:p w14:paraId="663185F0">
            <w:pPr>
              <w:spacing w:line="240" w:lineRule="auto"/>
              <w:jc w:val="center"/>
              <w:rPr>
                <w:sz w:val="21"/>
              </w:rPr>
            </w:pPr>
          </w:p>
        </w:tc>
        <w:tc>
          <w:tcPr>
            <w:tcW w:w="359" w:type="dxa"/>
            <w:vAlign w:val="center"/>
          </w:tcPr>
          <w:p w14:paraId="519D162C">
            <w:pPr>
              <w:spacing w:line="240" w:lineRule="auto"/>
              <w:jc w:val="center"/>
              <w:rPr>
                <w:sz w:val="21"/>
              </w:rPr>
            </w:pPr>
          </w:p>
        </w:tc>
        <w:tc>
          <w:tcPr>
            <w:tcW w:w="358" w:type="dxa"/>
            <w:gridSpan w:val="2"/>
            <w:vAlign w:val="center"/>
          </w:tcPr>
          <w:p w14:paraId="3AEC19B7">
            <w:pPr>
              <w:spacing w:line="240" w:lineRule="auto"/>
              <w:jc w:val="center"/>
              <w:rPr>
                <w:sz w:val="21"/>
              </w:rPr>
            </w:pPr>
          </w:p>
        </w:tc>
        <w:tc>
          <w:tcPr>
            <w:tcW w:w="358" w:type="dxa"/>
            <w:vAlign w:val="center"/>
          </w:tcPr>
          <w:p w14:paraId="1759ADB5">
            <w:pPr>
              <w:spacing w:line="240" w:lineRule="auto"/>
              <w:jc w:val="center"/>
              <w:rPr>
                <w:sz w:val="21"/>
              </w:rPr>
            </w:pPr>
          </w:p>
        </w:tc>
        <w:tc>
          <w:tcPr>
            <w:tcW w:w="359" w:type="dxa"/>
            <w:vAlign w:val="center"/>
          </w:tcPr>
          <w:p w14:paraId="0D3CEA6B">
            <w:pPr>
              <w:spacing w:line="240" w:lineRule="auto"/>
              <w:jc w:val="center"/>
              <w:rPr>
                <w:sz w:val="21"/>
              </w:rPr>
            </w:pPr>
          </w:p>
        </w:tc>
        <w:tc>
          <w:tcPr>
            <w:tcW w:w="358" w:type="dxa"/>
            <w:gridSpan w:val="2"/>
            <w:vAlign w:val="center"/>
          </w:tcPr>
          <w:p w14:paraId="60F7A8B8">
            <w:pPr>
              <w:spacing w:line="240" w:lineRule="auto"/>
              <w:jc w:val="center"/>
              <w:rPr>
                <w:sz w:val="21"/>
              </w:rPr>
            </w:pPr>
          </w:p>
        </w:tc>
        <w:tc>
          <w:tcPr>
            <w:tcW w:w="359" w:type="dxa"/>
            <w:vAlign w:val="center"/>
          </w:tcPr>
          <w:p w14:paraId="2F5F29D5">
            <w:pPr>
              <w:spacing w:line="240" w:lineRule="auto"/>
              <w:jc w:val="center"/>
              <w:rPr>
                <w:sz w:val="21"/>
              </w:rPr>
            </w:pPr>
          </w:p>
        </w:tc>
        <w:tc>
          <w:tcPr>
            <w:tcW w:w="1461" w:type="dxa"/>
            <w:gridSpan w:val="2"/>
            <w:vAlign w:val="center"/>
          </w:tcPr>
          <w:p w14:paraId="7DACF185">
            <w:pPr>
              <w:widowControl/>
              <w:spacing w:line="240" w:lineRule="auto"/>
              <w:rPr>
                <w:sz w:val="21"/>
              </w:rPr>
            </w:pPr>
            <w:r>
              <w:rPr>
                <w:sz w:val="21"/>
              </w:rPr>
              <w:t>合格率</w:t>
            </w:r>
          </w:p>
        </w:tc>
      </w:tr>
      <w:tr w14:paraId="4B6E89F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425" w:type="dxa"/>
            <w:vMerge w:val="continue"/>
            <w:vAlign w:val="center"/>
          </w:tcPr>
          <w:p w14:paraId="7C273930">
            <w:pPr>
              <w:widowControl/>
              <w:spacing w:line="240" w:lineRule="auto"/>
              <w:jc w:val="left"/>
              <w:rPr>
                <w:sz w:val="21"/>
              </w:rPr>
            </w:pPr>
          </w:p>
        </w:tc>
        <w:tc>
          <w:tcPr>
            <w:tcW w:w="1167" w:type="dxa"/>
            <w:vAlign w:val="center"/>
          </w:tcPr>
          <w:p w14:paraId="733314CE">
            <w:pPr>
              <w:spacing w:line="240" w:lineRule="auto"/>
              <w:rPr>
                <w:sz w:val="21"/>
              </w:rPr>
            </w:pPr>
            <w:r>
              <w:rPr>
                <w:sz w:val="21"/>
              </w:rPr>
              <w:t>6</w:t>
            </w:r>
          </w:p>
        </w:tc>
        <w:tc>
          <w:tcPr>
            <w:tcW w:w="704" w:type="dxa"/>
            <w:vAlign w:val="center"/>
          </w:tcPr>
          <w:p w14:paraId="21836DA8">
            <w:pPr>
              <w:spacing w:line="240" w:lineRule="auto"/>
              <w:jc w:val="center"/>
              <w:rPr>
                <w:sz w:val="21"/>
              </w:rPr>
            </w:pPr>
          </w:p>
        </w:tc>
        <w:tc>
          <w:tcPr>
            <w:tcW w:w="358" w:type="dxa"/>
            <w:vAlign w:val="center"/>
          </w:tcPr>
          <w:p w14:paraId="08927544">
            <w:pPr>
              <w:spacing w:line="240" w:lineRule="auto"/>
              <w:jc w:val="center"/>
              <w:rPr>
                <w:sz w:val="21"/>
              </w:rPr>
            </w:pPr>
          </w:p>
        </w:tc>
        <w:tc>
          <w:tcPr>
            <w:tcW w:w="358" w:type="dxa"/>
            <w:vAlign w:val="center"/>
          </w:tcPr>
          <w:p w14:paraId="122DE28E">
            <w:pPr>
              <w:spacing w:line="240" w:lineRule="auto"/>
              <w:jc w:val="center"/>
              <w:rPr>
                <w:sz w:val="21"/>
              </w:rPr>
            </w:pPr>
          </w:p>
        </w:tc>
        <w:tc>
          <w:tcPr>
            <w:tcW w:w="359" w:type="dxa"/>
            <w:vAlign w:val="center"/>
          </w:tcPr>
          <w:p w14:paraId="454A98D6">
            <w:pPr>
              <w:spacing w:line="240" w:lineRule="auto"/>
              <w:jc w:val="center"/>
              <w:rPr>
                <w:sz w:val="21"/>
              </w:rPr>
            </w:pPr>
          </w:p>
        </w:tc>
        <w:tc>
          <w:tcPr>
            <w:tcW w:w="358" w:type="dxa"/>
            <w:vAlign w:val="center"/>
          </w:tcPr>
          <w:p w14:paraId="72D59404">
            <w:pPr>
              <w:spacing w:line="240" w:lineRule="auto"/>
              <w:jc w:val="center"/>
              <w:rPr>
                <w:sz w:val="21"/>
              </w:rPr>
            </w:pPr>
          </w:p>
        </w:tc>
        <w:tc>
          <w:tcPr>
            <w:tcW w:w="358" w:type="dxa"/>
            <w:vAlign w:val="center"/>
          </w:tcPr>
          <w:p w14:paraId="4FA779A8">
            <w:pPr>
              <w:spacing w:line="240" w:lineRule="auto"/>
              <w:jc w:val="center"/>
              <w:rPr>
                <w:sz w:val="21"/>
              </w:rPr>
            </w:pPr>
          </w:p>
        </w:tc>
        <w:tc>
          <w:tcPr>
            <w:tcW w:w="359" w:type="dxa"/>
            <w:gridSpan w:val="2"/>
            <w:vAlign w:val="center"/>
          </w:tcPr>
          <w:p w14:paraId="14F35622">
            <w:pPr>
              <w:spacing w:line="240" w:lineRule="auto"/>
              <w:jc w:val="center"/>
              <w:rPr>
                <w:sz w:val="21"/>
              </w:rPr>
            </w:pPr>
          </w:p>
        </w:tc>
        <w:tc>
          <w:tcPr>
            <w:tcW w:w="358" w:type="dxa"/>
            <w:vAlign w:val="center"/>
          </w:tcPr>
          <w:p w14:paraId="6E42F9DE">
            <w:pPr>
              <w:spacing w:line="240" w:lineRule="auto"/>
              <w:jc w:val="center"/>
              <w:rPr>
                <w:sz w:val="21"/>
              </w:rPr>
            </w:pPr>
          </w:p>
        </w:tc>
        <w:tc>
          <w:tcPr>
            <w:tcW w:w="358" w:type="dxa"/>
            <w:vAlign w:val="center"/>
          </w:tcPr>
          <w:p w14:paraId="67522550">
            <w:pPr>
              <w:spacing w:line="240" w:lineRule="auto"/>
              <w:jc w:val="center"/>
              <w:rPr>
                <w:sz w:val="21"/>
              </w:rPr>
            </w:pPr>
          </w:p>
        </w:tc>
        <w:tc>
          <w:tcPr>
            <w:tcW w:w="359" w:type="dxa"/>
            <w:vAlign w:val="center"/>
          </w:tcPr>
          <w:p w14:paraId="13343CAA">
            <w:pPr>
              <w:spacing w:line="240" w:lineRule="auto"/>
              <w:jc w:val="center"/>
              <w:rPr>
                <w:sz w:val="21"/>
              </w:rPr>
            </w:pPr>
          </w:p>
        </w:tc>
        <w:tc>
          <w:tcPr>
            <w:tcW w:w="358" w:type="dxa"/>
            <w:gridSpan w:val="2"/>
            <w:vAlign w:val="center"/>
          </w:tcPr>
          <w:p w14:paraId="5B65DF09">
            <w:pPr>
              <w:spacing w:line="240" w:lineRule="auto"/>
              <w:jc w:val="center"/>
              <w:rPr>
                <w:sz w:val="21"/>
              </w:rPr>
            </w:pPr>
          </w:p>
        </w:tc>
        <w:tc>
          <w:tcPr>
            <w:tcW w:w="358" w:type="dxa"/>
            <w:vAlign w:val="center"/>
          </w:tcPr>
          <w:p w14:paraId="17DD65F2">
            <w:pPr>
              <w:spacing w:line="240" w:lineRule="auto"/>
              <w:jc w:val="center"/>
              <w:rPr>
                <w:sz w:val="21"/>
              </w:rPr>
            </w:pPr>
          </w:p>
        </w:tc>
        <w:tc>
          <w:tcPr>
            <w:tcW w:w="359" w:type="dxa"/>
            <w:vAlign w:val="center"/>
          </w:tcPr>
          <w:p w14:paraId="61DCE89E">
            <w:pPr>
              <w:spacing w:line="240" w:lineRule="auto"/>
              <w:jc w:val="center"/>
              <w:rPr>
                <w:sz w:val="21"/>
              </w:rPr>
            </w:pPr>
          </w:p>
        </w:tc>
        <w:tc>
          <w:tcPr>
            <w:tcW w:w="358" w:type="dxa"/>
            <w:gridSpan w:val="2"/>
            <w:vAlign w:val="center"/>
          </w:tcPr>
          <w:p w14:paraId="46D152D9">
            <w:pPr>
              <w:spacing w:line="240" w:lineRule="auto"/>
              <w:jc w:val="center"/>
              <w:rPr>
                <w:sz w:val="21"/>
              </w:rPr>
            </w:pPr>
          </w:p>
        </w:tc>
        <w:tc>
          <w:tcPr>
            <w:tcW w:w="359" w:type="dxa"/>
            <w:vAlign w:val="center"/>
          </w:tcPr>
          <w:p w14:paraId="59079BA6">
            <w:pPr>
              <w:spacing w:line="240" w:lineRule="auto"/>
              <w:jc w:val="center"/>
              <w:rPr>
                <w:sz w:val="21"/>
              </w:rPr>
            </w:pPr>
          </w:p>
        </w:tc>
        <w:tc>
          <w:tcPr>
            <w:tcW w:w="1461" w:type="dxa"/>
            <w:gridSpan w:val="2"/>
            <w:vAlign w:val="center"/>
          </w:tcPr>
          <w:p w14:paraId="44AA9F23">
            <w:pPr>
              <w:spacing w:line="240" w:lineRule="auto"/>
              <w:rPr>
                <w:sz w:val="21"/>
              </w:rPr>
            </w:pPr>
            <w:r>
              <w:rPr>
                <w:sz w:val="21"/>
              </w:rPr>
              <w:t>合格率</w:t>
            </w:r>
          </w:p>
        </w:tc>
      </w:tr>
      <w:tr w14:paraId="03B700C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92" w:type="dxa"/>
            <w:gridSpan w:val="2"/>
            <w:vAlign w:val="center"/>
          </w:tcPr>
          <w:p w14:paraId="0F3D0F60">
            <w:pPr>
              <w:spacing w:line="240" w:lineRule="auto"/>
              <w:rPr>
                <w:sz w:val="21"/>
              </w:rPr>
            </w:pPr>
          </w:p>
          <w:p w14:paraId="38F172BA">
            <w:pPr>
              <w:spacing w:line="240" w:lineRule="auto"/>
              <w:jc w:val="center"/>
              <w:rPr>
                <w:sz w:val="21"/>
              </w:rPr>
            </w:pPr>
            <w:r>
              <w:rPr>
                <w:sz w:val="21"/>
              </w:rPr>
              <w:t>施工单位</w:t>
            </w:r>
          </w:p>
          <w:p w14:paraId="1CE41ACB">
            <w:pPr>
              <w:spacing w:line="240" w:lineRule="auto"/>
              <w:jc w:val="center"/>
              <w:rPr>
                <w:sz w:val="21"/>
              </w:rPr>
            </w:pPr>
            <w:r>
              <w:rPr>
                <w:sz w:val="21"/>
              </w:rPr>
              <w:t>检查评定</w:t>
            </w:r>
          </w:p>
          <w:p w14:paraId="2EDD71EA">
            <w:pPr>
              <w:spacing w:line="240" w:lineRule="auto"/>
              <w:jc w:val="center"/>
              <w:rPr>
                <w:sz w:val="21"/>
              </w:rPr>
            </w:pPr>
            <w:r>
              <w:rPr>
                <w:sz w:val="21"/>
              </w:rPr>
              <w:t>结果</w:t>
            </w:r>
          </w:p>
          <w:p w14:paraId="58F0B99D">
            <w:pPr>
              <w:spacing w:line="240" w:lineRule="auto"/>
              <w:rPr>
                <w:sz w:val="21"/>
              </w:rPr>
            </w:pPr>
          </w:p>
        </w:tc>
        <w:tc>
          <w:tcPr>
            <w:tcW w:w="7182" w:type="dxa"/>
            <w:gridSpan w:val="20"/>
            <w:vAlign w:val="center"/>
          </w:tcPr>
          <w:p w14:paraId="7F03F658">
            <w:pPr>
              <w:spacing w:line="240" w:lineRule="auto"/>
              <w:jc w:val="center"/>
              <w:rPr>
                <w:sz w:val="21"/>
              </w:rPr>
            </w:pPr>
          </w:p>
          <w:p w14:paraId="3435B997">
            <w:pPr>
              <w:spacing w:line="240" w:lineRule="auto"/>
              <w:jc w:val="center"/>
              <w:rPr>
                <w:sz w:val="21"/>
              </w:rPr>
            </w:pPr>
          </w:p>
          <w:p w14:paraId="5D616DB2">
            <w:pPr>
              <w:spacing w:line="240" w:lineRule="auto"/>
              <w:jc w:val="center"/>
              <w:rPr>
                <w:sz w:val="21"/>
              </w:rPr>
            </w:pPr>
          </w:p>
          <w:p w14:paraId="5C53FB65">
            <w:pPr>
              <w:spacing w:line="240" w:lineRule="auto"/>
              <w:jc w:val="center"/>
              <w:rPr>
                <w:sz w:val="21"/>
              </w:rPr>
            </w:pPr>
          </w:p>
          <w:p w14:paraId="5DC87979">
            <w:pPr>
              <w:spacing w:line="240" w:lineRule="auto"/>
              <w:ind w:firstLine="420" w:firstLineChars="200"/>
              <w:rPr>
                <w:sz w:val="21"/>
              </w:rPr>
            </w:pPr>
            <w:r>
              <w:rPr>
                <w:sz w:val="21"/>
              </w:rPr>
              <w:t>工长（施工员）：</w:t>
            </w:r>
          </w:p>
          <w:p w14:paraId="63B60A7F">
            <w:pPr>
              <w:spacing w:line="240" w:lineRule="auto"/>
              <w:ind w:firstLine="420" w:firstLineChars="200"/>
              <w:rPr>
                <w:sz w:val="21"/>
              </w:rPr>
            </w:pPr>
            <w:r>
              <w:rPr>
                <w:sz w:val="21"/>
              </w:rPr>
              <w:t>项目专业质量检查员：　　　　　　　　　　　年　　　月　　日</w:t>
            </w:r>
          </w:p>
        </w:tc>
      </w:tr>
      <w:tr w14:paraId="4C86B09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592" w:type="dxa"/>
            <w:gridSpan w:val="2"/>
            <w:vAlign w:val="center"/>
          </w:tcPr>
          <w:p w14:paraId="01C66C5C">
            <w:pPr>
              <w:spacing w:line="240" w:lineRule="auto"/>
              <w:rPr>
                <w:sz w:val="21"/>
              </w:rPr>
            </w:pPr>
          </w:p>
          <w:p w14:paraId="4CE3063D">
            <w:pPr>
              <w:spacing w:line="240" w:lineRule="auto"/>
              <w:jc w:val="center"/>
              <w:rPr>
                <w:sz w:val="21"/>
              </w:rPr>
            </w:pPr>
            <w:r>
              <w:rPr>
                <w:sz w:val="21"/>
              </w:rPr>
              <w:t>监理（建设）</w:t>
            </w:r>
          </w:p>
          <w:p w14:paraId="00B951CB">
            <w:pPr>
              <w:spacing w:line="240" w:lineRule="auto"/>
              <w:jc w:val="center"/>
              <w:rPr>
                <w:sz w:val="21"/>
              </w:rPr>
            </w:pPr>
            <w:r>
              <w:rPr>
                <w:sz w:val="21"/>
              </w:rPr>
              <w:t>单位验收</w:t>
            </w:r>
          </w:p>
          <w:p w14:paraId="238081CF">
            <w:pPr>
              <w:spacing w:line="240" w:lineRule="auto"/>
              <w:jc w:val="center"/>
              <w:rPr>
                <w:sz w:val="21"/>
              </w:rPr>
            </w:pPr>
            <w:r>
              <w:rPr>
                <w:sz w:val="21"/>
              </w:rPr>
              <w:t>结论</w:t>
            </w:r>
          </w:p>
          <w:p w14:paraId="635D089F">
            <w:pPr>
              <w:spacing w:line="240" w:lineRule="auto"/>
              <w:rPr>
                <w:sz w:val="21"/>
              </w:rPr>
            </w:pPr>
          </w:p>
        </w:tc>
        <w:tc>
          <w:tcPr>
            <w:tcW w:w="7182" w:type="dxa"/>
            <w:gridSpan w:val="20"/>
            <w:vAlign w:val="center"/>
          </w:tcPr>
          <w:p w14:paraId="73BE902E">
            <w:pPr>
              <w:spacing w:line="240" w:lineRule="auto"/>
              <w:jc w:val="center"/>
              <w:rPr>
                <w:sz w:val="21"/>
              </w:rPr>
            </w:pPr>
          </w:p>
          <w:p w14:paraId="574E616C">
            <w:pPr>
              <w:spacing w:line="240" w:lineRule="auto"/>
              <w:jc w:val="center"/>
              <w:rPr>
                <w:sz w:val="21"/>
              </w:rPr>
            </w:pPr>
          </w:p>
          <w:p w14:paraId="55631B8A">
            <w:pPr>
              <w:spacing w:line="240" w:lineRule="auto"/>
              <w:rPr>
                <w:sz w:val="21"/>
              </w:rPr>
            </w:pPr>
          </w:p>
          <w:p w14:paraId="7BA46047">
            <w:pPr>
              <w:spacing w:line="240" w:lineRule="auto"/>
              <w:ind w:firstLine="1260" w:firstLineChars="600"/>
              <w:rPr>
                <w:sz w:val="21"/>
              </w:rPr>
            </w:pPr>
            <w:r>
              <w:rPr>
                <w:sz w:val="21"/>
              </w:rPr>
              <w:t>专业监理工程师</w:t>
            </w:r>
          </w:p>
          <w:p w14:paraId="7C0A096C">
            <w:pPr>
              <w:spacing w:line="240" w:lineRule="auto"/>
              <w:ind w:firstLine="210" w:firstLineChars="100"/>
              <w:rPr>
                <w:sz w:val="21"/>
              </w:rPr>
            </w:pPr>
            <w:r>
              <w:rPr>
                <w:sz w:val="21"/>
              </w:rPr>
              <w:t>（建设单位项目专业技术负责人）　　　　　　　年　　　月　　日</w:t>
            </w:r>
          </w:p>
        </w:tc>
      </w:tr>
    </w:tbl>
    <w:p w14:paraId="2ED19902">
      <w:pPr>
        <w:rPr>
          <w:b/>
          <w:bCs/>
        </w:rPr>
      </w:pPr>
    </w:p>
    <w:p w14:paraId="54E27FA9">
      <w:r>
        <w:rPr>
          <w:b/>
          <w:bCs/>
        </w:rPr>
        <w:t xml:space="preserve">B.0.2  </w:t>
      </w:r>
      <w:r>
        <w:t>分项工程质量应由专业监理工程师或建设项目专业技术负责人组织施工项目专业技术负责人等进行验收，并</w:t>
      </w:r>
      <w:r>
        <w:rPr>
          <w:rFonts w:hint="eastAsia"/>
        </w:rPr>
        <w:t>宜</w:t>
      </w:r>
      <w:r>
        <w:t>按表B.0.2记录。</w:t>
      </w:r>
    </w:p>
    <w:p w14:paraId="26BBCE23">
      <w:pPr>
        <w:jc w:val="center"/>
        <w:rPr>
          <w:b/>
          <w:sz w:val="21"/>
          <w:szCs w:val="18"/>
        </w:rPr>
      </w:pPr>
      <w:r>
        <w:rPr>
          <w:b/>
          <w:sz w:val="21"/>
          <w:szCs w:val="18"/>
        </w:rPr>
        <w:t>表B.0.2  分项工程质量验收记录表</w:t>
      </w:r>
    </w:p>
    <w:p w14:paraId="44E909D4">
      <w:pPr>
        <w:tabs>
          <w:tab w:val="left" w:pos="8460"/>
        </w:tabs>
        <w:spacing w:line="240" w:lineRule="auto"/>
        <w:ind w:right="168" w:rightChars="70"/>
        <w:jc w:val="right"/>
      </w:pPr>
      <w:r>
        <w:rPr>
          <w:bCs/>
          <w:sz w:val="21"/>
          <w:szCs w:val="18"/>
        </w:rPr>
        <w:t>编号：__________</w:t>
      </w:r>
    </w:p>
    <w:tbl>
      <w:tblPr>
        <w:tblStyle w:val="35"/>
        <w:tblW w:w="8412" w:type="dxa"/>
        <w:tblInd w:w="228"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596"/>
        <w:gridCol w:w="980"/>
        <w:gridCol w:w="1327"/>
        <w:gridCol w:w="1513"/>
        <w:gridCol w:w="652"/>
        <w:gridCol w:w="570"/>
        <w:gridCol w:w="1407"/>
        <w:gridCol w:w="1367"/>
      </w:tblGrid>
      <w:tr w14:paraId="73617F4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576" w:type="dxa"/>
            <w:gridSpan w:val="2"/>
            <w:vAlign w:val="center"/>
          </w:tcPr>
          <w:p w14:paraId="678131FE">
            <w:pPr>
              <w:spacing w:line="240" w:lineRule="auto"/>
              <w:jc w:val="center"/>
              <w:rPr>
                <w:sz w:val="21"/>
              </w:rPr>
            </w:pPr>
            <w:r>
              <w:rPr>
                <w:sz w:val="21"/>
              </w:rPr>
              <w:t>工程名称</w:t>
            </w:r>
          </w:p>
        </w:tc>
        <w:tc>
          <w:tcPr>
            <w:tcW w:w="1327" w:type="dxa"/>
            <w:vAlign w:val="center"/>
          </w:tcPr>
          <w:p w14:paraId="39BD70E4">
            <w:pPr>
              <w:spacing w:line="240" w:lineRule="auto"/>
              <w:jc w:val="center"/>
              <w:rPr>
                <w:sz w:val="21"/>
              </w:rPr>
            </w:pPr>
          </w:p>
        </w:tc>
        <w:tc>
          <w:tcPr>
            <w:tcW w:w="1513" w:type="dxa"/>
            <w:vAlign w:val="center"/>
          </w:tcPr>
          <w:p w14:paraId="2EFAD6B1">
            <w:pPr>
              <w:spacing w:line="240" w:lineRule="auto"/>
              <w:jc w:val="center"/>
              <w:rPr>
                <w:sz w:val="21"/>
              </w:rPr>
            </w:pPr>
            <w:r>
              <w:rPr>
                <w:sz w:val="21"/>
              </w:rPr>
              <w:t>分项工程名称</w:t>
            </w:r>
          </w:p>
        </w:tc>
        <w:tc>
          <w:tcPr>
            <w:tcW w:w="1222" w:type="dxa"/>
            <w:gridSpan w:val="2"/>
            <w:vAlign w:val="center"/>
          </w:tcPr>
          <w:p w14:paraId="3427297A">
            <w:pPr>
              <w:spacing w:line="240" w:lineRule="auto"/>
              <w:jc w:val="center"/>
              <w:rPr>
                <w:sz w:val="21"/>
              </w:rPr>
            </w:pPr>
          </w:p>
        </w:tc>
        <w:tc>
          <w:tcPr>
            <w:tcW w:w="1407" w:type="dxa"/>
            <w:vAlign w:val="center"/>
          </w:tcPr>
          <w:p w14:paraId="225A39DF">
            <w:pPr>
              <w:spacing w:line="240" w:lineRule="auto"/>
              <w:jc w:val="center"/>
              <w:rPr>
                <w:sz w:val="21"/>
              </w:rPr>
            </w:pPr>
            <w:r>
              <w:rPr>
                <w:sz w:val="21"/>
              </w:rPr>
              <w:t>检验批数</w:t>
            </w:r>
          </w:p>
        </w:tc>
        <w:tc>
          <w:tcPr>
            <w:tcW w:w="1367" w:type="dxa"/>
            <w:vAlign w:val="center"/>
          </w:tcPr>
          <w:p w14:paraId="7DCE3B44">
            <w:pPr>
              <w:spacing w:line="240" w:lineRule="auto"/>
              <w:jc w:val="center"/>
              <w:rPr>
                <w:sz w:val="21"/>
              </w:rPr>
            </w:pPr>
          </w:p>
        </w:tc>
      </w:tr>
      <w:tr w14:paraId="51E9C17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576" w:type="dxa"/>
            <w:gridSpan w:val="2"/>
            <w:vAlign w:val="center"/>
          </w:tcPr>
          <w:p w14:paraId="59818502">
            <w:pPr>
              <w:spacing w:line="240" w:lineRule="auto"/>
              <w:jc w:val="center"/>
              <w:rPr>
                <w:sz w:val="21"/>
              </w:rPr>
            </w:pPr>
            <w:r>
              <w:rPr>
                <w:sz w:val="21"/>
              </w:rPr>
              <w:t>施工单位</w:t>
            </w:r>
          </w:p>
        </w:tc>
        <w:tc>
          <w:tcPr>
            <w:tcW w:w="1327" w:type="dxa"/>
            <w:vAlign w:val="center"/>
          </w:tcPr>
          <w:p w14:paraId="45427005">
            <w:pPr>
              <w:spacing w:line="240" w:lineRule="auto"/>
              <w:jc w:val="center"/>
              <w:rPr>
                <w:sz w:val="21"/>
              </w:rPr>
            </w:pPr>
          </w:p>
        </w:tc>
        <w:tc>
          <w:tcPr>
            <w:tcW w:w="1513" w:type="dxa"/>
            <w:vAlign w:val="center"/>
          </w:tcPr>
          <w:p w14:paraId="40BFD86A">
            <w:pPr>
              <w:spacing w:line="240" w:lineRule="auto"/>
              <w:jc w:val="center"/>
              <w:rPr>
                <w:sz w:val="21"/>
              </w:rPr>
            </w:pPr>
            <w:r>
              <w:rPr>
                <w:sz w:val="21"/>
              </w:rPr>
              <w:t>项目经理</w:t>
            </w:r>
          </w:p>
        </w:tc>
        <w:tc>
          <w:tcPr>
            <w:tcW w:w="1222" w:type="dxa"/>
            <w:gridSpan w:val="2"/>
            <w:vAlign w:val="center"/>
          </w:tcPr>
          <w:p w14:paraId="0DABF801">
            <w:pPr>
              <w:spacing w:line="240" w:lineRule="auto"/>
              <w:jc w:val="center"/>
              <w:rPr>
                <w:sz w:val="21"/>
              </w:rPr>
            </w:pPr>
          </w:p>
        </w:tc>
        <w:tc>
          <w:tcPr>
            <w:tcW w:w="1407" w:type="dxa"/>
            <w:vAlign w:val="center"/>
          </w:tcPr>
          <w:p w14:paraId="29AC2CAE">
            <w:pPr>
              <w:spacing w:line="240" w:lineRule="auto"/>
              <w:jc w:val="center"/>
              <w:rPr>
                <w:spacing w:val="-20"/>
                <w:sz w:val="21"/>
              </w:rPr>
            </w:pPr>
            <w:r>
              <w:rPr>
                <w:spacing w:val="-20"/>
                <w:sz w:val="21"/>
              </w:rPr>
              <w:t>项目技术负责人</w:t>
            </w:r>
          </w:p>
        </w:tc>
        <w:tc>
          <w:tcPr>
            <w:tcW w:w="1367" w:type="dxa"/>
            <w:vAlign w:val="center"/>
          </w:tcPr>
          <w:p w14:paraId="7C62EE8D">
            <w:pPr>
              <w:spacing w:line="240" w:lineRule="auto"/>
              <w:jc w:val="center"/>
              <w:rPr>
                <w:sz w:val="21"/>
              </w:rPr>
            </w:pPr>
          </w:p>
        </w:tc>
      </w:tr>
      <w:tr w14:paraId="57CAE85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1576" w:type="dxa"/>
            <w:gridSpan w:val="2"/>
            <w:vAlign w:val="center"/>
          </w:tcPr>
          <w:p w14:paraId="1E4437FB">
            <w:pPr>
              <w:spacing w:line="240" w:lineRule="auto"/>
              <w:jc w:val="center"/>
              <w:rPr>
                <w:sz w:val="21"/>
              </w:rPr>
            </w:pPr>
            <w:r>
              <w:rPr>
                <w:sz w:val="21"/>
              </w:rPr>
              <w:t>专业分包单位</w:t>
            </w:r>
          </w:p>
        </w:tc>
        <w:tc>
          <w:tcPr>
            <w:tcW w:w="1327" w:type="dxa"/>
            <w:vAlign w:val="center"/>
          </w:tcPr>
          <w:p w14:paraId="0C97B10F">
            <w:pPr>
              <w:spacing w:line="240" w:lineRule="auto"/>
              <w:jc w:val="center"/>
              <w:rPr>
                <w:sz w:val="21"/>
              </w:rPr>
            </w:pPr>
          </w:p>
        </w:tc>
        <w:tc>
          <w:tcPr>
            <w:tcW w:w="1513" w:type="dxa"/>
            <w:vAlign w:val="center"/>
          </w:tcPr>
          <w:p w14:paraId="027E4342">
            <w:pPr>
              <w:pStyle w:val="25"/>
              <w:pBdr>
                <w:bottom w:val="none" w:color="auto" w:sz="0" w:space="0"/>
              </w:pBdr>
              <w:tabs>
                <w:tab w:val="clear" w:pos="4153"/>
                <w:tab w:val="clear" w:pos="8306"/>
              </w:tabs>
              <w:snapToGrid/>
              <w:spacing w:line="240" w:lineRule="auto"/>
              <w:rPr>
                <w:spacing w:val="-20"/>
                <w:sz w:val="21"/>
                <w:szCs w:val="21"/>
              </w:rPr>
            </w:pPr>
            <w:r>
              <w:rPr>
                <w:spacing w:val="-20"/>
                <w:sz w:val="21"/>
                <w:szCs w:val="21"/>
              </w:rPr>
              <w:t>专业分包单位负责人</w:t>
            </w:r>
          </w:p>
        </w:tc>
        <w:tc>
          <w:tcPr>
            <w:tcW w:w="1222" w:type="dxa"/>
            <w:gridSpan w:val="2"/>
            <w:vAlign w:val="center"/>
          </w:tcPr>
          <w:p w14:paraId="07477CCB">
            <w:pPr>
              <w:spacing w:line="240" w:lineRule="auto"/>
              <w:jc w:val="center"/>
              <w:rPr>
                <w:sz w:val="21"/>
              </w:rPr>
            </w:pPr>
          </w:p>
        </w:tc>
        <w:tc>
          <w:tcPr>
            <w:tcW w:w="1407" w:type="dxa"/>
            <w:vAlign w:val="center"/>
          </w:tcPr>
          <w:p w14:paraId="277A12E6">
            <w:pPr>
              <w:spacing w:line="240" w:lineRule="auto"/>
              <w:jc w:val="center"/>
              <w:rPr>
                <w:sz w:val="21"/>
              </w:rPr>
            </w:pPr>
            <w:r>
              <w:rPr>
                <w:sz w:val="21"/>
              </w:rPr>
              <w:t>施工班组长</w:t>
            </w:r>
          </w:p>
        </w:tc>
        <w:tc>
          <w:tcPr>
            <w:tcW w:w="1367" w:type="dxa"/>
            <w:vAlign w:val="center"/>
          </w:tcPr>
          <w:p w14:paraId="38ECBD66">
            <w:pPr>
              <w:spacing w:line="240" w:lineRule="auto"/>
              <w:jc w:val="center"/>
              <w:rPr>
                <w:sz w:val="21"/>
              </w:rPr>
            </w:pPr>
          </w:p>
        </w:tc>
      </w:tr>
      <w:tr w14:paraId="09C95DB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96" w:type="dxa"/>
            <w:vAlign w:val="center"/>
          </w:tcPr>
          <w:p w14:paraId="48EEC1FB">
            <w:pPr>
              <w:spacing w:line="240" w:lineRule="auto"/>
              <w:jc w:val="center"/>
              <w:rPr>
                <w:sz w:val="21"/>
              </w:rPr>
            </w:pPr>
            <w:r>
              <w:rPr>
                <w:sz w:val="21"/>
              </w:rPr>
              <w:t>序号</w:t>
            </w:r>
          </w:p>
        </w:tc>
        <w:tc>
          <w:tcPr>
            <w:tcW w:w="980" w:type="dxa"/>
            <w:vAlign w:val="center"/>
          </w:tcPr>
          <w:p w14:paraId="57B5E658">
            <w:pPr>
              <w:spacing w:line="240" w:lineRule="auto"/>
              <w:jc w:val="center"/>
              <w:rPr>
                <w:sz w:val="21"/>
              </w:rPr>
            </w:pPr>
            <w:r>
              <w:rPr>
                <w:sz w:val="21"/>
              </w:rPr>
              <w:t>检验批名称、部位</w:t>
            </w:r>
          </w:p>
        </w:tc>
        <w:tc>
          <w:tcPr>
            <w:tcW w:w="2840" w:type="dxa"/>
            <w:gridSpan w:val="2"/>
            <w:vAlign w:val="center"/>
          </w:tcPr>
          <w:p w14:paraId="476E3BE6">
            <w:pPr>
              <w:spacing w:line="240" w:lineRule="auto"/>
              <w:jc w:val="center"/>
              <w:rPr>
                <w:sz w:val="21"/>
              </w:rPr>
            </w:pPr>
            <w:r>
              <w:rPr>
                <w:sz w:val="21"/>
              </w:rPr>
              <w:t>施工单位检查</w:t>
            </w:r>
          </w:p>
          <w:p w14:paraId="0D039D83">
            <w:pPr>
              <w:spacing w:line="240" w:lineRule="auto"/>
              <w:jc w:val="center"/>
              <w:rPr>
                <w:sz w:val="21"/>
              </w:rPr>
            </w:pPr>
            <w:r>
              <w:rPr>
                <w:sz w:val="21"/>
              </w:rPr>
              <w:t>评定结果</w:t>
            </w:r>
          </w:p>
        </w:tc>
        <w:tc>
          <w:tcPr>
            <w:tcW w:w="3996" w:type="dxa"/>
            <w:gridSpan w:val="4"/>
            <w:vAlign w:val="center"/>
          </w:tcPr>
          <w:p w14:paraId="4207B7FD">
            <w:pPr>
              <w:spacing w:line="240" w:lineRule="auto"/>
              <w:jc w:val="center"/>
              <w:rPr>
                <w:sz w:val="21"/>
              </w:rPr>
            </w:pPr>
            <w:r>
              <w:rPr>
                <w:sz w:val="21"/>
              </w:rPr>
              <w:t>监理（建设）单位验收结论</w:t>
            </w:r>
          </w:p>
        </w:tc>
      </w:tr>
      <w:tr w14:paraId="5C1A7FC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96" w:type="dxa"/>
            <w:vAlign w:val="center"/>
          </w:tcPr>
          <w:p w14:paraId="28C2FE7C">
            <w:pPr>
              <w:pStyle w:val="86"/>
              <w:spacing w:line="240" w:lineRule="auto"/>
              <w:jc w:val="center"/>
              <w:rPr>
                <w:sz w:val="21"/>
                <w:szCs w:val="21"/>
              </w:rPr>
            </w:pPr>
            <w:r>
              <w:rPr>
                <w:sz w:val="21"/>
                <w:szCs w:val="21"/>
              </w:rPr>
              <w:t>1</w:t>
            </w:r>
          </w:p>
        </w:tc>
        <w:tc>
          <w:tcPr>
            <w:tcW w:w="980" w:type="dxa"/>
            <w:vAlign w:val="center"/>
          </w:tcPr>
          <w:p w14:paraId="25CDB322">
            <w:pPr>
              <w:spacing w:line="240" w:lineRule="auto"/>
              <w:jc w:val="center"/>
              <w:rPr>
                <w:sz w:val="21"/>
              </w:rPr>
            </w:pPr>
          </w:p>
        </w:tc>
        <w:tc>
          <w:tcPr>
            <w:tcW w:w="2840" w:type="dxa"/>
            <w:gridSpan w:val="2"/>
            <w:vAlign w:val="center"/>
          </w:tcPr>
          <w:p w14:paraId="0C7E213E">
            <w:pPr>
              <w:spacing w:line="240" w:lineRule="auto"/>
              <w:jc w:val="center"/>
              <w:rPr>
                <w:sz w:val="21"/>
              </w:rPr>
            </w:pPr>
          </w:p>
        </w:tc>
        <w:tc>
          <w:tcPr>
            <w:tcW w:w="3996" w:type="dxa"/>
            <w:gridSpan w:val="4"/>
            <w:vAlign w:val="center"/>
          </w:tcPr>
          <w:p w14:paraId="49990852">
            <w:pPr>
              <w:spacing w:line="240" w:lineRule="auto"/>
              <w:jc w:val="center"/>
              <w:rPr>
                <w:sz w:val="21"/>
              </w:rPr>
            </w:pPr>
          </w:p>
        </w:tc>
      </w:tr>
      <w:tr w14:paraId="3D16F03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96" w:type="dxa"/>
            <w:vAlign w:val="center"/>
          </w:tcPr>
          <w:p w14:paraId="6C6AD30C">
            <w:pPr>
              <w:spacing w:line="240" w:lineRule="auto"/>
              <w:jc w:val="center"/>
              <w:rPr>
                <w:sz w:val="21"/>
              </w:rPr>
            </w:pPr>
            <w:r>
              <w:rPr>
                <w:sz w:val="21"/>
              </w:rPr>
              <w:t>2</w:t>
            </w:r>
          </w:p>
        </w:tc>
        <w:tc>
          <w:tcPr>
            <w:tcW w:w="980" w:type="dxa"/>
            <w:vAlign w:val="center"/>
          </w:tcPr>
          <w:p w14:paraId="20BE0335">
            <w:pPr>
              <w:spacing w:line="240" w:lineRule="auto"/>
              <w:jc w:val="center"/>
              <w:rPr>
                <w:sz w:val="21"/>
              </w:rPr>
            </w:pPr>
          </w:p>
        </w:tc>
        <w:tc>
          <w:tcPr>
            <w:tcW w:w="2840" w:type="dxa"/>
            <w:gridSpan w:val="2"/>
            <w:vAlign w:val="center"/>
          </w:tcPr>
          <w:p w14:paraId="38D6AABF">
            <w:pPr>
              <w:spacing w:line="240" w:lineRule="auto"/>
              <w:jc w:val="center"/>
              <w:rPr>
                <w:sz w:val="21"/>
              </w:rPr>
            </w:pPr>
          </w:p>
        </w:tc>
        <w:tc>
          <w:tcPr>
            <w:tcW w:w="3996" w:type="dxa"/>
            <w:gridSpan w:val="4"/>
            <w:vAlign w:val="center"/>
          </w:tcPr>
          <w:p w14:paraId="3C0C9D43">
            <w:pPr>
              <w:spacing w:line="240" w:lineRule="auto"/>
              <w:jc w:val="center"/>
              <w:rPr>
                <w:sz w:val="21"/>
              </w:rPr>
            </w:pPr>
          </w:p>
        </w:tc>
      </w:tr>
      <w:tr w14:paraId="1CB8862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96" w:type="dxa"/>
            <w:vAlign w:val="center"/>
          </w:tcPr>
          <w:p w14:paraId="33060227">
            <w:pPr>
              <w:spacing w:line="240" w:lineRule="auto"/>
              <w:jc w:val="center"/>
              <w:rPr>
                <w:sz w:val="21"/>
              </w:rPr>
            </w:pPr>
            <w:r>
              <w:rPr>
                <w:sz w:val="21"/>
              </w:rPr>
              <w:t>3</w:t>
            </w:r>
          </w:p>
        </w:tc>
        <w:tc>
          <w:tcPr>
            <w:tcW w:w="980" w:type="dxa"/>
            <w:vAlign w:val="center"/>
          </w:tcPr>
          <w:p w14:paraId="58211986">
            <w:pPr>
              <w:spacing w:line="240" w:lineRule="auto"/>
              <w:jc w:val="center"/>
              <w:rPr>
                <w:sz w:val="21"/>
              </w:rPr>
            </w:pPr>
          </w:p>
        </w:tc>
        <w:tc>
          <w:tcPr>
            <w:tcW w:w="2840" w:type="dxa"/>
            <w:gridSpan w:val="2"/>
            <w:vAlign w:val="center"/>
          </w:tcPr>
          <w:p w14:paraId="46890980">
            <w:pPr>
              <w:spacing w:line="240" w:lineRule="auto"/>
              <w:jc w:val="center"/>
              <w:rPr>
                <w:sz w:val="21"/>
              </w:rPr>
            </w:pPr>
          </w:p>
        </w:tc>
        <w:tc>
          <w:tcPr>
            <w:tcW w:w="3996" w:type="dxa"/>
            <w:gridSpan w:val="4"/>
            <w:vAlign w:val="center"/>
          </w:tcPr>
          <w:p w14:paraId="1946A307">
            <w:pPr>
              <w:spacing w:line="240" w:lineRule="auto"/>
              <w:jc w:val="center"/>
              <w:rPr>
                <w:sz w:val="21"/>
              </w:rPr>
            </w:pPr>
          </w:p>
        </w:tc>
      </w:tr>
      <w:tr w14:paraId="09A9E57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96" w:type="dxa"/>
            <w:vAlign w:val="center"/>
          </w:tcPr>
          <w:p w14:paraId="0AB63FD6">
            <w:pPr>
              <w:spacing w:line="240" w:lineRule="auto"/>
              <w:jc w:val="center"/>
              <w:rPr>
                <w:sz w:val="21"/>
              </w:rPr>
            </w:pPr>
            <w:r>
              <w:rPr>
                <w:sz w:val="21"/>
              </w:rPr>
              <w:t>4</w:t>
            </w:r>
          </w:p>
        </w:tc>
        <w:tc>
          <w:tcPr>
            <w:tcW w:w="980" w:type="dxa"/>
            <w:vAlign w:val="center"/>
          </w:tcPr>
          <w:p w14:paraId="6E9A9B8A">
            <w:pPr>
              <w:spacing w:line="240" w:lineRule="auto"/>
              <w:jc w:val="center"/>
              <w:rPr>
                <w:sz w:val="21"/>
              </w:rPr>
            </w:pPr>
          </w:p>
        </w:tc>
        <w:tc>
          <w:tcPr>
            <w:tcW w:w="2840" w:type="dxa"/>
            <w:gridSpan w:val="2"/>
            <w:vAlign w:val="center"/>
          </w:tcPr>
          <w:p w14:paraId="2CCF42B6">
            <w:pPr>
              <w:spacing w:line="240" w:lineRule="auto"/>
              <w:jc w:val="center"/>
              <w:rPr>
                <w:sz w:val="21"/>
              </w:rPr>
            </w:pPr>
          </w:p>
        </w:tc>
        <w:tc>
          <w:tcPr>
            <w:tcW w:w="3996" w:type="dxa"/>
            <w:gridSpan w:val="4"/>
            <w:vAlign w:val="center"/>
          </w:tcPr>
          <w:p w14:paraId="5AD2895B">
            <w:pPr>
              <w:spacing w:line="240" w:lineRule="auto"/>
              <w:jc w:val="center"/>
              <w:rPr>
                <w:sz w:val="21"/>
              </w:rPr>
            </w:pPr>
          </w:p>
        </w:tc>
      </w:tr>
      <w:tr w14:paraId="2814FC0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96" w:type="dxa"/>
            <w:vAlign w:val="center"/>
          </w:tcPr>
          <w:p w14:paraId="1E4836A4">
            <w:pPr>
              <w:spacing w:line="240" w:lineRule="auto"/>
              <w:jc w:val="center"/>
              <w:rPr>
                <w:sz w:val="21"/>
              </w:rPr>
            </w:pPr>
            <w:r>
              <w:rPr>
                <w:sz w:val="21"/>
              </w:rPr>
              <w:t>5</w:t>
            </w:r>
          </w:p>
        </w:tc>
        <w:tc>
          <w:tcPr>
            <w:tcW w:w="980" w:type="dxa"/>
            <w:vAlign w:val="center"/>
          </w:tcPr>
          <w:p w14:paraId="0BD440D7">
            <w:pPr>
              <w:spacing w:line="240" w:lineRule="auto"/>
              <w:jc w:val="center"/>
              <w:rPr>
                <w:sz w:val="21"/>
              </w:rPr>
            </w:pPr>
          </w:p>
        </w:tc>
        <w:tc>
          <w:tcPr>
            <w:tcW w:w="2840" w:type="dxa"/>
            <w:gridSpan w:val="2"/>
            <w:vAlign w:val="center"/>
          </w:tcPr>
          <w:p w14:paraId="307EA0FF">
            <w:pPr>
              <w:spacing w:line="240" w:lineRule="auto"/>
              <w:jc w:val="center"/>
              <w:rPr>
                <w:sz w:val="21"/>
              </w:rPr>
            </w:pPr>
          </w:p>
        </w:tc>
        <w:tc>
          <w:tcPr>
            <w:tcW w:w="3996" w:type="dxa"/>
            <w:gridSpan w:val="4"/>
            <w:vAlign w:val="center"/>
          </w:tcPr>
          <w:p w14:paraId="4B3867A1">
            <w:pPr>
              <w:spacing w:line="240" w:lineRule="auto"/>
              <w:jc w:val="center"/>
              <w:rPr>
                <w:sz w:val="21"/>
              </w:rPr>
            </w:pPr>
          </w:p>
        </w:tc>
      </w:tr>
      <w:tr w14:paraId="63E65F1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96" w:type="dxa"/>
            <w:vAlign w:val="center"/>
          </w:tcPr>
          <w:p w14:paraId="165F547D">
            <w:pPr>
              <w:spacing w:line="240" w:lineRule="auto"/>
              <w:jc w:val="center"/>
              <w:rPr>
                <w:sz w:val="21"/>
              </w:rPr>
            </w:pPr>
            <w:r>
              <w:rPr>
                <w:sz w:val="21"/>
              </w:rPr>
              <w:t>6</w:t>
            </w:r>
          </w:p>
        </w:tc>
        <w:tc>
          <w:tcPr>
            <w:tcW w:w="980" w:type="dxa"/>
            <w:vAlign w:val="center"/>
          </w:tcPr>
          <w:p w14:paraId="62106EED">
            <w:pPr>
              <w:spacing w:line="240" w:lineRule="auto"/>
              <w:jc w:val="center"/>
              <w:rPr>
                <w:sz w:val="21"/>
              </w:rPr>
            </w:pPr>
          </w:p>
        </w:tc>
        <w:tc>
          <w:tcPr>
            <w:tcW w:w="2840" w:type="dxa"/>
            <w:gridSpan w:val="2"/>
            <w:vAlign w:val="center"/>
          </w:tcPr>
          <w:p w14:paraId="0E1104B8">
            <w:pPr>
              <w:spacing w:line="240" w:lineRule="auto"/>
              <w:jc w:val="center"/>
              <w:rPr>
                <w:sz w:val="21"/>
              </w:rPr>
            </w:pPr>
          </w:p>
        </w:tc>
        <w:tc>
          <w:tcPr>
            <w:tcW w:w="3996" w:type="dxa"/>
            <w:gridSpan w:val="4"/>
            <w:vAlign w:val="center"/>
          </w:tcPr>
          <w:p w14:paraId="4C366FEB">
            <w:pPr>
              <w:spacing w:line="240" w:lineRule="auto"/>
              <w:jc w:val="center"/>
              <w:rPr>
                <w:sz w:val="21"/>
              </w:rPr>
            </w:pPr>
          </w:p>
        </w:tc>
      </w:tr>
      <w:tr w14:paraId="60CFCC7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96" w:type="dxa"/>
            <w:vAlign w:val="center"/>
          </w:tcPr>
          <w:p w14:paraId="3CA76A10">
            <w:pPr>
              <w:spacing w:line="240" w:lineRule="auto"/>
              <w:jc w:val="center"/>
              <w:rPr>
                <w:sz w:val="21"/>
              </w:rPr>
            </w:pPr>
            <w:r>
              <w:rPr>
                <w:sz w:val="21"/>
              </w:rPr>
              <w:t>7</w:t>
            </w:r>
          </w:p>
        </w:tc>
        <w:tc>
          <w:tcPr>
            <w:tcW w:w="980" w:type="dxa"/>
            <w:vAlign w:val="center"/>
          </w:tcPr>
          <w:p w14:paraId="5AD6EA18">
            <w:pPr>
              <w:spacing w:line="240" w:lineRule="auto"/>
              <w:jc w:val="center"/>
              <w:rPr>
                <w:sz w:val="21"/>
              </w:rPr>
            </w:pPr>
          </w:p>
        </w:tc>
        <w:tc>
          <w:tcPr>
            <w:tcW w:w="2840" w:type="dxa"/>
            <w:gridSpan w:val="2"/>
            <w:vAlign w:val="center"/>
          </w:tcPr>
          <w:p w14:paraId="20787828">
            <w:pPr>
              <w:spacing w:line="240" w:lineRule="auto"/>
              <w:jc w:val="center"/>
              <w:rPr>
                <w:sz w:val="21"/>
              </w:rPr>
            </w:pPr>
          </w:p>
        </w:tc>
        <w:tc>
          <w:tcPr>
            <w:tcW w:w="3996" w:type="dxa"/>
            <w:gridSpan w:val="4"/>
            <w:vAlign w:val="center"/>
          </w:tcPr>
          <w:p w14:paraId="43212CBA">
            <w:pPr>
              <w:spacing w:line="240" w:lineRule="auto"/>
              <w:jc w:val="center"/>
              <w:rPr>
                <w:sz w:val="21"/>
              </w:rPr>
            </w:pPr>
          </w:p>
        </w:tc>
      </w:tr>
      <w:tr w14:paraId="06191C7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96" w:type="dxa"/>
            <w:vAlign w:val="center"/>
          </w:tcPr>
          <w:p w14:paraId="07ACC40B">
            <w:pPr>
              <w:spacing w:line="240" w:lineRule="auto"/>
              <w:jc w:val="center"/>
              <w:rPr>
                <w:sz w:val="21"/>
              </w:rPr>
            </w:pPr>
            <w:r>
              <w:rPr>
                <w:sz w:val="21"/>
              </w:rPr>
              <w:t>8</w:t>
            </w:r>
          </w:p>
        </w:tc>
        <w:tc>
          <w:tcPr>
            <w:tcW w:w="980" w:type="dxa"/>
            <w:vAlign w:val="center"/>
          </w:tcPr>
          <w:p w14:paraId="333119B9">
            <w:pPr>
              <w:spacing w:line="240" w:lineRule="auto"/>
              <w:jc w:val="center"/>
              <w:rPr>
                <w:sz w:val="21"/>
              </w:rPr>
            </w:pPr>
          </w:p>
        </w:tc>
        <w:tc>
          <w:tcPr>
            <w:tcW w:w="2840" w:type="dxa"/>
            <w:gridSpan w:val="2"/>
            <w:vAlign w:val="center"/>
          </w:tcPr>
          <w:p w14:paraId="5221A952">
            <w:pPr>
              <w:spacing w:line="240" w:lineRule="auto"/>
              <w:jc w:val="center"/>
              <w:rPr>
                <w:sz w:val="21"/>
              </w:rPr>
            </w:pPr>
          </w:p>
        </w:tc>
        <w:tc>
          <w:tcPr>
            <w:tcW w:w="3996" w:type="dxa"/>
            <w:gridSpan w:val="4"/>
            <w:vAlign w:val="center"/>
          </w:tcPr>
          <w:p w14:paraId="5AE838B9">
            <w:pPr>
              <w:spacing w:line="240" w:lineRule="auto"/>
              <w:jc w:val="center"/>
              <w:rPr>
                <w:sz w:val="21"/>
              </w:rPr>
            </w:pPr>
          </w:p>
        </w:tc>
      </w:tr>
      <w:tr w14:paraId="7B07D6E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96" w:type="dxa"/>
            <w:vAlign w:val="center"/>
          </w:tcPr>
          <w:p w14:paraId="617E3976">
            <w:pPr>
              <w:spacing w:line="240" w:lineRule="auto"/>
              <w:jc w:val="center"/>
              <w:rPr>
                <w:sz w:val="21"/>
              </w:rPr>
            </w:pPr>
            <w:r>
              <w:rPr>
                <w:sz w:val="21"/>
              </w:rPr>
              <w:t>9</w:t>
            </w:r>
          </w:p>
        </w:tc>
        <w:tc>
          <w:tcPr>
            <w:tcW w:w="980" w:type="dxa"/>
            <w:vAlign w:val="center"/>
          </w:tcPr>
          <w:p w14:paraId="5CEE269F">
            <w:pPr>
              <w:spacing w:line="240" w:lineRule="auto"/>
              <w:jc w:val="center"/>
              <w:rPr>
                <w:sz w:val="21"/>
              </w:rPr>
            </w:pPr>
          </w:p>
        </w:tc>
        <w:tc>
          <w:tcPr>
            <w:tcW w:w="2840" w:type="dxa"/>
            <w:gridSpan w:val="2"/>
            <w:vAlign w:val="center"/>
          </w:tcPr>
          <w:p w14:paraId="0AFB4499">
            <w:pPr>
              <w:spacing w:line="240" w:lineRule="auto"/>
              <w:jc w:val="center"/>
              <w:rPr>
                <w:sz w:val="21"/>
              </w:rPr>
            </w:pPr>
          </w:p>
        </w:tc>
        <w:tc>
          <w:tcPr>
            <w:tcW w:w="3996" w:type="dxa"/>
            <w:gridSpan w:val="4"/>
            <w:vAlign w:val="center"/>
          </w:tcPr>
          <w:p w14:paraId="6F9801E6">
            <w:pPr>
              <w:spacing w:line="240" w:lineRule="auto"/>
              <w:jc w:val="center"/>
              <w:rPr>
                <w:sz w:val="21"/>
              </w:rPr>
            </w:pPr>
          </w:p>
        </w:tc>
      </w:tr>
      <w:tr w14:paraId="57C5BFB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96" w:type="dxa"/>
            <w:vAlign w:val="center"/>
          </w:tcPr>
          <w:p w14:paraId="5FC00356">
            <w:pPr>
              <w:spacing w:line="240" w:lineRule="auto"/>
              <w:jc w:val="center"/>
              <w:rPr>
                <w:sz w:val="21"/>
              </w:rPr>
            </w:pPr>
            <w:r>
              <w:rPr>
                <w:sz w:val="21"/>
              </w:rPr>
              <w:t>10</w:t>
            </w:r>
          </w:p>
        </w:tc>
        <w:tc>
          <w:tcPr>
            <w:tcW w:w="980" w:type="dxa"/>
            <w:vAlign w:val="center"/>
          </w:tcPr>
          <w:p w14:paraId="5CA417CC">
            <w:pPr>
              <w:spacing w:line="240" w:lineRule="auto"/>
              <w:jc w:val="center"/>
              <w:rPr>
                <w:sz w:val="21"/>
              </w:rPr>
            </w:pPr>
          </w:p>
        </w:tc>
        <w:tc>
          <w:tcPr>
            <w:tcW w:w="2840" w:type="dxa"/>
            <w:gridSpan w:val="2"/>
            <w:vAlign w:val="center"/>
          </w:tcPr>
          <w:p w14:paraId="44302F79">
            <w:pPr>
              <w:spacing w:line="240" w:lineRule="auto"/>
              <w:jc w:val="center"/>
              <w:rPr>
                <w:sz w:val="21"/>
              </w:rPr>
            </w:pPr>
          </w:p>
        </w:tc>
        <w:tc>
          <w:tcPr>
            <w:tcW w:w="3996" w:type="dxa"/>
            <w:gridSpan w:val="4"/>
            <w:vAlign w:val="center"/>
          </w:tcPr>
          <w:p w14:paraId="33945B42">
            <w:pPr>
              <w:spacing w:line="240" w:lineRule="auto"/>
              <w:jc w:val="center"/>
              <w:rPr>
                <w:sz w:val="21"/>
              </w:rPr>
            </w:pPr>
          </w:p>
        </w:tc>
      </w:tr>
      <w:tr w14:paraId="3C1B88D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96" w:type="dxa"/>
            <w:vAlign w:val="center"/>
          </w:tcPr>
          <w:p w14:paraId="6DD59487">
            <w:pPr>
              <w:spacing w:line="240" w:lineRule="auto"/>
              <w:jc w:val="center"/>
              <w:rPr>
                <w:sz w:val="21"/>
              </w:rPr>
            </w:pPr>
            <w:r>
              <w:rPr>
                <w:sz w:val="21"/>
              </w:rPr>
              <w:t>11</w:t>
            </w:r>
          </w:p>
        </w:tc>
        <w:tc>
          <w:tcPr>
            <w:tcW w:w="980" w:type="dxa"/>
            <w:vAlign w:val="center"/>
          </w:tcPr>
          <w:p w14:paraId="3AE252CC">
            <w:pPr>
              <w:spacing w:line="240" w:lineRule="auto"/>
              <w:jc w:val="center"/>
              <w:rPr>
                <w:sz w:val="21"/>
              </w:rPr>
            </w:pPr>
          </w:p>
        </w:tc>
        <w:tc>
          <w:tcPr>
            <w:tcW w:w="2840" w:type="dxa"/>
            <w:gridSpan w:val="2"/>
            <w:vAlign w:val="center"/>
          </w:tcPr>
          <w:p w14:paraId="07C9BDF5">
            <w:pPr>
              <w:spacing w:line="240" w:lineRule="auto"/>
              <w:jc w:val="center"/>
              <w:rPr>
                <w:sz w:val="21"/>
              </w:rPr>
            </w:pPr>
          </w:p>
        </w:tc>
        <w:tc>
          <w:tcPr>
            <w:tcW w:w="3996" w:type="dxa"/>
            <w:gridSpan w:val="4"/>
            <w:vAlign w:val="center"/>
          </w:tcPr>
          <w:p w14:paraId="422DEA34">
            <w:pPr>
              <w:spacing w:line="240" w:lineRule="auto"/>
              <w:jc w:val="center"/>
              <w:rPr>
                <w:sz w:val="21"/>
              </w:rPr>
            </w:pPr>
          </w:p>
        </w:tc>
      </w:tr>
      <w:tr w14:paraId="6F7A6AC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96" w:type="dxa"/>
            <w:vAlign w:val="center"/>
          </w:tcPr>
          <w:p w14:paraId="66CD657A">
            <w:pPr>
              <w:spacing w:line="240" w:lineRule="auto"/>
              <w:jc w:val="center"/>
              <w:rPr>
                <w:sz w:val="21"/>
              </w:rPr>
            </w:pPr>
            <w:r>
              <w:rPr>
                <w:sz w:val="21"/>
              </w:rPr>
              <w:t>12</w:t>
            </w:r>
          </w:p>
        </w:tc>
        <w:tc>
          <w:tcPr>
            <w:tcW w:w="980" w:type="dxa"/>
            <w:vAlign w:val="center"/>
          </w:tcPr>
          <w:p w14:paraId="7A417620">
            <w:pPr>
              <w:spacing w:line="240" w:lineRule="auto"/>
              <w:jc w:val="center"/>
              <w:rPr>
                <w:sz w:val="21"/>
              </w:rPr>
            </w:pPr>
          </w:p>
        </w:tc>
        <w:tc>
          <w:tcPr>
            <w:tcW w:w="2840" w:type="dxa"/>
            <w:gridSpan w:val="2"/>
            <w:vAlign w:val="center"/>
          </w:tcPr>
          <w:p w14:paraId="492CCD1C">
            <w:pPr>
              <w:spacing w:line="240" w:lineRule="auto"/>
              <w:jc w:val="center"/>
              <w:rPr>
                <w:sz w:val="21"/>
              </w:rPr>
            </w:pPr>
          </w:p>
        </w:tc>
        <w:tc>
          <w:tcPr>
            <w:tcW w:w="3996" w:type="dxa"/>
            <w:gridSpan w:val="4"/>
            <w:vAlign w:val="center"/>
          </w:tcPr>
          <w:p w14:paraId="53EC373B">
            <w:pPr>
              <w:spacing w:line="240" w:lineRule="auto"/>
              <w:jc w:val="center"/>
              <w:rPr>
                <w:sz w:val="21"/>
              </w:rPr>
            </w:pPr>
          </w:p>
        </w:tc>
      </w:tr>
      <w:tr w14:paraId="329D061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96" w:type="dxa"/>
            <w:vAlign w:val="center"/>
          </w:tcPr>
          <w:p w14:paraId="4F7B6B1B">
            <w:pPr>
              <w:spacing w:line="240" w:lineRule="auto"/>
              <w:jc w:val="center"/>
              <w:rPr>
                <w:sz w:val="21"/>
              </w:rPr>
            </w:pPr>
          </w:p>
        </w:tc>
        <w:tc>
          <w:tcPr>
            <w:tcW w:w="980" w:type="dxa"/>
            <w:vAlign w:val="center"/>
          </w:tcPr>
          <w:p w14:paraId="16A70F65">
            <w:pPr>
              <w:spacing w:line="240" w:lineRule="auto"/>
              <w:ind w:firstLine="420" w:firstLineChars="200"/>
              <w:jc w:val="center"/>
              <w:rPr>
                <w:sz w:val="21"/>
              </w:rPr>
            </w:pPr>
          </w:p>
        </w:tc>
        <w:tc>
          <w:tcPr>
            <w:tcW w:w="2840" w:type="dxa"/>
            <w:gridSpan w:val="2"/>
            <w:vAlign w:val="center"/>
          </w:tcPr>
          <w:p w14:paraId="0D1CE6D7">
            <w:pPr>
              <w:spacing w:line="240" w:lineRule="auto"/>
              <w:ind w:firstLine="420" w:firstLineChars="200"/>
              <w:jc w:val="center"/>
              <w:rPr>
                <w:sz w:val="21"/>
              </w:rPr>
            </w:pPr>
          </w:p>
        </w:tc>
        <w:tc>
          <w:tcPr>
            <w:tcW w:w="3996" w:type="dxa"/>
            <w:gridSpan w:val="4"/>
            <w:vAlign w:val="center"/>
          </w:tcPr>
          <w:p w14:paraId="7E9779A8">
            <w:pPr>
              <w:spacing w:line="240" w:lineRule="auto"/>
              <w:ind w:firstLine="420" w:firstLineChars="200"/>
              <w:jc w:val="center"/>
              <w:rPr>
                <w:sz w:val="21"/>
              </w:rPr>
            </w:pPr>
          </w:p>
        </w:tc>
      </w:tr>
      <w:tr w14:paraId="22F37C8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96" w:type="dxa"/>
            <w:vAlign w:val="center"/>
          </w:tcPr>
          <w:p w14:paraId="63DD1A60">
            <w:pPr>
              <w:spacing w:line="240" w:lineRule="auto"/>
              <w:jc w:val="center"/>
              <w:rPr>
                <w:sz w:val="21"/>
              </w:rPr>
            </w:pPr>
          </w:p>
        </w:tc>
        <w:tc>
          <w:tcPr>
            <w:tcW w:w="980" w:type="dxa"/>
            <w:vAlign w:val="center"/>
          </w:tcPr>
          <w:p w14:paraId="40661951">
            <w:pPr>
              <w:spacing w:line="240" w:lineRule="auto"/>
              <w:ind w:firstLine="420" w:firstLineChars="200"/>
              <w:jc w:val="center"/>
              <w:rPr>
                <w:sz w:val="21"/>
              </w:rPr>
            </w:pPr>
          </w:p>
        </w:tc>
        <w:tc>
          <w:tcPr>
            <w:tcW w:w="2840" w:type="dxa"/>
            <w:gridSpan w:val="2"/>
            <w:vAlign w:val="center"/>
          </w:tcPr>
          <w:p w14:paraId="7C5805E1">
            <w:pPr>
              <w:spacing w:line="240" w:lineRule="auto"/>
              <w:ind w:firstLine="420" w:firstLineChars="200"/>
              <w:jc w:val="center"/>
              <w:rPr>
                <w:sz w:val="21"/>
              </w:rPr>
            </w:pPr>
          </w:p>
        </w:tc>
        <w:tc>
          <w:tcPr>
            <w:tcW w:w="3996" w:type="dxa"/>
            <w:gridSpan w:val="4"/>
            <w:vAlign w:val="center"/>
          </w:tcPr>
          <w:p w14:paraId="7057885D">
            <w:pPr>
              <w:spacing w:line="240" w:lineRule="auto"/>
              <w:ind w:firstLine="420" w:firstLineChars="200"/>
              <w:jc w:val="center"/>
              <w:rPr>
                <w:sz w:val="21"/>
              </w:rPr>
            </w:pPr>
          </w:p>
        </w:tc>
      </w:tr>
      <w:tr w14:paraId="1ECB04D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trPr>
        <w:tc>
          <w:tcPr>
            <w:tcW w:w="596" w:type="dxa"/>
            <w:vAlign w:val="center"/>
          </w:tcPr>
          <w:p w14:paraId="1317D1FA">
            <w:pPr>
              <w:spacing w:line="240" w:lineRule="auto"/>
              <w:jc w:val="center"/>
              <w:rPr>
                <w:sz w:val="21"/>
              </w:rPr>
            </w:pPr>
            <w:r>
              <w:rPr>
                <w:sz w:val="21"/>
              </w:rPr>
              <w:t>检</w:t>
            </w:r>
          </w:p>
          <w:p w14:paraId="0057AA31">
            <w:pPr>
              <w:spacing w:line="240" w:lineRule="auto"/>
              <w:jc w:val="center"/>
              <w:rPr>
                <w:sz w:val="21"/>
              </w:rPr>
            </w:pPr>
            <w:r>
              <w:rPr>
                <w:sz w:val="21"/>
              </w:rPr>
              <w:t>查</w:t>
            </w:r>
          </w:p>
          <w:p w14:paraId="184BFF37">
            <w:pPr>
              <w:spacing w:line="240" w:lineRule="auto"/>
              <w:jc w:val="center"/>
              <w:rPr>
                <w:sz w:val="21"/>
              </w:rPr>
            </w:pPr>
            <w:r>
              <w:rPr>
                <w:sz w:val="21"/>
              </w:rPr>
              <w:t>结</w:t>
            </w:r>
          </w:p>
          <w:p w14:paraId="3C21E686">
            <w:pPr>
              <w:spacing w:line="240" w:lineRule="auto"/>
              <w:jc w:val="center"/>
              <w:rPr>
                <w:sz w:val="21"/>
              </w:rPr>
            </w:pPr>
            <w:r>
              <w:rPr>
                <w:sz w:val="21"/>
              </w:rPr>
              <w:t>论</w:t>
            </w:r>
          </w:p>
        </w:tc>
        <w:tc>
          <w:tcPr>
            <w:tcW w:w="3820" w:type="dxa"/>
            <w:gridSpan w:val="3"/>
            <w:vAlign w:val="center"/>
          </w:tcPr>
          <w:p w14:paraId="29B67FC3">
            <w:pPr>
              <w:spacing w:line="240" w:lineRule="auto"/>
              <w:ind w:left="-122" w:leftChars="-51"/>
              <w:jc w:val="center"/>
              <w:rPr>
                <w:sz w:val="21"/>
              </w:rPr>
            </w:pPr>
          </w:p>
          <w:p w14:paraId="0E8E923F">
            <w:pPr>
              <w:spacing w:line="240" w:lineRule="auto"/>
              <w:ind w:left="-122" w:leftChars="-51"/>
              <w:jc w:val="center"/>
              <w:rPr>
                <w:sz w:val="21"/>
              </w:rPr>
            </w:pPr>
          </w:p>
          <w:p w14:paraId="2129524D">
            <w:pPr>
              <w:spacing w:line="240" w:lineRule="auto"/>
              <w:ind w:left="-122" w:leftChars="-51"/>
              <w:jc w:val="center"/>
              <w:rPr>
                <w:sz w:val="21"/>
              </w:rPr>
            </w:pPr>
          </w:p>
          <w:p w14:paraId="1A6A0DA7">
            <w:pPr>
              <w:spacing w:line="240" w:lineRule="auto"/>
              <w:ind w:left="-122" w:leftChars="-51"/>
              <w:jc w:val="center"/>
              <w:rPr>
                <w:sz w:val="21"/>
              </w:rPr>
            </w:pPr>
          </w:p>
          <w:p w14:paraId="6C1F077F">
            <w:pPr>
              <w:spacing w:line="240" w:lineRule="auto"/>
              <w:ind w:left="-121" w:leftChars="-51" w:hanging="1"/>
              <w:jc w:val="center"/>
              <w:rPr>
                <w:sz w:val="21"/>
              </w:rPr>
            </w:pPr>
          </w:p>
          <w:p w14:paraId="41615626">
            <w:pPr>
              <w:spacing w:line="240" w:lineRule="auto"/>
              <w:ind w:left="-121" w:leftChars="-51" w:hanging="1"/>
              <w:jc w:val="center"/>
              <w:rPr>
                <w:sz w:val="21"/>
              </w:rPr>
            </w:pPr>
          </w:p>
          <w:p w14:paraId="388E02A3">
            <w:pPr>
              <w:spacing w:line="240" w:lineRule="auto"/>
              <w:ind w:left="-121" w:leftChars="-51" w:hanging="1"/>
              <w:jc w:val="center"/>
              <w:rPr>
                <w:sz w:val="21"/>
              </w:rPr>
            </w:pPr>
          </w:p>
          <w:p w14:paraId="00DB28ED">
            <w:pPr>
              <w:spacing w:line="240" w:lineRule="auto"/>
              <w:ind w:left="-122" w:leftChars="-51"/>
              <w:jc w:val="center"/>
              <w:rPr>
                <w:sz w:val="21"/>
              </w:rPr>
            </w:pPr>
          </w:p>
          <w:p w14:paraId="7947AA19">
            <w:pPr>
              <w:spacing w:line="240" w:lineRule="auto"/>
              <w:ind w:firstLine="210" w:firstLineChars="100"/>
              <w:jc w:val="center"/>
              <w:rPr>
                <w:sz w:val="21"/>
              </w:rPr>
            </w:pPr>
            <w:r>
              <w:rPr>
                <w:sz w:val="21"/>
              </w:rPr>
              <w:t>施工员：</w:t>
            </w:r>
          </w:p>
          <w:p w14:paraId="40C4E546">
            <w:pPr>
              <w:spacing w:line="240" w:lineRule="auto"/>
              <w:ind w:firstLine="210" w:firstLineChars="100"/>
              <w:jc w:val="center"/>
              <w:rPr>
                <w:sz w:val="21"/>
              </w:rPr>
            </w:pPr>
            <w:r>
              <w:rPr>
                <w:sz w:val="21"/>
              </w:rPr>
              <w:t>项目专业质量员：</w:t>
            </w:r>
          </w:p>
          <w:p w14:paraId="31D43CF9">
            <w:pPr>
              <w:spacing w:line="240" w:lineRule="auto"/>
              <w:jc w:val="center"/>
              <w:rPr>
                <w:sz w:val="21"/>
              </w:rPr>
            </w:pPr>
            <w:r>
              <w:rPr>
                <w:sz w:val="21"/>
              </w:rPr>
              <w:t>年　  月　  日</w:t>
            </w:r>
          </w:p>
        </w:tc>
        <w:tc>
          <w:tcPr>
            <w:tcW w:w="652" w:type="dxa"/>
            <w:vAlign w:val="center"/>
          </w:tcPr>
          <w:p w14:paraId="04370840">
            <w:pPr>
              <w:spacing w:line="240" w:lineRule="auto"/>
              <w:jc w:val="center"/>
              <w:rPr>
                <w:sz w:val="21"/>
              </w:rPr>
            </w:pPr>
            <w:r>
              <w:rPr>
                <w:sz w:val="21"/>
              </w:rPr>
              <w:t>验</w:t>
            </w:r>
          </w:p>
          <w:p w14:paraId="7000F7E9">
            <w:pPr>
              <w:spacing w:line="240" w:lineRule="auto"/>
              <w:jc w:val="center"/>
              <w:rPr>
                <w:sz w:val="21"/>
              </w:rPr>
            </w:pPr>
            <w:r>
              <w:rPr>
                <w:sz w:val="21"/>
              </w:rPr>
              <w:t>收</w:t>
            </w:r>
          </w:p>
          <w:p w14:paraId="28D6C15E">
            <w:pPr>
              <w:spacing w:line="240" w:lineRule="auto"/>
              <w:jc w:val="center"/>
              <w:rPr>
                <w:sz w:val="21"/>
              </w:rPr>
            </w:pPr>
            <w:r>
              <w:rPr>
                <w:sz w:val="21"/>
              </w:rPr>
              <w:t>结</w:t>
            </w:r>
          </w:p>
          <w:p w14:paraId="29C21746">
            <w:pPr>
              <w:spacing w:line="240" w:lineRule="auto"/>
              <w:jc w:val="center"/>
              <w:rPr>
                <w:sz w:val="21"/>
              </w:rPr>
            </w:pPr>
            <w:r>
              <w:rPr>
                <w:sz w:val="21"/>
              </w:rPr>
              <w:t>论</w:t>
            </w:r>
          </w:p>
        </w:tc>
        <w:tc>
          <w:tcPr>
            <w:tcW w:w="3344" w:type="dxa"/>
            <w:gridSpan w:val="3"/>
            <w:vAlign w:val="center"/>
          </w:tcPr>
          <w:p w14:paraId="5AE4A241">
            <w:pPr>
              <w:spacing w:line="240" w:lineRule="auto"/>
              <w:jc w:val="center"/>
              <w:rPr>
                <w:sz w:val="21"/>
              </w:rPr>
            </w:pPr>
          </w:p>
          <w:p w14:paraId="2D7E7CF3">
            <w:pPr>
              <w:spacing w:line="240" w:lineRule="auto"/>
              <w:jc w:val="center"/>
              <w:rPr>
                <w:sz w:val="21"/>
              </w:rPr>
            </w:pPr>
          </w:p>
          <w:p w14:paraId="0C848076">
            <w:pPr>
              <w:spacing w:line="240" w:lineRule="auto"/>
              <w:jc w:val="center"/>
              <w:rPr>
                <w:sz w:val="21"/>
              </w:rPr>
            </w:pPr>
          </w:p>
          <w:p w14:paraId="35C8A177">
            <w:pPr>
              <w:spacing w:line="240" w:lineRule="auto"/>
              <w:jc w:val="center"/>
              <w:rPr>
                <w:sz w:val="21"/>
              </w:rPr>
            </w:pPr>
          </w:p>
          <w:p w14:paraId="73440FB7">
            <w:pPr>
              <w:spacing w:line="240" w:lineRule="auto"/>
              <w:jc w:val="center"/>
              <w:rPr>
                <w:sz w:val="21"/>
              </w:rPr>
            </w:pPr>
          </w:p>
          <w:p w14:paraId="4F831EDF">
            <w:pPr>
              <w:spacing w:line="240" w:lineRule="auto"/>
              <w:jc w:val="center"/>
              <w:rPr>
                <w:sz w:val="21"/>
              </w:rPr>
            </w:pPr>
          </w:p>
          <w:p w14:paraId="13C739AA">
            <w:pPr>
              <w:spacing w:line="240" w:lineRule="auto"/>
              <w:jc w:val="center"/>
              <w:rPr>
                <w:sz w:val="21"/>
              </w:rPr>
            </w:pPr>
          </w:p>
          <w:p w14:paraId="2B3BA0DF">
            <w:pPr>
              <w:spacing w:line="240" w:lineRule="auto"/>
              <w:jc w:val="center"/>
              <w:rPr>
                <w:sz w:val="21"/>
              </w:rPr>
            </w:pPr>
          </w:p>
          <w:p w14:paraId="71687A56">
            <w:pPr>
              <w:spacing w:line="240" w:lineRule="auto"/>
              <w:ind w:firstLine="1260" w:firstLineChars="600"/>
              <w:jc w:val="center"/>
              <w:rPr>
                <w:sz w:val="21"/>
              </w:rPr>
            </w:pPr>
            <w:r>
              <w:rPr>
                <w:sz w:val="21"/>
              </w:rPr>
              <w:t>专业监理工程师</w:t>
            </w:r>
          </w:p>
          <w:p w14:paraId="6520B1AC">
            <w:pPr>
              <w:spacing w:line="240" w:lineRule="auto"/>
              <w:ind w:firstLine="210" w:firstLineChars="100"/>
              <w:jc w:val="center"/>
              <w:rPr>
                <w:sz w:val="21"/>
              </w:rPr>
            </w:pPr>
            <w:r>
              <w:rPr>
                <w:sz w:val="21"/>
              </w:rPr>
              <w:t xml:space="preserve">        （建设项目专业技术负责人）</w:t>
            </w:r>
          </w:p>
          <w:p w14:paraId="2A0DD929">
            <w:pPr>
              <w:spacing w:line="240" w:lineRule="auto"/>
              <w:ind w:left="3540" w:leftChars="600" w:hanging="2100" w:hangingChars="1000"/>
              <w:jc w:val="center"/>
              <w:rPr>
                <w:sz w:val="21"/>
              </w:rPr>
            </w:pPr>
            <w:r>
              <w:rPr>
                <w:sz w:val="21"/>
              </w:rPr>
              <w:t>年　　月　　日</w:t>
            </w:r>
          </w:p>
        </w:tc>
      </w:tr>
    </w:tbl>
    <w:p w14:paraId="46BA8C14">
      <w:pPr>
        <w:rPr>
          <w:b/>
          <w:bCs/>
        </w:rPr>
      </w:pPr>
    </w:p>
    <w:p w14:paraId="0AA131F8">
      <w:pPr>
        <w:widowControl/>
        <w:spacing w:line="240" w:lineRule="auto"/>
        <w:jc w:val="left"/>
        <w:rPr>
          <w:b/>
          <w:bCs/>
        </w:rPr>
      </w:pPr>
      <w:r>
        <w:rPr>
          <w:b/>
          <w:bCs/>
        </w:rPr>
        <w:br w:type="page"/>
      </w:r>
    </w:p>
    <w:p w14:paraId="65785900">
      <w:pPr>
        <w:rPr>
          <w:b/>
          <w:bCs/>
        </w:rPr>
      </w:pPr>
    </w:p>
    <w:p w14:paraId="10A8BCFB">
      <w:r>
        <w:rPr>
          <w:b/>
          <w:bCs/>
        </w:rPr>
        <w:t xml:space="preserve">B.0.3  </w:t>
      </w:r>
      <w:r>
        <w:t>分部（子分部）工程质量应由总监理工程师组织施工单位项目负责人和项目技术负责人以及有关单位的项目负责人进行验收，并</w:t>
      </w:r>
      <w:r>
        <w:rPr>
          <w:rFonts w:hint="eastAsia"/>
        </w:rPr>
        <w:t>宜</w:t>
      </w:r>
      <w:r>
        <w:t>按表B.0.3记录。</w:t>
      </w:r>
    </w:p>
    <w:p w14:paraId="51819153">
      <w:pPr>
        <w:jc w:val="center"/>
        <w:rPr>
          <w:bCs/>
          <w:sz w:val="21"/>
          <w:szCs w:val="18"/>
        </w:rPr>
      </w:pPr>
      <w:r>
        <w:rPr>
          <w:b/>
          <w:sz w:val="21"/>
          <w:szCs w:val="18"/>
        </w:rPr>
        <w:t>表B.0.3  分部（子分部）工程质量验收记录表</w:t>
      </w:r>
    </w:p>
    <w:p w14:paraId="6C9D8CE1">
      <w:pPr>
        <w:wordWrap w:val="0"/>
        <w:ind w:firstLine="6435"/>
        <w:jc w:val="right"/>
        <w:rPr>
          <w:bCs/>
          <w:sz w:val="21"/>
          <w:szCs w:val="18"/>
        </w:rPr>
      </w:pPr>
      <w:r>
        <w:rPr>
          <w:bCs/>
          <w:sz w:val="21"/>
          <w:szCs w:val="18"/>
        </w:rPr>
        <w:t>编号: __________</w:t>
      </w:r>
    </w:p>
    <w:tbl>
      <w:tblPr>
        <w:tblStyle w:val="35"/>
        <w:tblW w:w="8314"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677"/>
        <w:gridCol w:w="531"/>
        <w:gridCol w:w="999"/>
        <w:gridCol w:w="1487"/>
        <w:gridCol w:w="1553"/>
        <w:gridCol w:w="1752"/>
        <w:gridCol w:w="1315"/>
      </w:tblGrid>
      <w:tr w14:paraId="22935E9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208" w:type="dxa"/>
            <w:gridSpan w:val="2"/>
            <w:vAlign w:val="center"/>
          </w:tcPr>
          <w:p w14:paraId="58689020">
            <w:pPr>
              <w:spacing w:line="240" w:lineRule="auto"/>
              <w:jc w:val="center"/>
              <w:rPr>
                <w:sz w:val="21"/>
              </w:rPr>
            </w:pPr>
            <w:r>
              <w:rPr>
                <w:sz w:val="21"/>
              </w:rPr>
              <w:t>工程名称</w:t>
            </w:r>
          </w:p>
        </w:tc>
        <w:tc>
          <w:tcPr>
            <w:tcW w:w="4039" w:type="dxa"/>
            <w:gridSpan w:val="3"/>
            <w:vAlign w:val="center"/>
          </w:tcPr>
          <w:p w14:paraId="28751E3A">
            <w:pPr>
              <w:spacing w:line="240" w:lineRule="auto"/>
              <w:jc w:val="center"/>
              <w:rPr>
                <w:sz w:val="21"/>
              </w:rPr>
            </w:pPr>
          </w:p>
        </w:tc>
        <w:tc>
          <w:tcPr>
            <w:tcW w:w="1752" w:type="dxa"/>
            <w:vAlign w:val="center"/>
          </w:tcPr>
          <w:p w14:paraId="2D8F7F9B">
            <w:pPr>
              <w:spacing w:line="240" w:lineRule="auto"/>
              <w:jc w:val="center"/>
              <w:rPr>
                <w:sz w:val="21"/>
              </w:rPr>
            </w:pPr>
            <w:r>
              <w:rPr>
                <w:sz w:val="21"/>
              </w:rPr>
              <w:t>分部工程名称</w:t>
            </w:r>
          </w:p>
        </w:tc>
        <w:tc>
          <w:tcPr>
            <w:tcW w:w="1315" w:type="dxa"/>
            <w:vAlign w:val="center"/>
          </w:tcPr>
          <w:p w14:paraId="456F12EB">
            <w:pPr>
              <w:spacing w:line="240" w:lineRule="auto"/>
              <w:jc w:val="center"/>
              <w:rPr>
                <w:sz w:val="21"/>
              </w:rPr>
            </w:pPr>
          </w:p>
        </w:tc>
      </w:tr>
      <w:tr w14:paraId="5921269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208" w:type="dxa"/>
            <w:gridSpan w:val="2"/>
            <w:vAlign w:val="center"/>
          </w:tcPr>
          <w:p w14:paraId="0766ECAC">
            <w:pPr>
              <w:spacing w:line="240" w:lineRule="auto"/>
              <w:jc w:val="center"/>
              <w:rPr>
                <w:sz w:val="21"/>
              </w:rPr>
            </w:pPr>
            <w:r>
              <w:rPr>
                <w:sz w:val="21"/>
              </w:rPr>
              <w:t>施工单位</w:t>
            </w:r>
          </w:p>
        </w:tc>
        <w:tc>
          <w:tcPr>
            <w:tcW w:w="999" w:type="dxa"/>
            <w:vAlign w:val="center"/>
          </w:tcPr>
          <w:p w14:paraId="648DB18A">
            <w:pPr>
              <w:spacing w:line="240" w:lineRule="auto"/>
              <w:jc w:val="center"/>
              <w:rPr>
                <w:sz w:val="21"/>
              </w:rPr>
            </w:pPr>
          </w:p>
        </w:tc>
        <w:tc>
          <w:tcPr>
            <w:tcW w:w="1487" w:type="dxa"/>
            <w:vAlign w:val="center"/>
          </w:tcPr>
          <w:p w14:paraId="33EB7E1F">
            <w:pPr>
              <w:pStyle w:val="25"/>
              <w:pBdr>
                <w:bottom w:val="none" w:color="auto" w:sz="0" w:space="0"/>
              </w:pBdr>
              <w:tabs>
                <w:tab w:val="clear" w:pos="4153"/>
                <w:tab w:val="clear" w:pos="8306"/>
              </w:tabs>
              <w:snapToGrid/>
              <w:spacing w:line="240" w:lineRule="auto"/>
              <w:rPr>
                <w:spacing w:val="-20"/>
                <w:sz w:val="21"/>
                <w:szCs w:val="21"/>
              </w:rPr>
            </w:pPr>
            <w:r>
              <w:rPr>
                <w:spacing w:val="-20"/>
                <w:sz w:val="21"/>
                <w:szCs w:val="21"/>
              </w:rPr>
              <w:t>技术部门负责人</w:t>
            </w:r>
          </w:p>
        </w:tc>
        <w:tc>
          <w:tcPr>
            <w:tcW w:w="1553" w:type="dxa"/>
            <w:vAlign w:val="center"/>
          </w:tcPr>
          <w:p w14:paraId="3BB060CC">
            <w:pPr>
              <w:spacing w:line="240" w:lineRule="auto"/>
              <w:jc w:val="center"/>
              <w:rPr>
                <w:sz w:val="21"/>
              </w:rPr>
            </w:pPr>
          </w:p>
        </w:tc>
        <w:tc>
          <w:tcPr>
            <w:tcW w:w="1752" w:type="dxa"/>
            <w:vAlign w:val="center"/>
          </w:tcPr>
          <w:p w14:paraId="4DB5CECE">
            <w:pPr>
              <w:spacing w:line="240" w:lineRule="auto"/>
              <w:jc w:val="center"/>
              <w:rPr>
                <w:spacing w:val="-20"/>
                <w:sz w:val="21"/>
              </w:rPr>
            </w:pPr>
            <w:r>
              <w:rPr>
                <w:spacing w:val="-20"/>
                <w:sz w:val="21"/>
              </w:rPr>
              <w:t>质量部门负责人</w:t>
            </w:r>
          </w:p>
        </w:tc>
        <w:tc>
          <w:tcPr>
            <w:tcW w:w="1315" w:type="dxa"/>
            <w:vAlign w:val="center"/>
          </w:tcPr>
          <w:p w14:paraId="4A38D834">
            <w:pPr>
              <w:spacing w:line="240" w:lineRule="auto"/>
              <w:jc w:val="center"/>
              <w:rPr>
                <w:sz w:val="21"/>
              </w:rPr>
            </w:pPr>
          </w:p>
        </w:tc>
      </w:tr>
      <w:tr w14:paraId="5C7CE20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1208" w:type="dxa"/>
            <w:gridSpan w:val="2"/>
            <w:vAlign w:val="center"/>
          </w:tcPr>
          <w:p w14:paraId="17B347F2">
            <w:pPr>
              <w:spacing w:line="240" w:lineRule="auto"/>
              <w:jc w:val="center"/>
              <w:rPr>
                <w:sz w:val="21"/>
              </w:rPr>
            </w:pPr>
            <w:r>
              <w:rPr>
                <w:sz w:val="21"/>
              </w:rPr>
              <w:t>分包单位</w:t>
            </w:r>
          </w:p>
        </w:tc>
        <w:tc>
          <w:tcPr>
            <w:tcW w:w="999" w:type="dxa"/>
            <w:vAlign w:val="center"/>
          </w:tcPr>
          <w:p w14:paraId="0F5D2EC9">
            <w:pPr>
              <w:spacing w:line="240" w:lineRule="auto"/>
              <w:jc w:val="center"/>
              <w:rPr>
                <w:sz w:val="21"/>
              </w:rPr>
            </w:pPr>
          </w:p>
        </w:tc>
        <w:tc>
          <w:tcPr>
            <w:tcW w:w="1487" w:type="dxa"/>
            <w:vAlign w:val="center"/>
          </w:tcPr>
          <w:p w14:paraId="63329BC1">
            <w:pPr>
              <w:spacing w:line="240" w:lineRule="auto"/>
              <w:jc w:val="center"/>
              <w:rPr>
                <w:spacing w:val="-20"/>
                <w:sz w:val="21"/>
              </w:rPr>
            </w:pPr>
            <w:r>
              <w:rPr>
                <w:spacing w:val="-20"/>
                <w:sz w:val="21"/>
              </w:rPr>
              <w:t>分包单位负责人</w:t>
            </w:r>
          </w:p>
        </w:tc>
        <w:tc>
          <w:tcPr>
            <w:tcW w:w="1553" w:type="dxa"/>
            <w:vAlign w:val="center"/>
          </w:tcPr>
          <w:p w14:paraId="4B683C87">
            <w:pPr>
              <w:spacing w:line="240" w:lineRule="auto"/>
              <w:jc w:val="center"/>
              <w:rPr>
                <w:sz w:val="21"/>
              </w:rPr>
            </w:pPr>
          </w:p>
        </w:tc>
        <w:tc>
          <w:tcPr>
            <w:tcW w:w="1752" w:type="dxa"/>
            <w:vAlign w:val="center"/>
          </w:tcPr>
          <w:p w14:paraId="2F23499A">
            <w:pPr>
              <w:spacing w:line="240" w:lineRule="auto"/>
              <w:jc w:val="center"/>
              <w:rPr>
                <w:spacing w:val="-20"/>
                <w:sz w:val="21"/>
              </w:rPr>
            </w:pPr>
            <w:r>
              <w:rPr>
                <w:spacing w:val="-20"/>
                <w:sz w:val="21"/>
              </w:rPr>
              <w:t>分包技术负责人</w:t>
            </w:r>
          </w:p>
        </w:tc>
        <w:tc>
          <w:tcPr>
            <w:tcW w:w="1315" w:type="dxa"/>
            <w:vAlign w:val="center"/>
          </w:tcPr>
          <w:p w14:paraId="56021A91">
            <w:pPr>
              <w:spacing w:line="240" w:lineRule="auto"/>
              <w:jc w:val="center"/>
              <w:rPr>
                <w:sz w:val="21"/>
              </w:rPr>
            </w:pPr>
          </w:p>
        </w:tc>
      </w:tr>
      <w:tr w14:paraId="0B43F69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77" w:type="dxa"/>
            <w:vAlign w:val="center"/>
          </w:tcPr>
          <w:p w14:paraId="6BF87718">
            <w:pPr>
              <w:spacing w:line="240" w:lineRule="auto"/>
              <w:jc w:val="center"/>
              <w:rPr>
                <w:sz w:val="21"/>
              </w:rPr>
            </w:pPr>
            <w:r>
              <w:rPr>
                <w:sz w:val="21"/>
              </w:rPr>
              <w:t>序号</w:t>
            </w:r>
          </w:p>
        </w:tc>
        <w:tc>
          <w:tcPr>
            <w:tcW w:w="1530" w:type="dxa"/>
            <w:gridSpan w:val="2"/>
            <w:vAlign w:val="center"/>
          </w:tcPr>
          <w:p w14:paraId="1820123F">
            <w:pPr>
              <w:spacing w:line="240" w:lineRule="auto"/>
              <w:jc w:val="center"/>
              <w:rPr>
                <w:sz w:val="21"/>
              </w:rPr>
            </w:pPr>
            <w:r>
              <w:rPr>
                <w:sz w:val="21"/>
              </w:rPr>
              <w:t>分项工程名称</w:t>
            </w:r>
          </w:p>
        </w:tc>
        <w:tc>
          <w:tcPr>
            <w:tcW w:w="1487" w:type="dxa"/>
            <w:vAlign w:val="center"/>
          </w:tcPr>
          <w:p w14:paraId="069C3226">
            <w:pPr>
              <w:spacing w:line="240" w:lineRule="auto"/>
              <w:jc w:val="center"/>
              <w:rPr>
                <w:sz w:val="21"/>
              </w:rPr>
            </w:pPr>
            <w:r>
              <w:rPr>
                <w:sz w:val="21"/>
              </w:rPr>
              <w:t>检验批数</w:t>
            </w:r>
          </w:p>
        </w:tc>
        <w:tc>
          <w:tcPr>
            <w:tcW w:w="1553" w:type="dxa"/>
            <w:vAlign w:val="center"/>
          </w:tcPr>
          <w:p w14:paraId="53FEEAA8">
            <w:pPr>
              <w:spacing w:line="240" w:lineRule="auto"/>
              <w:jc w:val="center"/>
              <w:rPr>
                <w:sz w:val="21"/>
              </w:rPr>
            </w:pPr>
            <w:r>
              <w:rPr>
                <w:sz w:val="21"/>
              </w:rPr>
              <w:t>施工单位检查评定</w:t>
            </w:r>
          </w:p>
        </w:tc>
        <w:tc>
          <w:tcPr>
            <w:tcW w:w="3067" w:type="dxa"/>
            <w:gridSpan w:val="2"/>
            <w:vAlign w:val="center"/>
          </w:tcPr>
          <w:p w14:paraId="2FBA7393">
            <w:pPr>
              <w:spacing w:line="240" w:lineRule="auto"/>
              <w:jc w:val="center"/>
              <w:rPr>
                <w:sz w:val="21"/>
              </w:rPr>
            </w:pPr>
            <w:r>
              <w:rPr>
                <w:sz w:val="21"/>
              </w:rPr>
              <w:t>验　收　意　见</w:t>
            </w:r>
          </w:p>
        </w:tc>
      </w:tr>
      <w:tr w14:paraId="3FC9CDF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77" w:type="dxa"/>
            <w:vAlign w:val="center"/>
          </w:tcPr>
          <w:p w14:paraId="7655A121">
            <w:pPr>
              <w:pStyle w:val="86"/>
              <w:spacing w:line="240" w:lineRule="auto"/>
              <w:jc w:val="center"/>
              <w:rPr>
                <w:sz w:val="21"/>
                <w:szCs w:val="21"/>
              </w:rPr>
            </w:pPr>
            <w:r>
              <w:rPr>
                <w:sz w:val="21"/>
                <w:szCs w:val="21"/>
              </w:rPr>
              <w:t>1</w:t>
            </w:r>
          </w:p>
        </w:tc>
        <w:tc>
          <w:tcPr>
            <w:tcW w:w="1530" w:type="dxa"/>
            <w:gridSpan w:val="2"/>
            <w:vAlign w:val="center"/>
          </w:tcPr>
          <w:p w14:paraId="343CC820">
            <w:pPr>
              <w:spacing w:line="240" w:lineRule="auto"/>
              <w:jc w:val="center"/>
              <w:rPr>
                <w:sz w:val="21"/>
              </w:rPr>
            </w:pPr>
          </w:p>
        </w:tc>
        <w:tc>
          <w:tcPr>
            <w:tcW w:w="1487" w:type="dxa"/>
            <w:vAlign w:val="center"/>
          </w:tcPr>
          <w:p w14:paraId="01F82A6F">
            <w:pPr>
              <w:pStyle w:val="25"/>
              <w:pBdr>
                <w:bottom w:val="none" w:color="auto" w:sz="0" w:space="0"/>
              </w:pBdr>
              <w:tabs>
                <w:tab w:val="clear" w:pos="4153"/>
                <w:tab w:val="clear" w:pos="8306"/>
              </w:tabs>
              <w:snapToGrid/>
              <w:spacing w:line="240" w:lineRule="auto"/>
              <w:rPr>
                <w:sz w:val="21"/>
                <w:szCs w:val="21"/>
              </w:rPr>
            </w:pPr>
          </w:p>
        </w:tc>
        <w:tc>
          <w:tcPr>
            <w:tcW w:w="1553" w:type="dxa"/>
            <w:vAlign w:val="center"/>
          </w:tcPr>
          <w:p w14:paraId="79FB76E9">
            <w:pPr>
              <w:spacing w:line="240" w:lineRule="auto"/>
              <w:jc w:val="center"/>
              <w:rPr>
                <w:sz w:val="21"/>
              </w:rPr>
            </w:pPr>
          </w:p>
        </w:tc>
        <w:tc>
          <w:tcPr>
            <w:tcW w:w="3067" w:type="dxa"/>
            <w:gridSpan w:val="2"/>
            <w:vMerge w:val="restart"/>
            <w:vAlign w:val="center"/>
          </w:tcPr>
          <w:p w14:paraId="7A797A45">
            <w:pPr>
              <w:spacing w:line="240" w:lineRule="auto"/>
              <w:jc w:val="center"/>
              <w:rPr>
                <w:sz w:val="21"/>
              </w:rPr>
            </w:pPr>
          </w:p>
        </w:tc>
      </w:tr>
      <w:tr w14:paraId="1DBAD1D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77" w:type="dxa"/>
            <w:vAlign w:val="center"/>
          </w:tcPr>
          <w:p w14:paraId="1CB3FD4A">
            <w:pPr>
              <w:spacing w:line="240" w:lineRule="auto"/>
              <w:jc w:val="center"/>
              <w:rPr>
                <w:sz w:val="21"/>
              </w:rPr>
            </w:pPr>
            <w:r>
              <w:rPr>
                <w:sz w:val="21"/>
              </w:rPr>
              <w:t>2</w:t>
            </w:r>
          </w:p>
        </w:tc>
        <w:tc>
          <w:tcPr>
            <w:tcW w:w="1530" w:type="dxa"/>
            <w:gridSpan w:val="2"/>
            <w:vAlign w:val="center"/>
          </w:tcPr>
          <w:p w14:paraId="6DDEA3FD">
            <w:pPr>
              <w:spacing w:line="240" w:lineRule="auto"/>
              <w:jc w:val="center"/>
              <w:rPr>
                <w:sz w:val="21"/>
              </w:rPr>
            </w:pPr>
          </w:p>
        </w:tc>
        <w:tc>
          <w:tcPr>
            <w:tcW w:w="1487" w:type="dxa"/>
            <w:vAlign w:val="center"/>
          </w:tcPr>
          <w:p w14:paraId="0078E21D">
            <w:pPr>
              <w:spacing w:line="240" w:lineRule="auto"/>
              <w:jc w:val="center"/>
              <w:rPr>
                <w:sz w:val="21"/>
              </w:rPr>
            </w:pPr>
          </w:p>
        </w:tc>
        <w:tc>
          <w:tcPr>
            <w:tcW w:w="1553" w:type="dxa"/>
            <w:vAlign w:val="center"/>
          </w:tcPr>
          <w:p w14:paraId="767D0B92">
            <w:pPr>
              <w:spacing w:line="240" w:lineRule="auto"/>
              <w:jc w:val="center"/>
              <w:rPr>
                <w:sz w:val="21"/>
              </w:rPr>
            </w:pPr>
          </w:p>
        </w:tc>
        <w:tc>
          <w:tcPr>
            <w:tcW w:w="3067" w:type="dxa"/>
            <w:gridSpan w:val="2"/>
            <w:vMerge w:val="continue"/>
            <w:vAlign w:val="center"/>
          </w:tcPr>
          <w:p w14:paraId="2A73BC07">
            <w:pPr>
              <w:widowControl/>
              <w:spacing w:line="240" w:lineRule="auto"/>
              <w:jc w:val="center"/>
              <w:rPr>
                <w:sz w:val="21"/>
              </w:rPr>
            </w:pPr>
          </w:p>
        </w:tc>
      </w:tr>
      <w:tr w14:paraId="7CA4202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77" w:type="dxa"/>
            <w:vAlign w:val="center"/>
          </w:tcPr>
          <w:p w14:paraId="4FE8AF4A">
            <w:pPr>
              <w:spacing w:line="240" w:lineRule="auto"/>
              <w:jc w:val="center"/>
              <w:rPr>
                <w:sz w:val="21"/>
              </w:rPr>
            </w:pPr>
            <w:r>
              <w:rPr>
                <w:sz w:val="21"/>
              </w:rPr>
              <w:t>3</w:t>
            </w:r>
          </w:p>
        </w:tc>
        <w:tc>
          <w:tcPr>
            <w:tcW w:w="1530" w:type="dxa"/>
            <w:gridSpan w:val="2"/>
            <w:vAlign w:val="center"/>
          </w:tcPr>
          <w:p w14:paraId="139C687E">
            <w:pPr>
              <w:spacing w:line="240" w:lineRule="auto"/>
              <w:jc w:val="center"/>
              <w:rPr>
                <w:sz w:val="21"/>
              </w:rPr>
            </w:pPr>
          </w:p>
        </w:tc>
        <w:tc>
          <w:tcPr>
            <w:tcW w:w="1487" w:type="dxa"/>
            <w:vAlign w:val="center"/>
          </w:tcPr>
          <w:p w14:paraId="61C34518">
            <w:pPr>
              <w:spacing w:line="240" w:lineRule="auto"/>
              <w:jc w:val="center"/>
              <w:rPr>
                <w:sz w:val="21"/>
              </w:rPr>
            </w:pPr>
          </w:p>
        </w:tc>
        <w:tc>
          <w:tcPr>
            <w:tcW w:w="1553" w:type="dxa"/>
            <w:vAlign w:val="center"/>
          </w:tcPr>
          <w:p w14:paraId="721A5972">
            <w:pPr>
              <w:spacing w:line="240" w:lineRule="auto"/>
              <w:jc w:val="center"/>
              <w:rPr>
                <w:sz w:val="21"/>
              </w:rPr>
            </w:pPr>
          </w:p>
        </w:tc>
        <w:tc>
          <w:tcPr>
            <w:tcW w:w="3067" w:type="dxa"/>
            <w:gridSpan w:val="2"/>
            <w:vMerge w:val="continue"/>
            <w:vAlign w:val="center"/>
          </w:tcPr>
          <w:p w14:paraId="26E0726F">
            <w:pPr>
              <w:widowControl/>
              <w:spacing w:line="240" w:lineRule="auto"/>
              <w:jc w:val="center"/>
              <w:rPr>
                <w:sz w:val="21"/>
              </w:rPr>
            </w:pPr>
          </w:p>
        </w:tc>
      </w:tr>
      <w:tr w14:paraId="1C758FD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77" w:type="dxa"/>
            <w:vAlign w:val="center"/>
          </w:tcPr>
          <w:p w14:paraId="1AB1D0CF">
            <w:pPr>
              <w:spacing w:line="240" w:lineRule="auto"/>
              <w:jc w:val="center"/>
              <w:rPr>
                <w:sz w:val="21"/>
              </w:rPr>
            </w:pPr>
            <w:r>
              <w:rPr>
                <w:sz w:val="21"/>
              </w:rPr>
              <w:t>4</w:t>
            </w:r>
          </w:p>
        </w:tc>
        <w:tc>
          <w:tcPr>
            <w:tcW w:w="1530" w:type="dxa"/>
            <w:gridSpan w:val="2"/>
            <w:vAlign w:val="center"/>
          </w:tcPr>
          <w:p w14:paraId="7D75761E">
            <w:pPr>
              <w:spacing w:line="240" w:lineRule="auto"/>
              <w:jc w:val="center"/>
              <w:rPr>
                <w:sz w:val="21"/>
              </w:rPr>
            </w:pPr>
          </w:p>
        </w:tc>
        <w:tc>
          <w:tcPr>
            <w:tcW w:w="1487" w:type="dxa"/>
            <w:vAlign w:val="center"/>
          </w:tcPr>
          <w:p w14:paraId="13163E24">
            <w:pPr>
              <w:spacing w:line="240" w:lineRule="auto"/>
              <w:jc w:val="center"/>
              <w:rPr>
                <w:sz w:val="21"/>
              </w:rPr>
            </w:pPr>
          </w:p>
        </w:tc>
        <w:tc>
          <w:tcPr>
            <w:tcW w:w="1553" w:type="dxa"/>
            <w:vAlign w:val="center"/>
          </w:tcPr>
          <w:p w14:paraId="32ED15AF">
            <w:pPr>
              <w:spacing w:line="240" w:lineRule="auto"/>
              <w:jc w:val="center"/>
              <w:rPr>
                <w:sz w:val="21"/>
              </w:rPr>
            </w:pPr>
          </w:p>
        </w:tc>
        <w:tc>
          <w:tcPr>
            <w:tcW w:w="3067" w:type="dxa"/>
            <w:gridSpan w:val="2"/>
            <w:vMerge w:val="continue"/>
            <w:vAlign w:val="center"/>
          </w:tcPr>
          <w:p w14:paraId="68F4E658">
            <w:pPr>
              <w:widowControl/>
              <w:spacing w:line="240" w:lineRule="auto"/>
              <w:jc w:val="center"/>
              <w:rPr>
                <w:sz w:val="21"/>
              </w:rPr>
            </w:pPr>
          </w:p>
        </w:tc>
      </w:tr>
      <w:tr w14:paraId="1271485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677" w:type="dxa"/>
            <w:vAlign w:val="center"/>
          </w:tcPr>
          <w:p w14:paraId="4FB996FA">
            <w:pPr>
              <w:spacing w:line="240" w:lineRule="auto"/>
              <w:jc w:val="center"/>
              <w:rPr>
                <w:sz w:val="21"/>
              </w:rPr>
            </w:pPr>
            <w:r>
              <w:rPr>
                <w:sz w:val="21"/>
              </w:rPr>
              <w:t>5</w:t>
            </w:r>
          </w:p>
        </w:tc>
        <w:tc>
          <w:tcPr>
            <w:tcW w:w="1530" w:type="dxa"/>
            <w:gridSpan w:val="2"/>
            <w:vAlign w:val="center"/>
          </w:tcPr>
          <w:p w14:paraId="121CC3A0">
            <w:pPr>
              <w:spacing w:line="240" w:lineRule="auto"/>
              <w:jc w:val="center"/>
              <w:rPr>
                <w:sz w:val="21"/>
              </w:rPr>
            </w:pPr>
          </w:p>
        </w:tc>
        <w:tc>
          <w:tcPr>
            <w:tcW w:w="1487" w:type="dxa"/>
            <w:vAlign w:val="center"/>
          </w:tcPr>
          <w:p w14:paraId="7A0E22CA">
            <w:pPr>
              <w:spacing w:line="240" w:lineRule="auto"/>
              <w:jc w:val="center"/>
              <w:rPr>
                <w:sz w:val="21"/>
              </w:rPr>
            </w:pPr>
          </w:p>
        </w:tc>
        <w:tc>
          <w:tcPr>
            <w:tcW w:w="1553" w:type="dxa"/>
            <w:vAlign w:val="center"/>
          </w:tcPr>
          <w:p w14:paraId="165EAF9C">
            <w:pPr>
              <w:spacing w:line="240" w:lineRule="auto"/>
              <w:jc w:val="center"/>
              <w:rPr>
                <w:sz w:val="21"/>
              </w:rPr>
            </w:pPr>
          </w:p>
        </w:tc>
        <w:tc>
          <w:tcPr>
            <w:tcW w:w="3067" w:type="dxa"/>
            <w:gridSpan w:val="2"/>
            <w:vMerge w:val="continue"/>
            <w:vAlign w:val="center"/>
          </w:tcPr>
          <w:p w14:paraId="71ACBE30">
            <w:pPr>
              <w:widowControl/>
              <w:spacing w:line="240" w:lineRule="auto"/>
              <w:jc w:val="center"/>
              <w:rPr>
                <w:sz w:val="21"/>
              </w:rPr>
            </w:pPr>
          </w:p>
        </w:tc>
      </w:tr>
      <w:tr w14:paraId="0D0C4CA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207" w:type="dxa"/>
            <w:gridSpan w:val="3"/>
            <w:vAlign w:val="center"/>
          </w:tcPr>
          <w:p w14:paraId="239C0161">
            <w:pPr>
              <w:spacing w:line="240" w:lineRule="auto"/>
              <w:jc w:val="center"/>
              <w:rPr>
                <w:sz w:val="21"/>
              </w:rPr>
            </w:pPr>
            <w:r>
              <w:rPr>
                <w:sz w:val="21"/>
              </w:rPr>
              <w:t>质量控制资料</w:t>
            </w:r>
          </w:p>
        </w:tc>
        <w:tc>
          <w:tcPr>
            <w:tcW w:w="3040" w:type="dxa"/>
            <w:gridSpan w:val="2"/>
            <w:vAlign w:val="center"/>
          </w:tcPr>
          <w:p w14:paraId="38904BAE">
            <w:pPr>
              <w:spacing w:line="240" w:lineRule="auto"/>
              <w:jc w:val="center"/>
              <w:rPr>
                <w:sz w:val="21"/>
              </w:rPr>
            </w:pPr>
          </w:p>
          <w:p w14:paraId="34D15E9C">
            <w:pPr>
              <w:spacing w:line="240" w:lineRule="auto"/>
              <w:jc w:val="center"/>
              <w:rPr>
                <w:sz w:val="21"/>
              </w:rPr>
            </w:pPr>
          </w:p>
        </w:tc>
        <w:tc>
          <w:tcPr>
            <w:tcW w:w="3067" w:type="dxa"/>
            <w:gridSpan w:val="2"/>
            <w:vAlign w:val="center"/>
          </w:tcPr>
          <w:p w14:paraId="21A8B6E8">
            <w:pPr>
              <w:spacing w:line="240" w:lineRule="auto"/>
              <w:jc w:val="center"/>
              <w:rPr>
                <w:sz w:val="21"/>
              </w:rPr>
            </w:pPr>
          </w:p>
          <w:p w14:paraId="548EF5E2">
            <w:pPr>
              <w:spacing w:line="240" w:lineRule="auto"/>
              <w:jc w:val="center"/>
              <w:rPr>
                <w:sz w:val="21"/>
              </w:rPr>
            </w:pPr>
          </w:p>
        </w:tc>
      </w:tr>
      <w:tr w14:paraId="4DF16F7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207" w:type="dxa"/>
            <w:gridSpan w:val="3"/>
            <w:vAlign w:val="center"/>
          </w:tcPr>
          <w:p w14:paraId="11401920">
            <w:pPr>
              <w:spacing w:line="240" w:lineRule="auto"/>
              <w:jc w:val="center"/>
              <w:rPr>
                <w:sz w:val="21"/>
              </w:rPr>
            </w:pPr>
            <w:r>
              <w:rPr>
                <w:sz w:val="21"/>
              </w:rPr>
              <w:t>安全和功能检验</w:t>
            </w:r>
          </w:p>
          <w:p w14:paraId="51927E89">
            <w:pPr>
              <w:spacing w:line="240" w:lineRule="auto"/>
              <w:jc w:val="center"/>
              <w:rPr>
                <w:sz w:val="21"/>
              </w:rPr>
            </w:pPr>
            <w:r>
              <w:rPr>
                <w:sz w:val="21"/>
              </w:rPr>
              <w:t>（检测）报告</w:t>
            </w:r>
          </w:p>
        </w:tc>
        <w:tc>
          <w:tcPr>
            <w:tcW w:w="3040" w:type="dxa"/>
            <w:gridSpan w:val="2"/>
            <w:vAlign w:val="center"/>
          </w:tcPr>
          <w:p w14:paraId="38A576AD">
            <w:pPr>
              <w:spacing w:line="240" w:lineRule="auto"/>
              <w:jc w:val="center"/>
              <w:rPr>
                <w:sz w:val="21"/>
              </w:rPr>
            </w:pPr>
          </w:p>
          <w:p w14:paraId="6359091B">
            <w:pPr>
              <w:spacing w:line="240" w:lineRule="auto"/>
              <w:jc w:val="center"/>
              <w:rPr>
                <w:sz w:val="21"/>
              </w:rPr>
            </w:pPr>
          </w:p>
        </w:tc>
        <w:tc>
          <w:tcPr>
            <w:tcW w:w="3067" w:type="dxa"/>
            <w:gridSpan w:val="2"/>
            <w:vAlign w:val="center"/>
          </w:tcPr>
          <w:p w14:paraId="4A3B1C1F">
            <w:pPr>
              <w:spacing w:line="240" w:lineRule="auto"/>
              <w:jc w:val="center"/>
              <w:rPr>
                <w:sz w:val="21"/>
              </w:rPr>
            </w:pPr>
          </w:p>
          <w:p w14:paraId="0DC1C479">
            <w:pPr>
              <w:spacing w:line="240" w:lineRule="auto"/>
              <w:jc w:val="center"/>
              <w:rPr>
                <w:sz w:val="21"/>
              </w:rPr>
            </w:pPr>
          </w:p>
        </w:tc>
      </w:tr>
      <w:tr w14:paraId="63BD417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2207" w:type="dxa"/>
            <w:gridSpan w:val="3"/>
            <w:vAlign w:val="center"/>
          </w:tcPr>
          <w:p w14:paraId="32408C67">
            <w:pPr>
              <w:spacing w:line="240" w:lineRule="auto"/>
              <w:jc w:val="center"/>
              <w:rPr>
                <w:sz w:val="21"/>
              </w:rPr>
            </w:pPr>
            <w:r>
              <w:rPr>
                <w:sz w:val="21"/>
              </w:rPr>
              <w:t>观感质量验收</w:t>
            </w:r>
          </w:p>
        </w:tc>
        <w:tc>
          <w:tcPr>
            <w:tcW w:w="3040" w:type="dxa"/>
            <w:gridSpan w:val="2"/>
            <w:vAlign w:val="center"/>
          </w:tcPr>
          <w:p w14:paraId="256875BF">
            <w:pPr>
              <w:spacing w:line="240" w:lineRule="auto"/>
              <w:jc w:val="center"/>
              <w:rPr>
                <w:sz w:val="21"/>
              </w:rPr>
            </w:pPr>
          </w:p>
          <w:p w14:paraId="26787799">
            <w:pPr>
              <w:spacing w:line="240" w:lineRule="auto"/>
              <w:jc w:val="center"/>
              <w:rPr>
                <w:sz w:val="21"/>
              </w:rPr>
            </w:pPr>
          </w:p>
        </w:tc>
        <w:tc>
          <w:tcPr>
            <w:tcW w:w="3067" w:type="dxa"/>
            <w:gridSpan w:val="2"/>
            <w:vAlign w:val="center"/>
          </w:tcPr>
          <w:p w14:paraId="47161914">
            <w:pPr>
              <w:pStyle w:val="86"/>
              <w:spacing w:line="240" w:lineRule="auto"/>
              <w:jc w:val="center"/>
              <w:rPr>
                <w:sz w:val="21"/>
                <w:szCs w:val="21"/>
              </w:rPr>
            </w:pPr>
          </w:p>
          <w:p w14:paraId="126AB9A5">
            <w:pPr>
              <w:pStyle w:val="86"/>
              <w:spacing w:line="240" w:lineRule="auto"/>
              <w:jc w:val="center"/>
              <w:rPr>
                <w:sz w:val="21"/>
                <w:szCs w:val="21"/>
              </w:rPr>
            </w:pPr>
          </w:p>
        </w:tc>
      </w:tr>
      <w:tr w14:paraId="16F9473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36" w:hRule="atLeast"/>
          <w:jc w:val="center"/>
        </w:trPr>
        <w:tc>
          <w:tcPr>
            <w:tcW w:w="677" w:type="dxa"/>
            <w:vMerge w:val="restart"/>
            <w:vAlign w:val="center"/>
          </w:tcPr>
          <w:p w14:paraId="04B49270">
            <w:pPr>
              <w:spacing w:line="240" w:lineRule="auto"/>
              <w:jc w:val="center"/>
              <w:rPr>
                <w:sz w:val="21"/>
              </w:rPr>
            </w:pPr>
            <w:r>
              <w:rPr>
                <w:sz w:val="21"/>
              </w:rPr>
              <w:t>验</w:t>
            </w:r>
          </w:p>
          <w:p w14:paraId="2E92A1C2">
            <w:pPr>
              <w:spacing w:line="240" w:lineRule="auto"/>
              <w:jc w:val="center"/>
              <w:rPr>
                <w:sz w:val="21"/>
              </w:rPr>
            </w:pPr>
            <w:r>
              <w:rPr>
                <w:sz w:val="21"/>
              </w:rPr>
              <w:t>收</w:t>
            </w:r>
          </w:p>
          <w:p w14:paraId="33D97AD1">
            <w:pPr>
              <w:spacing w:line="240" w:lineRule="auto"/>
              <w:jc w:val="center"/>
              <w:rPr>
                <w:sz w:val="21"/>
              </w:rPr>
            </w:pPr>
            <w:r>
              <w:rPr>
                <w:sz w:val="21"/>
              </w:rPr>
              <w:t>单</w:t>
            </w:r>
          </w:p>
          <w:p w14:paraId="17DE813B">
            <w:pPr>
              <w:spacing w:line="240" w:lineRule="auto"/>
              <w:jc w:val="center"/>
              <w:rPr>
                <w:sz w:val="21"/>
              </w:rPr>
            </w:pPr>
            <w:r>
              <w:rPr>
                <w:sz w:val="21"/>
              </w:rPr>
              <w:t>位</w:t>
            </w:r>
          </w:p>
        </w:tc>
        <w:tc>
          <w:tcPr>
            <w:tcW w:w="1530" w:type="dxa"/>
            <w:gridSpan w:val="2"/>
            <w:vAlign w:val="center"/>
          </w:tcPr>
          <w:p w14:paraId="1130F6BA">
            <w:pPr>
              <w:spacing w:line="240" w:lineRule="auto"/>
              <w:jc w:val="center"/>
              <w:rPr>
                <w:sz w:val="21"/>
              </w:rPr>
            </w:pPr>
            <w:r>
              <w:rPr>
                <w:sz w:val="21"/>
              </w:rPr>
              <w:t>分包单位</w:t>
            </w:r>
          </w:p>
        </w:tc>
        <w:tc>
          <w:tcPr>
            <w:tcW w:w="6107" w:type="dxa"/>
            <w:gridSpan w:val="4"/>
            <w:vAlign w:val="center"/>
          </w:tcPr>
          <w:p w14:paraId="4145C583">
            <w:pPr>
              <w:spacing w:line="240" w:lineRule="auto"/>
              <w:jc w:val="center"/>
              <w:rPr>
                <w:sz w:val="21"/>
              </w:rPr>
            </w:pPr>
            <w:r>
              <w:rPr>
                <w:sz w:val="21"/>
              </w:rPr>
              <w:t>项目经理　　　　                         年　　月　　日</w:t>
            </w:r>
          </w:p>
        </w:tc>
      </w:tr>
      <w:tr w14:paraId="21B18D4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36" w:hRule="atLeast"/>
          <w:jc w:val="center"/>
        </w:trPr>
        <w:tc>
          <w:tcPr>
            <w:tcW w:w="677" w:type="dxa"/>
            <w:vMerge w:val="continue"/>
            <w:vAlign w:val="center"/>
          </w:tcPr>
          <w:p w14:paraId="0D0E0844">
            <w:pPr>
              <w:widowControl/>
              <w:spacing w:line="240" w:lineRule="auto"/>
              <w:jc w:val="center"/>
              <w:rPr>
                <w:sz w:val="21"/>
              </w:rPr>
            </w:pPr>
          </w:p>
        </w:tc>
        <w:tc>
          <w:tcPr>
            <w:tcW w:w="1530" w:type="dxa"/>
            <w:gridSpan w:val="2"/>
            <w:vAlign w:val="center"/>
          </w:tcPr>
          <w:p w14:paraId="4A7C5854">
            <w:pPr>
              <w:spacing w:line="240" w:lineRule="auto"/>
              <w:jc w:val="center"/>
              <w:rPr>
                <w:sz w:val="21"/>
              </w:rPr>
            </w:pPr>
            <w:r>
              <w:rPr>
                <w:sz w:val="21"/>
              </w:rPr>
              <w:t>施工单位</w:t>
            </w:r>
          </w:p>
        </w:tc>
        <w:tc>
          <w:tcPr>
            <w:tcW w:w="6107" w:type="dxa"/>
            <w:gridSpan w:val="4"/>
            <w:vAlign w:val="center"/>
          </w:tcPr>
          <w:p w14:paraId="3FB35A04">
            <w:pPr>
              <w:spacing w:line="240" w:lineRule="auto"/>
              <w:jc w:val="center"/>
              <w:rPr>
                <w:sz w:val="21"/>
              </w:rPr>
            </w:pPr>
            <w:r>
              <w:rPr>
                <w:sz w:val="21"/>
              </w:rPr>
              <w:t>项目经理　　　　                         年　　月　　日</w:t>
            </w:r>
          </w:p>
        </w:tc>
      </w:tr>
      <w:tr w14:paraId="3C0A974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36" w:hRule="atLeast"/>
          <w:jc w:val="center"/>
        </w:trPr>
        <w:tc>
          <w:tcPr>
            <w:tcW w:w="677" w:type="dxa"/>
            <w:vMerge w:val="continue"/>
            <w:vAlign w:val="center"/>
          </w:tcPr>
          <w:p w14:paraId="75EA1F3A">
            <w:pPr>
              <w:widowControl/>
              <w:spacing w:line="240" w:lineRule="auto"/>
              <w:jc w:val="center"/>
              <w:rPr>
                <w:sz w:val="21"/>
              </w:rPr>
            </w:pPr>
          </w:p>
        </w:tc>
        <w:tc>
          <w:tcPr>
            <w:tcW w:w="1530" w:type="dxa"/>
            <w:gridSpan w:val="2"/>
            <w:vAlign w:val="center"/>
          </w:tcPr>
          <w:p w14:paraId="3DBC23F5">
            <w:pPr>
              <w:spacing w:line="240" w:lineRule="auto"/>
              <w:jc w:val="center"/>
              <w:rPr>
                <w:sz w:val="21"/>
              </w:rPr>
            </w:pPr>
            <w:r>
              <w:rPr>
                <w:sz w:val="21"/>
              </w:rPr>
              <w:t>设计单位</w:t>
            </w:r>
          </w:p>
        </w:tc>
        <w:tc>
          <w:tcPr>
            <w:tcW w:w="6107" w:type="dxa"/>
            <w:gridSpan w:val="4"/>
            <w:vAlign w:val="center"/>
          </w:tcPr>
          <w:p w14:paraId="6A46DBCD">
            <w:pPr>
              <w:spacing w:line="240" w:lineRule="auto"/>
              <w:jc w:val="center"/>
              <w:rPr>
                <w:sz w:val="21"/>
              </w:rPr>
            </w:pPr>
            <w:r>
              <w:rPr>
                <w:sz w:val="21"/>
              </w:rPr>
              <w:t>项目负责人　　　　                       年　　月　　日</w:t>
            </w:r>
          </w:p>
        </w:tc>
      </w:tr>
      <w:tr w14:paraId="5BCE00B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36" w:hRule="atLeast"/>
          <w:jc w:val="center"/>
        </w:trPr>
        <w:tc>
          <w:tcPr>
            <w:tcW w:w="677" w:type="dxa"/>
            <w:vMerge w:val="continue"/>
            <w:vAlign w:val="center"/>
          </w:tcPr>
          <w:p w14:paraId="786C3BAA">
            <w:pPr>
              <w:widowControl/>
              <w:spacing w:line="240" w:lineRule="auto"/>
              <w:jc w:val="center"/>
              <w:rPr>
                <w:sz w:val="21"/>
              </w:rPr>
            </w:pPr>
          </w:p>
        </w:tc>
        <w:tc>
          <w:tcPr>
            <w:tcW w:w="1530" w:type="dxa"/>
            <w:gridSpan w:val="2"/>
            <w:vAlign w:val="center"/>
          </w:tcPr>
          <w:p w14:paraId="7E597D77">
            <w:pPr>
              <w:spacing w:line="240" w:lineRule="auto"/>
              <w:jc w:val="center"/>
              <w:rPr>
                <w:sz w:val="21"/>
              </w:rPr>
            </w:pPr>
            <w:r>
              <w:rPr>
                <w:sz w:val="21"/>
              </w:rPr>
              <w:t>勘察单位</w:t>
            </w:r>
          </w:p>
        </w:tc>
        <w:tc>
          <w:tcPr>
            <w:tcW w:w="6107" w:type="dxa"/>
            <w:gridSpan w:val="4"/>
            <w:vAlign w:val="center"/>
          </w:tcPr>
          <w:p w14:paraId="4CB17004">
            <w:pPr>
              <w:spacing w:line="240" w:lineRule="auto"/>
              <w:jc w:val="center"/>
              <w:rPr>
                <w:sz w:val="21"/>
              </w:rPr>
            </w:pPr>
            <w:r>
              <w:rPr>
                <w:sz w:val="21"/>
              </w:rPr>
              <w:t>项目负责人　　　　                        年　　月　　日</w:t>
            </w:r>
          </w:p>
        </w:tc>
      </w:tr>
      <w:tr w14:paraId="4D25B92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36" w:hRule="atLeast"/>
          <w:jc w:val="center"/>
        </w:trPr>
        <w:tc>
          <w:tcPr>
            <w:tcW w:w="677" w:type="dxa"/>
            <w:vMerge w:val="continue"/>
            <w:vAlign w:val="center"/>
          </w:tcPr>
          <w:p w14:paraId="797D3D47">
            <w:pPr>
              <w:widowControl/>
              <w:spacing w:line="240" w:lineRule="auto"/>
              <w:jc w:val="center"/>
              <w:rPr>
                <w:sz w:val="21"/>
              </w:rPr>
            </w:pPr>
          </w:p>
        </w:tc>
        <w:tc>
          <w:tcPr>
            <w:tcW w:w="1530" w:type="dxa"/>
            <w:gridSpan w:val="2"/>
            <w:vAlign w:val="center"/>
          </w:tcPr>
          <w:p w14:paraId="1B8621A6">
            <w:pPr>
              <w:spacing w:line="240" w:lineRule="auto"/>
              <w:jc w:val="center"/>
              <w:rPr>
                <w:sz w:val="21"/>
              </w:rPr>
            </w:pPr>
            <w:r>
              <w:rPr>
                <w:sz w:val="21"/>
              </w:rPr>
              <w:t>监理（建设）单位</w:t>
            </w:r>
          </w:p>
        </w:tc>
        <w:tc>
          <w:tcPr>
            <w:tcW w:w="6107" w:type="dxa"/>
            <w:gridSpan w:val="4"/>
            <w:vAlign w:val="center"/>
          </w:tcPr>
          <w:p w14:paraId="46D25049">
            <w:pPr>
              <w:spacing w:line="240" w:lineRule="auto"/>
              <w:ind w:left="4189" w:hanging="4189" w:hangingChars="1995"/>
              <w:jc w:val="left"/>
              <w:rPr>
                <w:sz w:val="21"/>
              </w:rPr>
            </w:pPr>
            <w:r>
              <w:rPr>
                <w:sz w:val="21"/>
              </w:rPr>
              <w:t>总监理工程师（项目负责人专业技术负责人）</w:t>
            </w:r>
          </w:p>
          <w:p w14:paraId="1AD244FD">
            <w:pPr>
              <w:spacing w:line="240" w:lineRule="auto"/>
              <w:ind w:left="5040" w:hanging="5040" w:hangingChars="2400"/>
              <w:jc w:val="right"/>
              <w:rPr>
                <w:sz w:val="21"/>
              </w:rPr>
            </w:pPr>
            <w:r>
              <w:rPr>
                <w:sz w:val="21"/>
              </w:rPr>
              <w:t>年　　月　　日</w:t>
            </w:r>
          </w:p>
        </w:tc>
      </w:tr>
    </w:tbl>
    <w:p w14:paraId="721AEFB7">
      <w:pPr>
        <w:jc w:val="center"/>
        <w:sectPr>
          <w:pgSz w:w="11850" w:h="16783"/>
          <w:pgMar w:top="1440" w:right="1800" w:bottom="1440" w:left="1800" w:header="720" w:footer="720" w:gutter="0"/>
          <w:cols w:space="720" w:num="1"/>
          <w:docGrid w:linePitch="360" w:charSpace="0"/>
        </w:sectPr>
      </w:pPr>
    </w:p>
    <w:p w14:paraId="06F1CF7C">
      <w:pPr>
        <w:keepNext/>
        <w:keepLines/>
        <w:spacing w:before="340" w:after="330"/>
        <w:jc w:val="center"/>
        <w:outlineLvl w:val="0"/>
        <w:rPr>
          <w:rFonts w:eastAsia="Times New Roman"/>
          <w:b/>
          <w:bCs/>
          <w:kern w:val="44"/>
          <w:sz w:val="32"/>
          <w:szCs w:val="44"/>
        </w:rPr>
      </w:pPr>
      <w:bookmarkStart w:id="617" w:name="_Toc47692198"/>
      <w:bookmarkStart w:id="618" w:name="_Toc501"/>
      <w:bookmarkStart w:id="619" w:name="_Toc60172939"/>
      <w:bookmarkStart w:id="620" w:name="_Toc60173826"/>
      <w:bookmarkStart w:id="621" w:name="_Toc8547"/>
      <w:bookmarkStart w:id="622" w:name="_Toc26731"/>
      <w:bookmarkStart w:id="623" w:name="_Toc8804"/>
      <w:bookmarkStart w:id="624" w:name="_Toc32627"/>
      <w:bookmarkStart w:id="625" w:name="_Toc7454"/>
      <w:bookmarkStart w:id="626" w:name="_Toc18057083"/>
      <w:bookmarkStart w:id="627" w:name="_Toc22484"/>
      <w:r>
        <w:rPr>
          <w:b/>
          <w:bCs/>
          <w:kern w:val="44"/>
          <w:sz w:val="32"/>
          <w:szCs w:val="44"/>
        </w:rPr>
        <w:t>本规程用词说明</w:t>
      </w:r>
      <w:bookmarkEnd w:id="604"/>
      <w:bookmarkEnd w:id="605"/>
      <w:bookmarkEnd w:id="606"/>
      <w:bookmarkEnd w:id="607"/>
      <w:bookmarkEnd w:id="608"/>
      <w:bookmarkEnd w:id="617"/>
      <w:bookmarkEnd w:id="618"/>
      <w:bookmarkEnd w:id="619"/>
      <w:bookmarkEnd w:id="620"/>
      <w:bookmarkEnd w:id="621"/>
      <w:bookmarkEnd w:id="622"/>
      <w:bookmarkEnd w:id="623"/>
      <w:bookmarkEnd w:id="624"/>
      <w:bookmarkEnd w:id="625"/>
      <w:bookmarkEnd w:id="626"/>
      <w:bookmarkEnd w:id="627"/>
    </w:p>
    <w:p w14:paraId="55B1AF05">
      <w:pPr>
        <w:snapToGrid w:val="0"/>
        <w:ind w:firstLine="482" w:firstLineChars="200"/>
        <w:rPr>
          <w:szCs w:val="22"/>
        </w:rPr>
      </w:pPr>
      <w:r>
        <w:rPr>
          <w:b/>
          <w:szCs w:val="22"/>
        </w:rPr>
        <w:t xml:space="preserve">1  </w:t>
      </w:r>
      <w:r>
        <w:rPr>
          <w:szCs w:val="22"/>
        </w:rPr>
        <w:t>为便于在执行本规程条文时区别对待，对要求严格程度不同的用词说明如下：</w:t>
      </w:r>
    </w:p>
    <w:p w14:paraId="594B53F9">
      <w:pPr>
        <w:snapToGrid w:val="0"/>
        <w:ind w:firstLine="723" w:firstLineChars="300"/>
        <w:rPr>
          <w:szCs w:val="22"/>
        </w:rPr>
      </w:pPr>
      <w:r>
        <w:rPr>
          <w:b/>
          <w:szCs w:val="22"/>
        </w:rPr>
        <w:t>1</w:t>
      </w:r>
      <w:r>
        <w:rPr>
          <w:szCs w:val="22"/>
        </w:rPr>
        <w:t>）表示很严格，非这样做不可的：</w:t>
      </w:r>
    </w:p>
    <w:p w14:paraId="1CEB5D01">
      <w:pPr>
        <w:snapToGrid w:val="0"/>
        <w:ind w:left="720" w:firstLine="360" w:firstLineChars="150"/>
        <w:rPr>
          <w:szCs w:val="22"/>
        </w:rPr>
      </w:pPr>
      <w:r>
        <w:rPr>
          <w:szCs w:val="22"/>
        </w:rPr>
        <w:t>正面词采用“必须”，反面词采用“严禁”；</w:t>
      </w:r>
    </w:p>
    <w:p w14:paraId="78EEFA99">
      <w:pPr>
        <w:snapToGrid w:val="0"/>
        <w:ind w:firstLine="723" w:firstLineChars="300"/>
        <w:rPr>
          <w:szCs w:val="22"/>
        </w:rPr>
      </w:pPr>
      <w:r>
        <w:rPr>
          <w:b/>
          <w:szCs w:val="22"/>
        </w:rPr>
        <w:t>2</w:t>
      </w:r>
      <w:r>
        <w:rPr>
          <w:szCs w:val="22"/>
        </w:rPr>
        <w:t>）表示严格，在正常情况下均应这样做的：</w:t>
      </w:r>
    </w:p>
    <w:p w14:paraId="04D1182D">
      <w:pPr>
        <w:snapToGrid w:val="0"/>
        <w:ind w:left="720" w:firstLine="360" w:firstLineChars="150"/>
        <w:rPr>
          <w:szCs w:val="22"/>
        </w:rPr>
      </w:pPr>
      <w:r>
        <w:rPr>
          <w:szCs w:val="22"/>
        </w:rPr>
        <w:t>正面词采用“应”，反面词采用“不应”或“不得”；</w:t>
      </w:r>
    </w:p>
    <w:p w14:paraId="793522F0">
      <w:pPr>
        <w:snapToGrid w:val="0"/>
        <w:ind w:firstLine="723" w:firstLineChars="300"/>
        <w:rPr>
          <w:szCs w:val="22"/>
        </w:rPr>
      </w:pPr>
      <w:r>
        <w:rPr>
          <w:b/>
          <w:szCs w:val="22"/>
        </w:rPr>
        <w:t>3</w:t>
      </w:r>
      <w:r>
        <w:rPr>
          <w:szCs w:val="22"/>
        </w:rPr>
        <w:t>）表示允许稍有选择，在条件许可时首先应这样做的：</w:t>
      </w:r>
    </w:p>
    <w:p w14:paraId="44BCFE06">
      <w:pPr>
        <w:snapToGrid w:val="0"/>
        <w:ind w:left="720" w:firstLine="360" w:firstLineChars="150"/>
        <w:rPr>
          <w:szCs w:val="22"/>
        </w:rPr>
      </w:pPr>
      <w:r>
        <w:rPr>
          <w:szCs w:val="22"/>
        </w:rPr>
        <w:t>正面词采用“宜”，反面词采用“不宜”；</w:t>
      </w:r>
    </w:p>
    <w:p w14:paraId="3FA6ED04">
      <w:pPr>
        <w:snapToGrid w:val="0"/>
        <w:ind w:firstLine="723" w:firstLineChars="300"/>
        <w:rPr>
          <w:szCs w:val="22"/>
        </w:rPr>
      </w:pPr>
      <w:r>
        <w:rPr>
          <w:b/>
          <w:szCs w:val="22"/>
        </w:rPr>
        <w:t>4</w:t>
      </w:r>
      <w:r>
        <w:rPr>
          <w:szCs w:val="22"/>
        </w:rPr>
        <w:t>）表示有选择，在一定条件下可以这样做的，采用“可”。</w:t>
      </w:r>
    </w:p>
    <w:p w14:paraId="1C69A57D">
      <w:pPr>
        <w:snapToGrid w:val="0"/>
        <w:ind w:firstLine="419" w:firstLineChars="174"/>
        <w:rPr>
          <w:szCs w:val="22"/>
        </w:rPr>
      </w:pPr>
      <w:r>
        <w:rPr>
          <w:b/>
          <w:szCs w:val="22"/>
        </w:rPr>
        <w:t xml:space="preserve">2  </w:t>
      </w:r>
      <w:r>
        <w:rPr>
          <w:szCs w:val="22"/>
        </w:rPr>
        <w:t>条文中指明应按其他有关标准执行的写法为：“应符合……的规定”或“应按……执行”。</w:t>
      </w:r>
    </w:p>
    <w:p w14:paraId="3BE27C78">
      <w:pPr>
        <w:snapToGrid w:val="0"/>
        <w:ind w:firstLine="417" w:firstLineChars="174"/>
        <w:rPr>
          <w:szCs w:val="22"/>
        </w:rPr>
      </w:pPr>
    </w:p>
    <w:p w14:paraId="5BB4AC13">
      <w:pPr>
        <w:widowControl/>
        <w:jc w:val="left"/>
        <w:rPr>
          <w:b/>
          <w:szCs w:val="22"/>
        </w:rPr>
        <w:sectPr>
          <w:pgSz w:w="11850" w:h="16783"/>
          <w:pgMar w:top="1440" w:right="1800" w:bottom="1440" w:left="1800" w:header="720" w:footer="720" w:gutter="0"/>
          <w:cols w:space="720" w:num="1"/>
          <w:docGrid w:linePitch="360" w:charSpace="0"/>
        </w:sectPr>
      </w:pPr>
    </w:p>
    <w:p w14:paraId="37804E63">
      <w:pPr>
        <w:keepNext/>
        <w:keepLines/>
        <w:spacing w:before="340" w:after="330"/>
        <w:jc w:val="center"/>
        <w:outlineLvl w:val="0"/>
        <w:rPr>
          <w:rFonts w:eastAsia="Times New Roman"/>
          <w:b/>
          <w:bCs/>
          <w:kern w:val="44"/>
          <w:sz w:val="32"/>
          <w:szCs w:val="44"/>
        </w:rPr>
      </w:pPr>
      <w:bookmarkStart w:id="628" w:name="_Toc455393096"/>
      <w:bookmarkStart w:id="629" w:name="_Toc8586"/>
      <w:bookmarkStart w:id="630" w:name="_Toc6930"/>
      <w:bookmarkStart w:id="631" w:name="_Toc18275"/>
      <w:bookmarkStart w:id="632" w:name="_Toc7860"/>
      <w:bookmarkStart w:id="633" w:name="_Toc463446197"/>
      <w:bookmarkStart w:id="634" w:name="_Toc30067"/>
      <w:bookmarkStart w:id="635" w:name="_Toc1351"/>
      <w:bookmarkStart w:id="636" w:name="_Toc47692199"/>
      <w:bookmarkStart w:id="637" w:name="_Toc60172940"/>
      <w:bookmarkStart w:id="638" w:name="_Toc19825"/>
      <w:bookmarkStart w:id="639" w:name="_Toc60173827"/>
      <w:bookmarkStart w:id="640" w:name="_Toc18057084"/>
      <w:r>
        <w:rPr>
          <w:b/>
          <w:bCs/>
          <w:kern w:val="44"/>
          <w:sz w:val="32"/>
          <w:szCs w:val="44"/>
        </w:rPr>
        <w:t>引用标准名录</w:t>
      </w:r>
      <w:bookmarkEnd w:id="628"/>
      <w:bookmarkEnd w:id="629"/>
      <w:bookmarkEnd w:id="630"/>
      <w:bookmarkEnd w:id="631"/>
      <w:bookmarkEnd w:id="632"/>
      <w:bookmarkEnd w:id="633"/>
      <w:bookmarkEnd w:id="634"/>
      <w:bookmarkEnd w:id="635"/>
      <w:bookmarkEnd w:id="636"/>
      <w:bookmarkEnd w:id="637"/>
      <w:bookmarkEnd w:id="638"/>
      <w:bookmarkEnd w:id="639"/>
      <w:bookmarkEnd w:id="640"/>
    </w:p>
    <w:p w14:paraId="5970267B">
      <w:pPr>
        <w:numPr>
          <w:ilvl w:val="0"/>
          <w:numId w:val="4"/>
        </w:numPr>
      </w:pPr>
      <w:r>
        <w:t>《混凝土结构设计规范》GB 50010</w:t>
      </w:r>
    </w:p>
    <w:p w14:paraId="7581DAE4">
      <w:pPr>
        <w:numPr>
          <w:ilvl w:val="0"/>
          <w:numId w:val="4"/>
        </w:numPr>
      </w:pPr>
      <w:r>
        <w:t>《岩土工程勘察设计规范》GB 50021</w:t>
      </w:r>
    </w:p>
    <w:p w14:paraId="308AB30C">
      <w:pPr>
        <w:numPr>
          <w:ilvl w:val="0"/>
          <w:numId w:val="4"/>
        </w:numPr>
      </w:pPr>
      <w:r>
        <w:t>《工程测量规范》GB 50026</w:t>
      </w:r>
    </w:p>
    <w:p w14:paraId="6E0D32D3">
      <w:pPr>
        <w:numPr>
          <w:ilvl w:val="0"/>
          <w:numId w:val="4"/>
        </w:numPr>
      </w:pPr>
      <w:r>
        <w:t>《混凝土物理力学性能试验方法标准》GB/T 50081</w:t>
      </w:r>
    </w:p>
    <w:p w14:paraId="2C15B3B6">
      <w:pPr>
        <w:numPr>
          <w:ilvl w:val="0"/>
          <w:numId w:val="4"/>
        </w:numPr>
      </w:pPr>
      <w:r>
        <w:t>《普通混凝土长期性能和耐久性能试验方法标准》GB/T 50082</w:t>
      </w:r>
    </w:p>
    <w:p w14:paraId="7B02CF00">
      <w:pPr>
        <w:numPr>
          <w:ilvl w:val="0"/>
          <w:numId w:val="4"/>
        </w:numPr>
      </w:pPr>
      <w:r>
        <w:t>《混凝土强度检验评定标准》GB/T 50107</w:t>
      </w:r>
    </w:p>
    <w:p w14:paraId="0B5B2747">
      <w:pPr>
        <w:numPr>
          <w:ilvl w:val="0"/>
          <w:numId w:val="4"/>
        </w:numPr>
      </w:pPr>
      <w:r>
        <w:t>《地下工程防水技术规范》GB 50108</w:t>
      </w:r>
    </w:p>
    <w:p w14:paraId="04356643">
      <w:pPr>
        <w:numPr>
          <w:ilvl w:val="0"/>
          <w:numId w:val="4"/>
        </w:numPr>
      </w:pPr>
      <w:r>
        <w:t>《给水排水构筑物工程施工及验收规范》GB 50141</w:t>
      </w:r>
    </w:p>
    <w:p w14:paraId="4CE6DE4F">
      <w:pPr>
        <w:numPr>
          <w:ilvl w:val="0"/>
          <w:numId w:val="4"/>
        </w:numPr>
      </w:pPr>
      <w:r>
        <w:t>《粉煤灰混凝土应用技术规范》GB/T 50146</w:t>
      </w:r>
    </w:p>
    <w:p w14:paraId="7D26E16F">
      <w:pPr>
        <w:numPr>
          <w:ilvl w:val="0"/>
          <w:numId w:val="4"/>
        </w:numPr>
      </w:pPr>
      <w:r>
        <w:rPr>
          <w:rFonts w:hint="eastAsia"/>
        </w:rPr>
        <w:t>《工程结构可靠性设计统一标准》GB 50153</w:t>
      </w:r>
    </w:p>
    <w:p w14:paraId="0D605226">
      <w:pPr>
        <w:numPr>
          <w:ilvl w:val="0"/>
          <w:numId w:val="4"/>
        </w:numPr>
      </w:pPr>
      <w:r>
        <w:t>《地铁设计规范》GB 50157</w:t>
      </w:r>
    </w:p>
    <w:p w14:paraId="764CC41C">
      <w:pPr>
        <w:numPr>
          <w:ilvl w:val="0"/>
          <w:numId w:val="4"/>
        </w:numPr>
        <w:rPr>
          <w:bCs/>
        </w:rPr>
      </w:pPr>
      <w:r>
        <w:rPr>
          <w:bCs/>
        </w:rPr>
        <w:t>《建筑地基基础工程施工质量验收规范》GB 50202</w:t>
      </w:r>
    </w:p>
    <w:p w14:paraId="4752609B">
      <w:pPr>
        <w:numPr>
          <w:ilvl w:val="0"/>
          <w:numId w:val="4"/>
        </w:numPr>
      </w:pPr>
      <w:r>
        <w:t>《混凝土结构工程施工质量验收规范》GB 50204</w:t>
      </w:r>
    </w:p>
    <w:p w14:paraId="55C9B70A">
      <w:pPr>
        <w:numPr>
          <w:ilvl w:val="0"/>
          <w:numId w:val="4"/>
        </w:numPr>
        <w:rPr>
          <w:bCs/>
        </w:rPr>
      </w:pPr>
      <w:r>
        <w:rPr>
          <w:bCs/>
        </w:rPr>
        <w:t>《地下防水工程质量验收规范》GB 50208</w:t>
      </w:r>
    </w:p>
    <w:p w14:paraId="2D32D850">
      <w:pPr>
        <w:numPr>
          <w:ilvl w:val="0"/>
          <w:numId w:val="4"/>
        </w:numPr>
      </w:pPr>
      <w:r>
        <w:t>《给水排水工程管道结构设计规范》GB 50332</w:t>
      </w:r>
    </w:p>
    <w:p w14:paraId="218550D6">
      <w:pPr>
        <w:numPr>
          <w:ilvl w:val="0"/>
          <w:numId w:val="4"/>
        </w:numPr>
        <w:rPr>
          <w:rFonts w:eastAsiaTheme="minorEastAsia"/>
        </w:rPr>
      </w:pPr>
      <w:r>
        <w:rPr>
          <w:rFonts w:eastAsiaTheme="minorEastAsia"/>
        </w:rPr>
        <w:t>《</w:t>
      </w:r>
      <w:r>
        <w:fldChar w:fldCharType="begin"/>
      </w:r>
      <w:r>
        <w:instrText xml:space="preserve"> HYPERLINK "http://www.so.com/link?m=aMge5bd5I4Bsmv6REof8XZZ%2FC4CTK6I7fqx0%2FkBd%2BAswjJlpG5QxTweMSSRaECgqZ%2B2IYEBnHSz4CbPe5tvpG4B54eay2bicEkUlKR0%2F39yhkhA7PGaRAbeRgim6cHLjSYJXWjGodpiJeXG1mfgCjs1xCwfPwM49F9taWHA%3D%3D" \t "_blank" </w:instrText>
      </w:r>
      <w:r>
        <w:fldChar w:fldCharType="separate"/>
      </w:r>
      <w:r>
        <w:rPr>
          <w:rFonts w:eastAsiaTheme="minorEastAsia"/>
        </w:rPr>
        <w:t>建筑基坑工程监测技术规范》GB 50497</w:t>
      </w:r>
      <w:r>
        <w:rPr>
          <w:rFonts w:eastAsiaTheme="minorEastAsia"/>
        </w:rPr>
        <w:fldChar w:fldCharType="end"/>
      </w:r>
    </w:p>
    <w:p w14:paraId="114F6129">
      <w:pPr>
        <w:numPr>
          <w:ilvl w:val="0"/>
          <w:numId w:val="4"/>
        </w:numPr>
      </w:pPr>
      <w:r>
        <w:t>《</w:t>
      </w:r>
      <w:r>
        <w:fldChar w:fldCharType="begin"/>
      </w:r>
      <w:r>
        <w:instrText xml:space="preserve"> HYPERLINK "http://www.doc88.com/p-5806372025918.html" \t "_blank" </w:instrText>
      </w:r>
      <w:r>
        <w:fldChar w:fldCharType="separate"/>
      </w:r>
      <w:r>
        <w:t>城市轨道交通工程监测技术规范》GB 50911</w:t>
      </w:r>
      <w:r>
        <w:fldChar w:fldCharType="end"/>
      </w:r>
    </w:p>
    <w:p w14:paraId="7D3A00D1">
      <w:pPr>
        <w:numPr>
          <w:ilvl w:val="0"/>
          <w:numId w:val="4"/>
        </w:numPr>
      </w:pPr>
      <w:r>
        <w:t>《沉井与气压沉箱施工规范》GB/T 51130</w:t>
      </w:r>
    </w:p>
    <w:p w14:paraId="3C8AD1F9">
      <w:pPr>
        <w:numPr>
          <w:ilvl w:val="0"/>
          <w:numId w:val="4"/>
        </w:numPr>
      </w:pPr>
      <w:r>
        <w:t>《地下铁道工程施工标准》GB 51310</w:t>
      </w:r>
    </w:p>
    <w:p w14:paraId="5AC16C2B">
      <w:pPr>
        <w:numPr>
          <w:ilvl w:val="0"/>
          <w:numId w:val="4"/>
        </w:numPr>
      </w:pPr>
      <w:r>
        <w:t>《通用硅酸盐水泥》GB 175</w:t>
      </w:r>
    </w:p>
    <w:p w14:paraId="34D61B46">
      <w:pPr>
        <w:numPr>
          <w:ilvl w:val="0"/>
          <w:numId w:val="4"/>
        </w:numPr>
      </w:pPr>
      <w:r>
        <w:t>《硫化橡胶或热塑性橡胶撕裂强度的测定（裤形、直角形和新月形试样）》GB/T 529</w:t>
      </w:r>
    </w:p>
    <w:p w14:paraId="35FD8308">
      <w:pPr>
        <w:numPr>
          <w:ilvl w:val="0"/>
          <w:numId w:val="4"/>
        </w:numPr>
      </w:pPr>
      <w:r>
        <w:t>《抗硫酸盐硅酸盐水泥》GB 748</w:t>
      </w:r>
    </w:p>
    <w:p w14:paraId="2F88041D">
      <w:pPr>
        <w:numPr>
          <w:ilvl w:val="0"/>
          <w:numId w:val="4"/>
        </w:numPr>
      </w:pPr>
      <w:r>
        <w:t>《钢筋混凝土用钢  第1部分：热轧光圆钢筋》GB/T 1499.1</w:t>
      </w:r>
    </w:p>
    <w:p w14:paraId="7014E321">
      <w:pPr>
        <w:numPr>
          <w:ilvl w:val="0"/>
          <w:numId w:val="4"/>
        </w:numPr>
      </w:pPr>
      <w:r>
        <w:t>《钢筋混凝土用钢  第2部分：热轧带肋钢筋》GB/T 1499.2</w:t>
      </w:r>
    </w:p>
    <w:p w14:paraId="77A3E4A2">
      <w:pPr>
        <w:numPr>
          <w:ilvl w:val="0"/>
          <w:numId w:val="4"/>
        </w:numPr>
      </w:pPr>
      <w:r>
        <w:t>《用于水泥和混凝土中的粉煤灰》GB/T 1596</w:t>
      </w:r>
    </w:p>
    <w:p w14:paraId="1AB6C613">
      <w:pPr>
        <w:numPr>
          <w:ilvl w:val="0"/>
          <w:numId w:val="4"/>
        </w:numPr>
      </w:pPr>
      <w:r>
        <w:t>《硫化橡胶或热塑性橡胶  压缩永久变形的测定  第1部分：在常温及高温条件下》GB/T 7759.1</w:t>
      </w:r>
    </w:p>
    <w:p w14:paraId="565FE54A">
      <w:pPr>
        <w:numPr>
          <w:ilvl w:val="0"/>
          <w:numId w:val="4"/>
        </w:numPr>
      </w:pPr>
      <w:r>
        <w:t>《硫化橡胶或热塑性橡胶  耐臭氧龟裂  静态拉伸试验》GB/T 7762</w:t>
      </w:r>
    </w:p>
    <w:p w14:paraId="45DDD6DC">
      <w:pPr>
        <w:numPr>
          <w:ilvl w:val="0"/>
          <w:numId w:val="4"/>
        </w:numPr>
      </w:pPr>
      <w:r>
        <w:t>《混凝土外加剂》GB 8076</w:t>
      </w:r>
    </w:p>
    <w:p w14:paraId="04E30897">
      <w:pPr>
        <w:numPr>
          <w:ilvl w:val="0"/>
          <w:numId w:val="4"/>
        </w:numPr>
      </w:pPr>
      <w:bookmarkStart w:id="641" w:name="_Hlk17384638"/>
      <w:r>
        <w:t>《混凝土和钢筋混凝土排水管》GB/T 11836</w:t>
      </w:r>
      <w:bookmarkEnd w:id="641"/>
    </w:p>
    <w:p w14:paraId="30821C17">
      <w:pPr>
        <w:numPr>
          <w:ilvl w:val="0"/>
          <w:numId w:val="4"/>
        </w:numPr>
      </w:pPr>
      <w:r>
        <w:t>《冷轧带肋钢筋》GB/T 13788</w:t>
      </w:r>
    </w:p>
    <w:p w14:paraId="1C4403A3">
      <w:pPr>
        <w:numPr>
          <w:ilvl w:val="0"/>
          <w:numId w:val="4"/>
        </w:numPr>
      </w:pPr>
      <w:r>
        <w:t>《建设用砂》GB/T 14684</w:t>
      </w:r>
    </w:p>
    <w:p w14:paraId="20B5F3E7">
      <w:pPr>
        <w:numPr>
          <w:ilvl w:val="0"/>
          <w:numId w:val="4"/>
        </w:numPr>
      </w:pPr>
      <w:r>
        <w:t>《建设用碎石、卵石》GB/T 14685</w:t>
      </w:r>
    </w:p>
    <w:p w14:paraId="3B664296">
      <w:pPr>
        <w:numPr>
          <w:ilvl w:val="0"/>
          <w:numId w:val="4"/>
        </w:numPr>
      </w:pPr>
      <w:r>
        <w:t>《硫化橡胶或热塑性橡胶  低温脆性的测定（多试样法）》GB/T 15256</w:t>
      </w:r>
    </w:p>
    <w:p w14:paraId="57D3FE3B">
      <w:pPr>
        <w:numPr>
          <w:ilvl w:val="0"/>
          <w:numId w:val="4"/>
        </w:numPr>
      </w:pPr>
      <w:r>
        <w:t>《不饱和橡胶中饱和橡胶的鉴定》GB/T 16583</w:t>
      </w:r>
    </w:p>
    <w:p w14:paraId="3FC7BEB5">
      <w:pPr>
        <w:numPr>
          <w:ilvl w:val="0"/>
          <w:numId w:val="4"/>
        </w:numPr>
      </w:pPr>
      <w:r>
        <w:t>《用于水泥、砂浆和混凝土中的粒化高炉矿渣粉》GB/T 18046</w:t>
      </w:r>
    </w:p>
    <w:p w14:paraId="1F19FB67">
      <w:pPr>
        <w:numPr>
          <w:ilvl w:val="0"/>
          <w:numId w:val="4"/>
        </w:numPr>
      </w:pPr>
      <w:r>
        <w:t>《高分子防水材料  第3部分：遇水膨胀橡胶》GB/T 18173.3</w:t>
      </w:r>
    </w:p>
    <w:p w14:paraId="79DE13C0">
      <w:pPr>
        <w:numPr>
          <w:ilvl w:val="0"/>
          <w:numId w:val="4"/>
        </w:numPr>
      </w:pPr>
      <w:r>
        <w:t>《硫铝酸盐水泥》GB 20472</w:t>
      </w:r>
    </w:p>
    <w:p w14:paraId="04629DAE">
      <w:pPr>
        <w:numPr>
          <w:ilvl w:val="0"/>
          <w:numId w:val="4"/>
        </w:numPr>
      </w:pPr>
      <w:r>
        <w:t>《橡胶密封件  给、排水管及污水管道用接口密封圈  材料规范》GB/T 21873</w:t>
      </w:r>
    </w:p>
    <w:p w14:paraId="588752BB">
      <w:pPr>
        <w:numPr>
          <w:ilvl w:val="0"/>
          <w:numId w:val="4"/>
        </w:numPr>
      </w:pPr>
      <w:r>
        <w:t>《全断面隧道掘进机  土压平衡盾构机》GB/T 34651</w:t>
      </w:r>
    </w:p>
    <w:p w14:paraId="23775BD4">
      <w:pPr>
        <w:numPr>
          <w:ilvl w:val="0"/>
          <w:numId w:val="4"/>
        </w:numPr>
      </w:pPr>
      <w:r>
        <w:t>《城镇道路工程施工与质量验收规范》CJJ 1</w:t>
      </w:r>
    </w:p>
    <w:p w14:paraId="6B654464">
      <w:pPr>
        <w:numPr>
          <w:ilvl w:val="0"/>
          <w:numId w:val="4"/>
        </w:numPr>
      </w:pPr>
      <w:r>
        <w:t>《城市道路工程设计规范》CJJ 37</w:t>
      </w:r>
    </w:p>
    <w:p w14:paraId="01BC1BA2">
      <w:pPr>
        <w:numPr>
          <w:ilvl w:val="0"/>
          <w:numId w:val="4"/>
        </w:numPr>
      </w:pPr>
      <w:r>
        <w:t>《城市地下道路工程设计规范》CJJ 221</w:t>
      </w:r>
    </w:p>
    <w:p w14:paraId="5D9126B3">
      <w:pPr>
        <w:numPr>
          <w:ilvl w:val="0"/>
          <w:numId w:val="4"/>
        </w:numPr>
      </w:pPr>
      <w:r>
        <w:t>《建筑变形测量规范》JGJ 8</w:t>
      </w:r>
    </w:p>
    <w:p w14:paraId="03DB45FC">
      <w:pPr>
        <w:numPr>
          <w:ilvl w:val="0"/>
          <w:numId w:val="4"/>
        </w:numPr>
      </w:pPr>
      <w:r>
        <w:t>《混凝土用水标准》JGJ 63</w:t>
      </w:r>
    </w:p>
    <w:p w14:paraId="7DA3EE6D">
      <w:pPr>
        <w:numPr>
          <w:ilvl w:val="0"/>
          <w:numId w:val="4"/>
        </w:numPr>
      </w:pPr>
      <w:r>
        <w:rPr>
          <w:rFonts w:hint="eastAsia"/>
        </w:rPr>
        <w:t>《建筑地基处理技术规范》JGJ 79</w:t>
      </w:r>
    </w:p>
    <w:p w14:paraId="7BD40930">
      <w:pPr>
        <w:numPr>
          <w:ilvl w:val="0"/>
          <w:numId w:val="4"/>
        </w:numPr>
      </w:pPr>
      <w:r>
        <w:t>《建筑基坑支护技术规程》JGJ 120</w:t>
      </w:r>
    </w:p>
    <w:p w14:paraId="484BFC09">
      <w:pPr>
        <w:numPr>
          <w:ilvl w:val="0"/>
          <w:numId w:val="4"/>
        </w:numPr>
      </w:pPr>
      <w:r>
        <w:t>《混凝土耐久性检验评定标准》JGJ/T 193</w:t>
      </w:r>
    </w:p>
    <w:p w14:paraId="2B782427">
      <w:pPr>
        <w:numPr>
          <w:ilvl w:val="0"/>
          <w:numId w:val="4"/>
        </w:numPr>
      </w:pPr>
      <w:r>
        <w:t>《型钢水泥土搅拌墙技术规程》JGJ/T 199</w:t>
      </w:r>
    </w:p>
    <w:p w14:paraId="7BBE3D58">
      <w:pPr>
        <w:numPr>
          <w:ilvl w:val="0"/>
          <w:numId w:val="4"/>
        </w:numPr>
      </w:pPr>
      <w:r>
        <w:t>《聚氨酯建筑密封胶》JC/T 482</w:t>
      </w:r>
    </w:p>
    <w:p w14:paraId="0B14C30E">
      <w:pPr>
        <w:numPr>
          <w:ilvl w:val="0"/>
          <w:numId w:val="4"/>
        </w:numPr>
      </w:pPr>
      <w:r>
        <w:t>《混凝土制品用冷拔低碳钢丝》JC/T 540</w:t>
      </w:r>
    </w:p>
    <w:p w14:paraId="31ABFDF5">
      <w:pPr>
        <w:numPr>
          <w:ilvl w:val="0"/>
          <w:numId w:val="4"/>
        </w:numPr>
      </w:pPr>
      <w:r>
        <w:t>《预制混凝土箱涵》JC∕T 2456</w:t>
      </w:r>
    </w:p>
    <w:p w14:paraId="5E75CA35">
      <w:pPr>
        <w:numPr>
          <w:ilvl w:val="0"/>
          <w:numId w:val="4"/>
        </w:numPr>
      </w:pPr>
      <w:r>
        <w:t>《公路隧道设计规范  第一册  土建工程》JTG 3370.1</w:t>
      </w:r>
    </w:p>
    <w:p w14:paraId="604719CF">
      <w:pPr>
        <w:numPr>
          <w:ilvl w:val="0"/>
          <w:numId w:val="4"/>
        </w:numPr>
      </w:pPr>
      <w:r>
        <w:t>《铁路桥涵设计规范》TB 10002</w:t>
      </w:r>
    </w:p>
    <w:p w14:paraId="5AB60349">
      <w:pPr>
        <w:numPr>
          <w:ilvl w:val="0"/>
          <w:numId w:val="4"/>
        </w:numPr>
      </w:pPr>
      <w:r>
        <w:t>《铁路隧道设计规范》TB 10003</w:t>
      </w:r>
    </w:p>
    <w:p w14:paraId="59C9BB84">
      <w:pPr>
        <w:widowControl/>
        <w:numPr>
          <w:ilvl w:val="0"/>
          <w:numId w:val="4"/>
        </w:numPr>
        <w:spacing w:line="240" w:lineRule="auto"/>
        <w:jc w:val="left"/>
        <w:sectPr>
          <w:pgSz w:w="11850" w:h="16783"/>
          <w:pgMar w:top="1440" w:right="1077" w:bottom="1440" w:left="1800" w:header="720" w:footer="720" w:gutter="0"/>
          <w:cols w:space="720" w:num="1"/>
          <w:docGrid w:linePitch="360" w:charSpace="0"/>
        </w:sectPr>
      </w:pPr>
      <w:r>
        <w:t>《给水排水工程钢筋混凝土沉井结构设计规程》CECS 137</w:t>
      </w:r>
    </w:p>
    <w:p w14:paraId="7B53814F"/>
    <w:p w14:paraId="6A3DC59A"/>
    <w:p w14:paraId="09537D96">
      <w:pPr>
        <w:jc w:val="center"/>
        <w:rPr>
          <w:rFonts w:eastAsiaTheme="minorEastAsia"/>
          <w:b/>
          <w:sz w:val="36"/>
          <w:szCs w:val="36"/>
        </w:rPr>
      </w:pPr>
    </w:p>
    <w:p w14:paraId="1F918D74">
      <w:pPr>
        <w:jc w:val="center"/>
        <w:rPr>
          <w:rFonts w:eastAsiaTheme="minorEastAsia"/>
          <w:b/>
          <w:sz w:val="32"/>
          <w:szCs w:val="30"/>
        </w:rPr>
      </w:pPr>
      <w:r>
        <w:rPr>
          <w:rFonts w:hint="eastAsia" w:eastAsiaTheme="minorEastAsia"/>
          <w:b/>
          <w:sz w:val="32"/>
          <w:szCs w:val="30"/>
        </w:rPr>
        <w:t>广东省地方</w:t>
      </w:r>
      <w:r>
        <w:rPr>
          <w:rFonts w:eastAsiaTheme="minorEastAsia"/>
          <w:b/>
          <w:sz w:val="32"/>
          <w:szCs w:val="30"/>
        </w:rPr>
        <w:t>标准</w:t>
      </w:r>
    </w:p>
    <w:p w14:paraId="4E1DD794">
      <w:pPr>
        <w:jc w:val="center"/>
        <w:rPr>
          <w:rFonts w:eastAsiaTheme="minorEastAsia"/>
          <w:b/>
          <w:sz w:val="30"/>
          <w:szCs w:val="30"/>
        </w:rPr>
      </w:pPr>
    </w:p>
    <w:p w14:paraId="0CB50E17">
      <w:pPr>
        <w:jc w:val="center"/>
        <w:rPr>
          <w:rFonts w:eastAsiaTheme="minorEastAsia"/>
          <w:b/>
          <w:sz w:val="52"/>
          <w:szCs w:val="36"/>
        </w:rPr>
      </w:pPr>
      <w:r>
        <w:rPr>
          <w:rFonts w:eastAsiaTheme="minorEastAsia"/>
          <w:b/>
          <w:sz w:val="52"/>
          <w:szCs w:val="36"/>
        </w:rPr>
        <w:t>矩形顶管工程技术规程</w:t>
      </w:r>
    </w:p>
    <w:p w14:paraId="17F14CA4">
      <w:pPr>
        <w:adjustRightInd w:val="0"/>
        <w:snapToGrid w:val="0"/>
        <w:jc w:val="center"/>
        <w:rPr>
          <w:rFonts w:eastAsiaTheme="minorEastAsia"/>
          <w:sz w:val="32"/>
          <w:szCs w:val="32"/>
        </w:rPr>
      </w:pPr>
    </w:p>
    <w:p w14:paraId="7BEB43E7">
      <w:pPr>
        <w:adjustRightInd w:val="0"/>
        <w:snapToGrid w:val="0"/>
        <w:jc w:val="center"/>
        <w:rPr>
          <w:rFonts w:eastAsiaTheme="minorEastAsia"/>
          <w:sz w:val="28"/>
          <w:szCs w:val="28"/>
        </w:rPr>
      </w:pPr>
      <w:r>
        <w:rPr>
          <w:b/>
          <w:sz w:val="30"/>
          <w:szCs w:val="30"/>
        </w:rPr>
        <w:t>DBJ XXX—202*</w:t>
      </w:r>
    </w:p>
    <w:p w14:paraId="3BC7ABE2">
      <w:pPr>
        <w:adjustRightInd w:val="0"/>
        <w:snapToGrid w:val="0"/>
        <w:jc w:val="center"/>
        <w:rPr>
          <w:rFonts w:eastAsiaTheme="minorEastAsia"/>
          <w:sz w:val="28"/>
          <w:szCs w:val="28"/>
        </w:rPr>
      </w:pPr>
    </w:p>
    <w:p w14:paraId="1BE6D515">
      <w:pPr>
        <w:adjustRightInd w:val="0"/>
        <w:snapToGrid w:val="0"/>
        <w:jc w:val="center"/>
        <w:rPr>
          <w:rFonts w:eastAsiaTheme="minorEastAsia"/>
          <w:sz w:val="28"/>
          <w:szCs w:val="28"/>
        </w:rPr>
      </w:pPr>
    </w:p>
    <w:p w14:paraId="7EA25180">
      <w:pPr>
        <w:adjustRightInd w:val="0"/>
        <w:snapToGrid w:val="0"/>
        <w:jc w:val="center"/>
        <w:rPr>
          <w:rFonts w:eastAsiaTheme="minorEastAsia"/>
          <w:sz w:val="28"/>
          <w:szCs w:val="28"/>
        </w:rPr>
      </w:pPr>
    </w:p>
    <w:p w14:paraId="38F799EB">
      <w:pPr>
        <w:pStyle w:val="2"/>
        <w:ind w:right="3005" w:rightChars="1252" w:firstLine="2973" w:firstLineChars="673"/>
        <w:jc w:val="distribute"/>
        <w:rPr>
          <w:rFonts w:cs="Times New Roman"/>
          <w:sz w:val="44"/>
        </w:rPr>
      </w:pPr>
      <w:bookmarkStart w:id="642" w:name="_Toc20070"/>
      <w:bookmarkStart w:id="643" w:name="_Toc16390"/>
      <w:bookmarkStart w:id="644" w:name="_Toc60172941"/>
      <w:bookmarkStart w:id="645" w:name="_Toc7533"/>
      <w:bookmarkStart w:id="646" w:name="_Toc60173301"/>
      <w:bookmarkStart w:id="647" w:name="_Toc47692200"/>
      <w:bookmarkStart w:id="648" w:name="_Toc11809"/>
      <w:bookmarkStart w:id="649" w:name="_Toc8584"/>
      <w:bookmarkStart w:id="650" w:name="_Toc60173828"/>
      <w:r>
        <w:rPr>
          <w:rFonts w:cs="Times New Roman"/>
          <w:sz w:val="44"/>
        </w:rPr>
        <w:t>条文说明</w:t>
      </w:r>
      <w:bookmarkEnd w:id="642"/>
      <w:bookmarkEnd w:id="643"/>
      <w:bookmarkEnd w:id="644"/>
      <w:bookmarkEnd w:id="645"/>
      <w:bookmarkEnd w:id="646"/>
      <w:bookmarkEnd w:id="647"/>
      <w:bookmarkEnd w:id="648"/>
      <w:bookmarkEnd w:id="649"/>
      <w:bookmarkEnd w:id="650"/>
    </w:p>
    <w:p w14:paraId="5E5647A2">
      <w:pPr>
        <w:adjustRightInd w:val="0"/>
        <w:snapToGrid w:val="0"/>
        <w:jc w:val="center"/>
        <w:rPr>
          <w:rFonts w:eastAsiaTheme="minorEastAsia"/>
          <w:sz w:val="28"/>
          <w:szCs w:val="28"/>
        </w:rPr>
      </w:pPr>
    </w:p>
    <w:p w14:paraId="33211635">
      <w:pPr>
        <w:widowControl/>
        <w:spacing w:line="240" w:lineRule="auto"/>
        <w:jc w:val="left"/>
        <w:rPr>
          <w:rFonts w:eastAsiaTheme="minorEastAsia"/>
          <w:szCs w:val="22"/>
        </w:rPr>
      </w:pPr>
      <w:r>
        <w:rPr>
          <w:rFonts w:eastAsiaTheme="minorEastAsia"/>
          <w:szCs w:val="22"/>
        </w:rPr>
        <w:br w:type="page"/>
      </w:r>
    </w:p>
    <w:p w14:paraId="39A9EEEC">
      <w:pPr>
        <w:jc w:val="center"/>
        <w:rPr>
          <w:rFonts w:eastAsia="仿宋"/>
          <w:b/>
          <w:bCs/>
          <w:sz w:val="28"/>
          <w:szCs w:val="24"/>
        </w:rPr>
      </w:pPr>
      <w:r>
        <w:rPr>
          <w:rFonts w:eastAsia="仿宋"/>
          <w:b/>
          <w:bCs/>
          <w:sz w:val="28"/>
          <w:szCs w:val="24"/>
        </w:rPr>
        <w:t>目  次</w:t>
      </w:r>
    </w:p>
    <w:p w14:paraId="63C61A98">
      <w:pPr>
        <w:pStyle w:val="26"/>
        <w:tabs>
          <w:tab w:val="right" w:leader="dot" w:pos="8240"/>
        </w:tabs>
        <w:rPr>
          <w:rFonts w:ascii="Times New Roman" w:hAnsi="Times New Roman" w:cs="Times New Roman" w:eastAsiaTheme="minorEastAsia"/>
          <w:b w:val="0"/>
          <w:bCs w:val="0"/>
          <w:caps w:val="0"/>
          <w:sz w:val="21"/>
          <w:szCs w:val="22"/>
        </w:rPr>
      </w:pPr>
      <w:r>
        <w:rPr>
          <w:rFonts w:ascii="Times New Roman" w:hAnsi="Times New Roman" w:cs="Times New Roman"/>
          <w:szCs w:val="24"/>
        </w:rPr>
        <w:fldChar w:fldCharType="begin"/>
      </w:r>
      <w:r>
        <w:rPr>
          <w:rFonts w:ascii="Times New Roman" w:hAnsi="Times New Roman" w:cs="Times New Roman"/>
          <w:szCs w:val="24"/>
        </w:rPr>
        <w:instrText xml:space="preserve"> TOC \o "1-2" \h \z \u </w:instrText>
      </w:r>
      <w:r>
        <w:rPr>
          <w:rFonts w:ascii="Times New Roman" w:hAnsi="Times New Roman" w:cs="Times New Roman"/>
          <w:szCs w:val="24"/>
        </w:rPr>
        <w:fldChar w:fldCharType="separate"/>
      </w:r>
    </w:p>
    <w:p w14:paraId="0A21ABDC">
      <w:pPr>
        <w:pStyle w:val="26"/>
        <w:tabs>
          <w:tab w:val="right" w:leader="dot" w:pos="8240"/>
        </w:tabs>
        <w:rPr>
          <w:rFonts w:ascii="Times New Roman" w:hAnsi="Times New Roman" w:cs="Times New Roman" w:eastAsiaTheme="minorEastAsia"/>
          <w:b w:val="0"/>
          <w:bCs w:val="0"/>
          <w:caps w:val="0"/>
          <w:sz w:val="21"/>
          <w:szCs w:val="22"/>
        </w:rPr>
      </w:pPr>
      <w:r>
        <w:fldChar w:fldCharType="begin"/>
      </w:r>
      <w:r>
        <w:instrText xml:space="preserve"> HYPERLINK \l "_Toc60172942" </w:instrText>
      </w:r>
      <w:r>
        <w:fldChar w:fldCharType="separate"/>
      </w:r>
      <w:r>
        <w:rPr>
          <w:rStyle w:val="45"/>
          <w:rFonts w:ascii="Times New Roman" w:hAnsi="Times New Roman" w:cs="Times New Roman"/>
        </w:rPr>
        <w:t>1  总    则</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_Toc60172942 \h </w:instrText>
      </w:r>
      <w:r>
        <w:rPr>
          <w:rFonts w:ascii="Times New Roman" w:hAnsi="Times New Roman" w:cs="Times New Roman"/>
        </w:rPr>
        <w:fldChar w:fldCharType="separate"/>
      </w:r>
      <w:r>
        <w:rPr>
          <w:rFonts w:ascii="Times New Roman" w:hAnsi="Times New Roman" w:cs="Times New Roman"/>
        </w:rPr>
        <w:t>85</w:t>
      </w:r>
      <w:r>
        <w:rPr>
          <w:rFonts w:ascii="Times New Roman" w:hAnsi="Times New Roman" w:cs="Times New Roman"/>
        </w:rPr>
        <w:fldChar w:fldCharType="end"/>
      </w:r>
      <w:r>
        <w:rPr>
          <w:rFonts w:ascii="Times New Roman" w:hAnsi="Times New Roman" w:cs="Times New Roman"/>
        </w:rPr>
        <w:fldChar w:fldCharType="end"/>
      </w:r>
    </w:p>
    <w:p w14:paraId="65E48042">
      <w:pPr>
        <w:pStyle w:val="26"/>
        <w:tabs>
          <w:tab w:val="right" w:leader="dot" w:pos="8240"/>
        </w:tabs>
        <w:rPr>
          <w:rFonts w:ascii="Times New Roman" w:hAnsi="Times New Roman" w:cs="Times New Roman" w:eastAsiaTheme="minorEastAsia"/>
          <w:b w:val="0"/>
          <w:bCs w:val="0"/>
          <w:caps w:val="0"/>
          <w:sz w:val="21"/>
          <w:szCs w:val="22"/>
        </w:rPr>
      </w:pPr>
      <w:r>
        <w:fldChar w:fldCharType="begin"/>
      </w:r>
      <w:r>
        <w:instrText xml:space="preserve"> HYPERLINK \l "_Toc60172943" </w:instrText>
      </w:r>
      <w:r>
        <w:fldChar w:fldCharType="separate"/>
      </w:r>
      <w:r>
        <w:rPr>
          <w:rStyle w:val="45"/>
          <w:rFonts w:ascii="Times New Roman" w:hAnsi="Times New Roman" w:cs="Times New Roman"/>
        </w:rPr>
        <w:t>3  基本规定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_Toc60172943 \h </w:instrText>
      </w:r>
      <w:r>
        <w:rPr>
          <w:rFonts w:ascii="Times New Roman" w:hAnsi="Times New Roman" w:cs="Times New Roman"/>
        </w:rPr>
        <w:fldChar w:fldCharType="separate"/>
      </w:r>
      <w:r>
        <w:rPr>
          <w:rFonts w:ascii="Times New Roman" w:hAnsi="Times New Roman" w:cs="Times New Roman"/>
        </w:rPr>
        <w:t>88</w:t>
      </w:r>
      <w:r>
        <w:rPr>
          <w:rFonts w:ascii="Times New Roman" w:hAnsi="Times New Roman" w:cs="Times New Roman"/>
        </w:rPr>
        <w:fldChar w:fldCharType="end"/>
      </w:r>
      <w:r>
        <w:rPr>
          <w:rFonts w:ascii="Times New Roman" w:hAnsi="Times New Roman" w:cs="Times New Roman"/>
        </w:rPr>
        <w:fldChar w:fldCharType="end"/>
      </w:r>
    </w:p>
    <w:p w14:paraId="0664EBD3">
      <w:pPr>
        <w:pStyle w:val="26"/>
        <w:tabs>
          <w:tab w:val="right" w:leader="dot" w:pos="8240"/>
        </w:tabs>
        <w:rPr>
          <w:rFonts w:ascii="Times New Roman" w:hAnsi="Times New Roman" w:cs="Times New Roman" w:eastAsiaTheme="minorEastAsia"/>
          <w:b w:val="0"/>
          <w:bCs w:val="0"/>
          <w:caps w:val="0"/>
          <w:sz w:val="21"/>
          <w:szCs w:val="22"/>
        </w:rPr>
      </w:pPr>
      <w:r>
        <w:fldChar w:fldCharType="begin"/>
      </w:r>
      <w:r>
        <w:instrText xml:space="preserve"> HYPERLINK \l "_Toc60172944" </w:instrText>
      </w:r>
      <w:r>
        <w:fldChar w:fldCharType="separate"/>
      </w:r>
      <w:r>
        <w:rPr>
          <w:rStyle w:val="45"/>
          <w:rFonts w:ascii="Times New Roman" w:hAnsi="Times New Roman" w:cs="Times New Roman"/>
        </w:rPr>
        <w:t>4  工程勘察</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_Toc60172944 \h </w:instrText>
      </w:r>
      <w:r>
        <w:rPr>
          <w:rFonts w:ascii="Times New Roman" w:hAnsi="Times New Roman" w:cs="Times New Roman"/>
        </w:rPr>
        <w:fldChar w:fldCharType="separate"/>
      </w:r>
      <w:r>
        <w:rPr>
          <w:rFonts w:ascii="Times New Roman" w:hAnsi="Times New Roman" w:cs="Times New Roman"/>
        </w:rPr>
        <w:t>89</w:t>
      </w:r>
      <w:r>
        <w:rPr>
          <w:rFonts w:ascii="Times New Roman" w:hAnsi="Times New Roman" w:cs="Times New Roman"/>
        </w:rPr>
        <w:fldChar w:fldCharType="end"/>
      </w:r>
      <w:r>
        <w:rPr>
          <w:rFonts w:ascii="Times New Roman" w:hAnsi="Times New Roman" w:cs="Times New Roman"/>
        </w:rPr>
        <w:fldChar w:fldCharType="end"/>
      </w:r>
    </w:p>
    <w:p w14:paraId="687FE84B">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"_Toc60172945" </w:instrText>
      </w:r>
      <w:r>
        <w:fldChar w:fldCharType="separate"/>
      </w:r>
      <w:r>
        <w:rPr>
          <w:rStyle w:val="45"/>
          <w:rFonts w:ascii="Times New Roman" w:hAnsi="Times New Roman" w:eastAsia="黑体" w:cs="Times New Roman"/>
        </w:rPr>
        <w:t>4.1  一般规定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_Toc60172945 \h </w:instrText>
      </w:r>
      <w:r>
        <w:rPr>
          <w:rFonts w:ascii="Times New Roman" w:hAnsi="Times New Roman" w:cs="Times New Roman"/>
        </w:rPr>
        <w:fldChar w:fldCharType="separate"/>
      </w:r>
      <w:r>
        <w:rPr>
          <w:rFonts w:ascii="Times New Roman" w:hAnsi="Times New Roman" w:cs="Times New Roman"/>
        </w:rPr>
        <w:t>89</w:t>
      </w:r>
      <w:r>
        <w:rPr>
          <w:rFonts w:ascii="Times New Roman" w:hAnsi="Times New Roman" w:cs="Times New Roman"/>
        </w:rPr>
        <w:fldChar w:fldCharType="end"/>
      </w:r>
      <w:r>
        <w:rPr>
          <w:rFonts w:ascii="Times New Roman" w:hAnsi="Times New Roman" w:cs="Times New Roman"/>
        </w:rPr>
        <w:fldChar w:fldCharType="end"/>
      </w:r>
    </w:p>
    <w:p w14:paraId="33A83679">
      <w:pPr>
        <w:pStyle w:val="26"/>
        <w:tabs>
          <w:tab w:val="right" w:leader="dot" w:pos="8240"/>
        </w:tabs>
        <w:rPr>
          <w:rFonts w:ascii="Times New Roman" w:hAnsi="Times New Roman" w:cs="Times New Roman" w:eastAsiaTheme="minorEastAsia"/>
          <w:b w:val="0"/>
          <w:bCs w:val="0"/>
          <w:caps w:val="0"/>
          <w:sz w:val="21"/>
          <w:szCs w:val="22"/>
        </w:rPr>
      </w:pPr>
      <w:r>
        <w:fldChar w:fldCharType="begin"/>
      </w:r>
      <w:r>
        <w:instrText xml:space="preserve"> HYPERLINK \l "_Toc60172946" </w:instrText>
      </w:r>
      <w:r>
        <w:fldChar w:fldCharType="separate"/>
      </w:r>
      <w:r>
        <w:rPr>
          <w:rStyle w:val="45"/>
          <w:rFonts w:ascii="Times New Roman" w:hAnsi="Times New Roman" w:cs="Times New Roman"/>
        </w:rPr>
        <w:t>5  顶管设计</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_Toc60172946 \h </w:instrText>
      </w:r>
      <w:r>
        <w:rPr>
          <w:rFonts w:ascii="Times New Roman" w:hAnsi="Times New Roman" w:cs="Times New Roman"/>
        </w:rPr>
        <w:fldChar w:fldCharType="separate"/>
      </w:r>
      <w:r>
        <w:rPr>
          <w:rFonts w:ascii="Times New Roman" w:hAnsi="Times New Roman" w:cs="Times New Roman"/>
        </w:rPr>
        <w:t>90</w:t>
      </w:r>
      <w:r>
        <w:rPr>
          <w:rFonts w:ascii="Times New Roman" w:hAnsi="Times New Roman" w:cs="Times New Roman"/>
        </w:rPr>
        <w:fldChar w:fldCharType="end"/>
      </w:r>
      <w:r>
        <w:rPr>
          <w:rFonts w:ascii="Times New Roman" w:hAnsi="Times New Roman" w:cs="Times New Roman"/>
        </w:rPr>
        <w:fldChar w:fldCharType="end"/>
      </w:r>
    </w:p>
    <w:p w14:paraId="6E014CA7">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"_Toc60172947" </w:instrText>
      </w:r>
      <w:r>
        <w:fldChar w:fldCharType="separate"/>
      </w:r>
      <w:r>
        <w:rPr>
          <w:rStyle w:val="45"/>
          <w:rFonts w:ascii="Times New Roman" w:hAnsi="Times New Roman" w:eastAsia="黑体" w:cs="Times New Roman"/>
        </w:rPr>
        <w:t>5.1  一般规定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_Toc60172947 \h </w:instrText>
      </w:r>
      <w:r>
        <w:rPr>
          <w:rFonts w:ascii="Times New Roman" w:hAnsi="Times New Roman" w:cs="Times New Roman"/>
        </w:rPr>
        <w:fldChar w:fldCharType="separate"/>
      </w:r>
      <w:r>
        <w:rPr>
          <w:rFonts w:ascii="Times New Roman" w:hAnsi="Times New Roman" w:cs="Times New Roman"/>
        </w:rPr>
        <w:t>90</w:t>
      </w:r>
      <w:r>
        <w:rPr>
          <w:rFonts w:ascii="Times New Roman" w:hAnsi="Times New Roman" w:cs="Times New Roman"/>
        </w:rPr>
        <w:fldChar w:fldCharType="end"/>
      </w:r>
      <w:r>
        <w:rPr>
          <w:rFonts w:ascii="Times New Roman" w:hAnsi="Times New Roman" w:cs="Times New Roman"/>
        </w:rPr>
        <w:fldChar w:fldCharType="end"/>
      </w:r>
    </w:p>
    <w:p w14:paraId="0F719D1C">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"_Toc60172948" </w:instrText>
      </w:r>
      <w:r>
        <w:fldChar w:fldCharType="separate"/>
      </w:r>
      <w:r>
        <w:rPr>
          <w:rStyle w:val="45"/>
          <w:rFonts w:ascii="Times New Roman" w:hAnsi="Times New Roman" w:eastAsia="黑体" w:cs="Times New Roman"/>
        </w:rPr>
        <w:t>5.2  顶管管位设计</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_Toc60172948 \h </w:instrText>
      </w:r>
      <w:r>
        <w:rPr>
          <w:rFonts w:ascii="Times New Roman" w:hAnsi="Times New Roman" w:cs="Times New Roman"/>
        </w:rPr>
        <w:fldChar w:fldCharType="separate"/>
      </w:r>
      <w:r>
        <w:rPr>
          <w:rFonts w:ascii="Times New Roman" w:hAnsi="Times New Roman" w:cs="Times New Roman"/>
        </w:rPr>
        <w:t>90</w:t>
      </w:r>
      <w:r>
        <w:rPr>
          <w:rFonts w:ascii="Times New Roman" w:hAnsi="Times New Roman" w:cs="Times New Roman"/>
        </w:rPr>
        <w:fldChar w:fldCharType="end"/>
      </w:r>
      <w:r>
        <w:rPr>
          <w:rFonts w:ascii="Times New Roman" w:hAnsi="Times New Roman" w:cs="Times New Roman"/>
        </w:rPr>
        <w:fldChar w:fldCharType="end"/>
      </w:r>
    </w:p>
    <w:p w14:paraId="145980AC">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"_Toc60172949" </w:instrText>
      </w:r>
      <w:r>
        <w:fldChar w:fldCharType="separate"/>
      </w:r>
      <w:r>
        <w:rPr>
          <w:rStyle w:val="45"/>
          <w:rFonts w:ascii="Times New Roman" w:hAnsi="Times New Roman" w:eastAsia="黑体" w:cs="Times New Roman"/>
        </w:rPr>
        <w:t>5.3  作用</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_Toc60172949 \h </w:instrText>
      </w:r>
      <w:r>
        <w:rPr>
          <w:rFonts w:ascii="Times New Roman" w:hAnsi="Times New Roman" w:cs="Times New Roman"/>
        </w:rPr>
        <w:fldChar w:fldCharType="separate"/>
      </w:r>
      <w:r>
        <w:rPr>
          <w:rFonts w:ascii="Times New Roman" w:hAnsi="Times New Roman" w:cs="Times New Roman"/>
        </w:rPr>
        <w:t>90</w:t>
      </w:r>
      <w:r>
        <w:rPr>
          <w:rFonts w:ascii="Times New Roman" w:hAnsi="Times New Roman" w:cs="Times New Roman"/>
        </w:rPr>
        <w:fldChar w:fldCharType="end"/>
      </w:r>
      <w:r>
        <w:rPr>
          <w:rFonts w:ascii="Times New Roman" w:hAnsi="Times New Roman" w:cs="Times New Roman"/>
        </w:rPr>
        <w:fldChar w:fldCharType="end"/>
      </w:r>
    </w:p>
    <w:p w14:paraId="72915A54">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"_Toc60172950" </w:instrText>
      </w:r>
      <w:r>
        <w:fldChar w:fldCharType="separate"/>
      </w:r>
      <w:r>
        <w:rPr>
          <w:rStyle w:val="45"/>
          <w:rFonts w:ascii="Times New Roman" w:hAnsi="Times New Roman" w:eastAsia="黑体" w:cs="Times New Roman"/>
        </w:rPr>
        <w:t>5.5  管节构造设计</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_Toc60172950 \h </w:instrText>
      </w:r>
      <w:r>
        <w:rPr>
          <w:rFonts w:ascii="Times New Roman" w:hAnsi="Times New Roman" w:cs="Times New Roman"/>
        </w:rPr>
        <w:fldChar w:fldCharType="separate"/>
      </w:r>
      <w:r>
        <w:rPr>
          <w:rFonts w:ascii="Times New Roman" w:hAnsi="Times New Roman" w:cs="Times New Roman"/>
        </w:rPr>
        <w:t>91</w:t>
      </w:r>
      <w:r>
        <w:rPr>
          <w:rFonts w:ascii="Times New Roman" w:hAnsi="Times New Roman" w:cs="Times New Roman"/>
        </w:rPr>
        <w:fldChar w:fldCharType="end"/>
      </w:r>
      <w:r>
        <w:rPr>
          <w:rFonts w:ascii="Times New Roman" w:hAnsi="Times New Roman" w:cs="Times New Roman"/>
        </w:rPr>
        <w:fldChar w:fldCharType="end"/>
      </w:r>
    </w:p>
    <w:p w14:paraId="2B7992C3">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"_Toc60172951" </w:instrText>
      </w:r>
      <w:r>
        <w:fldChar w:fldCharType="separate"/>
      </w:r>
      <w:r>
        <w:rPr>
          <w:rStyle w:val="45"/>
          <w:rFonts w:ascii="Times New Roman" w:hAnsi="Times New Roman" w:eastAsia="黑体" w:cs="Times New Roman"/>
        </w:rPr>
        <w:t>5.6  顶管总顶力计算与中继间设置原则</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_Toc60172951 \h </w:instrText>
      </w:r>
      <w:r>
        <w:rPr>
          <w:rFonts w:ascii="Times New Roman" w:hAnsi="Times New Roman" w:cs="Times New Roman"/>
        </w:rPr>
        <w:fldChar w:fldCharType="separate"/>
      </w:r>
      <w:r>
        <w:rPr>
          <w:rFonts w:ascii="Times New Roman" w:hAnsi="Times New Roman" w:cs="Times New Roman"/>
        </w:rPr>
        <w:t>91</w:t>
      </w:r>
      <w:r>
        <w:rPr>
          <w:rFonts w:ascii="Times New Roman" w:hAnsi="Times New Roman" w:cs="Times New Roman"/>
        </w:rPr>
        <w:fldChar w:fldCharType="end"/>
      </w:r>
      <w:r>
        <w:rPr>
          <w:rFonts w:ascii="Times New Roman" w:hAnsi="Times New Roman" w:cs="Times New Roman"/>
        </w:rPr>
        <w:fldChar w:fldCharType="end"/>
      </w:r>
    </w:p>
    <w:p w14:paraId="637B8B18">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"_Toc60172952" </w:instrText>
      </w:r>
      <w:r>
        <w:fldChar w:fldCharType="separate"/>
      </w:r>
      <w:r>
        <w:rPr>
          <w:rStyle w:val="45"/>
          <w:rFonts w:ascii="Times New Roman" w:hAnsi="Times New Roman" w:eastAsia="黑体" w:cs="Times New Roman"/>
        </w:rPr>
        <w:t>5.7  工作井设计</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_Toc60172952 \h </w:instrText>
      </w:r>
      <w:r>
        <w:rPr>
          <w:rFonts w:ascii="Times New Roman" w:hAnsi="Times New Roman" w:cs="Times New Roman"/>
        </w:rPr>
        <w:fldChar w:fldCharType="separate"/>
      </w:r>
      <w:r>
        <w:rPr>
          <w:rFonts w:ascii="Times New Roman" w:hAnsi="Times New Roman" w:cs="Times New Roman"/>
        </w:rPr>
        <w:t>91</w:t>
      </w:r>
      <w:r>
        <w:rPr>
          <w:rFonts w:ascii="Times New Roman" w:hAnsi="Times New Roman" w:cs="Times New Roman"/>
        </w:rPr>
        <w:fldChar w:fldCharType="end"/>
      </w:r>
      <w:r>
        <w:rPr>
          <w:rFonts w:ascii="Times New Roman" w:hAnsi="Times New Roman" w:cs="Times New Roman"/>
        </w:rPr>
        <w:fldChar w:fldCharType="end"/>
      </w:r>
    </w:p>
    <w:p w14:paraId="5CF88013">
      <w:pPr>
        <w:pStyle w:val="26"/>
        <w:tabs>
          <w:tab w:val="right" w:leader="dot" w:pos="8240"/>
        </w:tabs>
        <w:rPr>
          <w:rFonts w:ascii="Times New Roman" w:hAnsi="Times New Roman" w:cs="Times New Roman" w:eastAsiaTheme="minorEastAsia"/>
          <w:b w:val="0"/>
          <w:bCs w:val="0"/>
          <w:caps w:val="0"/>
          <w:sz w:val="21"/>
          <w:szCs w:val="22"/>
        </w:rPr>
      </w:pPr>
      <w:r>
        <w:fldChar w:fldCharType="begin"/>
      </w:r>
      <w:r>
        <w:instrText xml:space="preserve"> HYPERLINK \l "_Toc60172953" </w:instrText>
      </w:r>
      <w:r>
        <w:fldChar w:fldCharType="separate"/>
      </w:r>
      <w:r>
        <w:rPr>
          <w:rStyle w:val="45"/>
          <w:rFonts w:ascii="Times New Roman" w:hAnsi="Times New Roman" w:cs="Times New Roman"/>
        </w:rPr>
        <w:t>6  管节制作</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_Toc60172953 \h </w:instrText>
      </w:r>
      <w:r>
        <w:rPr>
          <w:rFonts w:ascii="Times New Roman" w:hAnsi="Times New Roman" w:cs="Times New Roman"/>
        </w:rPr>
        <w:fldChar w:fldCharType="separate"/>
      </w:r>
      <w:r>
        <w:rPr>
          <w:rFonts w:ascii="Times New Roman" w:hAnsi="Times New Roman" w:cs="Times New Roman"/>
        </w:rPr>
        <w:t>93</w:t>
      </w:r>
      <w:r>
        <w:rPr>
          <w:rFonts w:ascii="Times New Roman" w:hAnsi="Times New Roman" w:cs="Times New Roman"/>
        </w:rPr>
        <w:fldChar w:fldCharType="end"/>
      </w:r>
      <w:r>
        <w:rPr>
          <w:rFonts w:ascii="Times New Roman" w:hAnsi="Times New Roman" w:cs="Times New Roman"/>
        </w:rPr>
        <w:fldChar w:fldCharType="end"/>
      </w:r>
    </w:p>
    <w:p w14:paraId="50D95B26">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"_Toc60172954" </w:instrText>
      </w:r>
      <w:r>
        <w:fldChar w:fldCharType="separate"/>
      </w:r>
      <w:r>
        <w:rPr>
          <w:rStyle w:val="45"/>
          <w:rFonts w:ascii="Times New Roman" w:hAnsi="Times New Roman" w:eastAsia="黑体" w:cs="Times New Roman"/>
        </w:rPr>
        <w:t>6.1  一般规定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_Toc60172954 \h </w:instrText>
      </w:r>
      <w:r>
        <w:rPr>
          <w:rFonts w:ascii="Times New Roman" w:hAnsi="Times New Roman" w:cs="Times New Roman"/>
        </w:rPr>
        <w:fldChar w:fldCharType="separate"/>
      </w:r>
      <w:r>
        <w:rPr>
          <w:rFonts w:ascii="Times New Roman" w:hAnsi="Times New Roman" w:cs="Times New Roman"/>
        </w:rPr>
        <w:t>93</w:t>
      </w:r>
      <w:r>
        <w:rPr>
          <w:rFonts w:ascii="Times New Roman" w:hAnsi="Times New Roman" w:cs="Times New Roman"/>
        </w:rPr>
        <w:fldChar w:fldCharType="end"/>
      </w:r>
      <w:r>
        <w:rPr>
          <w:rFonts w:ascii="Times New Roman" w:hAnsi="Times New Roman" w:cs="Times New Roman"/>
        </w:rPr>
        <w:fldChar w:fldCharType="end"/>
      </w:r>
    </w:p>
    <w:p w14:paraId="4C4530C4">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"_Toc60172955" </w:instrText>
      </w:r>
      <w:r>
        <w:fldChar w:fldCharType="separate"/>
      </w:r>
      <w:r>
        <w:rPr>
          <w:rStyle w:val="45"/>
          <w:rFonts w:ascii="Times New Roman" w:hAnsi="Times New Roman" w:eastAsia="黑体" w:cs="Times New Roman"/>
        </w:rPr>
        <w:t>6.3  接头构造</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_Toc60172955 \h </w:instrText>
      </w:r>
      <w:r>
        <w:rPr>
          <w:rFonts w:ascii="Times New Roman" w:hAnsi="Times New Roman" w:cs="Times New Roman"/>
        </w:rPr>
        <w:fldChar w:fldCharType="separate"/>
      </w:r>
      <w:r>
        <w:rPr>
          <w:rFonts w:ascii="Times New Roman" w:hAnsi="Times New Roman" w:cs="Times New Roman"/>
        </w:rPr>
        <w:t>93</w:t>
      </w:r>
      <w:r>
        <w:rPr>
          <w:rFonts w:ascii="Times New Roman" w:hAnsi="Times New Roman" w:cs="Times New Roman"/>
        </w:rPr>
        <w:fldChar w:fldCharType="end"/>
      </w:r>
      <w:r>
        <w:rPr>
          <w:rFonts w:ascii="Times New Roman" w:hAnsi="Times New Roman" w:cs="Times New Roman"/>
        </w:rPr>
        <w:fldChar w:fldCharType="end"/>
      </w:r>
    </w:p>
    <w:p w14:paraId="04CC7921">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"_Toc60172956" </w:instrText>
      </w:r>
      <w:r>
        <w:fldChar w:fldCharType="separate"/>
      </w:r>
      <w:r>
        <w:rPr>
          <w:rStyle w:val="45"/>
          <w:rFonts w:ascii="Times New Roman" w:hAnsi="Times New Roman" w:eastAsia="黑体" w:cs="Times New Roman"/>
        </w:rPr>
        <w:t>6.4  管节防腐</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_Toc60172956 \h </w:instrText>
      </w:r>
      <w:r>
        <w:rPr>
          <w:rFonts w:ascii="Times New Roman" w:hAnsi="Times New Roman" w:cs="Times New Roman"/>
        </w:rPr>
        <w:fldChar w:fldCharType="separate"/>
      </w:r>
      <w:r>
        <w:rPr>
          <w:rFonts w:ascii="Times New Roman" w:hAnsi="Times New Roman" w:cs="Times New Roman"/>
        </w:rPr>
        <w:t>93</w:t>
      </w:r>
      <w:r>
        <w:rPr>
          <w:rFonts w:ascii="Times New Roman" w:hAnsi="Times New Roman" w:cs="Times New Roman"/>
        </w:rPr>
        <w:fldChar w:fldCharType="end"/>
      </w:r>
      <w:r>
        <w:rPr>
          <w:rFonts w:ascii="Times New Roman" w:hAnsi="Times New Roman" w:cs="Times New Roman"/>
        </w:rPr>
        <w:fldChar w:fldCharType="end"/>
      </w:r>
    </w:p>
    <w:p w14:paraId="26B423F4">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"_Toc60172957" </w:instrText>
      </w:r>
      <w:r>
        <w:fldChar w:fldCharType="separate"/>
      </w:r>
      <w:r>
        <w:rPr>
          <w:rStyle w:val="45"/>
          <w:rFonts w:ascii="Times New Roman" w:hAnsi="Times New Roman" w:eastAsia="黑体" w:cs="Times New Roman"/>
        </w:rPr>
        <w:t>6.6  管节标识、堆放、吊装和运输</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_Toc60172957 \h </w:instrText>
      </w:r>
      <w:r>
        <w:rPr>
          <w:rFonts w:ascii="Times New Roman" w:hAnsi="Times New Roman" w:cs="Times New Roman"/>
        </w:rPr>
        <w:fldChar w:fldCharType="separate"/>
      </w:r>
      <w:r>
        <w:rPr>
          <w:rFonts w:ascii="Times New Roman" w:hAnsi="Times New Roman" w:cs="Times New Roman"/>
        </w:rPr>
        <w:t>93</w:t>
      </w:r>
      <w:r>
        <w:rPr>
          <w:rFonts w:ascii="Times New Roman" w:hAnsi="Times New Roman" w:cs="Times New Roman"/>
        </w:rPr>
        <w:fldChar w:fldCharType="end"/>
      </w:r>
      <w:r>
        <w:rPr>
          <w:rFonts w:ascii="Times New Roman" w:hAnsi="Times New Roman" w:cs="Times New Roman"/>
        </w:rPr>
        <w:fldChar w:fldCharType="end"/>
      </w:r>
    </w:p>
    <w:p w14:paraId="4A316C21">
      <w:pPr>
        <w:pStyle w:val="26"/>
        <w:tabs>
          <w:tab w:val="right" w:leader="dot" w:pos="8240"/>
        </w:tabs>
        <w:rPr>
          <w:rFonts w:ascii="Times New Roman" w:hAnsi="Times New Roman" w:cs="Times New Roman" w:eastAsiaTheme="minorEastAsia"/>
          <w:b w:val="0"/>
          <w:bCs w:val="0"/>
          <w:caps w:val="0"/>
          <w:sz w:val="21"/>
          <w:szCs w:val="22"/>
        </w:rPr>
      </w:pPr>
      <w:r>
        <w:fldChar w:fldCharType="begin"/>
      </w:r>
      <w:r>
        <w:instrText xml:space="preserve"> HYPERLINK \l "_Toc60172958" </w:instrText>
      </w:r>
      <w:r>
        <w:fldChar w:fldCharType="separate"/>
      </w:r>
      <w:r>
        <w:rPr>
          <w:rStyle w:val="45"/>
          <w:rFonts w:ascii="Times New Roman" w:hAnsi="Times New Roman" w:cs="Times New Roman"/>
        </w:rPr>
        <w:t>7  工作井施工</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_Toc60172958 \h </w:instrText>
      </w:r>
      <w:r>
        <w:rPr>
          <w:rFonts w:ascii="Times New Roman" w:hAnsi="Times New Roman" w:cs="Times New Roman"/>
        </w:rPr>
        <w:fldChar w:fldCharType="separate"/>
      </w:r>
      <w:r>
        <w:rPr>
          <w:rFonts w:ascii="Times New Roman" w:hAnsi="Times New Roman" w:cs="Times New Roman"/>
        </w:rPr>
        <w:t>94</w:t>
      </w:r>
      <w:r>
        <w:rPr>
          <w:rFonts w:ascii="Times New Roman" w:hAnsi="Times New Roman" w:cs="Times New Roman"/>
        </w:rPr>
        <w:fldChar w:fldCharType="end"/>
      </w:r>
      <w:r>
        <w:rPr>
          <w:rFonts w:ascii="Times New Roman" w:hAnsi="Times New Roman" w:cs="Times New Roman"/>
        </w:rPr>
        <w:fldChar w:fldCharType="end"/>
      </w:r>
    </w:p>
    <w:p w14:paraId="61AD19E8">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"_Toc60172959" </w:instrText>
      </w:r>
      <w:r>
        <w:fldChar w:fldCharType="separate"/>
      </w:r>
      <w:r>
        <w:rPr>
          <w:rStyle w:val="45"/>
          <w:rFonts w:ascii="Times New Roman" w:hAnsi="Times New Roman" w:eastAsia="黑体" w:cs="Times New Roman"/>
        </w:rPr>
        <w:t>7.1  一般规定</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_Toc60172959 \h </w:instrText>
      </w:r>
      <w:r>
        <w:rPr>
          <w:rFonts w:ascii="Times New Roman" w:hAnsi="Times New Roman" w:cs="Times New Roman"/>
        </w:rPr>
        <w:fldChar w:fldCharType="separate"/>
      </w:r>
      <w:r>
        <w:rPr>
          <w:rFonts w:ascii="Times New Roman" w:hAnsi="Times New Roman" w:cs="Times New Roman"/>
        </w:rPr>
        <w:t>94</w:t>
      </w:r>
      <w:r>
        <w:rPr>
          <w:rFonts w:ascii="Times New Roman" w:hAnsi="Times New Roman" w:cs="Times New Roman"/>
        </w:rPr>
        <w:fldChar w:fldCharType="end"/>
      </w:r>
      <w:r>
        <w:rPr>
          <w:rFonts w:ascii="Times New Roman" w:hAnsi="Times New Roman" w:cs="Times New Roman"/>
        </w:rPr>
        <w:fldChar w:fldCharType="end"/>
      </w:r>
    </w:p>
    <w:p w14:paraId="61F89D5E">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"_Toc60172960" </w:instrText>
      </w:r>
      <w:r>
        <w:fldChar w:fldCharType="separate"/>
      </w:r>
      <w:r>
        <w:rPr>
          <w:rStyle w:val="45"/>
          <w:rFonts w:ascii="Times New Roman" w:hAnsi="Times New Roman" w:eastAsia="黑体" w:cs="Times New Roman"/>
        </w:rPr>
        <w:t>7.2  土体加固</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_Toc60172960 \h </w:instrText>
      </w:r>
      <w:r>
        <w:rPr>
          <w:rFonts w:ascii="Times New Roman" w:hAnsi="Times New Roman" w:cs="Times New Roman"/>
        </w:rPr>
        <w:fldChar w:fldCharType="separate"/>
      </w:r>
      <w:r>
        <w:rPr>
          <w:rFonts w:ascii="Times New Roman" w:hAnsi="Times New Roman" w:cs="Times New Roman"/>
        </w:rPr>
        <w:t>95</w:t>
      </w:r>
      <w:r>
        <w:rPr>
          <w:rFonts w:ascii="Times New Roman" w:hAnsi="Times New Roman" w:cs="Times New Roman"/>
        </w:rPr>
        <w:fldChar w:fldCharType="end"/>
      </w:r>
      <w:r>
        <w:rPr>
          <w:rFonts w:ascii="Times New Roman" w:hAnsi="Times New Roman" w:cs="Times New Roman"/>
        </w:rPr>
        <w:fldChar w:fldCharType="end"/>
      </w:r>
    </w:p>
    <w:p w14:paraId="7F0838B0">
      <w:pPr>
        <w:pStyle w:val="26"/>
        <w:tabs>
          <w:tab w:val="right" w:leader="dot" w:pos="8240"/>
        </w:tabs>
        <w:rPr>
          <w:rFonts w:ascii="Times New Roman" w:hAnsi="Times New Roman" w:cs="Times New Roman" w:eastAsiaTheme="minorEastAsia"/>
          <w:b w:val="0"/>
          <w:bCs w:val="0"/>
          <w:caps w:val="0"/>
          <w:sz w:val="21"/>
          <w:szCs w:val="22"/>
        </w:rPr>
      </w:pPr>
      <w:r>
        <w:fldChar w:fldCharType="begin"/>
      </w:r>
      <w:r>
        <w:instrText xml:space="preserve"> HYPERLINK \l "_Toc60172961" </w:instrText>
      </w:r>
      <w:r>
        <w:fldChar w:fldCharType="separate"/>
      </w:r>
      <w:r>
        <w:rPr>
          <w:rStyle w:val="45"/>
          <w:rFonts w:ascii="Times New Roman" w:hAnsi="Times New Roman" w:cs="Times New Roman"/>
        </w:rPr>
        <w:t>8  顶管设备及安装</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_Toc60172961 \h </w:instrText>
      </w:r>
      <w:r>
        <w:rPr>
          <w:rFonts w:ascii="Times New Roman" w:hAnsi="Times New Roman" w:cs="Times New Roman"/>
        </w:rPr>
        <w:fldChar w:fldCharType="separate"/>
      </w:r>
      <w:r>
        <w:rPr>
          <w:rFonts w:ascii="Times New Roman" w:hAnsi="Times New Roman" w:cs="Times New Roman"/>
        </w:rPr>
        <w:t>96</w:t>
      </w:r>
      <w:r>
        <w:rPr>
          <w:rFonts w:ascii="Times New Roman" w:hAnsi="Times New Roman" w:cs="Times New Roman"/>
        </w:rPr>
        <w:fldChar w:fldCharType="end"/>
      </w:r>
      <w:r>
        <w:rPr>
          <w:rFonts w:ascii="Times New Roman" w:hAnsi="Times New Roman" w:cs="Times New Roman"/>
        </w:rPr>
        <w:fldChar w:fldCharType="end"/>
      </w:r>
    </w:p>
    <w:p w14:paraId="1D2259A3">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"_Toc60172962" </w:instrText>
      </w:r>
      <w:r>
        <w:fldChar w:fldCharType="separate"/>
      </w:r>
      <w:r>
        <w:rPr>
          <w:rStyle w:val="45"/>
          <w:rFonts w:ascii="Times New Roman" w:hAnsi="Times New Roman" w:eastAsia="黑体" w:cs="Times New Roman"/>
        </w:rPr>
        <w:t>8.2  矩形顶管机设计与选型</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_Toc60172962 \h </w:instrText>
      </w:r>
      <w:r>
        <w:rPr>
          <w:rFonts w:ascii="Times New Roman" w:hAnsi="Times New Roman" w:cs="Times New Roman"/>
        </w:rPr>
        <w:fldChar w:fldCharType="separate"/>
      </w:r>
      <w:r>
        <w:rPr>
          <w:rFonts w:ascii="Times New Roman" w:hAnsi="Times New Roman" w:cs="Times New Roman"/>
        </w:rPr>
        <w:t>96</w:t>
      </w:r>
      <w:r>
        <w:rPr>
          <w:rFonts w:ascii="Times New Roman" w:hAnsi="Times New Roman" w:cs="Times New Roman"/>
        </w:rPr>
        <w:fldChar w:fldCharType="end"/>
      </w:r>
      <w:r>
        <w:rPr>
          <w:rFonts w:ascii="Times New Roman" w:hAnsi="Times New Roman" w:cs="Times New Roman"/>
        </w:rPr>
        <w:fldChar w:fldCharType="end"/>
      </w:r>
    </w:p>
    <w:p w14:paraId="229A08D3">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"_Toc60172963" </w:instrText>
      </w:r>
      <w:r>
        <w:fldChar w:fldCharType="separate"/>
      </w:r>
      <w:r>
        <w:rPr>
          <w:rStyle w:val="45"/>
          <w:rFonts w:ascii="Times New Roman" w:hAnsi="Times New Roman" w:eastAsia="黑体" w:cs="Times New Roman"/>
        </w:rPr>
        <w:t>8.4  导轨选择与安装</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_Toc60172963 \h </w:instrText>
      </w:r>
      <w:r>
        <w:rPr>
          <w:rFonts w:ascii="Times New Roman" w:hAnsi="Times New Roman" w:cs="Times New Roman"/>
        </w:rPr>
        <w:fldChar w:fldCharType="separate"/>
      </w:r>
      <w:r>
        <w:rPr>
          <w:rFonts w:ascii="Times New Roman" w:hAnsi="Times New Roman" w:cs="Times New Roman"/>
        </w:rPr>
        <w:t>97</w:t>
      </w:r>
      <w:r>
        <w:rPr>
          <w:rFonts w:ascii="Times New Roman" w:hAnsi="Times New Roman" w:cs="Times New Roman"/>
        </w:rPr>
        <w:fldChar w:fldCharType="end"/>
      </w:r>
      <w:r>
        <w:rPr>
          <w:rFonts w:ascii="Times New Roman" w:hAnsi="Times New Roman" w:cs="Times New Roman"/>
        </w:rPr>
        <w:fldChar w:fldCharType="end"/>
      </w:r>
    </w:p>
    <w:p w14:paraId="699B9653">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"_Toc60172964" </w:instrText>
      </w:r>
      <w:r>
        <w:fldChar w:fldCharType="separate"/>
      </w:r>
      <w:r>
        <w:rPr>
          <w:rStyle w:val="45"/>
          <w:rFonts w:ascii="Times New Roman" w:hAnsi="Times New Roman" w:eastAsia="黑体" w:cs="Times New Roman"/>
        </w:rPr>
        <w:t>8.5  顶管机安装和调试</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_Toc60172964 \h </w:instrText>
      </w:r>
      <w:r>
        <w:rPr>
          <w:rFonts w:ascii="Times New Roman" w:hAnsi="Times New Roman" w:cs="Times New Roman"/>
        </w:rPr>
        <w:fldChar w:fldCharType="separate"/>
      </w:r>
      <w:r>
        <w:rPr>
          <w:rFonts w:ascii="Times New Roman" w:hAnsi="Times New Roman" w:cs="Times New Roman"/>
        </w:rPr>
        <w:t>97</w:t>
      </w:r>
      <w:r>
        <w:rPr>
          <w:rFonts w:ascii="Times New Roman" w:hAnsi="Times New Roman" w:cs="Times New Roman"/>
        </w:rPr>
        <w:fldChar w:fldCharType="end"/>
      </w:r>
      <w:r>
        <w:rPr>
          <w:rFonts w:ascii="Times New Roman" w:hAnsi="Times New Roman" w:cs="Times New Roman"/>
        </w:rPr>
        <w:fldChar w:fldCharType="end"/>
      </w:r>
    </w:p>
    <w:p w14:paraId="30F35E5B">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"_Toc60172965" </w:instrText>
      </w:r>
      <w:r>
        <w:fldChar w:fldCharType="separate"/>
      </w:r>
      <w:r>
        <w:rPr>
          <w:rStyle w:val="45"/>
          <w:rFonts w:ascii="Times New Roman" w:hAnsi="Times New Roman" w:eastAsia="黑体" w:cs="Times New Roman"/>
        </w:rPr>
        <w:t>8.9  顶管辅助施工与设备</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_Toc60172965 \h </w:instrText>
      </w:r>
      <w:r>
        <w:rPr>
          <w:rFonts w:ascii="Times New Roman" w:hAnsi="Times New Roman" w:cs="Times New Roman"/>
        </w:rPr>
        <w:fldChar w:fldCharType="separate"/>
      </w:r>
      <w:r>
        <w:rPr>
          <w:rFonts w:ascii="Times New Roman" w:hAnsi="Times New Roman" w:cs="Times New Roman"/>
        </w:rPr>
        <w:t>97</w:t>
      </w:r>
      <w:r>
        <w:rPr>
          <w:rFonts w:ascii="Times New Roman" w:hAnsi="Times New Roman" w:cs="Times New Roman"/>
        </w:rPr>
        <w:fldChar w:fldCharType="end"/>
      </w:r>
      <w:r>
        <w:rPr>
          <w:rFonts w:ascii="Times New Roman" w:hAnsi="Times New Roman" w:cs="Times New Roman"/>
        </w:rPr>
        <w:fldChar w:fldCharType="end"/>
      </w:r>
    </w:p>
    <w:p w14:paraId="0107988E">
      <w:pPr>
        <w:pStyle w:val="26"/>
        <w:tabs>
          <w:tab w:val="right" w:leader="dot" w:pos="8240"/>
        </w:tabs>
        <w:rPr>
          <w:rFonts w:ascii="Times New Roman" w:hAnsi="Times New Roman" w:cs="Times New Roman" w:eastAsiaTheme="minorEastAsia"/>
          <w:b w:val="0"/>
          <w:bCs w:val="0"/>
          <w:caps w:val="0"/>
          <w:sz w:val="21"/>
          <w:szCs w:val="22"/>
        </w:rPr>
      </w:pPr>
      <w:r>
        <w:fldChar w:fldCharType="begin"/>
      </w:r>
      <w:r>
        <w:instrText xml:space="preserve"> HYPERLINK \l "_Toc60172966" </w:instrText>
      </w:r>
      <w:r>
        <w:fldChar w:fldCharType="separate"/>
      </w:r>
      <w:r>
        <w:rPr>
          <w:rStyle w:val="45"/>
          <w:rFonts w:ascii="Times New Roman" w:hAnsi="Times New Roman" w:cs="Times New Roman"/>
        </w:rPr>
        <w:t>9  顶进施工</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_Toc60172966 \h </w:instrText>
      </w:r>
      <w:r>
        <w:rPr>
          <w:rFonts w:ascii="Times New Roman" w:hAnsi="Times New Roman" w:cs="Times New Roman"/>
        </w:rPr>
        <w:fldChar w:fldCharType="separate"/>
      </w:r>
      <w:r>
        <w:rPr>
          <w:rFonts w:ascii="Times New Roman" w:hAnsi="Times New Roman" w:cs="Times New Roman"/>
        </w:rPr>
        <w:t>98</w:t>
      </w:r>
      <w:r>
        <w:rPr>
          <w:rFonts w:ascii="Times New Roman" w:hAnsi="Times New Roman" w:cs="Times New Roman"/>
        </w:rPr>
        <w:fldChar w:fldCharType="end"/>
      </w:r>
      <w:r>
        <w:rPr>
          <w:rFonts w:ascii="Times New Roman" w:hAnsi="Times New Roman" w:cs="Times New Roman"/>
        </w:rPr>
        <w:fldChar w:fldCharType="end"/>
      </w:r>
    </w:p>
    <w:p w14:paraId="56A77578">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"_Toc60172967" </w:instrText>
      </w:r>
      <w:r>
        <w:fldChar w:fldCharType="separate"/>
      </w:r>
      <w:r>
        <w:rPr>
          <w:rStyle w:val="45"/>
          <w:rFonts w:ascii="Times New Roman" w:hAnsi="Times New Roman" w:eastAsia="黑体" w:cs="Times New Roman"/>
        </w:rPr>
        <w:t>9.2  施工组织设计</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_Toc60172967 \h </w:instrText>
      </w:r>
      <w:r>
        <w:rPr>
          <w:rFonts w:ascii="Times New Roman" w:hAnsi="Times New Roman" w:cs="Times New Roman"/>
        </w:rPr>
        <w:fldChar w:fldCharType="separate"/>
      </w:r>
      <w:r>
        <w:rPr>
          <w:rFonts w:ascii="Times New Roman" w:hAnsi="Times New Roman" w:cs="Times New Roman"/>
        </w:rPr>
        <w:t>98</w:t>
      </w:r>
      <w:r>
        <w:rPr>
          <w:rFonts w:ascii="Times New Roman" w:hAnsi="Times New Roman" w:cs="Times New Roman"/>
        </w:rPr>
        <w:fldChar w:fldCharType="end"/>
      </w:r>
      <w:r>
        <w:rPr>
          <w:rFonts w:ascii="Times New Roman" w:hAnsi="Times New Roman" w:cs="Times New Roman"/>
        </w:rPr>
        <w:fldChar w:fldCharType="end"/>
      </w:r>
    </w:p>
    <w:p w14:paraId="3A62A216">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"_Toc60172968" </w:instrText>
      </w:r>
      <w:r>
        <w:fldChar w:fldCharType="separate"/>
      </w:r>
      <w:r>
        <w:rPr>
          <w:rStyle w:val="45"/>
          <w:rFonts w:ascii="Times New Roman" w:hAnsi="Times New Roman" w:eastAsia="黑体" w:cs="Times New Roman"/>
        </w:rPr>
        <w:t>9.3  顶管始发与接收</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_Toc60172968 \h </w:instrText>
      </w:r>
      <w:r>
        <w:rPr>
          <w:rFonts w:ascii="Times New Roman" w:hAnsi="Times New Roman" w:cs="Times New Roman"/>
        </w:rPr>
        <w:fldChar w:fldCharType="separate"/>
      </w:r>
      <w:r>
        <w:rPr>
          <w:rFonts w:ascii="Times New Roman" w:hAnsi="Times New Roman" w:cs="Times New Roman"/>
        </w:rPr>
        <w:t>98</w:t>
      </w:r>
      <w:r>
        <w:rPr>
          <w:rFonts w:ascii="Times New Roman" w:hAnsi="Times New Roman" w:cs="Times New Roman"/>
        </w:rPr>
        <w:fldChar w:fldCharType="end"/>
      </w:r>
      <w:r>
        <w:rPr>
          <w:rFonts w:ascii="Times New Roman" w:hAnsi="Times New Roman" w:cs="Times New Roman"/>
        </w:rPr>
        <w:fldChar w:fldCharType="end"/>
      </w:r>
    </w:p>
    <w:p w14:paraId="7E31DC4E">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"_Toc60172969" </w:instrText>
      </w:r>
      <w:r>
        <w:fldChar w:fldCharType="separate"/>
      </w:r>
      <w:r>
        <w:rPr>
          <w:rStyle w:val="45"/>
          <w:rFonts w:ascii="Times New Roman" w:hAnsi="Times New Roman" w:eastAsia="黑体" w:cs="Times New Roman"/>
        </w:rPr>
        <w:t>9.4  顶管掘进</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_Toc60172969 \h </w:instrText>
      </w:r>
      <w:r>
        <w:rPr>
          <w:rFonts w:ascii="Times New Roman" w:hAnsi="Times New Roman" w:cs="Times New Roman"/>
        </w:rPr>
        <w:fldChar w:fldCharType="separate"/>
      </w:r>
      <w:r>
        <w:rPr>
          <w:rFonts w:ascii="Times New Roman" w:hAnsi="Times New Roman" w:cs="Times New Roman"/>
        </w:rPr>
        <w:t>99</w:t>
      </w:r>
      <w:r>
        <w:rPr>
          <w:rFonts w:ascii="Times New Roman" w:hAnsi="Times New Roman" w:cs="Times New Roman"/>
        </w:rPr>
        <w:fldChar w:fldCharType="end"/>
      </w:r>
      <w:r>
        <w:rPr>
          <w:rFonts w:ascii="Times New Roman" w:hAnsi="Times New Roman" w:cs="Times New Roman"/>
        </w:rPr>
        <w:fldChar w:fldCharType="end"/>
      </w:r>
    </w:p>
    <w:p w14:paraId="2FF8D583">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"_Toc60172970" </w:instrText>
      </w:r>
      <w:r>
        <w:fldChar w:fldCharType="separate"/>
      </w:r>
      <w:r>
        <w:rPr>
          <w:rStyle w:val="45"/>
          <w:rFonts w:ascii="Times New Roman" w:hAnsi="Times New Roman" w:eastAsia="黑体" w:cs="Times New Roman"/>
        </w:rPr>
        <w:t>9.5  注浆减阻</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_Toc60172970 \h </w:instrText>
      </w:r>
      <w:r>
        <w:rPr>
          <w:rFonts w:ascii="Times New Roman" w:hAnsi="Times New Roman" w:cs="Times New Roman"/>
        </w:rPr>
        <w:fldChar w:fldCharType="separate"/>
      </w:r>
      <w:r>
        <w:rPr>
          <w:rFonts w:ascii="Times New Roman" w:hAnsi="Times New Roman" w:cs="Times New Roman"/>
        </w:rPr>
        <w:t>99</w:t>
      </w:r>
      <w:r>
        <w:rPr>
          <w:rFonts w:ascii="Times New Roman" w:hAnsi="Times New Roman" w:cs="Times New Roman"/>
        </w:rPr>
        <w:fldChar w:fldCharType="end"/>
      </w:r>
      <w:r>
        <w:rPr>
          <w:rFonts w:ascii="Times New Roman" w:hAnsi="Times New Roman" w:cs="Times New Roman"/>
        </w:rPr>
        <w:fldChar w:fldCharType="end"/>
      </w:r>
    </w:p>
    <w:p w14:paraId="5F17EA88">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"_Toc60172971" </w:instrText>
      </w:r>
      <w:r>
        <w:fldChar w:fldCharType="separate"/>
      </w:r>
      <w:r>
        <w:rPr>
          <w:rStyle w:val="45"/>
          <w:rFonts w:ascii="Times New Roman" w:hAnsi="Times New Roman" w:eastAsia="黑体" w:cs="Times New Roman"/>
        </w:rPr>
        <w:t>9.6  渣土改良</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_Toc60172971 \h </w:instrText>
      </w:r>
      <w:r>
        <w:rPr>
          <w:rFonts w:ascii="Times New Roman" w:hAnsi="Times New Roman" w:cs="Times New Roman"/>
        </w:rPr>
        <w:fldChar w:fldCharType="separate"/>
      </w:r>
      <w:r>
        <w:rPr>
          <w:rFonts w:ascii="Times New Roman" w:hAnsi="Times New Roman" w:cs="Times New Roman"/>
        </w:rPr>
        <w:t>101</w:t>
      </w:r>
      <w:r>
        <w:rPr>
          <w:rFonts w:ascii="Times New Roman" w:hAnsi="Times New Roman" w:cs="Times New Roman"/>
        </w:rPr>
        <w:fldChar w:fldCharType="end"/>
      </w:r>
      <w:r>
        <w:rPr>
          <w:rFonts w:ascii="Times New Roman" w:hAnsi="Times New Roman" w:cs="Times New Roman"/>
        </w:rPr>
        <w:fldChar w:fldCharType="end"/>
      </w:r>
    </w:p>
    <w:p w14:paraId="6F4B2F1D">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"_Toc60172972" </w:instrText>
      </w:r>
      <w:r>
        <w:fldChar w:fldCharType="separate"/>
      </w:r>
      <w:r>
        <w:rPr>
          <w:rStyle w:val="45"/>
          <w:rFonts w:ascii="Times New Roman" w:hAnsi="Times New Roman" w:eastAsia="黑体" w:cs="Times New Roman"/>
        </w:rPr>
        <w:t>9.7  测量和姿态控制</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_Toc60172972 \h </w:instrText>
      </w:r>
      <w:r>
        <w:rPr>
          <w:rFonts w:ascii="Times New Roman" w:hAnsi="Times New Roman" w:cs="Times New Roman"/>
        </w:rPr>
        <w:fldChar w:fldCharType="separate"/>
      </w:r>
      <w:r>
        <w:rPr>
          <w:rFonts w:ascii="Times New Roman" w:hAnsi="Times New Roman" w:cs="Times New Roman"/>
        </w:rPr>
        <w:t>101</w:t>
      </w:r>
      <w:r>
        <w:rPr>
          <w:rFonts w:ascii="Times New Roman" w:hAnsi="Times New Roman" w:cs="Times New Roman"/>
        </w:rPr>
        <w:fldChar w:fldCharType="end"/>
      </w:r>
      <w:r>
        <w:rPr>
          <w:rFonts w:ascii="Times New Roman" w:hAnsi="Times New Roman" w:cs="Times New Roman"/>
        </w:rPr>
        <w:fldChar w:fldCharType="end"/>
      </w:r>
    </w:p>
    <w:p w14:paraId="48ABCE76">
      <w:pPr>
        <w:pStyle w:val="30"/>
        <w:tabs>
          <w:tab w:val="right" w:leader="dot" w:pos="8240"/>
        </w:tabs>
        <w:rPr>
          <w:rFonts w:ascii="Times New Roman" w:hAnsi="Times New Roman" w:cs="Times New Roman" w:eastAsiaTheme="minorEastAsia"/>
          <w:smallCaps w:val="0"/>
          <w:sz w:val="21"/>
          <w:szCs w:val="22"/>
        </w:rPr>
      </w:pPr>
      <w:r>
        <w:fldChar w:fldCharType="begin"/>
      </w:r>
      <w:r>
        <w:instrText xml:space="preserve"> HYPERLINK \l "_Toc60172973" </w:instrText>
      </w:r>
      <w:r>
        <w:fldChar w:fldCharType="separate"/>
      </w:r>
      <w:r>
        <w:rPr>
          <w:rStyle w:val="45"/>
          <w:rFonts w:ascii="Times New Roman" w:hAnsi="Times New Roman" w:eastAsia="黑体" w:cs="Times New Roman"/>
        </w:rPr>
        <w:t>9.8  监测与变形控制</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_Toc60172973 \h </w:instrText>
      </w:r>
      <w:r>
        <w:rPr>
          <w:rFonts w:ascii="Times New Roman" w:hAnsi="Times New Roman" w:cs="Times New Roman"/>
        </w:rPr>
        <w:fldChar w:fldCharType="separate"/>
      </w:r>
      <w:r>
        <w:rPr>
          <w:rFonts w:ascii="Times New Roman" w:hAnsi="Times New Roman" w:cs="Times New Roman"/>
        </w:rPr>
        <w:t>102</w:t>
      </w:r>
      <w:r>
        <w:rPr>
          <w:rFonts w:ascii="Times New Roman" w:hAnsi="Times New Roman" w:cs="Times New Roman"/>
        </w:rPr>
        <w:fldChar w:fldCharType="end"/>
      </w:r>
      <w:r>
        <w:rPr>
          <w:rFonts w:ascii="Times New Roman" w:hAnsi="Times New Roman" w:cs="Times New Roman"/>
        </w:rPr>
        <w:fldChar w:fldCharType="end"/>
      </w:r>
    </w:p>
    <w:p w14:paraId="4A83433B">
      <w:pPr>
        <w:pStyle w:val="30"/>
        <w:tabs>
          <w:tab w:val="right" w:leader="dot" w:pos="8240"/>
        </w:tabs>
        <w:rPr>
          <w:rFonts w:eastAsiaTheme="minorEastAsia" w:cstheme="minorBidi"/>
          <w:smallCaps w:val="0"/>
          <w:sz w:val="21"/>
          <w:szCs w:val="22"/>
        </w:rPr>
      </w:pPr>
      <w:r>
        <w:fldChar w:fldCharType="begin"/>
      </w:r>
      <w:r>
        <w:instrText xml:space="preserve"> HYPERLINK \l "_Toc60172974" </w:instrText>
      </w:r>
      <w:r>
        <w:fldChar w:fldCharType="separate"/>
      </w:r>
      <w:r>
        <w:rPr>
          <w:rStyle w:val="45"/>
          <w:rFonts w:ascii="Times New Roman" w:hAnsi="Times New Roman" w:eastAsia="黑体" w:cs="Times New Roman"/>
        </w:rPr>
        <w:t>9.9  顶管机拆解与吊出</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_Toc60172974 \h </w:instrText>
      </w:r>
      <w:r>
        <w:rPr>
          <w:rFonts w:ascii="Times New Roman" w:hAnsi="Times New Roman" w:cs="Times New Roman"/>
        </w:rPr>
        <w:fldChar w:fldCharType="separate"/>
      </w:r>
      <w:r>
        <w:rPr>
          <w:rFonts w:ascii="Times New Roman" w:hAnsi="Times New Roman" w:cs="Times New Roman"/>
        </w:rPr>
        <w:t>102</w:t>
      </w:r>
      <w:r>
        <w:rPr>
          <w:rFonts w:ascii="Times New Roman" w:hAnsi="Times New Roman" w:cs="Times New Roman"/>
        </w:rPr>
        <w:fldChar w:fldCharType="end"/>
      </w:r>
      <w:r>
        <w:rPr>
          <w:rFonts w:ascii="Times New Roman" w:hAnsi="Times New Roman" w:cs="Times New Roman"/>
        </w:rPr>
        <w:fldChar w:fldCharType="end"/>
      </w:r>
    </w:p>
    <w:p w14:paraId="61C5D698">
      <w:pPr>
        <w:jc w:val="left"/>
      </w:pPr>
      <w:r>
        <w:rPr>
          <w:szCs w:val="24"/>
        </w:rPr>
        <w:fldChar w:fldCharType="end"/>
      </w:r>
    </w:p>
    <w:p w14:paraId="4937F8D3">
      <w:pPr>
        <w:jc w:val="left"/>
        <w:sectPr>
          <w:pgSz w:w="11850" w:h="16783"/>
          <w:pgMar w:top="1440" w:right="1800" w:bottom="1440" w:left="1800" w:header="720" w:footer="720" w:gutter="0"/>
          <w:cols w:space="720" w:num="1"/>
          <w:docGrid w:linePitch="360" w:charSpace="0"/>
        </w:sectPr>
      </w:pPr>
    </w:p>
    <w:p w14:paraId="6BB94B76">
      <w:pPr>
        <w:pStyle w:val="2"/>
        <w:rPr>
          <w:rFonts w:cs="Times New Roman"/>
        </w:rPr>
      </w:pPr>
      <w:bookmarkStart w:id="651" w:name="_Toc27061"/>
      <w:bookmarkStart w:id="652" w:name="_Toc60173302"/>
      <w:bookmarkStart w:id="653" w:name="_Toc20689"/>
      <w:bookmarkStart w:id="654" w:name="_Toc60172942"/>
      <w:bookmarkStart w:id="655" w:name="_Toc60173829"/>
      <w:bookmarkStart w:id="656" w:name="_Toc7957"/>
      <w:bookmarkStart w:id="657" w:name="_Toc33214136"/>
      <w:r>
        <w:rPr>
          <w:rFonts w:cs="Times New Roman"/>
        </w:rPr>
        <w:t>1  总    则</w:t>
      </w:r>
      <w:bookmarkEnd w:id="651"/>
      <w:bookmarkEnd w:id="652"/>
      <w:bookmarkEnd w:id="653"/>
      <w:bookmarkEnd w:id="654"/>
      <w:bookmarkEnd w:id="655"/>
      <w:bookmarkEnd w:id="656"/>
      <w:bookmarkEnd w:id="657"/>
    </w:p>
    <w:p w14:paraId="11A6E27A">
      <w:pPr>
        <w:rPr>
          <w:bCs/>
        </w:rPr>
      </w:pPr>
      <w:r>
        <w:rPr>
          <w:rFonts w:hint="eastAsia"/>
          <w:b/>
          <w:bCs/>
        </w:rPr>
        <w:t xml:space="preserve">1.0.1  </w:t>
      </w:r>
      <w:r>
        <w:rPr>
          <w:rFonts w:hint="eastAsia"/>
          <w:bCs/>
        </w:rPr>
        <w:t>目前广东</w:t>
      </w:r>
      <w:r>
        <w:rPr>
          <w:bCs/>
        </w:rPr>
        <w:t>省主要矩形顶管工程项目</w:t>
      </w:r>
      <w:r>
        <w:rPr>
          <w:rFonts w:hint="eastAsia"/>
          <w:bCs/>
        </w:rPr>
        <w:t>：</w:t>
      </w:r>
    </w:p>
    <w:p w14:paraId="4FB97962">
      <w:pPr>
        <w:jc w:val="center"/>
        <w:rPr>
          <w:b/>
        </w:rPr>
      </w:pPr>
      <w:r>
        <w:rPr>
          <w:rFonts w:hint="eastAsia"/>
          <w:b/>
          <w:sz w:val="21"/>
        </w:rPr>
        <w:t>表1 广东省主要矩形顶管工程项目列表</w:t>
      </w:r>
    </w:p>
    <w:tbl>
      <w:tblPr>
        <w:tblStyle w:val="35"/>
        <w:tblW w:w="8600" w:type="dxa"/>
        <w:jc w:val="center"/>
        <w:tblLayout w:type="fixed"/>
        <w:tblCellMar>
          <w:top w:w="0" w:type="dxa"/>
          <w:left w:w="0" w:type="dxa"/>
          <w:bottom w:w="0" w:type="dxa"/>
          <w:right w:w="0" w:type="dxa"/>
        </w:tblCellMar>
      </w:tblPr>
      <w:tblGrid>
        <w:gridCol w:w="737"/>
        <w:gridCol w:w="907"/>
        <w:gridCol w:w="13"/>
        <w:gridCol w:w="1961"/>
        <w:gridCol w:w="1110"/>
        <w:gridCol w:w="900"/>
        <w:gridCol w:w="1272"/>
        <w:gridCol w:w="13"/>
        <w:gridCol w:w="680"/>
        <w:gridCol w:w="1007"/>
      </w:tblGrid>
      <w:tr w14:paraId="03053984">
        <w:tblPrEx>
          <w:tblCellMar>
            <w:top w:w="0" w:type="dxa"/>
            <w:left w:w="0" w:type="dxa"/>
            <w:bottom w:w="0" w:type="dxa"/>
            <w:right w:w="0" w:type="dxa"/>
          </w:tblCellMar>
        </w:tblPrEx>
        <w:trPr>
          <w:trHeight w:val="668"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5D94EE1">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年份</w:t>
            </w:r>
          </w:p>
        </w:tc>
        <w:tc>
          <w:tcPr>
            <w:tcW w:w="9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571A6EC">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地区</w:t>
            </w:r>
          </w:p>
        </w:tc>
        <w:tc>
          <w:tcPr>
            <w:tcW w:w="197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947C86A">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工程名称</w:t>
            </w:r>
          </w:p>
        </w:tc>
        <w:tc>
          <w:tcPr>
            <w:tcW w:w="1110" w:type="dxa"/>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14:paraId="073D25D0">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截面尺寸</w:t>
            </w:r>
            <w:r>
              <w:rPr>
                <w:rStyle w:val="104"/>
                <w:rFonts w:hint="default"/>
                <w:lang w:bidi="ar"/>
              </w:rPr>
              <w:t>（</w:t>
            </w:r>
            <w:r>
              <w:rPr>
                <w:rStyle w:val="105"/>
                <w:lang w:bidi="ar"/>
              </w:rPr>
              <w:t>mxm</w:t>
            </w:r>
            <w:r>
              <w:rPr>
                <w:rStyle w:val="104"/>
                <w:rFonts w:hint="default"/>
                <w:lang w:bidi="ar"/>
              </w:rPr>
              <w:t>）</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9244E52">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顶程(</w:t>
            </w:r>
            <w:r>
              <w:rPr>
                <w:color w:val="000000"/>
                <w:kern w:val="0"/>
                <w:sz w:val="21"/>
                <w:lang w:bidi="ar"/>
              </w:rPr>
              <w:t>m</w:t>
            </w:r>
            <w:r>
              <w:rPr>
                <w:rFonts w:hint="eastAsia"/>
                <w:color w:val="000000"/>
                <w:kern w:val="0"/>
                <w:sz w:val="21"/>
                <w:lang w:bidi="ar"/>
              </w:rPr>
              <w:t>)</w:t>
            </w:r>
          </w:p>
        </w:tc>
        <w:tc>
          <w:tcPr>
            <w:tcW w:w="12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43DACD5">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顶管机</w:t>
            </w:r>
          </w:p>
        </w:tc>
        <w:tc>
          <w:tcPr>
            <w:tcW w:w="693"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3A944FA">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用途</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3E06E74">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地层</w:t>
            </w:r>
          </w:p>
        </w:tc>
      </w:tr>
      <w:tr w14:paraId="62F6D01D">
        <w:tblPrEx>
          <w:tblCellMar>
            <w:top w:w="0" w:type="dxa"/>
            <w:left w:w="0" w:type="dxa"/>
            <w:bottom w:w="0" w:type="dxa"/>
            <w:right w:w="0" w:type="dxa"/>
          </w:tblCellMar>
        </w:tblPrEx>
        <w:trPr>
          <w:trHeight w:val="1020"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6BC919A">
            <w:pPr>
              <w:widowControl/>
              <w:spacing w:line="240" w:lineRule="auto"/>
              <w:jc w:val="center"/>
              <w:textAlignment w:val="center"/>
              <w:rPr>
                <w:color w:val="000000"/>
                <w:sz w:val="21"/>
              </w:rPr>
            </w:pPr>
            <w:r>
              <w:rPr>
                <w:color w:val="000000"/>
                <w:kern w:val="0"/>
                <w:sz w:val="21"/>
                <w:lang w:bidi="ar"/>
              </w:rPr>
              <w:t>2009</w:t>
            </w:r>
          </w:p>
        </w:tc>
        <w:tc>
          <w:tcPr>
            <w:tcW w:w="9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B931C42">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w:t>
            </w:r>
          </w:p>
        </w:tc>
        <w:tc>
          <w:tcPr>
            <w:tcW w:w="197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9BE48BF">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广州地铁六号线东湖站Ⅱ号出入口过街通道</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9A15BF9">
            <w:pPr>
              <w:widowControl/>
              <w:spacing w:line="240" w:lineRule="auto"/>
              <w:jc w:val="center"/>
              <w:textAlignment w:val="center"/>
              <w:rPr>
                <w:color w:val="000000"/>
                <w:sz w:val="21"/>
              </w:rPr>
            </w:pPr>
            <w:r>
              <w:rPr>
                <w:color w:val="000000"/>
                <w:kern w:val="0"/>
                <w:sz w:val="21"/>
                <w:lang w:bidi="ar"/>
              </w:rPr>
              <w:t>6.9×4.2</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DF473F7">
            <w:pPr>
              <w:widowControl/>
              <w:spacing w:line="240" w:lineRule="auto"/>
              <w:jc w:val="center"/>
              <w:textAlignment w:val="center"/>
              <w:rPr>
                <w:color w:val="000000"/>
                <w:sz w:val="21"/>
              </w:rPr>
            </w:pPr>
            <w:r>
              <w:rPr>
                <w:color w:val="000000"/>
                <w:kern w:val="0"/>
                <w:sz w:val="21"/>
                <w:lang w:bidi="ar"/>
              </w:rPr>
              <w:t>64.5</w:t>
            </w:r>
          </w:p>
        </w:tc>
        <w:tc>
          <w:tcPr>
            <w:tcW w:w="12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B08B24F">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土压平衡式矩形顶管机</w:t>
            </w:r>
          </w:p>
        </w:tc>
        <w:tc>
          <w:tcPr>
            <w:tcW w:w="693"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F0F2595">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地铁站出入口</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0EBEC10">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粉细砂层</w:t>
            </w:r>
          </w:p>
        </w:tc>
      </w:tr>
      <w:tr w14:paraId="48BCF82E">
        <w:tblPrEx>
          <w:tblCellMar>
            <w:top w:w="0" w:type="dxa"/>
            <w:left w:w="0" w:type="dxa"/>
            <w:bottom w:w="0" w:type="dxa"/>
            <w:right w:w="0" w:type="dxa"/>
          </w:tblCellMar>
        </w:tblPrEx>
        <w:trPr>
          <w:trHeight w:val="1275"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EBF00D9">
            <w:pPr>
              <w:widowControl/>
              <w:spacing w:line="240" w:lineRule="auto"/>
              <w:jc w:val="center"/>
              <w:textAlignment w:val="center"/>
              <w:rPr>
                <w:color w:val="000000"/>
                <w:sz w:val="21"/>
              </w:rPr>
            </w:pPr>
            <w:r>
              <w:rPr>
                <w:color w:val="000000"/>
                <w:kern w:val="0"/>
                <w:sz w:val="21"/>
                <w:lang w:bidi="ar"/>
              </w:rPr>
              <w:t>2011</w:t>
            </w:r>
          </w:p>
        </w:tc>
        <w:tc>
          <w:tcPr>
            <w:tcW w:w="9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3D6B373">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佛山</w:t>
            </w:r>
          </w:p>
        </w:tc>
        <w:tc>
          <w:tcPr>
            <w:tcW w:w="197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A5E8CAF">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广佛地铁桂城站南桂站市政过街隧道矩形顶管工程</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EB090EF">
            <w:pPr>
              <w:widowControl/>
              <w:spacing w:line="240" w:lineRule="auto"/>
              <w:jc w:val="center"/>
              <w:textAlignment w:val="center"/>
              <w:rPr>
                <w:color w:val="000000"/>
                <w:sz w:val="21"/>
              </w:rPr>
            </w:pPr>
            <w:r>
              <w:rPr>
                <w:color w:val="000000"/>
                <w:kern w:val="0"/>
                <w:sz w:val="21"/>
                <w:lang w:bidi="ar"/>
              </w:rPr>
              <w:t>6×4.3</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89C86F6">
            <w:pPr>
              <w:widowControl/>
              <w:spacing w:line="240" w:lineRule="auto"/>
              <w:jc w:val="center"/>
              <w:textAlignment w:val="center"/>
              <w:rPr>
                <w:color w:val="000000"/>
                <w:sz w:val="21"/>
              </w:rPr>
            </w:pPr>
            <w:r>
              <w:rPr>
                <w:color w:val="000000"/>
                <w:kern w:val="0"/>
                <w:sz w:val="21"/>
                <w:lang w:bidi="ar"/>
              </w:rPr>
              <w:t>43.5</w:t>
            </w:r>
            <w:r>
              <w:rPr>
                <w:rStyle w:val="104"/>
                <w:rFonts w:hint="default"/>
                <w:lang w:bidi="ar"/>
              </w:rPr>
              <w:t>、</w:t>
            </w:r>
            <w:r>
              <w:rPr>
                <w:rStyle w:val="105"/>
                <w:lang w:bidi="ar"/>
              </w:rPr>
              <w:t>75</w:t>
            </w:r>
          </w:p>
        </w:tc>
        <w:tc>
          <w:tcPr>
            <w:tcW w:w="12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DBB0D06">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泥水平衡顶管机曲轴刀盘</w:t>
            </w:r>
          </w:p>
        </w:tc>
        <w:tc>
          <w:tcPr>
            <w:tcW w:w="693"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4A912BD">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地铁站出入口</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7676DE7">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粉质黏土</w:t>
            </w:r>
          </w:p>
        </w:tc>
      </w:tr>
      <w:tr w14:paraId="64CDF7A0">
        <w:tblPrEx>
          <w:tblCellMar>
            <w:top w:w="0" w:type="dxa"/>
            <w:left w:w="0" w:type="dxa"/>
            <w:bottom w:w="0" w:type="dxa"/>
            <w:right w:w="0" w:type="dxa"/>
          </w:tblCellMar>
        </w:tblPrEx>
        <w:trPr>
          <w:trHeight w:val="765"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7132FB1">
            <w:pPr>
              <w:widowControl/>
              <w:spacing w:line="240" w:lineRule="auto"/>
              <w:jc w:val="center"/>
              <w:textAlignment w:val="center"/>
              <w:rPr>
                <w:color w:val="000000"/>
                <w:sz w:val="21"/>
              </w:rPr>
            </w:pPr>
            <w:r>
              <w:rPr>
                <w:color w:val="000000"/>
                <w:kern w:val="0"/>
                <w:sz w:val="21"/>
                <w:lang w:bidi="ar"/>
              </w:rPr>
              <w:t>2012</w:t>
            </w:r>
          </w:p>
        </w:tc>
        <w:tc>
          <w:tcPr>
            <w:tcW w:w="9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FC673FA">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佛山</w:t>
            </w:r>
          </w:p>
        </w:tc>
        <w:tc>
          <w:tcPr>
            <w:tcW w:w="197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67FBF64">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佛山市南海区桂城站过街通道工程</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A7856CC">
            <w:pPr>
              <w:widowControl/>
              <w:spacing w:line="240" w:lineRule="auto"/>
              <w:jc w:val="center"/>
              <w:textAlignment w:val="center"/>
              <w:rPr>
                <w:color w:val="000000"/>
                <w:sz w:val="21"/>
              </w:rPr>
            </w:pPr>
            <w:r>
              <w:rPr>
                <w:color w:val="000000"/>
                <w:kern w:val="0"/>
                <w:sz w:val="21"/>
                <w:lang w:bidi="ar"/>
              </w:rPr>
              <w:t>6.0</w:t>
            </w:r>
            <w:r>
              <w:rPr>
                <w:rStyle w:val="104"/>
                <w:rFonts w:hint="default"/>
                <w:lang w:bidi="ar"/>
              </w:rPr>
              <w:t>×</w:t>
            </w:r>
            <w:r>
              <w:rPr>
                <w:rStyle w:val="105"/>
                <w:lang w:bidi="ar"/>
              </w:rPr>
              <w:t>4.3</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76C3911">
            <w:pPr>
              <w:widowControl/>
              <w:spacing w:line="240" w:lineRule="auto"/>
              <w:jc w:val="center"/>
              <w:textAlignment w:val="center"/>
              <w:rPr>
                <w:color w:val="000000"/>
                <w:sz w:val="21"/>
              </w:rPr>
            </w:pPr>
            <w:r>
              <w:rPr>
                <w:color w:val="000000"/>
                <w:kern w:val="0"/>
                <w:sz w:val="21"/>
                <w:lang w:bidi="ar"/>
              </w:rPr>
              <w:t>43.5</w:t>
            </w:r>
          </w:p>
        </w:tc>
        <w:tc>
          <w:tcPr>
            <w:tcW w:w="12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7263FB1">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泥水平衡顶管机</w:t>
            </w:r>
          </w:p>
        </w:tc>
        <w:tc>
          <w:tcPr>
            <w:tcW w:w="693"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4847B70">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过街通道</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4BB7B42">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淤泥质土</w:t>
            </w:r>
          </w:p>
        </w:tc>
      </w:tr>
      <w:tr w14:paraId="5E56EF6B">
        <w:tblPrEx>
          <w:tblCellMar>
            <w:top w:w="0" w:type="dxa"/>
            <w:left w:w="0" w:type="dxa"/>
            <w:bottom w:w="0" w:type="dxa"/>
            <w:right w:w="0" w:type="dxa"/>
          </w:tblCellMar>
        </w:tblPrEx>
        <w:trPr>
          <w:trHeight w:val="1035"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45EF52A">
            <w:pPr>
              <w:widowControl/>
              <w:spacing w:line="240" w:lineRule="auto"/>
              <w:jc w:val="center"/>
              <w:textAlignment w:val="center"/>
              <w:rPr>
                <w:color w:val="000000"/>
                <w:sz w:val="21"/>
              </w:rPr>
            </w:pPr>
            <w:r>
              <w:rPr>
                <w:color w:val="000000"/>
                <w:kern w:val="0"/>
                <w:sz w:val="21"/>
                <w:lang w:bidi="ar"/>
              </w:rPr>
              <w:t>2013</w:t>
            </w:r>
          </w:p>
        </w:tc>
        <w:tc>
          <w:tcPr>
            <w:tcW w:w="9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A0BA6FC">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w:t>
            </w:r>
          </w:p>
        </w:tc>
        <w:tc>
          <w:tcPr>
            <w:tcW w:w="197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2CB52E6">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广州文化公园地铁站</w:t>
            </w:r>
            <w:r>
              <w:rPr>
                <w:rStyle w:val="105"/>
                <w:lang w:bidi="ar"/>
              </w:rPr>
              <w:t>V</w:t>
            </w:r>
            <w:r>
              <w:rPr>
                <w:rStyle w:val="104"/>
                <w:rFonts w:hint="default"/>
                <w:lang w:bidi="ar"/>
              </w:rPr>
              <w:t>号出入口矩形顶管</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66BD7D0">
            <w:pPr>
              <w:widowControl/>
              <w:spacing w:line="240" w:lineRule="auto"/>
              <w:jc w:val="center"/>
              <w:textAlignment w:val="center"/>
              <w:rPr>
                <w:color w:val="000000"/>
                <w:sz w:val="21"/>
              </w:rPr>
            </w:pPr>
            <w:r>
              <w:rPr>
                <w:color w:val="000000"/>
                <w:kern w:val="0"/>
                <w:sz w:val="21"/>
                <w:lang w:bidi="ar"/>
              </w:rPr>
              <w:t>6.0*4.3</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AD5A17B">
            <w:pPr>
              <w:widowControl/>
              <w:spacing w:line="240" w:lineRule="auto"/>
              <w:jc w:val="center"/>
              <w:textAlignment w:val="center"/>
              <w:rPr>
                <w:color w:val="000000"/>
                <w:sz w:val="21"/>
              </w:rPr>
            </w:pPr>
            <w:r>
              <w:rPr>
                <w:color w:val="000000"/>
                <w:kern w:val="0"/>
                <w:sz w:val="21"/>
                <w:lang w:bidi="ar"/>
              </w:rPr>
              <w:t>48.9</w:t>
            </w:r>
          </w:p>
        </w:tc>
        <w:tc>
          <w:tcPr>
            <w:tcW w:w="12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C2E138">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泥水平衡顶管机曲轴刀盘</w:t>
            </w:r>
          </w:p>
        </w:tc>
        <w:tc>
          <w:tcPr>
            <w:tcW w:w="693"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143819E">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过街通道</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B9B6810">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粉质黏土</w:t>
            </w:r>
          </w:p>
        </w:tc>
      </w:tr>
      <w:tr w14:paraId="78AB40D1">
        <w:tblPrEx>
          <w:tblCellMar>
            <w:top w:w="0" w:type="dxa"/>
            <w:left w:w="0" w:type="dxa"/>
            <w:bottom w:w="0" w:type="dxa"/>
            <w:right w:w="0" w:type="dxa"/>
          </w:tblCellMar>
        </w:tblPrEx>
        <w:trPr>
          <w:trHeight w:val="780"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3F88D35">
            <w:pPr>
              <w:widowControl/>
              <w:spacing w:line="240" w:lineRule="auto"/>
              <w:jc w:val="center"/>
              <w:textAlignment w:val="center"/>
              <w:rPr>
                <w:color w:val="000000"/>
                <w:sz w:val="21"/>
              </w:rPr>
            </w:pPr>
            <w:r>
              <w:rPr>
                <w:color w:val="000000"/>
                <w:kern w:val="0"/>
                <w:sz w:val="21"/>
                <w:lang w:bidi="ar"/>
              </w:rPr>
              <w:t>2014</w:t>
            </w:r>
          </w:p>
        </w:tc>
        <w:tc>
          <w:tcPr>
            <w:tcW w:w="9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04496B8">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w:t>
            </w:r>
          </w:p>
        </w:tc>
        <w:tc>
          <w:tcPr>
            <w:tcW w:w="197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803611D">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广州五号线科韵路</w:t>
            </w:r>
            <w:r>
              <w:rPr>
                <w:rStyle w:val="105"/>
                <w:lang w:bidi="ar"/>
              </w:rPr>
              <w:t>III</w:t>
            </w:r>
            <w:r>
              <w:rPr>
                <w:rStyle w:val="104"/>
                <w:rFonts w:hint="default"/>
                <w:lang w:bidi="ar"/>
              </w:rPr>
              <w:t>号出入口通道</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B808CA0">
            <w:pPr>
              <w:widowControl/>
              <w:spacing w:line="240" w:lineRule="auto"/>
              <w:jc w:val="center"/>
              <w:textAlignment w:val="center"/>
              <w:rPr>
                <w:color w:val="000000"/>
                <w:sz w:val="21"/>
              </w:rPr>
            </w:pPr>
            <w:r>
              <w:rPr>
                <w:color w:val="000000"/>
                <w:kern w:val="0"/>
                <w:sz w:val="21"/>
                <w:lang w:bidi="ar"/>
              </w:rPr>
              <w:t>6.0×4.3</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019F049">
            <w:pPr>
              <w:widowControl/>
              <w:spacing w:line="240" w:lineRule="auto"/>
              <w:jc w:val="center"/>
              <w:textAlignment w:val="center"/>
              <w:rPr>
                <w:color w:val="000000"/>
                <w:sz w:val="21"/>
              </w:rPr>
            </w:pPr>
            <w:r>
              <w:rPr>
                <w:color w:val="000000"/>
                <w:kern w:val="0"/>
                <w:sz w:val="21"/>
                <w:lang w:bidi="ar"/>
              </w:rPr>
              <w:t>49.6</w:t>
            </w:r>
          </w:p>
        </w:tc>
        <w:tc>
          <w:tcPr>
            <w:tcW w:w="12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8B80595">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泥水平衡顶管机曲轴刀盘</w:t>
            </w:r>
          </w:p>
        </w:tc>
        <w:tc>
          <w:tcPr>
            <w:tcW w:w="693"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023B244">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地铁出入口</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83CBDB1">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细砂，中粗砂</w:t>
            </w:r>
          </w:p>
        </w:tc>
      </w:tr>
      <w:tr w14:paraId="6B3BE14E">
        <w:tblPrEx>
          <w:tblCellMar>
            <w:top w:w="0" w:type="dxa"/>
            <w:left w:w="0" w:type="dxa"/>
            <w:bottom w:w="0" w:type="dxa"/>
            <w:right w:w="0" w:type="dxa"/>
          </w:tblCellMar>
        </w:tblPrEx>
        <w:trPr>
          <w:trHeight w:val="1290"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6DB8408">
            <w:pPr>
              <w:widowControl/>
              <w:spacing w:line="240" w:lineRule="auto"/>
              <w:jc w:val="center"/>
              <w:textAlignment w:val="center"/>
              <w:rPr>
                <w:color w:val="000000"/>
                <w:sz w:val="21"/>
              </w:rPr>
            </w:pPr>
            <w:r>
              <w:rPr>
                <w:color w:val="000000"/>
                <w:kern w:val="0"/>
                <w:sz w:val="21"/>
                <w:lang w:bidi="ar"/>
              </w:rPr>
              <w:t>2016</w:t>
            </w:r>
          </w:p>
        </w:tc>
        <w:tc>
          <w:tcPr>
            <w:tcW w:w="9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11B0E1A">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w:t>
            </w:r>
          </w:p>
        </w:tc>
        <w:tc>
          <w:tcPr>
            <w:tcW w:w="1974"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A8AEF90">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深圳地铁</w:t>
            </w:r>
            <w:r>
              <w:rPr>
                <w:rStyle w:val="105"/>
                <w:lang w:bidi="ar"/>
              </w:rPr>
              <w:t>9</w:t>
            </w:r>
            <w:r>
              <w:rPr>
                <w:rStyle w:val="104"/>
                <w:rFonts w:hint="default"/>
                <w:lang w:bidi="ar"/>
              </w:rPr>
              <w:t>号线上沙</w:t>
            </w:r>
            <w:r>
              <w:rPr>
                <w:rStyle w:val="105"/>
                <w:lang w:bidi="ar"/>
              </w:rPr>
              <w:t>-</w:t>
            </w:r>
            <w:r>
              <w:rPr>
                <w:rStyle w:val="104"/>
                <w:rFonts w:hint="default"/>
                <w:lang w:bidi="ar"/>
              </w:rPr>
              <w:t>下沙地下人行过街通道工程</w:t>
            </w:r>
            <w:r>
              <w:rPr>
                <w:rStyle w:val="105"/>
                <w:lang w:bidi="ar"/>
              </w:rPr>
              <w:t>A</w:t>
            </w:r>
            <w:r>
              <w:rPr>
                <w:rStyle w:val="104"/>
                <w:rFonts w:hint="default"/>
                <w:lang w:bidi="ar"/>
              </w:rPr>
              <w:t>段</w:t>
            </w:r>
            <w:r>
              <w:rPr>
                <w:rStyle w:val="105"/>
                <w:lang w:bidi="ar"/>
              </w:rPr>
              <w:t>B</w:t>
            </w:r>
            <w:r>
              <w:rPr>
                <w:rStyle w:val="104"/>
                <w:rFonts w:hint="default"/>
                <w:lang w:bidi="ar"/>
              </w:rPr>
              <w:t>段</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F4968E6">
            <w:pPr>
              <w:widowControl/>
              <w:spacing w:line="240" w:lineRule="auto"/>
              <w:jc w:val="center"/>
              <w:textAlignment w:val="center"/>
              <w:rPr>
                <w:color w:val="000000"/>
                <w:sz w:val="21"/>
              </w:rPr>
            </w:pPr>
            <w:r>
              <w:rPr>
                <w:color w:val="000000"/>
                <w:kern w:val="0"/>
                <w:sz w:val="21"/>
                <w:lang w:bidi="ar"/>
              </w:rPr>
              <w:t>7.7m</w:t>
            </w:r>
            <w:r>
              <w:rPr>
                <w:rStyle w:val="104"/>
                <w:rFonts w:hint="default"/>
                <w:lang w:bidi="ar"/>
              </w:rPr>
              <w:t>×</w:t>
            </w:r>
            <w:r>
              <w:rPr>
                <w:rStyle w:val="105"/>
                <w:lang w:bidi="ar"/>
              </w:rPr>
              <w:t>4.3m</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5600D2B">
            <w:pPr>
              <w:widowControl/>
              <w:spacing w:line="240" w:lineRule="auto"/>
              <w:jc w:val="center"/>
              <w:textAlignment w:val="center"/>
              <w:rPr>
                <w:color w:val="000000"/>
                <w:sz w:val="21"/>
              </w:rPr>
            </w:pPr>
            <w:r>
              <w:rPr>
                <w:color w:val="000000"/>
                <w:kern w:val="0"/>
                <w:sz w:val="21"/>
                <w:lang w:bidi="ar"/>
              </w:rPr>
              <w:t>A</w:t>
            </w:r>
            <w:r>
              <w:rPr>
                <w:rStyle w:val="104"/>
                <w:rFonts w:hint="default"/>
                <w:lang w:bidi="ar"/>
              </w:rPr>
              <w:t>段</w:t>
            </w:r>
            <w:r>
              <w:rPr>
                <w:rStyle w:val="105"/>
                <w:lang w:bidi="ar"/>
              </w:rPr>
              <w:t>133.5</w:t>
            </w:r>
            <w:r>
              <w:rPr>
                <w:rStyle w:val="105"/>
                <w:lang w:bidi="ar"/>
              </w:rPr>
              <w:br w:type="textWrapping"/>
            </w:r>
            <w:r>
              <w:rPr>
                <w:rStyle w:val="105"/>
                <w:lang w:bidi="ar"/>
              </w:rPr>
              <w:t>B</w:t>
            </w:r>
            <w:r>
              <w:rPr>
                <w:rStyle w:val="104"/>
                <w:rFonts w:hint="default"/>
                <w:lang w:bidi="ar"/>
              </w:rPr>
              <w:t>段</w:t>
            </w:r>
            <w:r>
              <w:rPr>
                <w:rStyle w:val="105"/>
                <w:lang w:bidi="ar"/>
              </w:rPr>
              <w:t>81</w:t>
            </w:r>
          </w:p>
        </w:tc>
        <w:tc>
          <w:tcPr>
            <w:tcW w:w="1272"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2261DC5">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多刀盘组合式矩形土压平衡顶管机</w:t>
            </w:r>
          </w:p>
        </w:tc>
        <w:tc>
          <w:tcPr>
            <w:tcW w:w="693"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B7C98CA">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地下人行通道</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2A91E1D">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淤泥质黏土、中砂、砾砂</w:t>
            </w:r>
          </w:p>
        </w:tc>
      </w:tr>
      <w:tr w14:paraId="07038D62">
        <w:tblPrEx>
          <w:tblCellMar>
            <w:top w:w="0" w:type="dxa"/>
            <w:left w:w="0" w:type="dxa"/>
            <w:bottom w:w="0" w:type="dxa"/>
            <w:right w:w="0" w:type="dxa"/>
          </w:tblCellMar>
        </w:tblPrEx>
        <w:trPr>
          <w:trHeight w:val="1035"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8511126">
            <w:pPr>
              <w:widowControl/>
              <w:spacing w:line="240" w:lineRule="auto"/>
              <w:jc w:val="center"/>
              <w:textAlignment w:val="center"/>
              <w:rPr>
                <w:color w:val="000000"/>
                <w:sz w:val="21"/>
              </w:rPr>
            </w:pPr>
            <w:r>
              <w:rPr>
                <w:color w:val="000000"/>
                <w:kern w:val="0"/>
                <w:sz w:val="21"/>
                <w:lang w:bidi="ar"/>
              </w:rPr>
              <w:t>2016</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A506B16">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578E9EB">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深圳华为产品研发园地下通道</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3D8F023">
            <w:pPr>
              <w:widowControl/>
              <w:spacing w:line="240" w:lineRule="auto"/>
              <w:jc w:val="center"/>
              <w:textAlignment w:val="center"/>
              <w:rPr>
                <w:color w:val="000000"/>
                <w:sz w:val="21"/>
              </w:rPr>
            </w:pPr>
            <w:r>
              <w:rPr>
                <w:color w:val="000000"/>
                <w:kern w:val="0"/>
                <w:sz w:val="21"/>
                <w:lang w:bidi="ar"/>
              </w:rPr>
              <w:t>7.7×4.5</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FD4F19">
            <w:pPr>
              <w:widowControl/>
              <w:spacing w:line="240" w:lineRule="auto"/>
              <w:jc w:val="center"/>
              <w:textAlignment w:val="center"/>
              <w:rPr>
                <w:color w:val="000000"/>
                <w:sz w:val="21"/>
              </w:rPr>
            </w:pPr>
            <w:r>
              <w:rPr>
                <w:color w:val="000000"/>
                <w:kern w:val="0"/>
                <w:sz w:val="21"/>
                <w:lang w:bidi="ar"/>
              </w:rPr>
              <w:t>52.3</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8DDF3D4">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泥水平衡顶管机</w:t>
            </w:r>
            <w:r>
              <w:rPr>
                <w:rStyle w:val="105"/>
                <w:lang w:bidi="ar"/>
              </w:rPr>
              <w:t>1</w:t>
            </w:r>
            <w:r>
              <w:rPr>
                <w:rStyle w:val="104"/>
                <w:rFonts w:hint="default"/>
                <w:lang w:bidi="ar"/>
              </w:rPr>
              <w:t>大加两曲轴刀盘</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0DC389">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过街通道</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BE270C3">
            <w:pPr>
              <w:spacing w:line="240" w:lineRule="auto"/>
              <w:jc w:val="center"/>
              <w:rPr>
                <w:color w:val="000000"/>
                <w:sz w:val="21"/>
              </w:rPr>
            </w:pPr>
          </w:p>
        </w:tc>
      </w:tr>
      <w:tr w14:paraId="7ECD4631">
        <w:tblPrEx>
          <w:tblCellMar>
            <w:top w:w="0" w:type="dxa"/>
            <w:left w:w="0" w:type="dxa"/>
            <w:bottom w:w="0" w:type="dxa"/>
            <w:right w:w="0" w:type="dxa"/>
          </w:tblCellMar>
        </w:tblPrEx>
        <w:trPr>
          <w:trHeight w:val="1290"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4DD142C">
            <w:pPr>
              <w:widowControl/>
              <w:spacing w:line="240" w:lineRule="auto"/>
              <w:jc w:val="center"/>
              <w:textAlignment w:val="center"/>
              <w:rPr>
                <w:color w:val="000000"/>
                <w:sz w:val="21"/>
              </w:rPr>
            </w:pPr>
            <w:r>
              <w:rPr>
                <w:color w:val="000000"/>
                <w:kern w:val="0"/>
                <w:sz w:val="21"/>
                <w:lang w:bidi="ar"/>
              </w:rPr>
              <w:t>2016</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7E47DAB">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BBA84E1">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深圳地铁</w:t>
            </w:r>
            <w:r>
              <w:rPr>
                <w:rStyle w:val="105"/>
                <w:lang w:bidi="ar"/>
              </w:rPr>
              <w:t>9</w:t>
            </w:r>
            <w:r>
              <w:rPr>
                <w:rStyle w:val="104"/>
                <w:rFonts w:hint="default"/>
                <w:lang w:bidi="ar"/>
              </w:rPr>
              <w:t>号线地铁下沙站出入口及下沙过街通道</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D669B5D">
            <w:pPr>
              <w:widowControl/>
              <w:spacing w:line="240" w:lineRule="auto"/>
              <w:jc w:val="center"/>
              <w:textAlignment w:val="center"/>
              <w:rPr>
                <w:color w:val="000000"/>
                <w:sz w:val="21"/>
              </w:rPr>
            </w:pPr>
            <w:r>
              <w:rPr>
                <w:color w:val="000000"/>
                <w:kern w:val="0"/>
                <w:sz w:val="21"/>
                <w:lang w:bidi="ar"/>
              </w:rPr>
              <w:t>7.7×4.3</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4FD6A6D">
            <w:pPr>
              <w:widowControl/>
              <w:spacing w:line="240" w:lineRule="auto"/>
              <w:jc w:val="center"/>
              <w:textAlignment w:val="center"/>
              <w:rPr>
                <w:color w:val="000000"/>
                <w:sz w:val="21"/>
              </w:rPr>
            </w:pPr>
            <w:r>
              <w:rPr>
                <w:color w:val="000000"/>
                <w:kern w:val="0"/>
                <w:sz w:val="21"/>
                <w:lang w:bidi="ar"/>
              </w:rPr>
              <w:t>133.5</w:t>
            </w:r>
            <w:r>
              <w:rPr>
                <w:rStyle w:val="104"/>
                <w:rFonts w:hint="default"/>
                <w:lang w:bidi="ar"/>
              </w:rPr>
              <w:t>、</w:t>
            </w:r>
            <w:r>
              <w:rPr>
                <w:rStyle w:val="105"/>
                <w:lang w:bidi="ar"/>
              </w:rPr>
              <w:t>81</w:t>
            </w:r>
            <w:r>
              <w:rPr>
                <w:rStyle w:val="104"/>
                <w:rFonts w:hint="default"/>
                <w:lang w:bidi="ar"/>
              </w:rPr>
              <w:t>、</w:t>
            </w:r>
            <w:r>
              <w:rPr>
                <w:rStyle w:val="105"/>
                <w:lang w:bidi="ar"/>
              </w:rPr>
              <w:t>45</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6988EF9">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土压平衡平行轴多刀盘</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2F02CE5">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地铁出入口</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1BD930E">
            <w:pPr>
              <w:spacing w:line="240" w:lineRule="auto"/>
              <w:jc w:val="center"/>
              <w:rPr>
                <w:color w:val="000000"/>
                <w:sz w:val="21"/>
              </w:rPr>
            </w:pPr>
          </w:p>
        </w:tc>
      </w:tr>
      <w:tr w14:paraId="1D532A01">
        <w:tblPrEx>
          <w:tblCellMar>
            <w:top w:w="0" w:type="dxa"/>
            <w:left w:w="0" w:type="dxa"/>
            <w:bottom w:w="0" w:type="dxa"/>
            <w:right w:w="0" w:type="dxa"/>
          </w:tblCellMar>
        </w:tblPrEx>
        <w:trPr>
          <w:trHeight w:val="765"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19AC713">
            <w:pPr>
              <w:widowControl/>
              <w:spacing w:line="240" w:lineRule="auto"/>
              <w:jc w:val="center"/>
              <w:textAlignment w:val="center"/>
              <w:rPr>
                <w:color w:val="000000"/>
                <w:sz w:val="21"/>
              </w:rPr>
            </w:pPr>
            <w:r>
              <w:rPr>
                <w:color w:val="000000"/>
                <w:kern w:val="0"/>
                <w:sz w:val="21"/>
                <w:lang w:bidi="ar"/>
              </w:rPr>
              <w:t>2016</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90F6AD7">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2BC8AAC">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广州地铁６号线２期龙洞站出入口</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74CC42F">
            <w:pPr>
              <w:widowControl/>
              <w:spacing w:line="240" w:lineRule="auto"/>
              <w:jc w:val="center"/>
              <w:textAlignment w:val="center"/>
              <w:rPr>
                <w:color w:val="000000"/>
                <w:sz w:val="21"/>
              </w:rPr>
            </w:pPr>
            <w:r>
              <w:rPr>
                <w:color w:val="000000"/>
                <w:kern w:val="0"/>
                <w:sz w:val="21"/>
                <w:lang w:bidi="ar"/>
              </w:rPr>
              <w:t>6.02×4.32</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FD11CDF">
            <w:pPr>
              <w:widowControl/>
              <w:spacing w:line="240" w:lineRule="auto"/>
              <w:jc w:val="center"/>
              <w:textAlignment w:val="center"/>
              <w:rPr>
                <w:color w:val="000000"/>
                <w:sz w:val="21"/>
              </w:rPr>
            </w:pPr>
            <w:r>
              <w:rPr>
                <w:color w:val="000000"/>
                <w:kern w:val="0"/>
                <w:sz w:val="21"/>
                <w:lang w:bidi="ar"/>
              </w:rPr>
              <w:t>29</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2DCCBEE">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土压平衡平行轴多刀盘</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3ACA1C7">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地铁出入口</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C513479">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粉细砂、砂质黏土</w:t>
            </w:r>
          </w:p>
        </w:tc>
      </w:tr>
      <w:tr w14:paraId="1B225082">
        <w:tblPrEx>
          <w:tblCellMar>
            <w:top w:w="0" w:type="dxa"/>
            <w:left w:w="0" w:type="dxa"/>
            <w:bottom w:w="0" w:type="dxa"/>
            <w:right w:w="0" w:type="dxa"/>
          </w:tblCellMar>
        </w:tblPrEx>
        <w:trPr>
          <w:trHeight w:val="1020"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EF5840E">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2017</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2730096">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344553F">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广州地铁增城广场站出入口顶管工程</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1FE153D">
            <w:pPr>
              <w:widowControl/>
              <w:spacing w:line="240" w:lineRule="auto"/>
              <w:jc w:val="center"/>
              <w:textAlignment w:val="center"/>
              <w:rPr>
                <w:color w:val="000000"/>
                <w:sz w:val="21"/>
              </w:rPr>
            </w:pPr>
            <w:r>
              <w:rPr>
                <w:color w:val="000000"/>
                <w:kern w:val="0"/>
                <w:sz w:val="21"/>
                <w:lang w:bidi="ar"/>
              </w:rPr>
              <w:t>6.0×4.3</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9268EB1">
            <w:pPr>
              <w:widowControl/>
              <w:spacing w:line="240" w:lineRule="auto"/>
              <w:jc w:val="center"/>
              <w:textAlignment w:val="center"/>
              <w:rPr>
                <w:color w:val="000000"/>
                <w:sz w:val="21"/>
              </w:rPr>
            </w:pPr>
            <w:r>
              <w:rPr>
                <w:color w:val="000000"/>
                <w:kern w:val="0"/>
                <w:sz w:val="21"/>
                <w:lang w:bidi="ar"/>
              </w:rPr>
              <w:t xml:space="preserve">9 </w:t>
            </w:r>
            <w:r>
              <w:rPr>
                <w:rStyle w:val="104"/>
                <w:rFonts w:hint="default"/>
                <w:lang w:bidi="ar"/>
              </w:rPr>
              <w:t>段，共</w:t>
            </w:r>
            <w:r>
              <w:rPr>
                <w:rStyle w:val="105"/>
                <w:lang w:bidi="ar"/>
              </w:rPr>
              <w:t xml:space="preserve"> 400m</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E72E70D">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土压平衡多刀盘顶管机</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259F111">
            <w:pPr>
              <w:widowControl/>
              <w:spacing w:line="240" w:lineRule="auto"/>
              <w:jc w:val="left"/>
              <w:textAlignment w:val="center"/>
              <w:rPr>
                <w:rFonts w:ascii="宋体" w:hAnsi="宋体" w:cs="宋体"/>
                <w:color w:val="000000"/>
                <w:sz w:val="21"/>
              </w:rPr>
            </w:pPr>
            <w:r>
              <w:rPr>
                <w:rFonts w:hint="eastAsia" w:ascii="宋体" w:hAnsi="宋体" w:cs="宋体"/>
                <w:color w:val="000000"/>
                <w:kern w:val="0"/>
                <w:sz w:val="21"/>
                <w:lang w:bidi="ar"/>
              </w:rPr>
              <w:t>地铁出入口</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443627D">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黏土、淤泥质黏土</w:t>
            </w:r>
          </w:p>
        </w:tc>
      </w:tr>
      <w:tr w14:paraId="7AACB552">
        <w:tblPrEx>
          <w:tblCellMar>
            <w:top w:w="0" w:type="dxa"/>
            <w:left w:w="0" w:type="dxa"/>
            <w:bottom w:w="0" w:type="dxa"/>
            <w:right w:w="0" w:type="dxa"/>
          </w:tblCellMar>
        </w:tblPrEx>
        <w:trPr>
          <w:trHeight w:val="1035"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B271C3F">
            <w:pPr>
              <w:widowControl/>
              <w:spacing w:line="240" w:lineRule="auto"/>
              <w:jc w:val="center"/>
              <w:textAlignment w:val="center"/>
              <w:rPr>
                <w:color w:val="000000"/>
                <w:sz w:val="21"/>
              </w:rPr>
            </w:pPr>
            <w:r>
              <w:rPr>
                <w:color w:val="000000"/>
                <w:kern w:val="0"/>
                <w:sz w:val="21"/>
                <w:lang w:bidi="ar"/>
              </w:rPr>
              <w:t>2017</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0052095">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19C26EB">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广州机场南站</w:t>
            </w:r>
            <w:r>
              <w:rPr>
                <w:rStyle w:val="105"/>
                <w:lang w:bidi="ar"/>
              </w:rPr>
              <w:t>~</w:t>
            </w:r>
            <w:r>
              <w:rPr>
                <w:rStyle w:val="104"/>
                <w:rFonts w:hint="default"/>
                <w:lang w:bidi="ar"/>
              </w:rPr>
              <w:t>机场北站区间线路</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2828F2B">
            <w:pPr>
              <w:widowControl/>
              <w:spacing w:line="240" w:lineRule="auto"/>
              <w:jc w:val="center"/>
              <w:textAlignment w:val="center"/>
              <w:rPr>
                <w:color w:val="000000"/>
                <w:sz w:val="21"/>
              </w:rPr>
            </w:pPr>
            <w:r>
              <w:rPr>
                <w:color w:val="000000"/>
                <w:kern w:val="0"/>
                <w:sz w:val="21"/>
                <w:lang w:bidi="ar"/>
              </w:rPr>
              <w:t>7.0</w:t>
            </w:r>
            <w:r>
              <w:rPr>
                <w:rStyle w:val="104"/>
                <w:rFonts w:hint="default"/>
                <w:lang w:bidi="ar"/>
              </w:rPr>
              <w:t>×</w:t>
            </w:r>
            <w:r>
              <w:rPr>
                <w:rStyle w:val="105"/>
                <w:lang w:bidi="ar"/>
              </w:rPr>
              <w:t>6.43</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31BE6BC">
            <w:pPr>
              <w:widowControl/>
              <w:spacing w:line="240" w:lineRule="auto"/>
              <w:jc w:val="center"/>
              <w:textAlignment w:val="center"/>
              <w:rPr>
                <w:color w:val="000000"/>
                <w:sz w:val="21"/>
              </w:rPr>
            </w:pPr>
            <w:r>
              <w:rPr>
                <w:color w:val="000000"/>
                <w:kern w:val="0"/>
                <w:sz w:val="21"/>
                <w:lang w:bidi="ar"/>
              </w:rPr>
              <w:t>101</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5B2E6D0">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矩形土压平衡顶管机</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EB2F7D0">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地铁区间段</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BD96F41">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冲积</w:t>
            </w:r>
            <w:r>
              <w:rPr>
                <w:rStyle w:val="105"/>
                <w:lang w:bidi="ar"/>
              </w:rPr>
              <w:t>-</w:t>
            </w:r>
            <w:r>
              <w:rPr>
                <w:rStyle w:val="104"/>
                <w:rFonts w:hint="default"/>
                <w:lang w:bidi="ar"/>
              </w:rPr>
              <w:t>洪积粉细砂层、砾砂层、土层</w:t>
            </w:r>
          </w:p>
        </w:tc>
      </w:tr>
      <w:tr w14:paraId="0E7FFA75">
        <w:tblPrEx>
          <w:tblCellMar>
            <w:top w:w="0" w:type="dxa"/>
            <w:left w:w="0" w:type="dxa"/>
            <w:bottom w:w="0" w:type="dxa"/>
            <w:right w:w="0" w:type="dxa"/>
          </w:tblCellMar>
        </w:tblPrEx>
        <w:trPr>
          <w:trHeight w:val="1020"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98E4029">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2018</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CBDDF62">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3121341">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广州地铁后续项目北京路站A出入口顶管工程</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81F453A">
            <w:pPr>
              <w:widowControl/>
              <w:spacing w:line="240" w:lineRule="auto"/>
              <w:jc w:val="center"/>
              <w:textAlignment w:val="center"/>
              <w:rPr>
                <w:color w:val="000000"/>
                <w:sz w:val="21"/>
              </w:rPr>
            </w:pPr>
            <w:r>
              <w:rPr>
                <w:color w:val="000000"/>
                <w:kern w:val="0"/>
                <w:sz w:val="21"/>
                <w:lang w:bidi="ar"/>
              </w:rPr>
              <w:t>6.0×4.3</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EC02D0B">
            <w:pPr>
              <w:widowControl/>
              <w:spacing w:line="240" w:lineRule="auto"/>
              <w:jc w:val="center"/>
              <w:textAlignment w:val="center"/>
              <w:rPr>
                <w:color w:val="000000"/>
                <w:sz w:val="21"/>
              </w:rPr>
            </w:pPr>
            <w:r>
              <w:rPr>
                <w:color w:val="000000"/>
                <w:kern w:val="0"/>
                <w:sz w:val="21"/>
                <w:lang w:bidi="ar"/>
              </w:rPr>
              <w:t>42.26</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9D5F7CF">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土压平衡多刀盘顶管机</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52F19EF">
            <w:pPr>
              <w:widowControl/>
              <w:spacing w:line="240" w:lineRule="auto"/>
              <w:jc w:val="left"/>
              <w:textAlignment w:val="center"/>
              <w:rPr>
                <w:rFonts w:ascii="宋体" w:hAnsi="宋体" w:cs="宋体"/>
                <w:color w:val="000000"/>
                <w:sz w:val="21"/>
              </w:rPr>
            </w:pPr>
            <w:r>
              <w:rPr>
                <w:rFonts w:hint="eastAsia" w:ascii="宋体" w:hAnsi="宋体" w:cs="宋体"/>
                <w:color w:val="000000"/>
                <w:kern w:val="0"/>
                <w:sz w:val="21"/>
                <w:lang w:bidi="ar"/>
              </w:rPr>
              <w:t>地铁出入口</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EAFEEC6">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淤泥质土</w:t>
            </w:r>
          </w:p>
        </w:tc>
      </w:tr>
      <w:tr w14:paraId="1AD6E687">
        <w:tblPrEx>
          <w:tblCellMar>
            <w:top w:w="0" w:type="dxa"/>
            <w:left w:w="0" w:type="dxa"/>
            <w:bottom w:w="0" w:type="dxa"/>
            <w:right w:w="0" w:type="dxa"/>
          </w:tblCellMar>
        </w:tblPrEx>
        <w:trPr>
          <w:trHeight w:val="1050"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D3628B2">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2018</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660581">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3050092">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广州地铁</w:t>
            </w:r>
            <w:r>
              <w:rPr>
                <w:rStyle w:val="105"/>
                <w:lang w:bidi="ar"/>
              </w:rPr>
              <w:t xml:space="preserve"> 14 </w:t>
            </w:r>
            <w:r>
              <w:rPr>
                <w:rStyle w:val="104"/>
                <w:rFonts w:hint="default"/>
                <w:lang w:bidi="ar"/>
              </w:rPr>
              <w:t>号线支线施工</w:t>
            </w:r>
            <w:r>
              <w:rPr>
                <w:rStyle w:val="105"/>
                <w:lang w:bidi="ar"/>
              </w:rPr>
              <w:t>6</w:t>
            </w:r>
            <w:r>
              <w:rPr>
                <w:rStyle w:val="104"/>
                <w:rFonts w:hint="default"/>
                <w:lang w:bidi="ar"/>
              </w:rPr>
              <w:t>标顶管工程</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309423A">
            <w:pPr>
              <w:widowControl/>
              <w:spacing w:line="240" w:lineRule="auto"/>
              <w:jc w:val="center"/>
              <w:textAlignment w:val="center"/>
              <w:rPr>
                <w:color w:val="000000"/>
                <w:sz w:val="21"/>
              </w:rPr>
            </w:pPr>
            <w:r>
              <w:rPr>
                <w:color w:val="000000"/>
                <w:kern w:val="0"/>
                <w:sz w:val="21"/>
                <w:lang w:bidi="ar"/>
              </w:rPr>
              <w:t>6.0×4.3</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6DA3D42">
            <w:pPr>
              <w:widowControl/>
              <w:spacing w:line="240" w:lineRule="auto"/>
              <w:jc w:val="center"/>
              <w:textAlignment w:val="center"/>
              <w:rPr>
                <w:color w:val="000000"/>
                <w:sz w:val="21"/>
              </w:rPr>
            </w:pPr>
            <w:r>
              <w:rPr>
                <w:color w:val="000000"/>
                <w:kern w:val="0"/>
                <w:sz w:val="21"/>
                <w:lang w:bidi="ar"/>
              </w:rPr>
              <w:t>22</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D8A0709">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土压平衡多刀盘顶管机</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F2DE044">
            <w:pPr>
              <w:widowControl/>
              <w:spacing w:line="240" w:lineRule="auto"/>
              <w:jc w:val="left"/>
              <w:textAlignment w:val="center"/>
              <w:rPr>
                <w:rFonts w:ascii="宋体" w:hAnsi="宋体" w:cs="宋体"/>
                <w:color w:val="000000"/>
                <w:sz w:val="21"/>
              </w:rPr>
            </w:pPr>
            <w:r>
              <w:rPr>
                <w:rFonts w:hint="eastAsia" w:ascii="宋体" w:hAnsi="宋体" w:cs="宋体"/>
                <w:color w:val="000000"/>
                <w:kern w:val="0"/>
                <w:sz w:val="21"/>
                <w:lang w:bidi="ar"/>
              </w:rPr>
              <w:t>地铁出入口</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CE92DF2">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粗砂</w:t>
            </w:r>
          </w:p>
        </w:tc>
      </w:tr>
      <w:tr w14:paraId="17279166">
        <w:tblPrEx>
          <w:tblCellMar>
            <w:top w:w="0" w:type="dxa"/>
            <w:left w:w="0" w:type="dxa"/>
            <w:bottom w:w="0" w:type="dxa"/>
            <w:right w:w="0" w:type="dxa"/>
          </w:tblCellMar>
        </w:tblPrEx>
        <w:trPr>
          <w:trHeight w:val="1065"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15F8749">
            <w:pPr>
              <w:widowControl/>
              <w:spacing w:line="240" w:lineRule="auto"/>
              <w:jc w:val="center"/>
              <w:textAlignment w:val="center"/>
              <w:rPr>
                <w:color w:val="000000"/>
                <w:sz w:val="21"/>
              </w:rPr>
            </w:pPr>
            <w:r>
              <w:rPr>
                <w:color w:val="000000"/>
                <w:kern w:val="0"/>
                <w:sz w:val="21"/>
                <w:lang w:bidi="ar"/>
              </w:rPr>
              <w:t>2018</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1B1DC97">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629F54A">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深圳地铁</w:t>
            </w:r>
            <w:r>
              <w:rPr>
                <w:rStyle w:val="105"/>
                <w:lang w:bidi="ar"/>
              </w:rPr>
              <w:t>9</w:t>
            </w:r>
            <w:r>
              <w:rPr>
                <w:rStyle w:val="104"/>
                <w:rFonts w:hint="default"/>
                <w:lang w:bidi="ar"/>
              </w:rPr>
              <w:t>号线下沙站矩形顶管工程</w:t>
            </w:r>
            <w:r>
              <w:rPr>
                <w:rStyle w:val="105"/>
                <w:lang w:bidi="ar"/>
              </w:rPr>
              <w:t>C</w:t>
            </w:r>
            <w:r>
              <w:rPr>
                <w:rStyle w:val="104"/>
                <w:rFonts w:hint="default"/>
                <w:lang w:bidi="ar"/>
              </w:rPr>
              <w:t>口，</w:t>
            </w:r>
            <w:r>
              <w:rPr>
                <w:rStyle w:val="105"/>
                <w:lang w:bidi="ar"/>
              </w:rPr>
              <w:t>D</w:t>
            </w:r>
            <w:r>
              <w:rPr>
                <w:rStyle w:val="104"/>
                <w:rFonts w:hint="default"/>
                <w:lang w:bidi="ar"/>
              </w:rPr>
              <w:t>口</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8B7C0C4">
            <w:pPr>
              <w:widowControl/>
              <w:spacing w:line="240" w:lineRule="auto"/>
              <w:jc w:val="center"/>
              <w:textAlignment w:val="center"/>
              <w:rPr>
                <w:color w:val="000000"/>
                <w:sz w:val="21"/>
              </w:rPr>
            </w:pPr>
            <w:r>
              <w:rPr>
                <w:color w:val="000000"/>
                <w:kern w:val="0"/>
                <w:sz w:val="21"/>
                <w:lang w:bidi="ar"/>
              </w:rPr>
              <w:t>7.7×4.5</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A851340">
            <w:pPr>
              <w:widowControl/>
              <w:spacing w:line="240" w:lineRule="auto"/>
              <w:jc w:val="center"/>
              <w:textAlignment w:val="center"/>
              <w:rPr>
                <w:color w:val="000000"/>
                <w:sz w:val="21"/>
              </w:rPr>
            </w:pPr>
            <w:r>
              <w:rPr>
                <w:color w:val="000000"/>
                <w:kern w:val="0"/>
                <w:sz w:val="21"/>
                <w:lang w:bidi="ar"/>
              </w:rPr>
              <w:t>28.2</w:t>
            </w:r>
            <w:r>
              <w:rPr>
                <w:rStyle w:val="104"/>
                <w:rFonts w:hint="default"/>
                <w:lang w:bidi="ar"/>
              </w:rPr>
              <w:t>，</w:t>
            </w:r>
            <w:r>
              <w:rPr>
                <w:rStyle w:val="105"/>
                <w:lang w:bidi="ar"/>
              </w:rPr>
              <w:t>37.7</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017BB4C">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土压平衡矩形顶管机</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B888251">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地铁出入口</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D6318EC">
            <w:pPr>
              <w:spacing w:line="240" w:lineRule="auto"/>
              <w:jc w:val="center"/>
              <w:rPr>
                <w:color w:val="000000"/>
                <w:sz w:val="21"/>
              </w:rPr>
            </w:pPr>
          </w:p>
        </w:tc>
      </w:tr>
      <w:tr w14:paraId="3151581E">
        <w:tblPrEx>
          <w:tblCellMar>
            <w:top w:w="0" w:type="dxa"/>
            <w:left w:w="0" w:type="dxa"/>
            <w:bottom w:w="0" w:type="dxa"/>
            <w:right w:w="0" w:type="dxa"/>
          </w:tblCellMar>
        </w:tblPrEx>
        <w:trPr>
          <w:trHeight w:val="1035"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A66F0D4">
            <w:pPr>
              <w:widowControl/>
              <w:spacing w:line="240" w:lineRule="auto"/>
              <w:jc w:val="center"/>
              <w:textAlignment w:val="center"/>
              <w:rPr>
                <w:color w:val="000000"/>
                <w:sz w:val="21"/>
              </w:rPr>
            </w:pPr>
            <w:r>
              <w:rPr>
                <w:color w:val="000000"/>
                <w:kern w:val="0"/>
                <w:sz w:val="21"/>
                <w:lang w:bidi="ar"/>
              </w:rPr>
              <w:t>2018</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AD4EF3A">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B2CAFCF">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广州地铁</w:t>
            </w:r>
            <w:r>
              <w:rPr>
                <w:rStyle w:val="105"/>
                <w:lang w:bidi="ar"/>
              </w:rPr>
              <w:t>21</w:t>
            </w:r>
            <w:r>
              <w:rPr>
                <w:rStyle w:val="104"/>
                <w:rFonts w:hint="default"/>
                <w:lang w:bidi="ar"/>
              </w:rPr>
              <w:t>号线天河公园站矩形顶管工程</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3087282">
            <w:pPr>
              <w:widowControl/>
              <w:spacing w:line="240" w:lineRule="auto"/>
              <w:jc w:val="center"/>
              <w:textAlignment w:val="center"/>
              <w:rPr>
                <w:color w:val="000000"/>
                <w:sz w:val="21"/>
              </w:rPr>
            </w:pPr>
            <w:r>
              <w:rPr>
                <w:color w:val="000000"/>
                <w:kern w:val="0"/>
                <w:sz w:val="21"/>
                <w:lang w:bidi="ar"/>
              </w:rPr>
              <w:t>6.0×4.3</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CDB1F5A">
            <w:pPr>
              <w:widowControl/>
              <w:spacing w:line="240" w:lineRule="auto"/>
              <w:jc w:val="center"/>
              <w:textAlignment w:val="center"/>
              <w:rPr>
                <w:color w:val="000000"/>
                <w:sz w:val="21"/>
              </w:rPr>
            </w:pPr>
            <w:r>
              <w:rPr>
                <w:color w:val="000000"/>
                <w:kern w:val="0"/>
                <w:sz w:val="21"/>
                <w:lang w:bidi="ar"/>
              </w:rPr>
              <w:t>90</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0B6ACFE">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土压平衡矩形顶管机</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6B01B4A">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地铁出入口</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7833A4B">
            <w:pPr>
              <w:spacing w:line="240" w:lineRule="auto"/>
              <w:jc w:val="center"/>
              <w:rPr>
                <w:color w:val="000000"/>
                <w:sz w:val="21"/>
              </w:rPr>
            </w:pPr>
          </w:p>
        </w:tc>
      </w:tr>
      <w:tr w14:paraId="774BCCA1">
        <w:tblPrEx>
          <w:tblCellMar>
            <w:top w:w="0" w:type="dxa"/>
            <w:left w:w="0" w:type="dxa"/>
            <w:bottom w:w="0" w:type="dxa"/>
            <w:right w:w="0" w:type="dxa"/>
          </w:tblCellMar>
        </w:tblPrEx>
        <w:trPr>
          <w:trHeight w:val="1305"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98C3CA4">
            <w:pPr>
              <w:widowControl/>
              <w:spacing w:line="240" w:lineRule="auto"/>
              <w:jc w:val="center"/>
              <w:textAlignment w:val="center"/>
              <w:rPr>
                <w:color w:val="000000"/>
                <w:sz w:val="21"/>
              </w:rPr>
            </w:pPr>
            <w:r>
              <w:rPr>
                <w:color w:val="000000"/>
                <w:kern w:val="0"/>
                <w:sz w:val="21"/>
                <w:lang w:bidi="ar"/>
              </w:rPr>
              <w:t>2018</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128DB98">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A33ED96">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广州地铁</w:t>
            </w:r>
            <w:r>
              <w:rPr>
                <w:rStyle w:val="105"/>
                <w:lang w:bidi="ar"/>
              </w:rPr>
              <w:t>21</w:t>
            </w:r>
            <w:r>
              <w:rPr>
                <w:rStyle w:val="104"/>
                <w:rFonts w:hint="default"/>
                <w:lang w:bidi="ar"/>
              </w:rPr>
              <w:t>号线施工</w:t>
            </w:r>
            <w:r>
              <w:rPr>
                <w:rStyle w:val="105"/>
                <w:lang w:bidi="ar"/>
              </w:rPr>
              <w:t>2</w:t>
            </w:r>
            <w:r>
              <w:rPr>
                <w:rStyle w:val="104"/>
                <w:rFonts w:hint="default"/>
                <w:lang w:bidi="ar"/>
              </w:rPr>
              <w:t>标增城广场站附属出入口工程</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5D066FE">
            <w:pPr>
              <w:widowControl/>
              <w:spacing w:line="240" w:lineRule="auto"/>
              <w:jc w:val="center"/>
              <w:textAlignment w:val="center"/>
              <w:rPr>
                <w:color w:val="000000"/>
                <w:sz w:val="21"/>
              </w:rPr>
            </w:pPr>
            <w:r>
              <w:rPr>
                <w:color w:val="000000"/>
                <w:kern w:val="0"/>
                <w:sz w:val="21"/>
                <w:lang w:bidi="ar"/>
              </w:rPr>
              <w:t>6×4.3</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4CFCFEE">
            <w:pPr>
              <w:widowControl/>
              <w:spacing w:line="240" w:lineRule="auto"/>
              <w:jc w:val="center"/>
              <w:textAlignment w:val="center"/>
              <w:rPr>
                <w:color w:val="000000"/>
                <w:sz w:val="21"/>
              </w:rPr>
            </w:pPr>
            <w:r>
              <w:rPr>
                <w:color w:val="000000"/>
                <w:kern w:val="0"/>
                <w:sz w:val="21"/>
                <w:lang w:bidi="ar"/>
              </w:rPr>
              <w:t>9</w:t>
            </w:r>
            <w:r>
              <w:rPr>
                <w:rStyle w:val="104"/>
                <w:rFonts w:hint="default"/>
                <w:lang w:bidi="ar"/>
              </w:rPr>
              <w:t>段</w:t>
            </w:r>
            <w:r>
              <w:rPr>
                <w:rStyle w:val="105"/>
                <w:lang w:bidi="ar"/>
              </w:rPr>
              <w:t>400</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BB9AD11">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土压平衡矩形顶管机</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CDF3253">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地铁出入口</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4B4B428">
            <w:pPr>
              <w:spacing w:line="240" w:lineRule="auto"/>
              <w:jc w:val="center"/>
              <w:rPr>
                <w:color w:val="000000"/>
                <w:sz w:val="21"/>
              </w:rPr>
            </w:pPr>
          </w:p>
        </w:tc>
      </w:tr>
      <w:tr w14:paraId="6EEEEB55">
        <w:tblPrEx>
          <w:tblCellMar>
            <w:top w:w="0" w:type="dxa"/>
            <w:left w:w="0" w:type="dxa"/>
            <w:bottom w:w="0" w:type="dxa"/>
            <w:right w:w="0" w:type="dxa"/>
          </w:tblCellMar>
        </w:tblPrEx>
        <w:trPr>
          <w:trHeight w:val="1050"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7C690DD">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2019</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C6A1CC9">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BEE693E">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深圳地铁</w:t>
            </w:r>
            <w:r>
              <w:rPr>
                <w:rStyle w:val="105"/>
                <w:lang w:bidi="ar"/>
              </w:rPr>
              <w:t>6</w:t>
            </w:r>
            <w:r>
              <w:rPr>
                <w:rStyle w:val="104"/>
                <w:rFonts w:hint="default"/>
                <w:lang w:bidi="ar"/>
              </w:rPr>
              <w:t>号线二期</w:t>
            </w:r>
            <w:r>
              <w:rPr>
                <w:rStyle w:val="105"/>
                <w:lang w:bidi="ar"/>
              </w:rPr>
              <w:t>6111</w:t>
            </w:r>
            <w:r>
              <w:rPr>
                <w:rStyle w:val="104"/>
                <w:rFonts w:hint="default"/>
                <w:lang w:bidi="ar"/>
              </w:rPr>
              <w:t>标三工区过街顶管工程</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9DDE998">
            <w:pPr>
              <w:widowControl/>
              <w:spacing w:line="240" w:lineRule="auto"/>
              <w:jc w:val="center"/>
              <w:textAlignment w:val="center"/>
              <w:rPr>
                <w:color w:val="000000"/>
                <w:sz w:val="21"/>
              </w:rPr>
            </w:pPr>
            <w:r>
              <w:rPr>
                <w:color w:val="000000"/>
                <w:kern w:val="0"/>
                <w:sz w:val="21"/>
                <w:lang w:bidi="ar"/>
              </w:rPr>
              <w:t>7.7×4.3</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931EA6D">
            <w:pPr>
              <w:widowControl/>
              <w:spacing w:line="240" w:lineRule="auto"/>
              <w:jc w:val="center"/>
              <w:textAlignment w:val="center"/>
              <w:rPr>
                <w:color w:val="000000"/>
                <w:sz w:val="21"/>
              </w:rPr>
            </w:pPr>
            <w:r>
              <w:rPr>
                <w:color w:val="000000"/>
                <w:kern w:val="0"/>
                <w:sz w:val="21"/>
                <w:lang w:bidi="ar"/>
              </w:rPr>
              <w:t>2</w:t>
            </w:r>
            <w:r>
              <w:rPr>
                <w:rStyle w:val="104"/>
                <w:rFonts w:hint="default"/>
                <w:lang w:bidi="ar"/>
              </w:rPr>
              <w:t>段，共</w:t>
            </w:r>
            <w:r>
              <w:rPr>
                <w:rStyle w:val="105"/>
                <w:lang w:bidi="ar"/>
              </w:rPr>
              <w:t>104m</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C49F46C">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土压平衡多刀盘顶管机</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46A673A">
            <w:pPr>
              <w:widowControl/>
              <w:spacing w:line="240" w:lineRule="auto"/>
              <w:jc w:val="left"/>
              <w:textAlignment w:val="center"/>
              <w:rPr>
                <w:rFonts w:ascii="宋体" w:hAnsi="宋体" w:cs="宋体"/>
                <w:color w:val="000000"/>
                <w:sz w:val="21"/>
              </w:rPr>
            </w:pPr>
            <w:r>
              <w:rPr>
                <w:rFonts w:hint="eastAsia" w:ascii="宋体" w:hAnsi="宋体" w:cs="宋体"/>
                <w:color w:val="000000"/>
                <w:kern w:val="0"/>
                <w:sz w:val="21"/>
                <w:lang w:bidi="ar"/>
              </w:rPr>
              <w:t>人行通道</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4D04ADE">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黏土</w:t>
            </w:r>
          </w:p>
        </w:tc>
      </w:tr>
      <w:tr w14:paraId="76517726">
        <w:tblPrEx>
          <w:tblCellMar>
            <w:top w:w="0" w:type="dxa"/>
            <w:left w:w="0" w:type="dxa"/>
            <w:bottom w:w="0" w:type="dxa"/>
            <w:right w:w="0" w:type="dxa"/>
          </w:tblCellMar>
        </w:tblPrEx>
        <w:trPr>
          <w:trHeight w:val="1020"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5CCBE1">
            <w:pPr>
              <w:widowControl/>
              <w:spacing w:line="240" w:lineRule="auto"/>
              <w:jc w:val="center"/>
              <w:textAlignment w:val="center"/>
              <w:rPr>
                <w:color w:val="000000"/>
                <w:sz w:val="21"/>
              </w:rPr>
            </w:pPr>
            <w:r>
              <w:rPr>
                <w:color w:val="000000"/>
                <w:kern w:val="0"/>
                <w:sz w:val="21"/>
                <w:lang w:bidi="ar"/>
              </w:rPr>
              <w:t>2019</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D7C5E55">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1707D37">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深圳华为大断面矩形顶管地下通道工程</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A5FE47C">
            <w:pPr>
              <w:widowControl/>
              <w:spacing w:line="240" w:lineRule="auto"/>
              <w:jc w:val="center"/>
              <w:textAlignment w:val="center"/>
              <w:rPr>
                <w:color w:val="000000"/>
                <w:sz w:val="21"/>
              </w:rPr>
            </w:pPr>
            <w:r>
              <w:rPr>
                <w:color w:val="000000"/>
                <w:kern w:val="0"/>
                <w:sz w:val="21"/>
                <w:lang w:bidi="ar"/>
              </w:rPr>
              <w:t>10.2×6.6</w:t>
            </w:r>
            <w:r>
              <w:rPr>
                <w:rStyle w:val="104"/>
                <w:rFonts w:hint="default"/>
                <w:lang w:bidi="ar"/>
              </w:rPr>
              <w:t>、</w:t>
            </w:r>
            <w:r>
              <w:rPr>
                <w:rStyle w:val="105"/>
                <w:lang w:bidi="ar"/>
              </w:rPr>
              <w:t>8.1×4.9</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55BB8A4">
            <w:pPr>
              <w:widowControl/>
              <w:spacing w:line="240" w:lineRule="auto"/>
              <w:jc w:val="center"/>
              <w:textAlignment w:val="center"/>
              <w:rPr>
                <w:color w:val="000000"/>
                <w:sz w:val="21"/>
              </w:rPr>
            </w:pPr>
            <w:r>
              <w:rPr>
                <w:color w:val="000000"/>
                <w:kern w:val="0"/>
                <w:sz w:val="21"/>
                <w:lang w:bidi="ar"/>
              </w:rPr>
              <w:t>138.3</w:t>
            </w:r>
            <w:r>
              <w:rPr>
                <w:rStyle w:val="104"/>
                <w:rFonts w:hint="default"/>
                <w:lang w:bidi="ar"/>
              </w:rPr>
              <w:t>、</w:t>
            </w:r>
            <w:r>
              <w:rPr>
                <w:rStyle w:val="105"/>
                <w:lang w:bidi="ar"/>
              </w:rPr>
              <w:t>61.2</w:t>
            </w:r>
            <w:r>
              <w:rPr>
                <w:rStyle w:val="104"/>
                <w:rFonts w:hint="default"/>
                <w:lang w:bidi="ar"/>
              </w:rPr>
              <w:t>、</w:t>
            </w:r>
            <w:r>
              <w:rPr>
                <w:rStyle w:val="105"/>
                <w:lang w:bidi="ar"/>
              </w:rPr>
              <w:t>143.9</w:t>
            </w:r>
            <w:r>
              <w:rPr>
                <w:rStyle w:val="104"/>
                <w:rFonts w:hint="default"/>
                <w:lang w:bidi="ar"/>
              </w:rPr>
              <w:t>、</w:t>
            </w:r>
            <w:r>
              <w:rPr>
                <w:rStyle w:val="105"/>
                <w:lang w:bidi="ar"/>
              </w:rPr>
              <w:t>85.6</w:t>
            </w:r>
            <w:r>
              <w:rPr>
                <w:rStyle w:val="104"/>
                <w:rFonts w:hint="default"/>
                <w:lang w:bidi="ar"/>
              </w:rPr>
              <w:t>、</w:t>
            </w:r>
            <w:r>
              <w:rPr>
                <w:rStyle w:val="105"/>
                <w:lang w:bidi="ar"/>
              </w:rPr>
              <w:t>46.6</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52EFBA1">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土压平衡</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A15E96C">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人行通道</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62FEE38">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素填土，局部为砾质粘性土。</w:t>
            </w:r>
          </w:p>
        </w:tc>
      </w:tr>
      <w:tr w14:paraId="1E89CF81">
        <w:tblPrEx>
          <w:tblCellMar>
            <w:top w:w="0" w:type="dxa"/>
            <w:left w:w="0" w:type="dxa"/>
            <w:bottom w:w="0" w:type="dxa"/>
            <w:right w:w="0" w:type="dxa"/>
          </w:tblCellMar>
        </w:tblPrEx>
        <w:trPr>
          <w:trHeight w:val="1785"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B7899C8">
            <w:pPr>
              <w:widowControl/>
              <w:spacing w:line="240" w:lineRule="auto"/>
              <w:jc w:val="center"/>
              <w:textAlignment w:val="center"/>
              <w:rPr>
                <w:color w:val="000000"/>
                <w:sz w:val="21"/>
              </w:rPr>
            </w:pPr>
            <w:r>
              <w:rPr>
                <w:color w:val="000000"/>
                <w:kern w:val="0"/>
                <w:sz w:val="21"/>
                <w:lang w:bidi="ar"/>
              </w:rPr>
              <w:t>2019</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A0C7B58">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3C0D7B9">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广花一级公路地下综合管廊及道路快捷化改造配套工程项目</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20749C2">
            <w:pPr>
              <w:widowControl/>
              <w:spacing w:line="240" w:lineRule="auto"/>
              <w:jc w:val="center"/>
              <w:textAlignment w:val="center"/>
              <w:rPr>
                <w:color w:val="000000"/>
                <w:sz w:val="21"/>
              </w:rPr>
            </w:pPr>
            <w:r>
              <w:rPr>
                <w:color w:val="000000"/>
                <w:kern w:val="0"/>
                <w:sz w:val="21"/>
                <w:lang w:bidi="ar"/>
              </w:rPr>
              <w:t>8.7×5.5</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CD4AA60">
            <w:pPr>
              <w:widowControl/>
              <w:spacing w:line="240" w:lineRule="auto"/>
              <w:jc w:val="center"/>
              <w:textAlignment w:val="center"/>
              <w:rPr>
                <w:color w:val="000000"/>
                <w:sz w:val="21"/>
              </w:rPr>
            </w:pPr>
            <w:r>
              <w:rPr>
                <w:color w:val="000000"/>
                <w:kern w:val="0"/>
                <w:sz w:val="21"/>
                <w:lang w:bidi="ar"/>
              </w:rPr>
              <w:t>206,225,168</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56F2E59">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泥水平衡顶管</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DB65F3B">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综合管廊</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F17B80E">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粉质粘土和粗、砾砂，局部存在淤泥质粉质粘土和粉、细砂</w:t>
            </w:r>
          </w:p>
        </w:tc>
      </w:tr>
      <w:tr w14:paraId="16309781">
        <w:tblPrEx>
          <w:tblCellMar>
            <w:top w:w="0" w:type="dxa"/>
            <w:left w:w="0" w:type="dxa"/>
            <w:bottom w:w="0" w:type="dxa"/>
            <w:right w:w="0" w:type="dxa"/>
          </w:tblCellMar>
        </w:tblPrEx>
        <w:trPr>
          <w:trHeight w:val="1290"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418B15E">
            <w:pPr>
              <w:widowControl/>
              <w:spacing w:line="240" w:lineRule="auto"/>
              <w:jc w:val="center"/>
              <w:textAlignment w:val="center"/>
              <w:rPr>
                <w:color w:val="000000"/>
                <w:sz w:val="21"/>
              </w:rPr>
            </w:pPr>
            <w:r>
              <w:rPr>
                <w:color w:val="000000"/>
                <w:kern w:val="0"/>
                <w:sz w:val="21"/>
                <w:lang w:bidi="ar"/>
              </w:rPr>
              <w:t>2019</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D17E747">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FEB89B5">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广州市轨道交通二、八号线延长线工程施工</w:t>
            </w:r>
            <w:r>
              <w:rPr>
                <w:rStyle w:val="105"/>
                <w:lang w:bidi="ar"/>
              </w:rPr>
              <w:t>14</w:t>
            </w:r>
            <w:r>
              <w:rPr>
                <w:rStyle w:val="104"/>
                <w:rFonts w:hint="default"/>
                <w:lang w:bidi="ar"/>
              </w:rPr>
              <w:t>标段</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F062D85">
            <w:pPr>
              <w:widowControl/>
              <w:spacing w:line="240" w:lineRule="auto"/>
              <w:jc w:val="center"/>
              <w:textAlignment w:val="center"/>
              <w:rPr>
                <w:color w:val="000000"/>
                <w:sz w:val="21"/>
              </w:rPr>
            </w:pPr>
            <w:r>
              <w:rPr>
                <w:color w:val="000000"/>
                <w:kern w:val="0"/>
                <w:sz w:val="21"/>
                <w:lang w:bidi="ar"/>
              </w:rPr>
              <w:t>6.02×4.32</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67F7A9E">
            <w:pPr>
              <w:widowControl/>
              <w:spacing w:line="240" w:lineRule="auto"/>
              <w:jc w:val="center"/>
              <w:textAlignment w:val="center"/>
              <w:rPr>
                <w:color w:val="000000"/>
                <w:sz w:val="21"/>
              </w:rPr>
            </w:pPr>
            <w:r>
              <w:rPr>
                <w:color w:val="000000"/>
                <w:kern w:val="0"/>
                <w:sz w:val="21"/>
                <w:lang w:bidi="ar"/>
              </w:rPr>
              <w:t>30.88</w:t>
            </w:r>
            <w:r>
              <w:rPr>
                <w:rStyle w:val="104"/>
                <w:rFonts w:hint="default"/>
                <w:lang w:bidi="ar"/>
              </w:rPr>
              <w:t>、</w:t>
            </w:r>
            <w:r>
              <w:rPr>
                <w:rStyle w:val="105"/>
                <w:lang w:bidi="ar"/>
              </w:rPr>
              <w:t>33.83</w:t>
            </w:r>
            <w:r>
              <w:rPr>
                <w:rStyle w:val="104"/>
                <w:rFonts w:hint="default"/>
                <w:lang w:bidi="ar"/>
              </w:rPr>
              <w:t>、</w:t>
            </w:r>
            <w:r>
              <w:rPr>
                <w:rStyle w:val="105"/>
                <w:lang w:bidi="ar"/>
              </w:rPr>
              <w:t>35.85</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3B9C30F">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土压平衡顶管机六刀盘</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599BE73">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站厅层横通道</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B561D85">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淤泥质土、中粗砂层、全风化泥质粉砂岩</w:t>
            </w:r>
          </w:p>
        </w:tc>
      </w:tr>
      <w:tr w14:paraId="0811D35E">
        <w:tblPrEx>
          <w:tblCellMar>
            <w:top w:w="0" w:type="dxa"/>
            <w:left w:w="0" w:type="dxa"/>
            <w:bottom w:w="0" w:type="dxa"/>
            <w:right w:w="0" w:type="dxa"/>
          </w:tblCellMar>
        </w:tblPrEx>
        <w:trPr>
          <w:trHeight w:val="1830"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391C358">
            <w:pPr>
              <w:widowControl/>
              <w:spacing w:line="240" w:lineRule="auto"/>
              <w:jc w:val="center"/>
              <w:textAlignment w:val="center"/>
              <w:rPr>
                <w:color w:val="000000"/>
                <w:sz w:val="21"/>
              </w:rPr>
            </w:pPr>
            <w:r>
              <w:rPr>
                <w:color w:val="000000"/>
                <w:kern w:val="0"/>
                <w:sz w:val="21"/>
                <w:lang w:bidi="ar"/>
              </w:rPr>
              <w:t>2019</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F269B04">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1D5A58D">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深圳城市轨道交通</w:t>
            </w:r>
            <w:r>
              <w:rPr>
                <w:rStyle w:val="105"/>
                <w:lang w:bidi="ar"/>
              </w:rPr>
              <w:t>9</w:t>
            </w:r>
            <w:r>
              <w:rPr>
                <w:rStyle w:val="104"/>
                <w:rFonts w:hint="default"/>
                <w:lang w:bidi="ar"/>
              </w:rPr>
              <w:t>号线二期（</w:t>
            </w:r>
            <w:r>
              <w:rPr>
                <w:rStyle w:val="105"/>
                <w:lang w:bidi="ar"/>
              </w:rPr>
              <w:t>9</w:t>
            </w:r>
            <w:r>
              <w:rPr>
                <w:rStyle w:val="104"/>
                <w:rFonts w:hint="default"/>
                <w:lang w:bidi="ar"/>
              </w:rPr>
              <w:t>号线西延线）</w:t>
            </w:r>
            <w:r>
              <w:rPr>
                <w:rStyle w:val="105"/>
                <w:lang w:bidi="ar"/>
              </w:rPr>
              <w:t>9</w:t>
            </w:r>
            <w:r>
              <w:rPr>
                <w:rStyle w:val="104"/>
                <w:rFonts w:hint="default"/>
                <w:lang w:bidi="ar"/>
              </w:rPr>
              <w:t>怡海大道站（地下通道工程项目）</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781FDBD">
            <w:pPr>
              <w:widowControl/>
              <w:spacing w:line="240" w:lineRule="auto"/>
              <w:jc w:val="center"/>
              <w:textAlignment w:val="center"/>
              <w:rPr>
                <w:color w:val="000000"/>
                <w:sz w:val="21"/>
              </w:rPr>
            </w:pPr>
            <w:r>
              <w:rPr>
                <w:color w:val="000000"/>
                <w:kern w:val="0"/>
                <w:sz w:val="21"/>
                <w:lang w:bidi="ar"/>
              </w:rPr>
              <w:t>7.1×4.7</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0AC567B">
            <w:pPr>
              <w:widowControl/>
              <w:spacing w:line="240" w:lineRule="auto"/>
              <w:jc w:val="center"/>
              <w:textAlignment w:val="center"/>
              <w:rPr>
                <w:color w:val="000000"/>
                <w:sz w:val="21"/>
              </w:rPr>
            </w:pPr>
            <w:r>
              <w:rPr>
                <w:color w:val="000000"/>
                <w:kern w:val="0"/>
                <w:sz w:val="21"/>
                <w:lang w:bidi="ar"/>
              </w:rPr>
              <w:t>85.5</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21B2712">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土压平衡顶管机</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6595E2D">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人行通道</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45A4F44">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砂质粘性土</w:t>
            </w:r>
          </w:p>
        </w:tc>
      </w:tr>
      <w:tr w14:paraId="5762887F">
        <w:tblPrEx>
          <w:tblCellMar>
            <w:top w:w="0" w:type="dxa"/>
            <w:left w:w="0" w:type="dxa"/>
            <w:bottom w:w="0" w:type="dxa"/>
            <w:right w:w="0" w:type="dxa"/>
          </w:tblCellMar>
        </w:tblPrEx>
        <w:trPr>
          <w:trHeight w:val="780"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C1CE29C">
            <w:pPr>
              <w:widowControl/>
              <w:spacing w:line="240" w:lineRule="auto"/>
              <w:jc w:val="center"/>
              <w:textAlignment w:val="center"/>
              <w:rPr>
                <w:color w:val="000000"/>
                <w:sz w:val="21"/>
              </w:rPr>
            </w:pPr>
            <w:r>
              <w:rPr>
                <w:color w:val="000000"/>
                <w:kern w:val="0"/>
                <w:sz w:val="21"/>
                <w:lang w:bidi="ar"/>
              </w:rPr>
              <w:t>2015</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6E1ADE0">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D2900F1">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w:t>
            </w:r>
            <w:r>
              <w:rPr>
                <w:rStyle w:val="105"/>
                <w:lang w:bidi="ar"/>
              </w:rPr>
              <w:t>11301</w:t>
            </w:r>
            <w:r>
              <w:rPr>
                <w:rStyle w:val="104"/>
                <w:rFonts w:hint="default"/>
                <w:lang w:bidi="ar"/>
              </w:rPr>
              <w:t>标车公庙综合枢纽</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31FCA45">
            <w:pPr>
              <w:widowControl/>
              <w:spacing w:line="240" w:lineRule="auto"/>
              <w:jc w:val="center"/>
              <w:textAlignment w:val="center"/>
              <w:rPr>
                <w:color w:val="000000"/>
                <w:sz w:val="21"/>
              </w:rPr>
            </w:pPr>
            <w:r>
              <w:rPr>
                <w:color w:val="000000"/>
                <w:kern w:val="0"/>
                <w:sz w:val="21"/>
                <w:lang w:bidi="ar"/>
              </w:rPr>
              <w:t>6.9×4.65</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15299B7">
            <w:pPr>
              <w:widowControl/>
              <w:spacing w:line="240" w:lineRule="auto"/>
              <w:jc w:val="center"/>
              <w:textAlignment w:val="center"/>
              <w:rPr>
                <w:color w:val="000000"/>
                <w:sz w:val="21"/>
              </w:rPr>
            </w:pPr>
            <w:r>
              <w:rPr>
                <w:color w:val="000000"/>
                <w:kern w:val="0"/>
                <w:sz w:val="21"/>
                <w:lang w:bidi="ar"/>
              </w:rPr>
              <w:t>58.5+82+128.5+60</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3C9E7E2">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土压平衡顶管机</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5D38988">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人行通道</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28033CB">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杂填土、淤质粘土</w:t>
            </w:r>
          </w:p>
        </w:tc>
      </w:tr>
      <w:tr w14:paraId="5D2B5934">
        <w:tblPrEx>
          <w:tblCellMar>
            <w:top w:w="0" w:type="dxa"/>
            <w:left w:w="0" w:type="dxa"/>
            <w:bottom w:w="0" w:type="dxa"/>
            <w:right w:w="0" w:type="dxa"/>
          </w:tblCellMar>
        </w:tblPrEx>
        <w:trPr>
          <w:trHeight w:val="780"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C13CC2">
            <w:pPr>
              <w:widowControl/>
              <w:spacing w:line="240" w:lineRule="auto"/>
              <w:jc w:val="center"/>
              <w:textAlignment w:val="center"/>
              <w:rPr>
                <w:color w:val="000000"/>
                <w:sz w:val="21"/>
              </w:rPr>
            </w:pPr>
            <w:r>
              <w:rPr>
                <w:color w:val="000000"/>
                <w:kern w:val="0"/>
                <w:sz w:val="21"/>
                <w:lang w:bidi="ar"/>
              </w:rPr>
              <w:t>2020</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923C39D">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7E539FD">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w:t>
            </w:r>
            <w:r>
              <w:rPr>
                <w:rStyle w:val="105"/>
                <w:lang w:bidi="ar"/>
              </w:rPr>
              <w:t>11301</w:t>
            </w:r>
            <w:r>
              <w:rPr>
                <w:rStyle w:val="104"/>
                <w:rFonts w:hint="default"/>
                <w:lang w:bidi="ar"/>
              </w:rPr>
              <w:t>标车公庙综合枢纽</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801A9A5">
            <w:pPr>
              <w:widowControl/>
              <w:spacing w:line="240" w:lineRule="auto"/>
              <w:jc w:val="center"/>
              <w:textAlignment w:val="center"/>
              <w:rPr>
                <w:color w:val="000000"/>
                <w:sz w:val="21"/>
              </w:rPr>
            </w:pPr>
            <w:r>
              <w:rPr>
                <w:color w:val="000000"/>
                <w:kern w:val="0"/>
                <w:sz w:val="21"/>
                <w:lang w:bidi="ar"/>
              </w:rPr>
              <w:t>6.9×4.65</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3B7C541">
            <w:pPr>
              <w:widowControl/>
              <w:spacing w:line="240" w:lineRule="auto"/>
              <w:jc w:val="center"/>
              <w:textAlignment w:val="center"/>
              <w:rPr>
                <w:color w:val="000000"/>
                <w:sz w:val="21"/>
              </w:rPr>
            </w:pPr>
            <w:r>
              <w:rPr>
                <w:color w:val="000000"/>
                <w:kern w:val="0"/>
                <w:sz w:val="21"/>
                <w:lang w:bidi="ar"/>
              </w:rPr>
              <w:t>85+136</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5B83BFF">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土压平衡顶管机</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2269897">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人行通道</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BFAE0DB">
            <w:pPr>
              <w:spacing w:line="240" w:lineRule="auto"/>
              <w:jc w:val="center"/>
              <w:rPr>
                <w:color w:val="000000"/>
                <w:sz w:val="21"/>
              </w:rPr>
            </w:pPr>
          </w:p>
        </w:tc>
      </w:tr>
      <w:tr w14:paraId="5704BCF7">
        <w:tblPrEx>
          <w:tblCellMar>
            <w:top w:w="0" w:type="dxa"/>
            <w:left w:w="0" w:type="dxa"/>
            <w:bottom w:w="0" w:type="dxa"/>
            <w:right w:w="0" w:type="dxa"/>
          </w:tblCellMar>
        </w:tblPrEx>
        <w:trPr>
          <w:trHeight w:val="1020"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5DA1FC2">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2020</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4D0D265">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CAF1D95">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深圳华为坂雪岗科技城片区人行通道顶管工程</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B8FFA7C">
            <w:pPr>
              <w:widowControl/>
              <w:spacing w:line="240" w:lineRule="auto"/>
              <w:jc w:val="center"/>
              <w:textAlignment w:val="center"/>
              <w:rPr>
                <w:color w:val="000000"/>
                <w:sz w:val="21"/>
              </w:rPr>
            </w:pPr>
            <w:r>
              <w:rPr>
                <w:color w:val="000000"/>
                <w:kern w:val="0"/>
                <w:sz w:val="21"/>
                <w:lang w:bidi="ar"/>
              </w:rPr>
              <w:t>10.2×6.6+8.1×4.9</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8E66461">
            <w:pPr>
              <w:widowControl/>
              <w:spacing w:line="240" w:lineRule="auto"/>
              <w:jc w:val="center"/>
              <w:textAlignment w:val="center"/>
              <w:rPr>
                <w:color w:val="000000"/>
                <w:sz w:val="21"/>
              </w:rPr>
            </w:pPr>
            <w:r>
              <w:rPr>
                <w:color w:val="000000"/>
                <w:kern w:val="0"/>
                <w:sz w:val="21"/>
                <w:lang w:bidi="ar"/>
              </w:rPr>
              <w:t>4</w:t>
            </w:r>
            <w:r>
              <w:rPr>
                <w:rStyle w:val="104"/>
                <w:rFonts w:hint="default"/>
                <w:lang w:bidi="ar"/>
              </w:rPr>
              <w:t>段，共</w:t>
            </w:r>
            <w:r>
              <w:rPr>
                <w:rStyle w:val="105"/>
                <w:lang w:bidi="ar"/>
              </w:rPr>
              <w:t>429m</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49EE053">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土压平衡多刀盘顶管机</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21422E3">
            <w:pPr>
              <w:widowControl/>
              <w:spacing w:line="240" w:lineRule="auto"/>
              <w:jc w:val="left"/>
              <w:textAlignment w:val="center"/>
              <w:rPr>
                <w:rFonts w:ascii="宋体" w:hAnsi="宋体" w:cs="宋体"/>
                <w:color w:val="000000"/>
                <w:sz w:val="21"/>
              </w:rPr>
            </w:pPr>
            <w:r>
              <w:rPr>
                <w:rFonts w:hint="eastAsia" w:ascii="宋体" w:hAnsi="宋体" w:cs="宋体"/>
                <w:color w:val="000000"/>
                <w:kern w:val="0"/>
                <w:sz w:val="21"/>
                <w:lang w:bidi="ar"/>
              </w:rPr>
              <w:t>人行通道</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5D5F5D0">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砾质黏土、素填土</w:t>
            </w:r>
          </w:p>
        </w:tc>
      </w:tr>
      <w:tr w14:paraId="1CA8F3D6">
        <w:tblPrEx>
          <w:tblCellMar>
            <w:top w:w="0" w:type="dxa"/>
            <w:left w:w="0" w:type="dxa"/>
            <w:bottom w:w="0" w:type="dxa"/>
            <w:right w:w="0" w:type="dxa"/>
          </w:tblCellMar>
        </w:tblPrEx>
        <w:trPr>
          <w:trHeight w:val="780"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D7D9DD5">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2020</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0F02FB6">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1810545">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深圳华为坂田</w:t>
            </w:r>
            <w:r>
              <w:rPr>
                <w:rStyle w:val="105"/>
                <w:lang w:bidi="ar"/>
              </w:rPr>
              <w:t>D-H</w:t>
            </w:r>
            <w:r>
              <w:rPr>
                <w:rStyle w:val="104"/>
                <w:rFonts w:hint="default"/>
                <w:lang w:bidi="ar"/>
              </w:rPr>
              <w:t>人行通道顶管工程</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8163EE2">
            <w:pPr>
              <w:widowControl/>
              <w:spacing w:line="240" w:lineRule="auto"/>
              <w:jc w:val="center"/>
              <w:textAlignment w:val="center"/>
              <w:rPr>
                <w:color w:val="000000"/>
                <w:sz w:val="21"/>
              </w:rPr>
            </w:pPr>
            <w:r>
              <w:rPr>
                <w:color w:val="000000"/>
                <w:kern w:val="0"/>
                <w:sz w:val="21"/>
                <w:lang w:bidi="ar"/>
              </w:rPr>
              <w:t>8.1×4.9</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4D27231">
            <w:pPr>
              <w:widowControl/>
              <w:spacing w:line="240" w:lineRule="auto"/>
              <w:jc w:val="center"/>
              <w:textAlignment w:val="center"/>
              <w:rPr>
                <w:color w:val="000000"/>
                <w:sz w:val="21"/>
              </w:rPr>
            </w:pPr>
            <w:r>
              <w:rPr>
                <w:color w:val="000000"/>
                <w:kern w:val="0"/>
                <w:sz w:val="21"/>
                <w:lang w:bidi="ar"/>
              </w:rPr>
              <w:t>49.6</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60E80AA">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土压平衡多刀盘顶管机</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C3AA167">
            <w:pPr>
              <w:widowControl/>
              <w:spacing w:line="240" w:lineRule="auto"/>
              <w:jc w:val="left"/>
              <w:textAlignment w:val="center"/>
              <w:rPr>
                <w:rFonts w:ascii="宋体" w:hAnsi="宋体" w:cs="宋体"/>
                <w:color w:val="000000"/>
                <w:sz w:val="21"/>
              </w:rPr>
            </w:pPr>
            <w:r>
              <w:rPr>
                <w:rFonts w:hint="eastAsia" w:ascii="宋体" w:hAnsi="宋体" w:cs="宋体"/>
                <w:color w:val="000000"/>
                <w:kern w:val="0"/>
                <w:sz w:val="21"/>
                <w:lang w:bidi="ar"/>
              </w:rPr>
              <w:t>人行通道</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98709BE">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砾质黏土</w:t>
            </w:r>
          </w:p>
        </w:tc>
      </w:tr>
      <w:tr w14:paraId="4C2AF07D">
        <w:tblPrEx>
          <w:tblCellMar>
            <w:top w:w="0" w:type="dxa"/>
            <w:left w:w="0" w:type="dxa"/>
            <w:bottom w:w="0" w:type="dxa"/>
            <w:right w:w="0" w:type="dxa"/>
          </w:tblCellMar>
        </w:tblPrEx>
        <w:trPr>
          <w:trHeight w:val="1035"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A51B157">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2020</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E338D35">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22516F9">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深圳地铁深外高中站</w:t>
            </w:r>
            <w:r>
              <w:rPr>
                <w:rStyle w:val="105"/>
                <w:lang w:bidi="ar"/>
              </w:rPr>
              <w:t>B</w:t>
            </w:r>
            <w:r>
              <w:rPr>
                <w:rStyle w:val="104"/>
                <w:rFonts w:hint="default"/>
                <w:lang w:bidi="ar"/>
              </w:rPr>
              <w:t>出入口顶管工程</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910321E">
            <w:pPr>
              <w:widowControl/>
              <w:spacing w:line="240" w:lineRule="auto"/>
              <w:jc w:val="center"/>
              <w:textAlignment w:val="center"/>
              <w:rPr>
                <w:color w:val="000000"/>
                <w:sz w:val="21"/>
              </w:rPr>
            </w:pPr>
            <w:r>
              <w:rPr>
                <w:color w:val="000000"/>
                <w:kern w:val="0"/>
                <w:sz w:val="21"/>
                <w:lang w:bidi="ar"/>
              </w:rPr>
              <w:t>6.9×4.9</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9C3B498">
            <w:pPr>
              <w:widowControl/>
              <w:spacing w:line="240" w:lineRule="auto"/>
              <w:jc w:val="center"/>
              <w:textAlignment w:val="center"/>
              <w:rPr>
                <w:color w:val="000000"/>
                <w:sz w:val="21"/>
              </w:rPr>
            </w:pPr>
            <w:r>
              <w:rPr>
                <w:color w:val="000000"/>
                <w:kern w:val="0"/>
                <w:sz w:val="21"/>
                <w:lang w:bidi="ar"/>
              </w:rPr>
              <w:t>75</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62F2379">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土压平衡多刀盘顶管机</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5C471290">
            <w:pPr>
              <w:widowControl/>
              <w:spacing w:line="240" w:lineRule="auto"/>
              <w:jc w:val="left"/>
              <w:textAlignment w:val="center"/>
              <w:rPr>
                <w:rFonts w:ascii="宋体" w:hAnsi="宋体" w:cs="宋体"/>
                <w:color w:val="000000"/>
                <w:sz w:val="21"/>
              </w:rPr>
            </w:pPr>
            <w:r>
              <w:rPr>
                <w:rFonts w:hint="eastAsia" w:ascii="宋体" w:hAnsi="宋体" w:cs="宋体"/>
                <w:color w:val="000000"/>
                <w:kern w:val="0"/>
                <w:sz w:val="21"/>
                <w:lang w:bidi="ar"/>
              </w:rPr>
              <w:t>地铁出入口</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C297214">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残积土、砾质黏土</w:t>
            </w:r>
          </w:p>
        </w:tc>
      </w:tr>
      <w:tr w14:paraId="7A9A2DA4">
        <w:tblPrEx>
          <w:tblCellMar>
            <w:top w:w="0" w:type="dxa"/>
            <w:left w:w="0" w:type="dxa"/>
            <w:bottom w:w="0" w:type="dxa"/>
            <w:right w:w="0" w:type="dxa"/>
          </w:tblCellMar>
        </w:tblPrEx>
        <w:trPr>
          <w:trHeight w:val="1020"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FE76707">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2020</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D0F8F5D">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A5E4DFE">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广州南沙新区综合管廊下穿东新高速顶管工程</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A239E73">
            <w:pPr>
              <w:widowControl/>
              <w:spacing w:line="240" w:lineRule="auto"/>
              <w:jc w:val="center"/>
              <w:textAlignment w:val="center"/>
              <w:rPr>
                <w:color w:val="000000"/>
                <w:sz w:val="21"/>
              </w:rPr>
            </w:pPr>
            <w:r>
              <w:rPr>
                <w:color w:val="000000"/>
                <w:kern w:val="0"/>
                <w:sz w:val="21"/>
                <w:lang w:bidi="ar"/>
              </w:rPr>
              <w:t>9.1×5.5</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24B52FD">
            <w:pPr>
              <w:widowControl/>
              <w:spacing w:line="240" w:lineRule="auto"/>
              <w:jc w:val="center"/>
              <w:textAlignment w:val="center"/>
              <w:rPr>
                <w:color w:val="000000"/>
                <w:sz w:val="21"/>
              </w:rPr>
            </w:pPr>
            <w:r>
              <w:rPr>
                <w:color w:val="000000"/>
                <w:kern w:val="0"/>
                <w:sz w:val="21"/>
                <w:lang w:bidi="ar"/>
              </w:rPr>
              <w:t>2</w:t>
            </w:r>
            <w:r>
              <w:rPr>
                <w:rStyle w:val="104"/>
                <w:rFonts w:hint="default"/>
                <w:lang w:bidi="ar"/>
              </w:rPr>
              <w:t>段，共</w:t>
            </w:r>
            <w:r>
              <w:rPr>
                <w:rStyle w:val="105"/>
                <w:lang w:bidi="ar"/>
              </w:rPr>
              <w:t>368.2m</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02CBDC4D">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土压平衡多刀盘顶管机</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1EAE858">
            <w:pPr>
              <w:widowControl/>
              <w:spacing w:line="240" w:lineRule="auto"/>
              <w:jc w:val="left"/>
              <w:textAlignment w:val="center"/>
              <w:rPr>
                <w:rFonts w:ascii="宋体" w:hAnsi="宋体" w:cs="宋体"/>
                <w:color w:val="000000"/>
                <w:sz w:val="21"/>
              </w:rPr>
            </w:pPr>
            <w:r>
              <w:rPr>
                <w:rFonts w:hint="eastAsia" w:ascii="宋体" w:hAnsi="宋体" w:cs="宋体"/>
                <w:color w:val="000000"/>
                <w:kern w:val="0"/>
                <w:sz w:val="21"/>
                <w:lang w:bidi="ar"/>
              </w:rPr>
              <w:t>综合管廊</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485D8D9E">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淤泥质土</w:t>
            </w:r>
          </w:p>
        </w:tc>
      </w:tr>
      <w:tr w14:paraId="449D30D4">
        <w:tblPrEx>
          <w:tblCellMar>
            <w:top w:w="0" w:type="dxa"/>
            <w:left w:w="0" w:type="dxa"/>
            <w:bottom w:w="0" w:type="dxa"/>
            <w:right w:w="0" w:type="dxa"/>
          </w:tblCellMar>
        </w:tblPrEx>
        <w:trPr>
          <w:trHeight w:val="765" w:hRule="atLeast"/>
          <w:jc w:val="center"/>
        </w:trPr>
        <w:tc>
          <w:tcPr>
            <w:tcW w:w="73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3C557049">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在建</w:t>
            </w:r>
          </w:p>
        </w:tc>
        <w:tc>
          <w:tcPr>
            <w:tcW w:w="920"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B096312">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珠海</w:t>
            </w:r>
          </w:p>
        </w:tc>
        <w:tc>
          <w:tcPr>
            <w:tcW w:w="196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6821002F">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珠海环屏路工程施工项目</w:t>
            </w:r>
          </w:p>
        </w:tc>
        <w:tc>
          <w:tcPr>
            <w:tcW w:w="111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293B8A91">
            <w:pPr>
              <w:widowControl/>
              <w:spacing w:line="240" w:lineRule="auto"/>
              <w:jc w:val="center"/>
              <w:textAlignment w:val="center"/>
              <w:rPr>
                <w:color w:val="000000"/>
                <w:sz w:val="21"/>
              </w:rPr>
            </w:pPr>
            <w:r>
              <w:rPr>
                <w:color w:val="000000"/>
                <w:kern w:val="0"/>
                <w:sz w:val="21"/>
                <w:lang w:bidi="ar"/>
              </w:rPr>
              <w:t>10.4×7.55</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B5F50CC">
            <w:pPr>
              <w:widowControl/>
              <w:spacing w:line="240" w:lineRule="auto"/>
              <w:jc w:val="center"/>
              <w:textAlignment w:val="center"/>
              <w:rPr>
                <w:color w:val="000000"/>
                <w:sz w:val="21"/>
              </w:rPr>
            </w:pPr>
            <w:r>
              <w:rPr>
                <w:color w:val="000000"/>
                <w:kern w:val="0"/>
                <w:sz w:val="21"/>
                <w:lang w:bidi="ar"/>
              </w:rPr>
              <w:t>2*188</w:t>
            </w:r>
          </w:p>
        </w:tc>
        <w:tc>
          <w:tcPr>
            <w:tcW w:w="128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1FE15EFF">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土压平衡顶管机</w:t>
            </w:r>
          </w:p>
        </w:tc>
        <w:tc>
          <w:tcPr>
            <w:tcW w:w="6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28D3E91">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人行通道</w:t>
            </w:r>
          </w:p>
        </w:tc>
        <w:tc>
          <w:tcPr>
            <w:tcW w:w="1007"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14:paraId="70F37CEC">
            <w:pPr>
              <w:widowControl/>
              <w:spacing w:line="240" w:lineRule="auto"/>
              <w:jc w:val="center"/>
              <w:textAlignment w:val="center"/>
              <w:rPr>
                <w:rFonts w:ascii="宋体" w:hAnsi="宋体" w:cs="宋体"/>
                <w:color w:val="000000"/>
                <w:sz w:val="21"/>
              </w:rPr>
            </w:pPr>
            <w:r>
              <w:rPr>
                <w:rFonts w:hint="eastAsia" w:ascii="宋体" w:hAnsi="宋体" w:cs="宋体"/>
                <w:color w:val="000000"/>
                <w:kern w:val="0"/>
                <w:sz w:val="21"/>
                <w:lang w:bidi="ar"/>
              </w:rPr>
              <w:t>粗砂、砂质粘性土</w:t>
            </w:r>
          </w:p>
        </w:tc>
      </w:tr>
    </w:tbl>
    <w:p w14:paraId="66E4E90E">
      <w:pPr>
        <w:rPr>
          <w:bCs/>
        </w:rPr>
      </w:pPr>
    </w:p>
    <w:p w14:paraId="292915AD">
      <w:r>
        <w:rPr>
          <w:b/>
          <w:bCs/>
        </w:rPr>
        <w:t xml:space="preserve">1.0.2  </w:t>
      </w:r>
      <w:r>
        <w:t>矩形顶管技术是在圆形顶管技术的基础上发展而来，相比于圆形管道，矩形顶管的空间利用率更高，其有效使用面积较圆形增大20%以上，因此，在隧道、管廊、过街通道等工程中比传统施工技术有更大的优势，在市政、公路、轨道交通、铁路工程中应用愈发广泛。目前矩形顶管工程结构主要为钢筋混凝土结构，外包钢壳的结构也逐渐成为研究重点；顶管机主要包括土压平衡式顶管机与泥水平衡式顶管机。</w:t>
      </w:r>
      <w:r>
        <w:rPr>
          <w:rFonts w:hint="eastAsia"/>
        </w:rPr>
        <w:t>广东省</w:t>
      </w:r>
      <w:r>
        <w:t>横断面积大于20m</w:t>
      </w:r>
      <w:r>
        <w:rPr>
          <w:vertAlign w:val="superscript"/>
        </w:rPr>
        <w:t>2</w:t>
      </w:r>
      <w:r>
        <w:t>的矩形钢筋混凝土顶管工程实践案例丰富，本规程在此基础上进行了归纳总结。</w:t>
      </w:r>
      <w:r>
        <w:rPr>
          <w:rFonts w:hint="eastAsia"/>
        </w:rPr>
        <w:t>类矩形顶管工程可参照本规程执行。</w:t>
      </w:r>
    </w:p>
    <w:p w14:paraId="3213E5C5"/>
    <w:p w14:paraId="0E29E51E">
      <w:pPr>
        <w:widowControl/>
        <w:spacing w:line="240" w:lineRule="auto"/>
        <w:jc w:val="left"/>
      </w:pPr>
      <w:r>
        <w:br w:type="page"/>
      </w:r>
    </w:p>
    <w:p w14:paraId="534BFA0E">
      <w:pPr>
        <w:pStyle w:val="2"/>
        <w:rPr>
          <w:rFonts w:cs="Times New Roman"/>
        </w:rPr>
      </w:pPr>
      <w:bookmarkStart w:id="658" w:name="_Toc60172943"/>
      <w:bookmarkStart w:id="659" w:name="_Toc12739"/>
      <w:bookmarkStart w:id="660" w:name="_Toc60173303"/>
      <w:bookmarkStart w:id="661" w:name="_Toc60173830"/>
      <w:r>
        <w:rPr>
          <w:rFonts w:hint="eastAsia" w:cs="Times New Roman"/>
        </w:rPr>
        <w:t>3</w:t>
      </w:r>
      <w:r>
        <w:rPr>
          <w:rFonts w:cs="Times New Roman"/>
        </w:rPr>
        <w:t xml:space="preserve">  </w:t>
      </w:r>
      <w:r>
        <w:rPr>
          <w:rFonts w:hint="eastAsia" w:cs="Times New Roman"/>
        </w:rPr>
        <w:t>基本规定</w:t>
      </w:r>
      <w:bookmarkEnd w:id="658"/>
      <w:bookmarkEnd w:id="659"/>
      <w:bookmarkEnd w:id="660"/>
      <w:bookmarkEnd w:id="661"/>
    </w:p>
    <w:p w14:paraId="7FF7A4EC">
      <w:pPr>
        <w:rPr>
          <w:b/>
          <w:bCs/>
        </w:rPr>
      </w:pPr>
      <w:r>
        <w:rPr>
          <w:rFonts w:hint="eastAsia"/>
          <w:b/>
          <w:bCs/>
        </w:rPr>
        <w:t xml:space="preserve">3.0.4  </w:t>
      </w:r>
      <w:r>
        <w:rPr>
          <w:rFonts w:hint="eastAsia"/>
        </w:rPr>
        <w:t>其他隧道结构防水应为二级，</w:t>
      </w:r>
      <w:r>
        <w:t>顶部不得滴漏，其他部位不得漏水；表面可有少量湿渍，总湿渍面积不应大于总防水面积的2/1000。任意100m</w:t>
      </w:r>
      <w:r>
        <w:rPr>
          <w:vertAlign w:val="superscript"/>
        </w:rPr>
        <w:t>2</w:t>
      </w:r>
      <w:r>
        <w:t>防水面积上湿渍不应超过3处，单个湿渍最大面积不应大于0.2m</w:t>
      </w:r>
      <w:r>
        <w:rPr>
          <w:vertAlign w:val="superscript"/>
        </w:rPr>
        <w:t>2</w:t>
      </w:r>
      <w:r>
        <w:t>。平均渗水量不</w:t>
      </w:r>
      <w:r>
        <w:rPr>
          <w:rFonts w:hint="eastAsia"/>
        </w:rPr>
        <w:t>应</w:t>
      </w:r>
      <w:r>
        <w:t>大于0.05L/（m</w:t>
      </w:r>
      <w:r>
        <w:rPr>
          <w:vertAlign w:val="superscript"/>
        </w:rPr>
        <w:t>2</w:t>
      </w:r>
      <w:r>
        <w:rPr>
          <w:rFonts w:hint="eastAsia" w:ascii="仿宋_GB2312" w:hAnsi="仿宋_GB2312" w:eastAsia="仿宋_GB2312" w:cs="仿宋_GB2312"/>
        </w:rPr>
        <w:t>·</w:t>
      </w:r>
      <w:r>
        <w:t>d），任意1000m</w:t>
      </w:r>
      <w:r>
        <w:rPr>
          <w:vertAlign w:val="superscript"/>
        </w:rPr>
        <w:t>2</w:t>
      </w:r>
      <w:r>
        <w:t>防水面积上的渗水量不</w:t>
      </w:r>
      <w:r>
        <w:rPr>
          <w:rFonts w:hint="eastAsia"/>
        </w:rPr>
        <w:t>应</w:t>
      </w:r>
      <w:r>
        <w:t>大于0.15L/（m</w:t>
      </w:r>
      <w:r>
        <w:rPr>
          <w:vertAlign w:val="superscript"/>
        </w:rPr>
        <w:t>2</w:t>
      </w:r>
      <w:r>
        <w:rPr>
          <w:rFonts w:hint="eastAsia" w:ascii="仿宋_GB2312" w:hAnsi="仿宋_GB2312" w:eastAsia="仿宋_GB2312" w:cs="仿宋_GB2312"/>
        </w:rPr>
        <w:t>·</w:t>
      </w:r>
      <w:r>
        <w:t>d）</w:t>
      </w:r>
    </w:p>
    <w:p w14:paraId="14F1C1C5">
      <w:r>
        <w:rPr>
          <w:rFonts w:hint="eastAsia"/>
          <w:b/>
          <w:bCs/>
        </w:rPr>
        <w:t>3.0.7</w:t>
      </w:r>
      <w:r>
        <w:rPr>
          <w:rFonts w:hint="eastAsia"/>
        </w:rPr>
        <w:t xml:space="preserve">  矩形顶管设备应按照现行国家有关标准验收合格。</w:t>
      </w:r>
    </w:p>
    <w:p w14:paraId="5C00C4A1">
      <w:pPr>
        <w:sectPr>
          <w:pgSz w:w="11850" w:h="16783"/>
          <w:pgMar w:top="1440" w:right="1800" w:bottom="1440" w:left="1800" w:header="720" w:footer="720" w:gutter="0"/>
          <w:cols w:space="720" w:num="1"/>
          <w:docGrid w:linePitch="360" w:charSpace="0"/>
        </w:sectPr>
      </w:pPr>
    </w:p>
    <w:p w14:paraId="0D5186CF">
      <w:pPr>
        <w:pStyle w:val="2"/>
        <w:rPr>
          <w:rFonts w:cs="Times New Roman"/>
        </w:rPr>
      </w:pPr>
      <w:bookmarkStart w:id="662" w:name="_Toc60173304"/>
      <w:bookmarkStart w:id="663" w:name="_Toc33214137"/>
      <w:bookmarkStart w:id="664" w:name="_Toc60172944"/>
      <w:bookmarkStart w:id="665" w:name="_Toc12693"/>
      <w:bookmarkStart w:id="666" w:name="_Toc27288"/>
      <w:bookmarkStart w:id="667" w:name="_Toc60173831"/>
      <w:bookmarkStart w:id="668" w:name="_Toc10933"/>
      <w:bookmarkStart w:id="669" w:name="_Toc29611"/>
      <w:bookmarkStart w:id="670" w:name="_Toc18523"/>
      <w:bookmarkStart w:id="671" w:name="_Toc23404"/>
      <w:r>
        <w:rPr>
          <w:rFonts w:cs="Times New Roman"/>
        </w:rPr>
        <w:t>4  工程勘察</w:t>
      </w:r>
      <w:bookmarkEnd w:id="662"/>
      <w:bookmarkEnd w:id="663"/>
      <w:bookmarkEnd w:id="664"/>
      <w:bookmarkEnd w:id="665"/>
      <w:bookmarkEnd w:id="666"/>
      <w:bookmarkEnd w:id="667"/>
      <w:bookmarkEnd w:id="668"/>
      <w:bookmarkEnd w:id="669"/>
      <w:bookmarkEnd w:id="670"/>
      <w:bookmarkEnd w:id="671"/>
    </w:p>
    <w:p w14:paraId="56B73DE6">
      <w:pPr>
        <w:pStyle w:val="3"/>
        <w:rPr>
          <w:rFonts w:eastAsia="黑体" w:cs="Times New Roman"/>
          <w:b w:val="0"/>
        </w:rPr>
      </w:pPr>
      <w:bookmarkStart w:id="672" w:name="_Toc60172945"/>
      <w:bookmarkStart w:id="673" w:name="_Toc17739"/>
      <w:bookmarkStart w:id="674" w:name="_Toc23321"/>
      <w:bookmarkStart w:id="675" w:name="_Toc7515"/>
      <w:bookmarkStart w:id="676" w:name="_Toc33214138"/>
      <w:bookmarkStart w:id="677" w:name="_Toc60173305"/>
      <w:bookmarkStart w:id="678" w:name="_Toc12202"/>
      <w:bookmarkStart w:id="679" w:name="_Toc60173832"/>
      <w:bookmarkStart w:id="680" w:name="_Toc17036"/>
      <w:bookmarkStart w:id="681" w:name="_Toc1312"/>
      <w:r>
        <w:rPr>
          <w:rFonts w:eastAsia="黑体" w:cs="Times New Roman"/>
        </w:rPr>
        <w:t>4.1</w:t>
      </w:r>
      <w:r>
        <w:rPr>
          <w:rFonts w:eastAsia="黑体" w:cs="Times New Roman"/>
          <w:b w:val="0"/>
        </w:rPr>
        <w:t xml:space="preserve">  一般规定</w:t>
      </w:r>
      <w:bookmarkEnd w:id="672"/>
      <w:bookmarkEnd w:id="673"/>
      <w:bookmarkEnd w:id="674"/>
      <w:bookmarkEnd w:id="675"/>
      <w:bookmarkEnd w:id="676"/>
      <w:bookmarkEnd w:id="677"/>
      <w:bookmarkEnd w:id="678"/>
      <w:bookmarkEnd w:id="679"/>
      <w:bookmarkEnd w:id="680"/>
      <w:bookmarkEnd w:id="681"/>
    </w:p>
    <w:p w14:paraId="4B228A58">
      <w:r>
        <w:rPr>
          <w:b/>
          <w:bCs/>
        </w:rPr>
        <w:t>4.1.6</w:t>
      </w:r>
      <w:r>
        <w:t xml:space="preserve">  在顶管轴线范围内可能存在孤石或其他地下障碍物时，需要采用工程物探等手段进一步探明孤石或地下障碍物范围，并在平面图和地质剖面图上标注。</w:t>
      </w:r>
    </w:p>
    <w:p w14:paraId="0922B64B"/>
    <w:p w14:paraId="4AC5D2BD">
      <w:pPr>
        <w:ind w:firstLine="480" w:firstLineChars="200"/>
      </w:pPr>
    </w:p>
    <w:p w14:paraId="068E16B8">
      <w:pPr>
        <w:widowControl/>
        <w:spacing w:line="240" w:lineRule="auto"/>
        <w:jc w:val="left"/>
      </w:pPr>
      <w:r>
        <w:br w:type="page"/>
      </w:r>
    </w:p>
    <w:p w14:paraId="12D4241F">
      <w:pPr>
        <w:pStyle w:val="2"/>
        <w:rPr>
          <w:rFonts w:cs="Times New Roman" w:eastAsiaTheme="minorEastAsia"/>
        </w:rPr>
      </w:pPr>
      <w:bookmarkStart w:id="682" w:name="_Toc18104"/>
      <w:bookmarkStart w:id="683" w:name="_Toc7296"/>
      <w:bookmarkStart w:id="684" w:name="_Toc22219"/>
      <w:bookmarkStart w:id="685" w:name="_Toc15409"/>
      <w:bookmarkStart w:id="686" w:name="_Toc12246"/>
      <w:bookmarkStart w:id="687" w:name="_Toc1826"/>
      <w:r>
        <w:rPr>
          <w:rFonts w:cs="Times New Roman"/>
        </w:rPr>
        <w:fldChar w:fldCharType="begin"/>
      </w:r>
      <w:r>
        <w:rPr>
          <w:rFonts w:cs="Times New Roman"/>
        </w:rPr>
        <w:instrText xml:space="preserve"> HYPERLINK \l "_Toc31145" </w:instrText>
      </w:r>
      <w:r>
        <w:rPr>
          <w:rFonts w:cs="Times New Roman"/>
        </w:rPr>
        <w:fldChar w:fldCharType="separate"/>
      </w:r>
      <w:bookmarkStart w:id="688" w:name="_Toc60173833"/>
      <w:bookmarkStart w:id="689" w:name="_Toc60173306"/>
      <w:bookmarkStart w:id="690" w:name="_Toc33214140"/>
      <w:bookmarkStart w:id="691" w:name="_Toc60172946"/>
      <w:r>
        <w:rPr>
          <w:rFonts w:cs="Times New Roman" w:eastAsiaTheme="minorEastAsia"/>
        </w:rPr>
        <w:t>5  顶管设计</w:t>
      </w:r>
      <w:bookmarkEnd w:id="688"/>
      <w:bookmarkEnd w:id="689"/>
      <w:bookmarkEnd w:id="690"/>
      <w:bookmarkEnd w:id="691"/>
      <w:r>
        <w:rPr>
          <w:rFonts w:cs="Times New Roman" w:eastAsiaTheme="minorEastAsia"/>
        </w:rPr>
        <w:fldChar w:fldCharType="end"/>
      </w:r>
      <w:bookmarkEnd w:id="682"/>
      <w:bookmarkEnd w:id="683"/>
      <w:bookmarkEnd w:id="684"/>
      <w:bookmarkEnd w:id="685"/>
      <w:bookmarkEnd w:id="686"/>
      <w:bookmarkEnd w:id="687"/>
    </w:p>
    <w:p w14:paraId="44663562">
      <w:pPr>
        <w:pStyle w:val="3"/>
        <w:rPr>
          <w:rFonts w:eastAsia="黑体" w:cs="Times New Roman"/>
          <w:b w:val="0"/>
        </w:rPr>
      </w:pPr>
      <w:bookmarkStart w:id="692" w:name="_Toc33214141"/>
      <w:bookmarkStart w:id="693" w:name="_Toc60172947"/>
      <w:bookmarkStart w:id="694" w:name="_Toc60173307"/>
      <w:bookmarkStart w:id="695" w:name="_Toc27486"/>
      <w:bookmarkStart w:id="696" w:name="_Toc27937"/>
      <w:bookmarkStart w:id="697" w:name="_Toc8257"/>
      <w:bookmarkStart w:id="698" w:name="_Toc30622"/>
      <w:bookmarkStart w:id="699" w:name="_Toc60173834"/>
      <w:bookmarkStart w:id="700" w:name="_Toc28632"/>
      <w:bookmarkStart w:id="701" w:name="_Toc19915"/>
      <w:r>
        <w:rPr>
          <w:rFonts w:eastAsia="黑体" w:cs="Times New Roman"/>
        </w:rPr>
        <w:t>5.1</w:t>
      </w:r>
      <w:r>
        <w:rPr>
          <w:rFonts w:eastAsia="黑体" w:cs="Times New Roman"/>
          <w:b w:val="0"/>
        </w:rPr>
        <w:t xml:space="preserve">  一般规定</w:t>
      </w:r>
      <w:bookmarkEnd w:id="692"/>
      <w:bookmarkEnd w:id="693"/>
      <w:bookmarkEnd w:id="694"/>
      <w:bookmarkEnd w:id="695"/>
      <w:bookmarkEnd w:id="696"/>
      <w:bookmarkEnd w:id="697"/>
      <w:bookmarkEnd w:id="698"/>
      <w:bookmarkEnd w:id="699"/>
      <w:bookmarkEnd w:id="700"/>
      <w:bookmarkEnd w:id="701"/>
      <w:r>
        <w:rPr>
          <w:rFonts w:eastAsia="黑体" w:cs="Times New Roman"/>
          <w:b w:val="0"/>
        </w:rPr>
        <w:t xml:space="preserve"> </w:t>
      </w:r>
    </w:p>
    <w:p w14:paraId="4EF40E9A">
      <w:r>
        <w:rPr>
          <w:b/>
          <w:bCs/>
        </w:rPr>
        <w:t xml:space="preserve">5.1.3  </w:t>
      </w:r>
      <w:r>
        <w:t>承载能力极限状态计算：对应于管道结构达到最大承载能力，管体或连接构件因材料强度被超过而破坏；管道结构因过量变形而不能继续承载或丧失稳定（如横截面压屈等）；管道结构作为刚体失去平衡（横向滑移、上浮等）；</w:t>
      </w:r>
    </w:p>
    <w:p w14:paraId="1E2252BA">
      <w:pPr>
        <w:ind w:firstLine="566" w:firstLineChars="236"/>
      </w:pPr>
      <w:r>
        <w:t>正常使用极限状态验算：对应于管道结构达到正常使用的某项规定限值或耐久性能的某种规定状态，如变形量限值或控制开裂的裂缝宽度限值等。</w:t>
      </w:r>
    </w:p>
    <w:p w14:paraId="5E954727">
      <w:r>
        <w:rPr>
          <w:b/>
          <w:bCs/>
        </w:rPr>
        <w:t>5.1.4</w:t>
      </w:r>
      <w:r>
        <w:t xml:space="preserve">  顶管工程结构设计与计算可分为施工阶段和使用阶段，本条规定了顶管工程结构使用阶段的设计与计算，其中包括构件截面计算、构造设计和地基基础设计等。根据不同应用行业，执行相关行业的现行标准。</w:t>
      </w:r>
    </w:p>
    <w:p w14:paraId="62AB43A0"/>
    <w:p w14:paraId="4B11A9BA">
      <w:pPr>
        <w:pStyle w:val="3"/>
        <w:rPr>
          <w:rFonts w:eastAsia="黑体" w:cs="Times New Roman"/>
          <w:b w:val="0"/>
        </w:rPr>
      </w:pPr>
      <w:bookmarkStart w:id="702" w:name="_Toc60173835"/>
      <w:bookmarkStart w:id="703" w:name="_Toc32513"/>
      <w:bookmarkStart w:id="704" w:name="_Toc16933"/>
      <w:bookmarkStart w:id="705" w:name="_Toc33214142"/>
      <w:bookmarkStart w:id="706" w:name="_Toc31567"/>
      <w:bookmarkStart w:id="707" w:name="_Toc3021"/>
      <w:bookmarkStart w:id="708" w:name="_Toc60172948"/>
      <w:bookmarkStart w:id="709" w:name="_Toc60173308"/>
      <w:bookmarkStart w:id="710" w:name="_Toc29247"/>
      <w:bookmarkStart w:id="711" w:name="_Toc28048"/>
      <w:r>
        <w:rPr>
          <w:rFonts w:eastAsia="黑体" w:cs="Times New Roman"/>
        </w:rPr>
        <w:t>5.2</w:t>
      </w:r>
      <w:r>
        <w:rPr>
          <w:rFonts w:eastAsia="黑体" w:cs="Times New Roman"/>
          <w:b w:val="0"/>
        </w:rPr>
        <w:t xml:space="preserve">  顶管管位设计</w:t>
      </w:r>
      <w:bookmarkEnd w:id="702"/>
      <w:bookmarkEnd w:id="703"/>
      <w:bookmarkEnd w:id="704"/>
      <w:bookmarkEnd w:id="705"/>
      <w:bookmarkEnd w:id="706"/>
      <w:bookmarkEnd w:id="707"/>
      <w:bookmarkEnd w:id="708"/>
      <w:bookmarkEnd w:id="709"/>
      <w:bookmarkEnd w:id="710"/>
      <w:bookmarkEnd w:id="711"/>
    </w:p>
    <w:p w14:paraId="08C43401">
      <w:pPr>
        <w:rPr>
          <w:b/>
          <w:bCs/>
        </w:rPr>
      </w:pPr>
      <w:r>
        <w:rPr>
          <w:rFonts w:hint="eastAsia"/>
          <w:b/>
          <w:bCs/>
        </w:rPr>
        <w:t xml:space="preserve">5.2.1  </w:t>
      </w:r>
      <w:r>
        <w:rPr>
          <w:rFonts w:hint="eastAsia"/>
        </w:rPr>
        <w:t>顶管作业的工程影响分区可参考现行行业标准《城市轨道交通结构安全保护技术规范》CJJ/T 202中盾构法的相关内容，其中b为顶管隧道的毛洞宽度。对在强烈影响区和显著影响区内的既有建构筑物设计单位应提出有针对性的保护措施和方案，避免因顶管作业影响既有建构筑物的结构安全和正常使用。对在一般影响区内的普通既有建构筑物，如无特别保护要求，可采取加强监测、跟踪注浆的措施进行保护。</w:t>
      </w:r>
    </w:p>
    <w:p w14:paraId="27653A8A">
      <w:r>
        <w:rPr>
          <w:b/>
          <w:bCs/>
        </w:rPr>
        <w:t>5.2.2</w:t>
      </w:r>
      <w:r>
        <w:t xml:space="preserve">  当顶管管位无法选择时，可对此系列地层采取相应的处置措施。</w:t>
      </w:r>
    </w:p>
    <w:p w14:paraId="45B8CB10">
      <w:r>
        <w:rPr>
          <w:b/>
          <w:bCs/>
        </w:rPr>
        <w:t>5.2.4</w:t>
      </w:r>
      <w:r>
        <w:t xml:space="preserve">  本条规定了顶管工程施工时管顶覆土层的最小厚度，而当最小覆土不满足此规定时需要做专项论证。</w:t>
      </w:r>
    </w:p>
    <w:p w14:paraId="11AA479A"/>
    <w:p w14:paraId="769FFCD5">
      <w:pPr>
        <w:pStyle w:val="3"/>
        <w:rPr>
          <w:rFonts w:eastAsia="黑体" w:cs="Times New Roman"/>
          <w:b w:val="0"/>
        </w:rPr>
      </w:pPr>
      <w:bookmarkStart w:id="712" w:name="_Toc60173836"/>
      <w:bookmarkStart w:id="713" w:name="_Toc12105"/>
      <w:bookmarkStart w:id="714" w:name="_Toc60172949"/>
      <w:bookmarkStart w:id="715" w:name="_Toc60173309"/>
      <w:bookmarkStart w:id="716" w:name="_Toc21421"/>
      <w:bookmarkStart w:id="717" w:name="_Toc18220"/>
      <w:bookmarkStart w:id="718" w:name="_Toc24327"/>
      <w:bookmarkStart w:id="719" w:name="_Toc33214143"/>
      <w:bookmarkStart w:id="720" w:name="_Toc9948"/>
      <w:bookmarkStart w:id="721" w:name="_Toc3926"/>
      <w:r>
        <w:rPr>
          <w:rFonts w:eastAsia="黑体" w:cs="Times New Roman"/>
        </w:rPr>
        <w:t>5.3</w:t>
      </w:r>
      <w:r>
        <w:rPr>
          <w:rFonts w:eastAsia="黑体" w:cs="Times New Roman"/>
          <w:b w:val="0"/>
        </w:rPr>
        <w:t xml:space="preserve">  作用</w:t>
      </w:r>
      <w:bookmarkEnd w:id="712"/>
      <w:bookmarkEnd w:id="713"/>
      <w:bookmarkEnd w:id="714"/>
      <w:bookmarkEnd w:id="715"/>
      <w:bookmarkEnd w:id="716"/>
      <w:bookmarkEnd w:id="717"/>
      <w:bookmarkEnd w:id="718"/>
      <w:bookmarkEnd w:id="719"/>
      <w:bookmarkEnd w:id="720"/>
      <w:bookmarkEnd w:id="721"/>
    </w:p>
    <w:p w14:paraId="1FF43DF2">
      <w:r>
        <w:rPr>
          <w:b/>
          <w:bCs/>
        </w:rPr>
        <w:t>5.3.4</w:t>
      </w:r>
      <w:r>
        <w:t xml:space="preserve">  本条规定了作用在矩形管节上的侧向土压力标准值在施工阶段和运维阶段下的计算方法，计算可根据所在地层的不同分为水土分算和水土合算。</w:t>
      </w:r>
      <w:r>
        <w:rPr>
          <w:rFonts w:hint="eastAsia"/>
        </w:rPr>
        <w:t>水土分算是指按有效应力原理，水与土传递的压力分开计算，结构面上侧向总压力等于土传递的压力加上水压力。水土合算是指将水和土传递的压力看做同一分析对象，结构面上侧向总压力等于土压力。</w:t>
      </w:r>
    </w:p>
    <w:p w14:paraId="0372E484"/>
    <w:p w14:paraId="5FDEA79B"/>
    <w:p w14:paraId="78666E44">
      <w:pPr>
        <w:pStyle w:val="3"/>
        <w:rPr>
          <w:rFonts w:eastAsia="黑体" w:cs="Times New Roman"/>
          <w:b w:val="0"/>
        </w:rPr>
      </w:pPr>
      <w:bookmarkStart w:id="722" w:name="_Toc32758"/>
      <w:bookmarkStart w:id="723" w:name="_Toc25381"/>
      <w:bookmarkStart w:id="724" w:name="_Toc60173310"/>
      <w:bookmarkStart w:id="725" w:name="_Toc60172950"/>
      <w:bookmarkStart w:id="726" w:name="_Toc15305"/>
      <w:bookmarkStart w:id="727" w:name="_Toc60173837"/>
      <w:bookmarkStart w:id="728" w:name="_Toc3880"/>
      <w:bookmarkStart w:id="729" w:name="_Toc31212"/>
      <w:bookmarkStart w:id="730" w:name="_Toc20405"/>
      <w:bookmarkStart w:id="731" w:name="_Toc33214144"/>
      <w:r>
        <w:rPr>
          <w:rFonts w:eastAsia="黑体" w:cs="Times New Roman"/>
        </w:rPr>
        <w:t>5.5</w:t>
      </w:r>
      <w:r>
        <w:rPr>
          <w:rFonts w:eastAsia="黑体" w:cs="Times New Roman"/>
          <w:b w:val="0"/>
        </w:rPr>
        <w:t xml:space="preserve">  管节构造设计</w:t>
      </w:r>
      <w:bookmarkEnd w:id="722"/>
      <w:bookmarkEnd w:id="723"/>
      <w:bookmarkEnd w:id="724"/>
      <w:bookmarkEnd w:id="725"/>
      <w:bookmarkEnd w:id="726"/>
      <w:bookmarkEnd w:id="727"/>
      <w:bookmarkEnd w:id="728"/>
      <w:bookmarkEnd w:id="729"/>
      <w:bookmarkEnd w:id="730"/>
      <w:bookmarkEnd w:id="731"/>
    </w:p>
    <w:p w14:paraId="5CDF91A1">
      <w:r>
        <w:rPr>
          <w:b/>
          <w:bCs/>
        </w:rPr>
        <w:t>5.5.1</w:t>
      </w:r>
      <w:r>
        <w:t xml:space="preserve">  本条对管节最外层钢筋的混凝土保护层厚度做出了规定，确定原则需要考虑两点：一是工程安全等级；二是管节在不同环境下（直接与水接触和不直接与水接触）。</w:t>
      </w:r>
    </w:p>
    <w:p w14:paraId="6F9C36DD"/>
    <w:p w14:paraId="17FC64D9">
      <w:pPr>
        <w:pStyle w:val="3"/>
        <w:rPr>
          <w:rFonts w:eastAsia="黑体" w:cs="Times New Roman"/>
          <w:b w:val="0"/>
        </w:rPr>
      </w:pPr>
      <w:bookmarkStart w:id="732" w:name="_Toc32369"/>
      <w:bookmarkStart w:id="733" w:name="_Toc60173311"/>
      <w:bookmarkStart w:id="734" w:name="_Toc3359"/>
      <w:bookmarkStart w:id="735" w:name="_Toc5189"/>
      <w:bookmarkStart w:id="736" w:name="_Toc33214145"/>
      <w:bookmarkStart w:id="737" w:name="_Toc60173838"/>
      <w:bookmarkStart w:id="738" w:name="_Toc60172951"/>
      <w:bookmarkStart w:id="739" w:name="_Toc18200"/>
      <w:r>
        <w:rPr>
          <w:rFonts w:eastAsia="黑体" w:cs="Times New Roman"/>
        </w:rPr>
        <w:t>5.6</w:t>
      </w:r>
      <w:r>
        <w:rPr>
          <w:rFonts w:eastAsia="黑体" w:cs="Times New Roman"/>
          <w:b w:val="0"/>
        </w:rPr>
        <w:t xml:space="preserve">  </w:t>
      </w:r>
      <w:r>
        <w:rPr>
          <w:rFonts w:hint="eastAsia" w:eastAsia="黑体" w:cs="Times New Roman"/>
          <w:b w:val="0"/>
        </w:rPr>
        <w:t>顶管总顶力计算与中继间设置原则</w:t>
      </w:r>
      <w:bookmarkEnd w:id="732"/>
      <w:bookmarkEnd w:id="733"/>
      <w:bookmarkEnd w:id="734"/>
      <w:bookmarkEnd w:id="735"/>
      <w:bookmarkEnd w:id="736"/>
      <w:bookmarkEnd w:id="737"/>
      <w:bookmarkEnd w:id="738"/>
      <w:bookmarkEnd w:id="739"/>
    </w:p>
    <w:p w14:paraId="5214ECC0">
      <w:r>
        <w:rPr>
          <w:b/>
          <w:bCs/>
        </w:rPr>
        <w:t>5.6.2</w:t>
      </w:r>
      <w:r>
        <w:t xml:space="preserve">  顶管施工基本采用压力平衡式顶管机（土压平衡或泥水平衡），为了保证顶管机开挖面的土体稳定，需要保证顶管机端面压力与地层土压力值平衡，可以根据这个平衡关系确定迎面阻力的大小，则得出泥水、土压平衡式顶管机的迎面阻力计算公式。</w:t>
      </w:r>
    </w:p>
    <w:p w14:paraId="1ABA53A6">
      <w:pPr>
        <w:rPr>
          <w:rFonts w:eastAsia="黑体"/>
        </w:rPr>
      </w:pPr>
      <w:r>
        <w:rPr>
          <w:b/>
          <w:bCs/>
        </w:rPr>
        <w:t>5.6.6</w:t>
      </w:r>
      <w:r>
        <w:t xml:space="preserve">  矩形管节断面较大，在工程施工过程中需采用触变泥浆减阻，在矩形顶管外侧形成稳定泥浆套时，管节与土体接触面的摩阻力要结合地区经验取值，</w:t>
      </w:r>
      <w:r>
        <w:rPr>
          <w:rFonts w:hint="eastAsia"/>
        </w:rPr>
        <w:t>本</w:t>
      </w:r>
      <w:r>
        <w:t>规程表5.6.3给出了混凝土、钢与不同土质在顶管外侧形成稳定泥浆套的接触面摩阻力参考值。</w:t>
      </w:r>
    </w:p>
    <w:p w14:paraId="1434CA85"/>
    <w:p w14:paraId="7C5EC4E2">
      <w:pPr>
        <w:pStyle w:val="3"/>
        <w:rPr>
          <w:rFonts w:eastAsia="黑体" w:cs="Times New Roman"/>
          <w:b w:val="0"/>
        </w:rPr>
      </w:pPr>
      <w:bookmarkStart w:id="740" w:name="_Toc60172952"/>
      <w:bookmarkStart w:id="741" w:name="_Toc15627"/>
      <w:bookmarkStart w:id="742" w:name="_Toc33214147"/>
      <w:bookmarkStart w:id="743" w:name="_Toc16504"/>
      <w:bookmarkStart w:id="744" w:name="_Toc15345"/>
      <w:bookmarkStart w:id="745" w:name="_Toc27482"/>
      <w:bookmarkStart w:id="746" w:name="_Toc32588"/>
      <w:bookmarkStart w:id="747" w:name="_Toc60173839"/>
      <w:bookmarkStart w:id="748" w:name="_Toc14889"/>
      <w:bookmarkStart w:id="749" w:name="_Toc60173312"/>
      <w:r>
        <w:rPr>
          <w:rFonts w:eastAsia="黑体" w:cs="Times New Roman"/>
        </w:rPr>
        <w:t>5.7</w:t>
      </w:r>
      <w:r>
        <w:rPr>
          <w:rFonts w:eastAsia="黑体" w:cs="Times New Roman"/>
          <w:b w:val="0"/>
        </w:rPr>
        <w:t xml:space="preserve">  工作井设计</w:t>
      </w:r>
      <w:bookmarkEnd w:id="740"/>
      <w:bookmarkEnd w:id="741"/>
      <w:bookmarkEnd w:id="742"/>
      <w:bookmarkEnd w:id="743"/>
      <w:bookmarkEnd w:id="744"/>
      <w:bookmarkEnd w:id="745"/>
      <w:bookmarkEnd w:id="746"/>
      <w:bookmarkEnd w:id="747"/>
      <w:bookmarkEnd w:id="748"/>
      <w:bookmarkEnd w:id="749"/>
    </w:p>
    <w:p w14:paraId="375D82EC">
      <w:r>
        <w:rPr>
          <w:b/>
          <w:bCs/>
        </w:rPr>
        <w:t>5.7.</w:t>
      </w:r>
      <w:r>
        <w:rPr>
          <w:rFonts w:hint="eastAsia"/>
          <w:b/>
          <w:bCs/>
        </w:rPr>
        <w:t>2</w:t>
      </w:r>
      <w:r>
        <w:t xml:space="preserve">  始发井可为圆形或矩形，由于矩形顶管工程断面较大，为便于设备安装和始发井空间有效利用，目前矩形顶管工程工作井主要采用矩形。矩形工作井按结构又可分为整体式沉井类型和基坑型。由于矩形顶管断面大，需要总顶力大，要求对始发井后背土体允许最大顶力进行验算，不满足要求时，应对土体进行加固设计或增设反力地下结构。在顶管施工前，矩形沉井井壁与土体间的土压力和圆形沉井的类似，为静止土压力与主动土压力之间某一值，由于沉井结构刚度较大，也可假设为静止土压力。</w:t>
      </w:r>
    </w:p>
    <w:p w14:paraId="28CFFEB5">
      <w:pPr>
        <w:ind w:firstLine="480" w:firstLineChars="200"/>
      </w:pPr>
      <w:r>
        <w:rPr>
          <w:rFonts w:hint="eastAsia"/>
        </w:rPr>
        <w:t>始发</w:t>
      </w:r>
      <w:r>
        <w:t>井的变形主要由井位移和后座井壁的弹性变形组成。当开始顶进时，量值较小的顶力反力最初被作用于后背井壁的静止土压力平衡。随着顶力的增大，顶力反力会由后背土体和井侧壁摩阻力及井底摩阻力共同承担。当静摩阻力大于井侧壁摩阻力和井底摩阻力合力时，井体不产生位移。当顶力反力很大，足够克服井侧壁和井底的滑动摩阻力合力时，井体开始产生顶进相反方向的位移。随着井体的倾斜变大，井体前壁所需较小的位移就可使前壁土体率先达到主动土压力。后背土体的位移等于后座井壁的变形加上井体位移，当其位移足够大时，最大土压力就会达到被动土压力，此时井体处于临界状态。若顶力反力再次增加，后背土体就会发生破坏，沉井井体也会因此倾覆。</w:t>
      </w:r>
    </w:p>
    <w:p w14:paraId="1E5BE37F">
      <w:r>
        <w:rPr>
          <w:b/>
          <w:bCs/>
        </w:rPr>
        <w:t>5.7.8</w:t>
      </w:r>
      <w:r>
        <w:t xml:space="preserve">  反力墙是顶进管道时为液压缸提供反作用力的一种结构，有时也称为后座、后背或者后背墙等。</w:t>
      </w:r>
    </w:p>
    <w:p w14:paraId="49AFF0FB">
      <w:pPr>
        <w:ind w:firstLine="480" w:firstLineChars="200"/>
      </w:pPr>
      <w:r>
        <w:t>反力墙后无原状土时，应设计结构简单、稳定可靠、就地取材、拆除方便的人工后座墙。反力墙的结构形式一般可分为整体式和装配式两类。整体式反力墙多采用现场浇筑的混凝土。装配式反力墙是常用的形式，具有结构简单、安装和拆卸方便、适用性较强等优点。</w:t>
      </w:r>
    </w:p>
    <w:p w14:paraId="6941FF37">
      <w:pPr>
        <w:rPr>
          <w:rFonts w:eastAsia="仿宋"/>
        </w:rPr>
      </w:pPr>
      <w:r>
        <w:rPr>
          <w:rFonts w:eastAsia="仿宋"/>
          <w:b/>
          <w:bCs/>
        </w:rPr>
        <w:t xml:space="preserve">5.7.11 </w:t>
      </w:r>
      <w:r>
        <w:rPr>
          <w:rFonts w:eastAsia="仿宋"/>
          <w:b/>
          <w:kern w:val="24"/>
        </w:rPr>
        <w:t xml:space="preserve"> </w:t>
      </w:r>
      <w:r>
        <w:t>计算按照行业标准《混凝土结构设计规范》GB 50010-2002的受冲切承载力验算法进行。计算时，暂按不配筋的素混凝土构件进行验算。</w:t>
      </w:r>
    </w:p>
    <w:p w14:paraId="71545C33">
      <w:pPr>
        <w:jc w:val="right"/>
        <w:rPr>
          <w:rFonts w:eastAsia="仿宋"/>
        </w:rPr>
      </w:pPr>
      <w:r>
        <w:rPr>
          <w:rFonts w:eastAsia="仿宋"/>
          <w:position w:val="-12"/>
        </w:rPr>
        <w:object>
          <v:shape id="_x0000_i1154" o:spt="75" type="#_x0000_t75" style="height:19.5pt;width:79.5pt;" o:ole="t" filled="f" o:preferrelative="t" stroked="f" coordsize="21600,21600">
            <v:path/>
            <v:fill on="f" focussize="0,0"/>
            <v:stroke on="f" joinstyle="miter"/>
            <v:imagedata r:id="rId274" o:title=""/>
            <o:lock v:ext="edit" aspectratio="t"/>
            <w10:wrap type="none"/>
            <w10:anchorlock/>
          </v:shape>
          <o:OLEObject Type="Embed" ProgID="Equation.DSMT4" ShapeID="_x0000_i1154" DrawAspect="Content" ObjectID="_1468075854" r:id="rId273">
            <o:LockedField>false</o:LockedField>
          </o:OLEObject>
        </w:object>
      </w:r>
      <w:r>
        <w:rPr>
          <w:rFonts w:eastAsia="仿宋"/>
        </w:rPr>
        <w:t xml:space="preserve">                      （1）</w:t>
      </w:r>
    </w:p>
    <w:p w14:paraId="2FB8BE83">
      <w:pPr>
        <w:rPr>
          <w:rFonts w:eastAsia="仿宋"/>
        </w:rPr>
      </w:pPr>
      <w:r>
        <w:t>式中：</w:t>
      </w:r>
      <w:r>
        <w:tab/>
      </w:r>
      <w:r>
        <w:object>
          <v:shape id="_x0000_i1155" o:spt="75" type="#_x0000_t75" style="height:14.25pt;width:14.25pt;" o:ole="t" filled="f" o:preferrelative="t" stroked="f" coordsize="21600,21600">
            <v:path/>
            <v:fill on="f" focussize="0,0"/>
            <v:stroke on="f" joinstyle="miter"/>
            <v:imagedata r:id="rId276" o:title=""/>
            <o:lock v:ext="edit" aspectratio="t"/>
            <w10:wrap type="none"/>
            <w10:anchorlock/>
          </v:shape>
          <o:OLEObject Type="Embed" ProgID="Equation.DSMT4" ShapeID="_x0000_i1155" DrawAspect="Content" ObjectID="_1468075855" r:id="rId275">
            <o:LockedField>false</o:LockedField>
          </o:OLEObject>
        </w:object>
      </w:r>
      <w:r>
        <w:t>——局部荷载设计值（kN）</w:t>
      </w:r>
      <w:r>
        <w:rPr>
          <w:rFonts w:eastAsia="仿宋"/>
        </w:rPr>
        <w:t>；</w:t>
      </w:r>
    </w:p>
    <w:p w14:paraId="3EDDB145">
      <w:pPr>
        <w:ind w:firstLine="720" w:firstLineChars="300"/>
      </w:pPr>
      <w:r>
        <w:rPr>
          <w:position w:val="-12"/>
        </w:rPr>
        <w:object>
          <v:shape id="_x0000_i1156" o:spt="75" type="#_x0000_t75" style="height:19.5pt;width:15pt;" o:ole="t" filled="f" o:preferrelative="t" stroked="f" coordsize="21600,21600">
            <v:path/>
            <v:fill on="f" focussize="0,0"/>
            <v:stroke on="f" joinstyle="miter"/>
            <v:imagedata r:id="rId278" o:title=""/>
            <o:lock v:ext="edit" aspectratio="t"/>
            <w10:wrap type="none"/>
            <w10:anchorlock/>
          </v:shape>
          <o:OLEObject Type="Embed" ProgID="Equation.DSMT4" ShapeID="_x0000_i1156" DrawAspect="Content" ObjectID="_1468075856" r:id="rId277">
            <o:LockedField>false</o:LockedField>
          </o:OLEObject>
        </w:object>
      </w:r>
      <w:r>
        <w:t>——截面高度影响系数；本规程为</w:t>
      </w:r>
      <w:r>
        <w:rPr>
          <w:position w:val="-12"/>
        </w:rPr>
        <w:object>
          <v:shape id="_x0000_i1157" o:spt="75" type="#_x0000_t75" style="height:19.5pt;width:15pt;" o:ole="t" filled="f" o:preferrelative="t" stroked="f" coordsize="21600,21600">
            <v:path/>
            <v:fill on="f" focussize="0,0"/>
            <v:stroke on="f" joinstyle="miter"/>
            <v:imagedata r:id="rId280" o:title=""/>
            <o:lock v:ext="edit" aspectratio="t"/>
            <w10:wrap type="none"/>
            <w10:anchorlock/>
          </v:shape>
          <o:OLEObject Type="Embed" ProgID="Equation.DSMT4" ShapeID="_x0000_i1157" DrawAspect="Content" ObjectID="_1468075857" r:id="rId279">
            <o:LockedField>false</o:LockedField>
          </o:OLEObject>
        </w:object>
      </w:r>
      <w:r>
        <w:t>=1。</w:t>
      </w:r>
    </w:p>
    <w:p w14:paraId="663DBDB0">
      <w:pPr>
        <w:ind w:firstLine="720" w:firstLineChars="300"/>
      </w:pPr>
      <w:r>
        <w:object>
          <v:shape id="_x0000_i1158" o:spt="75" type="#_x0000_t75" style="height:15pt;width:12pt;" o:ole="t" filled="f" o:preferrelative="t" stroked="f" coordsize="21600,21600">
            <v:path/>
            <v:fill on="f" focussize="0,0"/>
            <v:stroke on="f" joinstyle="miter"/>
            <v:imagedata r:id="rId282" o:title=""/>
            <o:lock v:ext="edit" aspectratio="t"/>
            <w10:wrap type="none"/>
            <w10:anchorlock/>
          </v:shape>
          <o:OLEObject Type="Embed" ProgID="Equation.DSMT4" ShapeID="_x0000_i1158" DrawAspect="Content" ObjectID="_1468075858" r:id="rId281">
            <o:LockedField>false</o:LockedField>
          </o:OLEObject>
        </w:object>
      </w:r>
      <w:r>
        <w:t>——混凝土轴心抗拉强度设计值（</w:t>
      </w:r>
      <w:r>
        <w:rPr>
          <w:sz w:val="21"/>
        </w:rPr>
        <w:t>kPa</w:t>
      </w:r>
      <w:r>
        <w:t>）；</w:t>
      </w:r>
    </w:p>
    <w:p w14:paraId="6D75DCD0">
      <w:pPr>
        <w:ind w:firstLine="720" w:firstLineChars="300"/>
      </w:pPr>
      <w:r>
        <w:rPr>
          <w:position w:val="-12"/>
        </w:rPr>
        <w:object>
          <v:shape id="_x0000_i1159" o:spt="75" type="#_x0000_t75" style="height:19.5pt;width:14.25pt;" o:ole="t" filled="f" o:preferrelative="t" stroked="f" coordsize="21600,21600">
            <v:path/>
            <v:fill on="f" focussize="0,0"/>
            <v:stroke on="f" joinstyle="miter"/>
            <v:imagedata r:id="rId284" o:title=""/>
            <o:lock v:ext="edit" aspectratio="t"/>
            <w10:wrap type="none"/>
            <w10:anchorlock/>
          </v:shape>
          <o:OLEObject Type="Embed" ProgID="Equation.DSMT4" ShapeID="_x0000_i1159" DrawAspect="Content" ObjectID="_1468075859" r:id="rId283">
            <o:LockedField>false</o:LockedField>
          </o:OLEObject>
        </w:object>
      </w:r>
      <w:r>
        <w:t>——截面有效高度（m）；</w:t>
      </w:r>
    </w:p>
    <w:p w14:paraId="713DD0B3">
      <w:pPr>
        <w:ind w:firstLine="720" w:firstLineChars="300"/>
      </w:pPr>
      <w:r>
        <w:rPr>
          <w:position w:val="-12"/>
        </w:rPr>
        <w:object>
          <v:shape id="_x0000_i1160" o:spt="75" type="#_x0000_t75" style="height:19.5pt;width:15pt;" o:ole="t" filled="f" o:preferrelative="t" stroked="f" coordsize="21600,21600">
            <v:path/>
            <v:fill on="f" focussize="0,0"/>
            <v:stroke on="f" joinstyle="miter"/>
            <v:imagedata r:id="rId286" o:title=""/>
            <o:lock v:ext="edit" aspectratio="t"/>
            <w10:wrap type="none"/>
            <w10:anchorlock/>
          </v:shape>
          <o:OLEObject Type="Embed" ProgID="Equation.DSMT4" ShapeID="_x0000_i1160" DrawAspect="Content" ObjectID="_1468075860" r:id="rId285">
            <o:LockedField>false</o:LockedField>
          </o:OLEObject>
        </w:object>
      </w:r>
      <w:r>
        <w:t>——临界截面的周长（m）。</w:t>
      </w:r>
    </w:p>
    <w:p w14:paraId="0C400CFB"/>
    <w:p w14:paraId="119AFFEF">
      <w:pPr>
        <w:ind w:firstLine="480" w:firstLineChars="200"/>
        <w:sectPr>
          <w:pgSz w:w="11850" w:h="16783"/>
          <w:pgMar w:top="1440" w:right="1800" w:bottom="1440" w:left="1800" w:header="720" w:footer="720" w:gutter="0"/>
          <w:cols w:space="720" w:num="1"/>
          <w:docGrid w:linePitch="360" w:charSpace="0"/>
        </w:sectPr>
      </w:pPr>
    </w:p>
    <w:p w14:paraId="15CA1289">
      <w:pPr>
        <w:pStyle w:val="2"/>
        <w:spacing w:before="0" w:after="0"/>
        <w:rPr>
          <w:rFonts w:cs="Times New Roman" w:eastAsiaTheme="minorEastAsia"/>
        </w:rPr>
      </w:pPr>
      <w:bookmarkStart w:id="750" w:name="_Toc15116"/>
      <w:bookmarkStart w:id="751" w:name="_Toc4557"/>
      <w:bookmarkStart w:id="752" w:name="_Toc5639"/>
      <w:bookmarkStart w:id="753" w:name="_Toc5994"/>
      <w:bookmarkStart w:id="754" w:name="_Toc18633"/>
      <w:bookmarkStart w:id="755" w:name="_Toc19899"/>
      <w:r>
        <w:rPr>
          <w:rFonts w:cs="Times New Roman"/>
        </w:rPr>
        <w:fldChar w:fldCharType="begin"/>
      </w:r>
      <w:r>
        <w:rPr>
          <w:rFonts w:cs="Times New Roman"/>
        </w:rPr>
        <w:instrText xml:space="preserve"> HYPERLINK \l "_Toc9712" </w:instrText>
      </w:r>
      <w:r>
        <w:rPr>
          <w:rFonts w:cs="Times New Roman"/>
        </w:rPr>
        <w:fldChar w:fldCharType="separate"/>
      </w:r>
      <w:bookmarkStart w:id="756" w:name="_Toc60172953"/>
      <w:bookmarkStart w:id="757" w:name="_Toc33214148"/>
      <w:bookmarkStart w:id="758" w:name="_Toc60173313"/>
      <w:bookmarkStart w:id="759" w:name="_Toc60173840"/>
      <w:r>
        <w:rPr>
          <w:rFonts w:cs="Times New Roman" w:eastAsiaTheme="minorEastAsia"/>
        </w:rPr>
        <w:t>6  管节</w:t>
      </w:r>
      <w:r>
        <w:rPr>
          <w:rFonts w:cs="Times New Roman" w:eastAsiaTheme="minorEastAsia"/>
        </w:rPr>
        <w:fldChar w:fldCharType="end"/>
      </w:r>
      <w:r>
        <w:rPr>
          <w:rFonts w:cs="Times New Roman" w:eastAsiaTheme="minorEastAsia"/>
        </w:rPr>
        <w:t>制作</w:t>
      </w:r>
      <w:bookmarkEnd w:id="750"/>
      <w:bookmarkEnd w:id="751"/>
      <w:bookmarkEnd w:id="752"/>
      <w:bookmarkEnd w:id="753"/>
      <w:bookmarkEnd w:id="754"/>
      <w:bookmarkEnd w:id="755"/>
      <w:bookmarkEnd w:id="756"/>
      <w:bookmarkEnd w:id="757"/>
      <w:bookmarkEnd w:id="758"/>
      <w:bookmarkEnd w:id="759"/>
    </w:p>
    <w:p w14:paraId="3A732B08">
      <w:pPr>
        <w:pStyle w:val="3"/>
        <w:rPr>
          <w:rFonts w:eastAsia="黑体" w:cs="Times New Roman"/>
          <w:b w:val="0"/>
        </w:rPr>
      </w:pPr>
      <w:bookmarkStart w:id="760" w:name="_Toc6511"/>
      <w:bookmarkStart w:id="761" w:name="_Toc15060"/>
      <w:bookmarkStart w:id="762" w:name="_Toc21862"/>
      <w:bookmarkStart w:id="763" w:name="_Toc19111"/>
      <w:bookmarkStart w:id="764" w:name="_Toc6037"/>
      <w:bookmarkStart w:id="765" w:name="_Toc21384"/>
      <w:r>
        <w:rPr>
          <w:rFonts w:eastAsia="黑体" w:cs="Times New Roman"/>
          <w:b w:val="0"/>
        </w:rPr>
        <w:fldChar w:fldCharType="begin"/>
      </w:r>
      <w:r>
        <w:rPr>
          <w:rFonts w:eastAsia="黑体" w:cs="Times New Roman"/>
          <w:b w:val="0"/>
        </w:rPr>
        <w:instrText xml:space="preserve"> HYPERLINK "file:///C:\\Users\\xy155\\Desktop\\矩形顶管工程技术规程2019.3.22.docx" \l "_Toc23090" </w:instrText>
      </w:r>
      <w:r>
        <w:rPr>
          <w:rFonts w:eastAsia="黑体" w:cs="Times New Roman"/>
          <w:b w:val="0"/>
        </w:rPr>
        <w:fldChar w:fldCharType="separate"/>
      </w:r>
      <w:bookmarkStart w:id="766" w:name="_Toc60173841"/>
      <w:bookmarkStart w:id="767" w:name="_Toc60172954"/>
      <w:bookmarkStart w:id="768" w:name="_Toc33214149"/>
      <w:bookmarkStart w:id="769" w:name="_Toc60173314"/>
      <w:r>
        <w:rPr>
          <w:rFonts w:eastAsia="黑体" w:cs="Times New Roman"/>
        </w:rPr>
        <w:t>6.1</w:t>
      </w:r>
      <w:r>
        <w:rPr>
          <w:rFonts w:eastAsia="黑体" w:cs="Times New Roman"/>
          <w:b w:val="0"/>
        </w:rPr>
        <w:t xml:space="preserve">  一般规定</w:t>
      </w:r>
      <w:bookmarkEnd w:id="766"/>
      <w:bookmarkEnd w:id="767"/>
      <w:bookmarkEnd w:id="768"/>
      <w:bookmarkEnd w:id="769"/>
      <w:r>
        <w:rPr>
          <w:rFonts w:eastAsia="黑体" w:cs="Times New Roman"/>
          <w:b w:val="0"/>
        </w:rPr>
        <w:fldChar w:fldCharType="end"/>
      </w:r>
      <w:bookmarkEnd w:id="760"/>
      <w:bookmarkEnd w:id="761"/>
      <w:bookmarkEnd w:id="762"/>
      <w:bookmarkEnd w:id="763"/>
      <w:bookmarkEnd w:id="764"/>
      <w:bookmarkEnd w:id="765"/>
    </w:p>
    <w:p w14:paraId="66D6F19B">
      <w:r>
        <w:rPr>
          <w:b/>
          <w:bCs/>
        </w:rPr>
        <w:t>6.1.2</w:t>
      </w:r>
      <w:r>
        <w:t xml:space="preserve">  本条对管节生产试制提出要求。在管节生产试制过程中应严格按照管节的设计及工艺要求进行生产，并对各道工序相关参数（含混凝土试块制作及力学检测）进行记录，试制管节经检验各项参数符合设计要求后方可投入批量生产。</w:t>
      </w:r>
    </w:p>
    <w:p w14:paraId="58A9BE8B"/>
    <w:p w14:paraId="24E7B4F4">
      <w:pPr>
        <w:pStyle w:val="3"/>
        <w:rPr>
          <w:rFonts w:eastAsia="黑体" w:cs="Times New Roman"/>
          <w:b w:val="0"/>
        </w:rPr>
      </w:pPr>
      <w:bookmarkStart w:id="770" w:name="_Toc27346"/>
      <w:bookmarkStart w:id="771" w:name="_Toc32721"/>
      <w:bookmarkStart w:id="772" w:name="_Toc4187"/>
      <w:bookmarkStart w:id="773" w:name="_Toc11425"/>
      <w:bookmarkStart w:id="774" w:name="_Toc15525"/>
      <w:bookmarkStart w:id="775" w:name="_Toc1255"/>
      <w:r>
        <w:rPr>
          <w:rFonts w:eastAsia="黑体" w:cs="Times New Roman"/>
          <w:b w:val="0"/>
        </w:rPr>
        <w:fldChar w:fldCharType="begin"/>
      </w:r>
      <w:r>
        <w:rPr>
          <w:rFonts w:eastAsia="黑体" w:cs="Times New Roman"/>
          <w:b w:val="0"/>
        </w:rPr>
        <w:instrText xml:space="preserve"> HYPERLINK "file:///C:\\Users\\xy155\\Desktop\\矩形顶管工程技术规程2019.3.22.docx" \l "_Toc8623" </w:instrText>
      </w:r>
      <w:r>
        <w:rPr>
          <w:rFonts w:eastAsia="黑体" w:cs="Times New Roman"/>
          <w:b w:val="0"/>
        </w:rPr>
        <w:fldChar w:fldCharType="separate"/>
      </w:r>
      <w:bookmarkStart w:id="776" w:name="_Toc60172955"/>
      <w:bookmarkStart w:id="777" w:name="_Toc33214150"/>
      <w:bookmarkStart w:id="778" w:name="_Toc60173842"/>
      <w:bookmarkStart w:id="779" w:name="_Toc60173315"/>
      <w:r>
        <w:rPr>
          <w:rFonts w:eastAsia="黑体" w:cs="Times New Roman"/>
        </w:rPr>
        <w:t>6.3</w:t>
      </w:r>
      <w:r>
        <w:rPr>
          <w:rFonts w:eastAsia="黑体" w:cs="Times New Roman"/>
          <w:b w:val="0"/>
        </w:rPr>
        <w:t xml:space="preserve"> </w:t>
      </w:r>
      <w:r>
        <w:rPr>
          <w:rFonts w:eastAsia="黑体" w:cs="Times New Roman"/>
          <w:b w:val="0"/>
        </w:rPr>
        <w:fldChar w:fldCharType="end"/>
      </w:r>
      <w:r>
        <w:rPr>
          <w:rFonts w:eastAsia="黑体" w:cs="Times New Roman"/>
          <w:b w:val="0"/>
        </w:rPr>
        <w:t xml:space="preserve"> 接头构造</w:t>
      </w:r>
      <w:bookmarkEnd w:id="770"/>
      <w:bookmarkEnd w:id="771"/>
      <w:bookmarkEnd w:id="772"/>
      <w:bookmarkEnd w:id="773"/>
      <w:bookmarkEnd w:id="774"/>
      <w:bookmarkEnd w:id="775"/>
      <w:bookmarkEnd w:id="776"/>
      <w:bookmarkEnd w:id="777"/>
      <w:bookmarkEnd w:id="778"/>
      <w:bookmarkEnd w:id="779"/>
    </w:p>
    <w:p w14:paraId="1E96ED12">
      <w:r>
        <w:rPr>
          <w:b/>
          <w:bCs/>
        </w:rPr>
        <w:t>6.3.</w:t>
      </w:r>
      <w:r>
        <w:rPr>
          <w:rFonts w:hint="eastAsia"/>
          <w:b/>
          <w:bCs/>
        </w:rPr>
        <w:t>1</w:t>
      </w:r>
      <w:r>
        <w:t xml:space="preserve">  </w:t>
      </w:r>
      <w:r>
        <w:rPr>
          <w:rFonts w:hint="eastAsia"/>
        </w:rPr>
        <w:t>本条中管节之间的接口防水包括四种密封形式，如本</w:t>
      </w:r>
      <w:r>
        <w:t>规程</w:t>
      </w:r>
      <w:r>
        <w:rPr>
          <w:rFonts w:hint="eastAsia"/>
        </w:rPr>
        <w:t>图6.3.1-2所示。其中：图（a）常用于管节之间钢承口与混凝土之间的防水，图（b）的聚氨酯密封胶条主要应用于钢承口和混凝土之间的第二道防水，图（c）的聚氨酯密封胶条主要应用于管节拼装完毕最后一道防水，图（d）主要应用于钢承口和混凝土之间的第一道防水。</w:t>
      </w:r>
    </w:p>
    <w:p w14:paraId="62FA1168"/>
    <w:p w14:paraId="2ACCAD2F">
      <w:pPr>
        <w:pStyle w:val="3"/>
        <w:rPr>
          <w:rFonts w:eastAsia="黑体" w:cs="Times New Roman"/>
          <w:b w:val="0"/>
        </w:rPr>
      </w:pPr>
      <w:bookmarkStart w:id="780" w:name="_Toc16624"/>
      <w:bookmarkStart w:id="781" w:name="_Toc30789"/>
      <w:bookmarkStart w:id="782" w:name="_Toc11781"/>
      <w:bookmarkStart w:id="783" w:name="_Toc18420"/>
      <w:r>
        <w:rPr>
          <w:rFonts w:eastAsia="黑体" w:cs="Times New Roman"/>
          <w:b w:val="0"/>
        </w:rPr>
        <w:fldChar w:fldCharType="begin"/>
      </w:r>
      <w:r>
        <w:rPr>
          <w:rFonts w:eastAsia="黑体" w:cs="Times New Roman"/>
          <w:b w:val="0"/>
        </w:rPr>
        <w:instrText xml:space="preserve"> HYPERLINK "file:///C:\\Users\\xy155\\Desktop\\矩形顶管工程技术规程2019.3.22.docx" \l "_Toc8623" </w:instrText>
      </w:r>
      <w:r>
        <w:rPr>
          <w:rFonts w:eastAsia="黑体" w:cs="Times New Roman"/>
          <w:b w:val="0"/>
        </w:rPr>
        <w:fldChar w:fldCharType="separate"/>
      </w:r>
      <w:bookmarkStart w:id="784" w:name="_Toc60173316"/>
      <w:bookmarkStart w:id="785" w:name="_Toc33214151"/>
      <w:bookmarkStart w:id="786" w:name="_Toc60172956"/>
      <w:bookmarkStart w:id="787" w:name="_Toc60173843"/>
      <w:r>
        <w:rPr>
          <w:rFonts w:eastAsia="黑体" w:cs="Times New Roman"/>
        </w:rPr>
        <w:t>6.4</w:t>
      </w:r>
      <w:r>
        <w:rPr>
          <w:rFonts w:eastAsia="黑体" w:cs="Times New Roman"/>
          <w:b w:val="0"/>
        </w:rPr>
        <w:t xml:space="preserve"> </w:t>
      </w:r>
      <w:r>
        <w:rPr>
          <w:rFonts w:eastAsia="黑体" w:cs="Times New Roman"/>
          <w:b w:val="0"/>
        </w:rPr>
        <w:fldChar w:fldCharType="end"/>
      </w:r>
      <w:r>
        <w:rPr>
          <w:rFonts w:eastAsia="黑体" w:cs="Times New Roman"/>
          <w:b w:val="0"/>
        </w:rPr>
        <w:t xml:space="preserve"> 管节防腐</w:t>
      </w:r>
      <w:bookmarkEnd w:id="780"/>
      <w:bookmarkEnd w:id="781"/>
      <w:bookmarkEnd w:id="782"/>
      <w:bookmarkEnd w:id="783"/>
      <w:bookmarkEnd w:id="784"/>
      <w:bookmarkEnd w:id="785"/>
      <w:bookmarkEnd w:id="786"/>
      <w:bookmarkEnd w:id="787"/>
    </w:p>
    <w:p w14:paraId="086BB9DF">
      <w:r>
        <w:rPr>
          <w:b/>
          <w:bCs/>
        </w:rPr>
        <w:t xml:space="preserve">6.4.2  </w:t>
      </w:r>
      <w:r>
        <w:t>管节外壁防腐一般在厂内完成，对内壁防腐一般对侧壁上部厂内完成，侧壁下部及管节底部容易受到施工损坏，一般在顶管施工完成后补充防腐施工。</w:t>
      </w:r>
    </w:p>
    <w:p w14:paraId="3205C023"/>
    <w:p w14:paraId="0A462F29">
      <w:pPr>
        <w:pStyle w:val="3"/>
        <w:rPr>
          <w:rFonts w:eastAsia="黑体" w:cs="Times New Roman"/>
          <w:b w:val="0"/>
        </w:rPr>
      </w:pPr>
      <w:bookmarkStart w:id="788" w:name="_Toc60172957"/>
      <w:bookmarkStart w:id="789" w:name="_Toc60173317"/>
      <w:bookmarkStart w:id="790" w:name="_Toc9654"/>
      <w:bookmarkStart w:id="791" w:name="_Toc60173844"/>
      <w:r>
        <w:rPr>
          <w:rFonts w:eastAsia="黑体" w:cs="Times New Roman"/>
        </w:rPr>
        <w:t>6.6</w:t>
      </w:r>
      <w:r>
        <w:rPr>
          <w:rFonts w:eastAsia="黑体" w:cs="Times New Roman"/>
          <w:b w:val="0"/>
        </w:rPr>
        <w:t xml:space="preserve">  管节标识、堆放、吊装和运输</w:t>
      </w:r>
      <w:bookmarkEnd w:id="788"/>
      <w:bookmarkEnd w:id="789"/>
      <w:bookmarkEnd w:id="790"/>
      <w:bookmarkEnd w:id="791"/>
    </w:p>
    <w:p w14:paraId="673085BF">
      <w:r>
        <w:rPr>
          <w:rFonts w:hint="eastAsia"/>
          <w:b/>
          <w:bCs/>
        </w:rPr>
        <w:t xml:space="preserve">6.6.2 </w:t>
      </w:r>
      <w:r>
        <w:rPr>
          <w:rFonts w:hint="eastAsia"/>
        </w:rPr>
        <w:t xml:space="preserve"> 本条第3款的目的是</w:t>
      </w:r>
      <w:r>
        <w:t>为了防止胶圈受到潮湿和高温天气的影响而产生龟裂或裂缝等破坏</w:t>
      </w:r>
      <w:r>
        <w:rPr>
          <w:rFonts w:hint="eastAsia"/>
        </w:rPr>
        <w:t>。</w:t>
      </w:r>
    </w:p>
    <w:p w14:paraId="7960DEC9">
      <w:r>
        <w:rPr>
          <w:rFonts w:hint="eastAsia"/>
          <w:b/>
          <w:bCs/>
        </w:rPr>
        <w:t>6.6.4</w:t>
      </w:r>
      <w:r>
        <w:rPr>
          <w:rFonts w:hint="eastAsia"/>
        </w:rPr>
        <w:t xml:space="preserve">  本条第2款的目的是</w:t>
      </w:r>
      <w:r>
        <w:t>避免管节由于惯性而滑动、滚落</w:t>
      </w:r>
      <w:r>
        <w:rPr>
          <w:rFonts w:hint="eastAsia"/>
        </w:rPr>
        <w:t>，</w:t>
      </w:r>
      <w:r>
        <w:t>造成安全事故</w:t>
      </w:r>
      <w:r>
        <w:rPr>
          <w:rFonts w:hint="eastAsia"/>
        </w:rPr>
        <w:t>。</w:t>
      </w:r>
    </w:p>
    <w:p w14:paraId="11E03706"/>
    <w:p w14:paraId="42921E05">
      <w:pPr>
        <w:sectPr>
          <w:pgSz w:w="11850" w:h="16783"/>
          <w:pgMar w:top="1440" w:right="1800" w:bottom="1440" w:left="1800" w:header="720" w:footer="720" w:gutter="0"/>
          <w:cols w:space="720" w:num="1"/>
          <w:docGrid w:linePitch="360" w:charSpace="0"/>
        </w:sectPr>
      </w:pPr>
    </w:p>
    <w:p w14:paraId="7C9921F8">
      <w:pPr>
        <w:pStyle w:val="2"/>
        <w:rPr>
          <w:rFonts w:cs="Times New Roman" w:eastAsiaTheme="minorEastAsia"/>
        </w:rPr>
      </w:pPr>
      <w:bookmarkStart w:id="792" w:name="_Toc9982"/>
      <w:bookmarkStart w:id="793" w:name="_Toc26323"/>
      <w:bookmarkStart w:id="794" w:name="_Toc17787"/>
      <w:bookmarkStart w:id="795" w:name="_Toc12288"/>
      <w:bookmarkStart w:id="796" w:name="_Toc7987"/>
      <w:bookmarkStart w:id="797" w:name="_Toc28542"/>
      <w:r>
        <w:rPr>
          <w:rFonts w:cs="Times New Roman"/>
        </w:rPr>
        <w:fldChar w:fldCharType="begin"/>
      </w:r>
      <w:r>
        <w:rPr>
          <w:rFonts w:cs="Times New Roman"/>
        </w:rPr>
        <w:instrText xml:space="preserve"> HYPERLINK \l "_Toc30255" </w:instrText>
      </w:r>
      <w:r>
        <w:rPr>
          <w:rFonts w:cs="Times New Roman"/>
        </w:rPr>
        <w:fldChar w:fldCharType="separate"/>
      </w:r>
      <w:bookmarkStart w:id="798" w:name="_Toc60173318"/>
      <w:bookmarkStart w:id="799" w:name="_Toc60173845"/>
      <w:bookmarkStart w:id="800" w:name="_Toc33214153"/>
      <w:bookmarkStart w:id="801" w:name="_Toc60172958"/>
      <w:r>
        <w:rPr>
          <w:rFonts w:cs="Times New Roman" w:eastAsiaTheme="minorEastAsia"/>
        </w:rPr>
        <w:t>7  工作井施工</w:t>
      </w:r>
      <w:bookmarkEnd w:id="798"/>
      <w:bookmarkEnd w:id="799"/>
      <w:bookmarkEnd w:id="800"/>
      <w:bookmarkEnd w:id="801"/>
      <w:r>
        <w:rPr>
          <w:rFonts w:cs="Times New Roman" w:eastAsiaTheme="minorEastAsia"/>
        </w:rPr>
        <w:fldChar w:fldCharType="end"/>
      </w:r>
      <w:bookmarkEnd w:id="792"/>
      <w:bookmarkEnd w:id="793"/>
      <w:bookmarkEnd w:id="794"/>
      <w:bookmarkEnd w:id="795"/>
      <w:bookmarkEnd w:id="796"/>
      <w:bookmarkEnd w:id="797"/>
    </w:p>
    <w:p w14:paraId="4293549C">
      <w:pPr>
        <w:pStyle w:val="3"/>
        <w:rPr>
          <w:rFonts w:eastAsia="黑体" w:cs="Times New Roman"/>
          <w:b w:val="0"/>
        </w:rPr>
      </w:pPr>
      <w:bookmarkStart w:id="802" w:name="_Toc32619"/>
      <w:bookmarkStart w:id="803" w:name="_Toc9219"/>
      <w:bookmarkStart w:id="804" w:name="_Toc7353"/>
      <w:bookmarkStart w:id="805" w:name="_Toc31280"/>
      <w:bookmarkStart w:id="806" w:name="_Toc60173319"/>
      <w:bookmarkStart w:id="807" w:name="_Toc33214154"/>
      <w:bookmarkStart w:id="808" w:name="_Toc12532"/>
      <w:bookmarkStart w:id="809" w:name="_Toc21480"/>
      <w:bookmarkStart w:id="810" w:name="_Toc60173846"/>
      <w:bookmarkStart w:id="811" w:name="_Toc60172959"/>
      <w:r>
        <w:rPr>
          <w:rFonts w:eastAsia="黑体" w:cs="Times New Roman"/>
        </w:rPr>
        <w:t>7.1</w:t>
      </w:r>
      <w:r>
        <w:rPr>
          <w:rFonts w:eastAsia="黑体" w:cs="Times New Roman"/>
          <w:b w:val="0"/>
        </w:rPr>
        <w:t xml:space="preserve">  一般规定</w:t>
      </w:r>
      <w:bookmarkEnd w:id="802"/>
      <w:bookmarkEnd w:id="803"/>
      <w:bookmarkEnd w:id="804"/>
      <w:bookmarkEnd w:id="805"/>
      <w:bookmarkEnd w:id="806"/>
      <w:bookmarkEnd w:id="807"/>
      <w:bookmarkEnd w:id="808"/>
      <w:bookmarkEnd w:id="809"/>
      <w:bookmarkEnd w:id="810"/>
      <w:bookmarkEnd w:id="811"/>
    </w:p>
    <w:p w14:paraId="45125F54">
      <w:r>
        <w:rPr>
          <w:b/>
          <w:bCs/>
        </w:rPr>
        <w:t xml:space="preserve">7.1.1～7.1.4  </w:t>
      </w:r>
      <w:r>
        <w:t>工作井围护结构需要根据工程水文地质条件、邻近建筑物或构筑物、地下与地上管线情况，以及结构受力、施工安全等要求，经技术经济比较后确定。</w:t>
      </w:r>
    </w:p>
    <w:p w14:paraId="6B8D18A4">
      <w:pPr>
        <w:ind w:firstLine="480" w:firstLineChars="200"/>
      </w:pPr>
      <w:r>
        <w:t>不同围护结构形式下工作井的适用条件见表</w:t>
      </w:r>
      <w:r>
        <w:rPr>
          <w:rFonts w:hint="eastAsia"/>
        </w:rPr>
        <w:t>2</w:t>
      </w:r>
      <w:r>
        <w:t>。</w:t>
      </w:r>
    </w:p>
    <w:p w14:paraId="03EECFBA">
      <w:pPr>
        <w:ind w:firstLine="422" w:firstLineChars="200"/>
        <w:jc w:val="center"/>
        <w:rPr>
          <w:b/>
          <w:bCs/>
          <w:sz w:val="21"/>
        </w:rPr>
      </w:pPr>
      <w:r>
        <w:rPr>
          <w:b/>
          <w:bCs/>
          <w:sz w:val="21"/>
        </w:rPr>
        <w:t>表</w:t>
      </w:r>
      <w:r>
        <w:rPr>
          <w:rFonts w:hint="eastAsia"/>
          <w:b/>
          <w:bCs/>
          <w:sz w:val="21"/>
        </w:rPr>
        <w:t>2</w:t>
      </w:r>
      <w:r>
        <w:rPr>
          <w:b/>
          <w:bCs/>
          <w:sz w:val="21"/>
        </w:rPr>
        <w:t xml:space="preserve">  不同围护结构形式下工作井的适用条件</w:t>
      </w:r>
    </w:p>
    <w:tbl>
      <w:tblPr>
        <w:tblStyle w:val="36"/>
        <w:tblW w:w="83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6"/>
        <w:gridCol w:w="884"/>
        <w:gridCol w:w="1767"/>
        <w:gridCol w:w="1569"/>
        <w:gridCol w:w="1671"/>
        <w:gridCol w:w="1661"/>
      </w:tblGrid>
      <w:tr w14:paraId="05F922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6" w:type="dxa"/>
            <w:vAlign w:val="center"/>
          </w:tcPr>
          <w:p w14:paraId="58CD7D19">
            <w:pPr>
              <w:spacing w:line="240" w:lineRule="auto"/>
              <w:jc w:val="center"/>
              <w:rPr>
                <w:rFonts w:eastAsiaTheme="minorEastAsia"/>
                <w:sz w:val="21"/>
              </w:rPr>
            </w:pPr>
            <w:r>
              <w:rPr>
                <w:sz w:val="21"/>
              </w:rPr>
              <w:t>工作井型式</w:t>
            </w:r>
          </w:p>
        </w:tc>
        <w:tc>
          <w:tcPr>
            <w:tcW w:w="884" w:type="dxa"/>
            <w:vAlign w:val="center"/>
          </w:tcPr>
          <w:p w14:paraId="229DD9E2">
            <w:pPr>
              <w:spacing w:line="240" w:lineRule="auto"/>
              <w:jc w:val="center"/>
              <w:rPr>
                <w:sz w:val="21"/>
              </w:rPr>
            </w:pPr>
            <w:r>
              <w:rPr>
                <w:sz w:val="21"/>
              </w:rPr>
              <w:t>适用井深/m</w:t>
            </w:r>
          </w:p>
        </w:tc>
        <w:tc>
          <w:tcPr>
            <w:tcW w:w="1767" w:type="dxa"/>
            <w:vAlign w:val="center"/>
          </w:tcPr>
          <w:p w14:paraId="7A0E2629">
            <w:pPr>
              <w:spacing w:line="240" w:lineRule="auto"/>
              <w:jc w:val="center"/>
              <w:rPr>
                <w:rFonts w:eastAsiaTheme="minorEastAsia"/>
                <w:sz w:val="21"/>
              </w:rPr>
            </w:pPr>
            <w:r>
              <w:rPr>
                <w:sz w:val="21"/>
              </w:rPr>
              <w:t>优点</w:t>
            </w:r>
          </w:p>
        </w:tc>
        <w:tc>
          <w:tcPr>
            <w:tcW w:w="1569" w:type="dxa"/>
            <w:vAlign w:val="center"/>
          </w:tcPr>
          <w:p w14:paraId="54B3AF38">
            <w:pPr>
              <w:spacing w:line="240" w:lineRule="auto"/>
              <w:jc w:val="center"/>
              <w:rPr>
                <w:rFonts w:eastAsiaTheme="minorEastAsia"/>
                <w:sz w:val="21"/>
              </w:rPr>
            </w:pPr>
            <w:r>
              <w:rPr>
                <w:sz w:val="21"/>
              </w:rPr>
              <w:t>缺点</w:t>
            </w:r>
          </w:p>
        </w:tc>
        <w:tc>
          <w:tcPr>
            <w:tcW w:w="1671" w:type="dxa"/>
            <w:vAlign w:val="center"/>
          </w:tcPr>
          <w:p w14:paraId="281F786B">
            <w:pPr>
              <w:spacing w:line="240" w:lineRule="auto"/>
              <w:jc w:val="center"/>
              <w:rPr>
                <w:rFonts w:eastAsiaTheme="minorEastAsia"/>
                <w:sz w:val="21"/>
              </w:rPr>
            </w:pPr>
            <w:r>
              <w:rPr>
                <w:sz w:val="21"/>
              </w:rPr>
              <w:t>适用条件</w:t>
            </w:r>
          </w:p>
        </w:tc>
        <w:tc>
          <w:tcPr>
            <w:tcW w:w="1661" w:type="dxa"/>
            <w:vAlign w:val="center"/>
          </w:tcPr>
          <w:p w14:paraId="5317C511">
            <w:pPr>
              <w:spacing w:line="240" w:lineRule="auto"/>
              <w:jc w:val="center"/>
              <w:rPr>
                <w:rFonts w:eastAsiaTheme="minorEastAsia"/>
                <w:sz w:val="21"/>
              </w:rPr>
            </w:pPr>
            <w:r>
              <w:rPr>
                <w:sz w:val="21"/>
              </w:rPr>
              <w:t>制约因素</w:t>
            </w:r>
          </w:p>
        </w:tc>
      </w:tr>
      <w:tr w14:paraId="6E83CF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6" w:type="dxa"/>
            <w:vAlign w:val="center"/>
          </w:tcPr>
          <w:p w14:paraId="6C4B829C">
            <w:pPr>
              <w:spacing w:line="240" w:lineRule="auto"/>
              <w:jc w:val="center"/>
              <w:rPr>
                <w:sz w:val="21"/>
              </w:rPr>
            </w:pPr>
            <w:r>
              <w:rPr>
                <w:sz w:val="21"/>
              </w:rPr>
              <w:t>型钢水泥土搅拌（桩）墙</w:t>
            </w:r>
          </w:p>
        </w:tc>
        <w:tc>
          <w:tcPr>
            <w:tcW w:w="884" w:type="dxa"/>
            <w:vAlign w:val="center"/>
          </w:tcPr>
          <w:p w14:paraId="344683E2">
            <w:pPr>
              <w:spacing w:line="240" w:lineRule="auto"/>
              <w:jc w:val="center"/>
              <w:rPr>
                <w:sz w:val="21"/>
              </w:rPr>
            </w:pPr>
            <w:r>
              <w:rPr>
                <w:sz w:val="21"/>
              </w:rPr>
              <w:t>≤10</w:t>
            </w:r>
          </w:p>
        </w:tc>
        <w:tc>
          <w:tcPr>
            <w:tcW w:w="1767" w:type="dxa"/>
            <w:vAlign w:val="center"/>
          </w:tcPr>
          <w:p w14:paraId="1AE4F23C">
            <w:pPr>
              <w:spacing w:line="240" w:lineRule="auto"/>
              <w:jc w:val="center"/>
              <w:rPr>
                <w:sz w:val="21"/>
              </w:rPr>
            </w:pPr>
            <w:r>
              <w:rPr>
                <w:sz w:val="21"/>
              </w:rPr>
              <w:t>刚度较大、构造简单、施工简便、对周围环境影响小、造价和工期适中</w:t>
            </w:r>
          </w:p>
        </w:tc>
        <w:tc>
          <w:tcPr>
            <w:tcW w:w="1569" w:type="dxa"/>
            <w:vAlign w:val="center"/>
          </w:tcPr>
          <w:p w14:paraId="3E008438">
            <w:pPr>
              <w:spacing w:line="240" w:lineRule="auto"/>
              <w:jc w:val="center"/>
              <w:rPr>
                <w:sz w:val="21"/>
              </w:rPr>
            </w:pPr>
            <w:r>
              <w:rPr>
                <w:sz w:val="21"/>
              </w:rPr>
              <w:t>需要专用大型设备和对施工场地要求高</w:t>
            </w:r>
          </w:p>
        </w:tc>
        <w:tc>
          <w:tcPr>
            <w:tcW w:w="1671" w:type="dxa"/>
            <w:vAlign w:val="center"/>
          </w:tcPr>
          <w:p w14:paraId="7CC36526">
            <w:pPr>
              <w:spacing w:line="240" w:lineRule="auto"/>
              <w:jc w:val="center"/>
              <w:rPr>
                <w:sz w:val="21"/>
              </w:rPr>
            </w:pPr>
            <w:r>
              <w:rPr>
                <w:sz w:val="21"/>
              </w:rPr>
              <w:t>适用于人工顶管和短距离机顶</w:t>
            </w:r>
          </w:p>
        </w:tc>
        <w:tc>
          <w:tcPr>
            <w:tcW w:w="1661" w:type="dxa"/>
            <w:vAlign w:val="center"/>
          </w:tcPr>
          <w:p w14:paraId="237628E8">
            <w:pPr>
              <w:spacing w:line="240" w:lineRule="auto"/>
              <w:jc w:val="center"/>
              <w:rPr>
                <w:sz w:val="21"/>
              </w:rPr>
            </w:pPr>
            <w:r>
              <w:rPr>
                <w:sz w:val="21"/>
              </w:rPr>
              <w:t>需要专用施工机具和专业施工队伍，在较深工作井应用有限</w:t>
            </w:r>
          </w:p>
        </w:tc>
      </w:tr>
      <w:tr w14:paraId="0193D9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6" w:type="dxa"/>
            <w:vAlign w:val="center"/>
          </w:tcPr>
          <w:p w14:paraId="0F88BB07">
            <w:pPr>
              <w:spacing w:line="240" w:lineRule="auto"/>
              <w:jc w:val="center"/>
              <w:rPr>
                <w:rFonts w:eastAsiaTheme="minorEastAsia"/>
                <w:sz w:val="21"/>
              </w:rPr>
            </w:pPr>
            <w:r>
              <w:rPr>
                <w:sz w:val="21"/>
              </w:rPr>
              <w:t>沉井</w:t>
            </w:r>
          </w:p>
        </w:tc>
        <w:tc>
          <w:tcPr>
            <w:tcW w:w="884" w:type="dxa"/>
            <w:vAlign w:val="center"/>
          </w:tcPr>
          <w:p w14:paraId="264D702C">
            <w:pPr>
              <w:spacing w:line="240" w:lineRule="auto"/>
              <w:jc w:val="center"/>
              <w:rPr>
                <w:sz w:val="21"/>
              </w:rPr>
            </w:pPr>
            <w:r>
              <w:rPr>
                <w:sz w:val="21"/>
              </w:rPr>
              <w:t>≤15</w:t>
            </w:r>
          </w:p>
        </w:tc>
        <w:tc>
          <w:tcPr>
            <w:tcW w:w="1767" w:type="dxa"/>
            <w:vAlign w:val="center"/>
          </w:tcPr>
          <w:p w14:paraId="579352FE">
            <w:pPr>
              <w:spacing w:line="240" w:lineRule="auto"/>
              <w:jc w:val="center"/>
              <w:rPr>
                <w:sz w:val="21"/>
              </w:rPr>
            </w:pPr>
            <w:r>
              <w:rPr>
                <w:sz w:val="21"/>
              </w:rPr>
              <w:t>井壁刚度和强度大，安全系数大；开挖深度大；地质条件不确定因素影响小。</w:t>
            </w:r>
          </w:p>
        </w:tc>
        <w:tc>
          <w:tcPr>
            <w:tcW w:w="1569" w:type="dxa"/>
            <w:vAlign w:val="center"/>
          </w:tcPr>
          <w:p w14:paraId="0B58EC71">
            <w:pPr>
              <w:spacing w:line="240" w:lineRule="auto"/>
              <w:jc w:val="center"/>
              <w:rPr>
                <w:sz w:val="21"/>
              </w:rPr>
            </w:pPr>
            <w:r>
              <w:rPr>
                <w:sz w:val="21"/>
              </w:rPr>
              <w:t>工程造价高，工期较长；对周围建筑物或构筑物影响较大。</w:t>
            </w:r>
          </w:p>
        </w:tc>
        <w:tc>
          <w:tcPr>
            <w:tcW w:w="1671" w:type="dxa"/>
            <w:vAlign w:val="center"/>
          </w:tcPr>
          <w:p w14:paraId="490EE0E7">
            <w:pPr>
              <w:spacing w:line="240" w:lineRule="auto"/>
              <w:jc w:val="center"/>
              <w:rPr>
                <w:sz w:val="21"/>
              </w:rPr>
            </w:pPr>
            <w:r>
              <w:rPr>
                <w:sz w:val="21"/>
              </w:rPr>
              <w:t>适用于埋置深度较深、顶力较大，松散土层或饱和土层内，有流砂且地下水又比较丰富；周边建筑物或构筑物少的机械顶管。</w:t>
            </w:r>
          </w:p>
        </w:tc>
        <w:tc>
          <w:tcPr>
            <w:tcW w:w="1661" w:type="dxa"/>
            <w:vAlign w:val="center"/>
          </w:tcPr>
          <w:p w14:paraId="254913D1">
            <w:pPr>
              <w:spacing w:line="240" w:lineRule="auto"/>
              <w:jc w:val="center"/>
              <w:rPr>
                <w:sz w:val="21"/>
              </w:rPr>
            </w:pPr>
            <w:r>
              <w:rPr>
                <w:sz w:val="21"/>
              </w:rPr>
              <w:t>在土质坚硬密实或含有漂石、岩层和地下管线的地区施工困难；常需要特殊大型挖掘设备。</w:t>
            </w:r>
          </w:p>
        </w:tc>
      </w:tr>
      <w:tr w14:paraId="6ECDF9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6" w:type="dxa"/>
            <w:vAlign w:val="center"/>
          </w:tcPr>
          <w:p w14:paraId="64691D73">
            <w:pPr>
              <w:spacing w:line="240" w:lineRule="auto"/>
              <w:jc w:val="center"/>
              <w:rPr>
                <w:sz w:val="21"/>
              </w:rPr>
            </w:pPr>
            <w:r>
              <w:rPr>
                <w:sz w:val="21"/>
              </w:rPr>
              <w:t>灌注桩</w:t>
            </w:r>
            <w:r>
              <w:rPr>
                <w:rFonts w:hint="eastAsia"/>
                <w:sz w:val="21"/>
              </w:rPr>
              <w:t>（</w:t>
            </w:r>
            <w:r>
              <w:rPr>
                <w:sz w:val="21"/>
              </w:rPr>
              <w:t>排桩</w:t>
            </w:r>
            <w:r>
              <w:rPr>
                <w:rFonts w:hint="eastAsia"/>
                <w:sz w:val="21"/>
              </w:rPr>
              <w:t>）</w:t>
            </w:r>
          </w:p>
        </w:tc>
        <w:tc>
          <w:tcPr>
            <w:tcW w:w="884" w:type="dxa"/>
            <w:vAlign w:val="center"/>
          </w:tcPr>
          <w:p w14:paraId="7EF5FE6A">
            <w:pPr>
              <w:spacing w:line="240" w:lineRule="auto"/>
              <w:jc w:val="center"/>
              <w:rPr>
                <w:sz w:val="21"/>
              </w:rPr>
            </w:pPr>
            <w:r>
              <w:rPr>
                <w:sz w:val="21"/>
              </w:rPr>
              <w:t>≤15</w:t>
            </w:r>
          </w:p>
        </w:tc>
        <w:tc>
          <w:tcPr>
            <w:tcW w:w="1767" w:type="dxa"/>
            <w:vAlign w:val="center"/>
          </w:tcPr>
          <w:p w14:paraId="573A5FD9">
            <w:pPr>
              <w:spacing w:line="240" w:lineRule="auto"/>
              <w:jc w:val="center"/>
              <w:rPr>
                <w:sz w:val="21"/>
              </w:rPr>
            </w:pPr>
            <w:r>
              <w:rPr>
                <w:sz w:val="21"/>
              </w:rPr>
              <w:t>施工时无振动、无噪音等环境公害，无挤土现象，对周围环境影响小；墙身强度高，刚度大，支护稳定性好，变形小</w:t>
            </w:r>
          </w:p>
        </w:tc>
        <w:tc>
          <w:tcPr>
            <w:tcW w:w="1569" w:type="dxa"/>
            <w:vAlign w:val="center"/>
          </w:tcPr>
          <w:p w14:paraId="60D4AB12">
            <w:pPr>
              <w:spacing w:line="240" w:lineRule="auto"/>
              <w:jc w:val="center"/>
              <w:rPr>
                <w:sz w:val="21"/>
              </w:rPr>
            </w:pPr>
            <w:r>
              <w:rPr>
                <w:sz w:val="21"/>
              </w:rPr>
              <w:t>需根据工程条件采取措施解决挡水问题，需通过冠梁和围檩解决整体性差的问题。</w:t>
            </w:r>
          </w:p>
        </w:tc>
        <w:tc>
          <w:tcPr>
            <w:tcW w:w="1671" w:type="dxa"/>
            <w:vAlign w:val="center"/>
          </w:tcPr>
          <w:p w14:paraId="2706ADD3">
            <w:pPr>
              <w:spacing w:line="240" w:lineRule="auto"/>
              <w:jc w:val="center"/>
              <w:rPr>
                <w:sz w:val="21"/>
              </w:rPr>
            </w:pPr>
            <w:r>
              <w:rPr>
                <w:sz w:val="21"/>
              </w:rPr>
              <w:t>适用于靠近地下管线、建构、筑物，地质条件较差的软土和砂土地区，但由于工程造价较高，工期较长，应用时需要特别慎重</w:t>
            </w:r>
          </w:p>
        </w:tc>
        <w:tc>
          <w:tcPr>
            <w:tcW w:w="1661" w:type="dxa"/>
            <w:vAlign w:val="center"/>
          </w:tcPr>
          <w:p w14:paraId="0A81ADC4">
            <w:pPr>
              <w:spacing w:line="240" w:lineRule="auto"/>
              <w:jc w:val="center"/>
              <w:rPr>
                <w:sz w:val="21"/>
              </w:rPr>
            </w:pPr>
            <w:r>
              <w:rPr>
                <w:sz w:val="21"/>
              </w:rPr>
              <w:t>需要专用施工机具和专业施工队伍，造价昂贵，占用场地大，砂土地区慎用。</w:t>
            </w:r>
          </w:p>
        </w:tc>
      </w:tr>
      <w:tr w14:paraId="6AF01D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6" w:type="dxa"/>
            <w:vAlign w:val="center"/>
          </w:tcPr>
          <w:p w14:paraId="3219C4EF">
            <w:pPr>
              <w:spacing w:line="240" w:lineRule="auto"/>
              <w:jc w:val="center"/>
              <w:rPr>
                <w:sz w:val="21"/>
              </w:rPr>
            </w:pPr>
            <w:r>
              <w:rPr>
                <w:rFonts w:hint="eastAsia"/>
                <w:sz w:val="21"/>
              </w:rPr>
              <w:t>咬合桩</w:t>
            </w:r>
          </w:p>
        </w:tc>
        <w:tc>
          <w:tcPr>
            <w:tcW w:w="884" w:type="dxa"/>
            <w:vAlign w:val="center"/>
          </w:tcPr>
          <w:p w14:paraId="2968548C">
            <w:pPr>
              <w:spacing w:line="240" w:lineRule="auto"/>
              <w:jc w:val="center"/>
              <w:rPr>
                <w:sz w:val="21"/>
              </w:rPr>
            </w:pPr>
            <w:r>
              <w:rPr>
                <w:sz w:val="21"/>
              </w:rPr>
              <w:t>≤15</w:t>
            </w:r>
          </w:p>
        </w:tc>
        <w:tc>
          <w:tcPr>
            <w:tcW w:w="1767" w:type="dxa"/>
            <w:vAlign w:val="center"/>
          </w:tcPr>
          <w:p w14:paraId="74CFA9E2">
            <w:pPr>
              <w:spacing w:line="240" w:lineRule="auto"/>
              <w:jc w:val="center"/>
              <w:rPr>
                <w:sz w:val="21"/>
              </w:rPr>
            </w:pPr>
            <w:r>
              <w:rPr>
                <w:rFonts w:hint="eastAsia"/>
                <w:sz w:val="21"/>
              </w:rPr>
              <w:t>施工较为安全、快捷；对沉降及变形容易控制；桩间紧密咬合，整体防水效果好；施工噪音低、无震动、无泥浆污染</w:t>
            </w:r>
          </w:p>
        </w:tc>
        <w:tc>
          <w:tcPr>
            <w:tcW w:w="1569" w:type="dxa"/>
            <w:vAlign w:val="center"/>
          </w:tcPr>
          <w:p w14:paraId="4D7CBE31">
            <w:pPr>
              <w:spacing w:line="240" w:lineRule="auto"/>
              <w:jc w:val="center"/>
              <w:rPr>
                <w:sz w:val="21"/>
              </w:rPr>
            </w:pPr>
            <w:r>
              <w:rPr>
                <w:rFonts w:hint="eastAsia"/>
                <w:sz w:val="21"/>
              </w:rPr>
              <w:t>桩径受限制，不宜用于软土地区，施工工期长，造价偏高</w:t>
            </w:r>
          </w:p>
        </w:tc>
        <w:tc>
          <w:tcPr>
            <w:tcW w:w="1671" w:type="dxa"/>
            <w:vAlign w:val="center"/>
          </w:tcPr>
          <w:p w14:paraId="7D96E4E7">
            <w:pPr>
              <w:spacing w:line="240" w:lineRule="auto"/>
              <w:jc w:val="center"/>
              <w:rPr>
                <w:sz w:val="21"/>
              </w:rPr>
            </w:pPr>
            <w:r>
              <w:rPr>
                <w:rFonts w:hint="eastAsia"/>
                <w:sz w:val="21"/>
              </w:rPr>
              <w:t>适用于除岩层以外的土质地层，但在孤石、泥岩层或在软岩地层中成孔时效率会显著降低，对于含大于套管内径1/3的填石不均匀地层慎用</w:t>
            </w:r>
          </w:p>
        </w:tc>
        <w:tc>
          <w:tcPr>
            <w:tcW w:w="1661" w:type="dxa"/>
            <w:vAlign w:val="center"/>
          </w:tcPr>
          <w:p w14:paraId="20EBD4D6">
            <w:pPr>
              <w:spacing w:line="240" w:lineRule="auto"/>
              <w:jc w:val="center"/>
              <w:rPr>
                <w:sz w:val="21"/>
              </w:rPr>
            </w:pPr>
            <w:r>
              <w:rPr>
                <w:rFonts w:hint="eastAsia"/>
                <w:sz w:val="21"/>
              </w:rPr>
              <w:t>机械设备体积较大，狭窄场地施展不开；工地边界到边桩中心的距离也要求较大；</w:t>
            </w:r>
          </w:p>
        </w:tc>
      </w:tr>
      <w:tr w14:paraId="7E76B5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6" w:type="dxa"/>
            <w:vAlign w:val="center"/>
          </w:tcPr>
          <w:p w14:paraId="7E9F8CF3">
            <w:pPr>
              <w:spacing w:line="240" w:lineRule="auto"/>
              <w:jc w:val="center"/>
              <w:rPr>
                <w:sz w:val="21"/>
              </w:rPr>
            </w:pPr>
            <w:r>
              <w:rPr>
                <w:sz w:val="21"/>
              </w:rPr>
              <w:t>钢板桩围护</w:t>
            </w:r>
          </w:p>
        </w:tc>
        <w:tc>
          <w:tcPr>
            <w:tcW w:w="884" w:type="dxa"/>
            <w:vAlign w:val="center"/>
          </w:tcPr>
          <w:p w14:paraId="1BD5F481">
            <w:pPr>
              <w:spacing w:line="240" w:lineRule="auto"/>
              <w:jc w:val="center"/>
              <w:rPr>
                <w:sz w:val="21"/>
              </w:rPr>
            </w:pPr>
            <w:r>
              <w:rPr>
                <w:sz w:val="21"/>
              </w:rPr>
              <w:t>≤8</w:t>
            </w:r>
          </w:p>
        </w:tc>
        <w:tc>
          <w:tcPr>
            <w:tcW w:w="1767" w:type="dxa"/>
            <w:vAlign w:val="center"/>
          </w:tcPr>
          <w:p w14:paraId="4C938801">
            <w:pPr>
              <w:spacing w:line="240" w:lineRule="auto"/>
              <w:jc w:val="center"/>
              <w:rPr>
                <w:sz w:val="21"/>
              </w:rPr>
            </w:pPr>
            <w:r>
              <w:rPr>
                <w:sz w:val="21"/>
              </w:rPr>
              <w:t>施工简单，施工速度快，造价低</w:t>
            </w:r>
          </w:p>
        </w:tc>
        <w:tc>
          <w:tcPr>
            <w:tcW w:w="1569" w:type="dxa"/>
            <w:vAlign w:val="center"/>
          </w:tcPr>
          <w:p w14:paraId="3BCBAE84">
            <w:pPr>
              <w:spacing w:line="240" w:lineRule="auto"/>
              <w:jc w:val="center"/>
              <w:rPr>
                <w:sz w:val="21"/>
              </w:rPr>
            </w:pPr>
            <w:r>
              <w:rPr>
                <w:sz w:val="21"/>
              </w:rPr>
              <w:t>刚度小，变形大，对周围 环境影响大，基坑止水比较困难（除拉森钢板桩外），安全系数低。</w:t>
            </w:r>
          </w:p>
        </w:tc>
        <w:tc>
          <w:tcPr>
            <w:tcW w:w="1671" w:type="dxa"/>
            <w:vAlign w:val="center"/>
          </w:tcPr>
          <w:p w14:paraId="7DF721AA">
            <w:pPr>
              <w:spacing w:line="240" w:lineRule="auto"/>
              <w:jc w:val="center"/>
              <w:rPr>
                <w:sz w:val="21"/>
              </w:rPr>
            </w:pPr>
            <w:r>
              <w:rPr>
                <w:sz w:val="21"/>
              </w:rPr>
              <w:t>适用于埋置深度较浅，地下水位较低，顶力较小的普通顶管，拉森钢板桩法适用土质软且需止水防流砂情况。</w:t>
            </w:r>
          </w:p>
        </w:tc>
        <w:tc>
          <w:tcPr>
            <w:tcW w:w="1661" w:type="dxa"/>
            <w:vAlign w:val="center"/>
          </w:tcPr>
          <w:p w14:paraId="02CA1600">
            <w:pPr>
              <w:spacing w:line="240" w:lineRule="auto"/>
              <w:jc w:val="center"/>
              <w:rPr>
                <w:sz w:val="21"/>
              </w:rPr>
            </w:pPr>
            <w:r>
              <w:rPr>
                <w:sz w:val="21"/>
              </w:rPr>
              <w:t>需要专用施工机具和专业施工队伍，在土质坚硬密实或含有漂石、岩层和地下管线的地区施工困难；当土质为流砂与淤泥层，打拔钢板桩的过程中会扰动土层</w:t>
            </w:r>
          </w:p>
        </w:tc>
      </w:tr>
      <w:tr w14:paraId="609156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46" w:type="dxa"/>
            <w:vAlign w:val="center"/>
          </w:tcPr>
          <w:p w14:paraId="7BD3DE1C">
            <w:pPr>
              <w:spacing w:line="240" w:lineRule="auto"/>
              <w:jc w:val="center"/>
              <w:rPr>
                <w:rFonts w:eastAsiaTheme="minorEastAsia"/>
                <w:sz w:val="21"/>
              </w:rPr>
            </w:pPr>
            <w:r>
              <w:rPr>
                <w:sz w:val="21"/>
              </w:rPr>
              <w:t>地下连续墙</w:t>
            </w:r>
          </w:p>
        </w:tc>
        <w:tc>
          <w:tcPr>
            <w:tcW w:w="884" w:type="dxa"/>
            <w:vAlign w:val="center"/>
          </w:tcPr>
          <w:p w14:paraId="30921C8B">
            <w:pPr>
              <w:spacing w:line="240" w:lineRule="auto"/>
              <w:jc w:val="center"/>
              <w:rPr>
                <w:sz w:val="21"/>
              </w:rPr>
            </w:pPr>
            <w:r>
              <w:rPr>
                <w:sz w:val="21"/>
              </w:rPr>
              <w:t>≤25</w:t>
            </w:r>
          </w:p>
        </w:tc>
        <w:tc>
          <w:tcPr>
            <w:tcW w:w="1767" w:type="dxa"/>
            <w:vAlign w:val="center"/>
          </w:tcPr>
          <w:p w14:paraId="42094A49">
            <w:pPr>
              <w:spacing w:line="240" w:lineRule="auto"/>
              <w:jc w:val="center"/>
              <w:rPr>
                <w:sz w:val="21"/>
              </w:rPr>
            </w:pPr>
            <w:r>
              <w:rPr>
                <w:sz w:val="21"/>
              </w:rPr>
              <w:t>墙身刚度和强度大，整体性好，防渗能力强，对周围环境影响小。</w:t>
            </w:r>
          </w:p>
        </w:tc>
        <w:tc>
          <w:tcPr>
            <w:tcW w:w="1569" w:type="dxa"/>
            <w:vAlign w:val="center"/>
          </w:tcPr>
          <w:p w14:paraId="5C67BDB6">
            <w:pPr>
              <w:spacing w:line="240" w:lineRule="auto"/>
              <w:jc w:val="center"/>
              <w:rPr>
                <w:sz w:val="21"/>
              </w:rPr>
            </w:pPr>
            <w:r>
              <w:rPr>
                <w:sz w:val="21"/>
              </w:rPr>
              <w:t>施工工艺复杂，施工工期长，有环境污染，造价昂贵，穿墙管设置比较困难。</w:t>
            </w:r>
          </w:p>
        </w:tc>
        <w:tc>
          <w:tcPr>
            <w:tcW w:w="1671" w:type="dxa"/>
            <w:vAlign w:val="center"/>
          </w:tcPr>
          <w:p w14:paraId="686E3ABD">
            <w:pPr>
              <w:spacing w:line="240" w:lineRule="auto"/>
              <w:jc w:val="center"/>
              <w:rPr>
                <w:sz w:val="21"/>
              </w:rPr>
            </w:pPr>
            <w:r>
              <w:rPr>
                <w:sz w:val="21"/>
              </w:rPr>
              <w:t>适用于周边建筑物或构筑物较多、离房屋较近，且覆土比较深时；长距离或超长距离的顶管；沉井困难或者无法施工时。</w:t>
            </w:r>
          </w:p>
        </w:tc>
        <w:tc>
          <w:tcPr>
            <w:tcW w:w="1661" w:type="dxa"/>
            <w:vAlign w:val="center"/>
          </w:tcPr>
          <w:p w14:paraId="7B4A7595">
            <w:pPr>
              <w:spacing w:line="240" w:lineRule="auto"/>
              <w:jc w:val="center"/>
              <w:rPr>
                <w:sz w:val="21"/>
              </w:rPr>
            </w:pPr>
            <w:r>
              <w:rPr>
                <w:sz w:val="21"/>
              </w:rPr>
              <w:t>需要专用施工机具和专业施工队伍，造价昂贵，占用场地大，砂土地区慎用。</w:t>
            </w:r>
          </w:p>
        </w:tc>
      </w:tr>
    </w:tbl>
    <w:p w14:paraId="39D7C78C">
      <w:r>
        <w:rPr>
          <w:b/>
          <w:bCs/>
        </w:rPr>
        <w:t>7.1.5</w:t>
      </w:r>
      <w:r>
        <w:t xml:space="preserve">  本条对穿墙洞止水装置的设置进行了规定，所提及盘根止水穿墙管适用于透水层（包括砂土、粉土和砾石）、地下水压力大于0.08MPa以及穿墙管兼作释放管道温度应力伸缩结构的情况。橡胶止水穿墙管适用于渗透系数小的黏性土层以及地下水压力小于或等于0.08MPa的情况。</w:t>
      </w:r>
    </w:p>
    <w:p w14:paraId="58BDB686">
      <w:pPr>
        <w:ind w:firstLine="482" w:firstLineChars="200"/>
      </w:pPr>
      <w:r>
        <w:rPr>
          <w:b/>
        </w:rPr>
        <w:t>4</w:t>
      </w:r>
      <w:r>
        <w:t xml:space="preserve">  对于顶管结束后，永久性工作井上的橡胶止水穿墙管应改造成永久性柔性堵头。管道与穿墙管间隙封填材料可根据工作井围护结构的不同进行选用：a、沉井穿墙管可采用砖砌体或低强度水泥土；b、地下连续墙穿墙管可采用低强度水泥土或钢板。</w:t>
      </w:r>
    </w:p>
    <w:p w14:paraId="6E31BB2C"/>
    <w:p w14:paraId="09BD3C63">
      <w:pPr>
        <w:pStyle w:val="3"/>
        <w:rPr>
          <w:rFonts w:eastAsia="黑体" w:cs="Times New Roman"/>
          <w:b w:val="0"/>
        </w:rPr>
      </w:pPr>
      <w:bookmarkStart w:id="812" w:name="_Toc6305"/>
      <w:bookmarkStart w:id="813" w:name="_Toc60172960"/>
      <w:bookmarkStart w:id="814" w:name="_Toc33214155"/>
      <w:bookmarkStart w:id="815" w:name="_Toc60173320"/>
      <w:bookmarkStart w:id="816" w:name="_Toc7600"/>
      <w:bookmarkStart w:id="817" w:name="_Toc28922"/>
      <w:bookmarkStart w:id="818" w:name="_Toc60173847"/>
      <w:bookmarkStart w:id="819" w:name="_Toc28447"/>
      <w:bookmarkStart w:id="820" w:name="_Toc18540"/>
      <w:bookmarkStart w:id="821" w:name="_Toc10586"/>
      <w:r>
        <w:rPr>
          <w:rFonts w:eastAsia="黑体" w:cs="Times New Roman"/>
        </w:rPr>
        <w:t>7.2</w:t>
      </w:r>
      <w:r>
        <w:rPr>
          <w:rFonts w:eastAsia="黑体" w:cs="Times New Roman"/>
          <w:b w:val="0"/>
        </w:rPr>
        <w:t xml:space="preserve">  土体加固</w:t>
      </w:r>
      <w:bookmarkEnd w:id="812"/>
      <w:bookmarkEnd w:id="813"/>
      <w:bookmarkEnd w:id="814"/>
      <w:bookmarkEnd w:id="815"/>
      <w:bookmarkEnd w:id="816"/>
      <w:bookmarkEnd w:id="817"/>
      <w:bookmarkEnd w:id="818"/>
      <w:bookmarkEnd w:id="819"/>
      <w:bookmarkEnd w:id="820"/>
      <w:bookmarkEnd w:id="821"/>
    </w:p>
    <w:p w14:paraId="08B3D585">
      <w:r>
        <w:rPr>
          <w:b/>
          <w:bCs/>
        </w:rPr>
        <w:t>7.2.1</w:t>
      </w:r>
      <w:r>
        <w:t xml:space="preserve">  顶管洞口加固需要综合考虑地质条件、工程水文条件、周边环境以及工程造价等，选用不同的加固方式。</w:t>
      </w:r>
    </w:p>
    <w:p w14:paraId="066F6B1C">
      <w:r>
        <w:rPr>
          <w:b/>
          <w:bCs/>
        </w:rPr>
        <w:t>7.2.2</w:t>
      </w:r>
      <w:r>
        <w:t xml:space="preserve">  洞口土体采取加固措施的主要目的是：</w:t>
      </w:r>
      <w:r>
        <w:rPr>
          <w:rFonts w:hint="eastAsia" w:ascii="宋体" w:hAnsi="宋体" w:cs="宋体"/>
        </w:rPr>
        <w:t>①</w:t>
      </w:r>
      <w:r>
        <w:t>确保开洞门时土体具有一定的强度，防止土体坍塌涌入井内；</w:t>
      </w:r>
      <w:r>
        <w:rPr>
          <w:rFonts w:hint="eastAsia" w:ascii="宋体" w:hAnsi="宋体" w:cs="宋体"/>
        </w:rPr>
        <w:t>②</w:t>
      </w:r>
      <w:r>
        <w:t>确保开洞门时土体具有一定的抗渗透性，防止地下水通过土体涌入井内；所以在顶管穿墙前应确保洞口土体加固的有效性。</w:t>
      </w:r>
    </w:p>
    <w:p w14:paraId="16A75758">
      <w:r>
        <w:t>洞口土体加固可参照现行行业标准《高压喷射注浆施工技术规范》HG/T 20691、《注浆技术规程》YS/T 5211、《建筑工程水泥-水玻璃双液注浆技术规程》JGJ/T 211、《建筑地基工程施工质量验收标准》GB 50202等确定检测方法。</w:t>
      </w:r>
    </w:p>
    <w:p w14:paraId="78985DC6">
      <w:pPr>
        <w:ind w:firstLine="480" w:firstLineChars="200"/>
      </w:pPr>
    </w:p>
    <w:p w14:paraId="782D6391">
      <w:pPr>
        <w:ind w:firstLine="480" w:firstLineChars="200"/>
        <w:sectPr>
          <w:pgSz w:w="11850" w:h="16783"/>
          <w:pgMar w:top="1440" w:right="1800" w:bottom="1440" w:left="1800" w:header="720" w:footer="720" w:gutter="0"/>
          <w:cols w:space="720" w:num="1"/>
          <w:docGrid w:linePitch="360" w:charSpace="0"/>
        </w:sectPr>
      </w:pPr>
    </w:p>
    <w:p w14:paraId="0EC0C91A">
      <w:pPr>
        <w:pStyle w:val="2"/>
        <w:rPr>
          <w:rFonts w:cs="Times New Roman"/>
        </w:rPr>
      </w:pPr>
      <w:bookmarkStart w:id="822" w:name="_Toc9230"/>
      <w:bookmarkStart w:id="823" w:name="_Toc18470"/>
      <w:bookmarkStart w:id="824" w:name="_Toc60172961"/>
      <w:bookmarkStart w:id="825" w:name="_Toc1142"/>
      <w:bookmarkStart w:id="826" w:name="_Toc33214156"/>
      <w:bookmarkStart w:id="827" w:name="_Toc23334"/>
      <w:bookmarkStart w:id="828" w:name="_Toc60173848"/>
      <w:bookmarkStart w:id="829" w:name="_Toc60173321"/>
      <w:bookmarkStart w:id="830" w:name="_Toc27238"/>
      <w:bookmarkStart w:id="831" w:name="_Toc17536"/>
      <w:r>
        <w:rPr>
          <w:rFonts w:cs="Times New Roman"/>
        </w:rPr>
        <w:t>8  顶管设备及安装</w:t>
      </w:r>
      <w:bookmarkEnd w:id="822"/>
      <w:bookmarkEnd w:id="823"/>
      <w:bookmarkEnd w:id="824"/>
      <w:bookmarkEnd w:id="825"/>
      <w:bookmarkEnd w:id="826"/>
      <w:bookmarkEnd w:id="827"/>
      <w:bookmarkEnd w:id="828"/>
      <w:bookmarkEnd w:id="829"/>
      <w:bookmarkEnd w:id="830"/>
      <w:bookmarkEnd w:id="831"/>
    </w:p>
    <w:p w14:paraId="55F58AEE">
      <w:pPr>
        <w:pStyle w:val="3"/>
        <w:rPr>
          <w:rFonts w:eastAsia="黑体" w:cs="Times New Roman"/>
          <w:b w:val="0"/>
        </w:rPr>
      </w:pPr>
      <w:bookmarkStart w:id="832" w:name="_Toc20473"/>
      <w:bookmarkStart w:id="833" w:name="_Toc33214157"/>
      <w:bookmarkStart w:id="834" w:name="_Toc14164"/>
      <w:bookmarkStart w:id="835" w:name="_Toc20343"/>
      <w:bookmarkStart w:id="836" w:name="_Toc60173322"/>
      <w:bookmarkStart w:id="837" w:name="_Toc60173849"/>
      <w:bookmarkStart w:id="838" w:name="_Toc16937"/>
      <w:bookmarkStart w:id="839" w:name="_Toc60172962"/>
      <w:bookmarkStart w:id="840" w:name="_Toc23578"/>
      <w:bookmarkStart w:id="841" w:name="_Toc32634"/>
      <w:r>
        <w:rPr>
          <w:rFonts w:eastAsia="黑体" w:cs="Times New Roman"/>
        </w:rPr>
        <w:t>8.2</w:t>
      </w:r>
      <w:r>
        <w:rPr>
          <w:rFonts w:eastAsia="黑体" w:cs="Times New Roman"/>
          <w:b w:val="0"/>
        </w:rPr>
        <w:t xml:space="preserve">  矩形顶管机设计与选型</w:t>
      </w:r>
      <w:bookmarkEnd w:id="832"/>
      <w:bookmarkEnd w:id="833"/>
      <w:bookmarkEnd w:id="834"/>
      <w:bookmarkEnd w:id="835"/>
      <w:bookmarkEnd w:id="836"/>
      <w:bookmarkEnd w:id="837"/>
      <w:bookmarkEnd w:id="838"/>
      <w:bookmarkEnd w:id="839"/>
      <w:bookmarkEnd w:id="840"/>
      <w:bookmarkEnd w:id="841"/>
    </w:p>
    <w:p w14:paraId="5590ACEF">
      <w:r>
        <w:rPr>
          <w:b/>
          <w:bCs/>
        </w:rPr>
        <w:t>8.2.1</w:t>
      </w:r>
      <w:r>
        <w:t xml:space="preserve">  本条对矩形顶管机设计作出了规定。</w:t>
      </w:r>
    </w:p>
    <w:p w14:paraId="3CFD6151">
      <w:pPr>
        <w:ind w:firstLine="482" w:firstLineChars="200"/>
      </w:pPr>
      <w:r>
        <w:rPr>
          <w:b/>
        </w:rPr>
        <w:t>2</w:t>
      </w:r>
      <w:r>
        <w:t xml:space="preserve">  对矩形顶管机工作环境的规定中，若采取加热、降温、除湿等辅助措施，适应的环境范围可适当放宽。</w:t>
      </w:r>
    </w:p>
    <w:p w14:paraId="13E8166A">
      <w:r>
        <w:rPr>
          <w:rFonts w:eastAsia="仿宋"/>
          <w:b/>
          <w:bCs/>
        </w:rPr>
        <w:t>8.2.2</w:t>
      </w:r>
      <w:r>
        <w:rPr>
          <w:rFonts w:eastAsia="仿宋"/>
        </w:rPr>
        <w:t xml:space="preserve">  </w:t>
      </w:r>
      <w:r>
        <w:t>本规程所规定的矩形顶管机类型主要包括矩形土压平衡顶管机（图1）和矩形泥水平衡顶管机（图2），具体选型可通过专家会确定。</w:t>
      </w:r>
    </w:p>
    <w:p w14:paraId="3610EDB6">
      <w:pPr>
        <w:pStyle w:val="89"/>
        <w:ind w:firstLine="0" w:firstLineChars="0"/>
        <w:jc w:val="center"/>
        <w:rPr>
          <w:rFonts w:ascii="Times New Roman"/>
        </w:rPr>
      </w:pPr>
      <w:r>
        <w:rPr>
          <w:rFonts w:ascii="Times New Roman"/>
        </w:rPr>
        <w:drawing>
          <wp:inline distT="0" distB="0" distL="0" distR="0">
            <wp:extent cx="5547360" cy="1845310"/>
            <wp:effectExtent l="0" t="0" r="0" b="254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a:xfrm>
                      <a:off x="0" y="0"/>
                      <a:ext cx="5547360" cy="1845310"/>
                    </a:xfrm>
                    <a:prstGeom prst="rect">
                      <a:avLst/>
                    </a:prstGeom>
                    <a:noFill/>
                    <a:ln>
                      <a:noFill/>
                    </a:ln>
                  </pic:spPr>
                </pic:pic>
              </a:graphicData>
            </a:graphic>
          </wp:inline>
        </w:drawing>
      </w:r>
    </w:p>
    <w:p w14:paraId="0CE5F66D">
      <w:pPr>
        <w:spacing w:before="120" w:beforeLines="50"/>
        <w:jc w:val="center"/>
        <w:rPr>
          <w:b/>
          <w:sz w:val="21"/>
          <w:szCs w:val="18"/>
        </w:rPr>
      </w:pPr>
      <w:r>
        <w:rPr>
          <w:b/>
          <w:sz w:val="21"/>
          <w:szCs w:val="18"/>
        </w:rPr>
        <w:t>图1  矩形土压平衡顶管机结构示意图</w:t>
      </w:r>
    </w:p>
    <w:p w14:paraId="158F983F">
      <w:pPr>
        <w:widowControl/>
        <w:tabs>
          <w:tab w:val="left" w:pos="4350"/>
          <w:tab w:val="left" w:pos="12180"/>
        </w:tabs>
        <w:autoSpaceDE w:val="0"/>
        <w:autoSpaceDN w:val="0"/>
        <w:jc w:val="center"/>
        <w:rPr>
          <w:kern w:val="0"/>
          <w:sz w:val="18"/>
          <w:szCs w:val="18"/>
        </w:rPr>
      </w:pPr>
      <w:r>
        <w:rPr>
          <w:kern w:val="0"/>
          <w:sz w:val="18"/>
          <w:szCs w:val="18"/>
        </w:rPr>
        <w:t>1 —开挖系统；2 —盾体；3 —主驱动单元； 4 —纠偏系统；5 —脱离装置；</w:t>
      </w:r>
    </w:p>
    <w:p w14:paraId="2AE3806E">
      <w:pPr>
        <w:widowControl/>
        <w:tabs>
          <w:tab w:val="left" w:pos="4350"/>
          <w:tab w:val="left" w:pos="12180"/>
        </w:tabs>
        <w:autoSpaceDE w:val="0"/>
        <w:autoSpaceDN w:val="0"/>
        <w:jc w:val="center"/>
        <w:rPr>
          <w:kern w:val="0"/>
          <w:sz w:val="18"/>
          <w:szCs w:val="18"/>
        </w:rPr>
      </w:pPr>
      <w:r>
        <w:rPr>
          <w:kern w:val="0"/>
          <w:sz w:val="18"/>
          <w:szCs w:val="18"/>
        </w:rPr>
        <w:t>6 —螺旋输送机；7 —管节；8 —中继间；9 —顶铁；10 —顶推装置；11 —后靠；</w:t>
      </w:r>
    </w:p>
    <w:p w14:paraId="6E9A2A74">
      <w:pPr>
        <w:widowControl/>
        <w:tabs>
          <w:tab w:val="left" w:pos="4350"/>
          <w:tab w:val="left" w:pos="12180"/>
        </w:tabs>
        <w:autoSpaceDE w:val="0"/>
        <w:autoSpaceDN w:val="0"/>
        <w:jc w:val="center"/>
        <w:rPr>
          <w:kern w:val="0"/>
          <w:sz w:val="18"/>
          <w:szCs w:val="18"/>
        </w:rPr>
      </w:pPr>
      <w:r>
        <w:rPr>
          <w:kern w:val="0"/>
          <w:sz w:val="18"/>
          <w:szCs w:val="18"/>
        </w:rPr>
        <w:t>12 —导向系统；13 —反力墙；14 —止退装置；15 —渣土输送系统。</w:t>
      </w:r>
    </w:p>
    <w:p w14:paraId="1F3C3D81">
      <w:pPr>
        <w:pStyle w:val="89"/>
        <w:tabs>
          <w:tab w:val="center" w:pos="4201"/>
          <w:tab w:val="right" w:leader="dot" w:pos="9298"/>
        </w:tabs>
        <w:ind w:firstLine="0" w:firstLineChars="0"/>
        <w:jc w:val="center"/>
        <w:rPr>
          <w:rFonts w:ascii="Times New Roman"/>
        </w:rPr>
      </w:pPr>
      <w:r>
        <w:rPr>
          <w:rFonts w:ascii="Times New Roman"/>
        </w:rPr>
        <w:drawing>
          <wp:inline distT="0" distB="0" distL="0" distR="0">
            <wp:extent cx="5521960" cy="1737360"/>
            <wp:effectExtent l="0" t="0" r="0" b="1524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288" cstate="print">
                      <a:extLst>
                        <a:ext uri="{28A0092B-C50C-407E-A947-70E740481C1C}">
                          <a14:useLocalDpi xmlns:a14="http://schemas.microsoft.com/office/drawing/2010/main" val="0"/>
                        </a:ext>
                      </a:extLst>
                    </a:blip>
                    <a:srcRect/>
                    <a:stretch>
                      <a:fillRect/>
                    </a:stretch>
                  </pic:blipFill>
                  <pic:spPr>
                    <a:xfrm>
                      <a:off x="0" y="0"/>
                      <a:ext cx="5521960" cy="1737360"/>
                    </a:xfrm>
                    <a:prstGeom prst="rect">
                      <a:avLst/>
                    </a:prstGeom>
                    <a:noFill/>
                    <a:ln>
                      <a:noFill/>
                    </a:ln>
                  </pic:spPr>
                </pic:pic>
              </a:graphicData>
            </a:graphic>
          </wp:inline>
        </w:drawing>
      </w:r>
    </w:p>
    <w:p w14:paraId="7F87F425">
      <w:pPr>
        <w:spacing w:before="120" w:beforeLines="50"/>
        <w:jc w:val="center"/>
        <w:rPr>
          <w:rFonts w:eastAsia="仿宋"/>
          <w:sz w:val="21"/>
          <w:szCs w:val="18"/>
        </w:rPr>
      </w:pPr>
      <w:r>
        <w:rPr>
          <w:b/>
          <w:sz w:val="21"/>
          <w:szCs w:val="18"/>
        </w:rPr>
        <w:t>图2  矩形泥水平衡顶管机结构示意图</w:t>
      </w:r>
    </w:p>
    <w:p w14:paraId="1DDB7C36">
      <w:pPr>
        <w:widowControl/>
        <w:tabs>
          <w:tab w:val="left" w:pos="6510"/>
          <w:tab w:val="left" w:pos="12180"/>
        </w:tabs>
        <w:autoSpaceDE w:val="0"/>
        <w:autoSpaceDN w:val="0"/>
        <w:jc w:val="center"/>
        <w:rPr>
          <w:kern w:val="0"/>
          <w:sz w:val="18"/>
          <w:szCs w:val="18"/>
        </w:rPr>
      </w:pPr>
      <w:r>
        <w:rPr>
          <w:kern w:val="0"/>
          <w:sz w:val="18"/>
          <w:szCs w:val="18"/>
        </w:rPr>
        <w:t>1 —开挖系统；2 —盾体；3 —主驱动单元；4 —纠偏系统；5 —脱离装置；</w:t>
      </w:r>
    </w:p>
    <w:p w14:paraId="77A98701">
      <w:pPr>
        <w:widowControl/>
        <w:tabs>
          <w:tab w:val="left" w:pos="6510"/>
          <w:tab w:val="left" w:pos="12180"/>
        </w:tabs>
        <w:autoSpaceDE w:val="0"/>
        <w:autoSpaceDN w:val="0"/>
        <w:jc w:val="center"/>
        <w:rPr>
          <w:kern w:val="0"/>
          <w:sz w:val="18"/>
          <w:szCs w:val="18"/>
        </w:rPr>
      </w:pPr>
      <w:r>
        <w:rPr>
          <w:kern w:val="0"/>
          <w:sz w:val="18"/>
          <w:szCs w:val="18"/>
        </w:rPr>
        <w:t>6 —泥水循环系统；7 —管节；8 —中继间；9 —顶铁；10 —顶推装置；</w:t>
      </w:r>
    </w:p>
    <w:p w14:paraId="211C1EE2">
      <w:pPr>
        <w:widowControl/>
        <w:tabs>
          <w:tab w:val="left" w:pos="6510"/>
          <w:tab w:val="left" w:pos="12180"/>
        </w:tabs>
        <w:autoSpaceDE w:val="0"/>
        <w:autoSpaceDN w:val="0"/>
        <w:jc w:val="center"/>
        <w:rPr>
          <w:kern w:val="0"/>
          <w:sz w:val="18"/>
          <w:szCs w:val="18"/>
        </w:rPr>
      </w:pPr>
      <w:r>
        <w:rPr>
          <w:kern w:val="0"/>
          <w:sz w:val="18"/>
          <w:szCs w:val="18"/>
        </w:rPr>
        <w:t>11 —后靠；12 —导向系统；13 —反力墙；14 —止退装置。</w:t>
      </w:r>
    </w:p>
    <w:p w14:paraId="0CC415FF">
      <w:r>
        <w:rPr>
          <w:b/>
          <w:bCs/>
        </w:rPr>
        <w:t xml:space="preserve">8.2.5  </w:t>
      </w:r>
      <w:r>
        <w:t>本条对排渣系统选型与设计进行了规定。</w:t>
      </w:r>
    </w:p>
    <w:p w14:paraId="17892D04">
      <w:pPr>
        <w:ind w:firstLine="482" w:firstLineChars="200"/>
      </w:pPr>
      <w:r>
        <w:rPr>
          <w:b/>
        </w:rPr>
        <w:t>2</w:t>
      </w:r>
      <w:r>
        <w:t xml:space="preserve">  矩形土压平衡顶管机螺旋输送机的选用需要考虑地质条件的影响，一般而言，软土地层选用有轴的输送机，砾石层视砾石粒径大小选用有轴式或带式的螺旋输送机。</w:t>
      </w:r>
    </w:p>
    <w:p w14:paraId="14EF1AF7">
      <w:r>
        <w:rPr>
          <w:b/>
          <w:bCs/>
        </w:rPr>
        <w:t>8.2.6</w:t>
      </w:r>
      <w:r>
        <w:t xml:space="preserve">  为了改善矩形断面土仓内渣土的流动性、塑性、止水性，提高压力平衡控制精度和排渣效率，矩形顶管机应设置渣土改良系统。</w:t>
      </w:r>
    </w:p>
    <w:p w14:paraId="3C59DF8D">
      <w:r>
        <w:rPr>
          <w:b/>
          <w:bCs/>
        </w:rPr>
        <w:t>8.2.7</w:t>
      </w:r>
      <w:r>
        <w:t xml:space="preserve">  带压进仓作业包括刀具更换、土仓异物处理等。</w:t>
      </w:r>
    </w:p>
    <w:p w14:paraId="2D18CAF9">
      <w:pPr>
        <w:pStyle w:val="3"/>
        <w:rPr>
          <w:rFonts w:eastAsia="黑体" w:cs="Times New Roman"/>
          <w:b w:val="0"/>
        </w:rPr>
      </w:pPr>
      <w:bookmarkStart w:id="842" w:name="_Toc33214158"/>
      <w:bookmarkStart w:id="843" w:name="_Toc5303"/>
      <w:bookmarkStart w:id="844" w:name="_Toc13570"/>
      <w:bookmarkStart w:id="845" w:name="_Toc6187"/>
      <w:bookmarkStart w:id="846" w:name="_Toc26850"/>
      <w:bookmarkStart w:id="847" w:name="_Toc14503"/>
      <w:bookmarkStart w:id="848" w:name="_Toc60173850"/>
      <w:bookmarkStart w:id="849" w:name="_Toc60172963"/>
      <w:bookmarkStart w:id="850" w:name="_Toc15239"/>
      <w:bookmarkStart w:id="851" w:name="_Toc60173323"/>
      <w:r>
        <w:rPr>
          <w:rFonts w:eastAsia="黑体" w:cs="Times New Roman"/>
        </w:rPr>
        <w:t>8.4</w:t>
      </w:r>
      <w:r>
        <w:rPr>
          <w:rFonts w:eastAsia="黑体" w:cs="Times New Roman"/>
          <w:b w:val="0"/>
        </w:rPr>
        <w:t xml:space="preserve">  导轨选择与安装</w:t>
      </w:r>
      <w:bookmarkEnd w:id="842"/>
      <w:bookmarkEnd w:id="843"/>
      <w:bookmarkEnd w:id="844"/>
      <w:bookmarkEnd w:id="845"/>
      <w:bookmarkEnd w:id="846"/>
      <w:bookmarkEnd w:id="847"/>
      <w:bookmarkEnd w:id="848"/>
      <w:bookmarkEnd w:id="849"/>
      <w:bookmarkEnd w:id="850"/>
      <w:bookmarkEnd w:id="851"/>
    </w:p>
    <w:p w14:paraId="4D1D4C4A">
      <w:r>
        <w:rPr>
          <w:b/>
          <w:bCs/>
        </w:rPr>
        <w:t>8.4.1</w:t>
      </w:r>
      <w:r>
        <w:t xml:space="preserve">  始发导轨推荐采用整轨，以避免轨道接口不平，错台影响顶管机、管节正常顶进。</w:t>
      </w:r>
    </w:p>
    <w:p w14:paraId="3A2D1A7D">
      <w:r>
        <w:rPr>
          <w:b/>
          <w:bCs/>
        </w:rPr>
        <w:t xml:space="preserve">8.4.2 </w:t>
      </w:r>
      <w:r>
        <w:t xml:space="preserve"> 轨道前端离始发洞口预留0.5m～0.7m流水槽，流水槽上方可不布置导轨。</w:t>
      </w:r>
    </w:p>
    <w:p w14:paraId="537F8FDE">
      <w:r>
        <w:rPr>
          <w:b/>
          <w:bCs/>
        </w:rPr>
        <w:t>8.4.6</w:t>
      </w:r>
      <w:r>
        <w:t xml:space="preserve">  为防止顶管机进洞栽头，可在拟合线路始发的基础上整体抬高0～20mm进行始发。</w:t>
      </w:r>
    </w:p>
    <w:p w14:paraId="31F9D32A">
      <w:pPr>
        <w:pStyle w:val="3"/>
        <w:rPr>
          <w:rFonts w:eastAsia="黑体" w:cs="Times New Roman"/>
          <w:b w:val="0"/>
        </w:rPr>
      </w:pPr>
      <w:bookmarkStart w:id="852" w:name="_Toc15921"/>
      <w:bookmarkStart w:id="853" w:name="_Toc14925"/>
      <w:bookmarkStart w:id="854" w:name="_Toc14662"/>
      <w:bookmarkStart w:id="855" w:name="_Toc60173851"/>
      <w:bookmarkStart w:id="856" w:name="_Toc28242"/>
      <w:bookmarkStart w:id="857" w:name="_Toc33214159"/>
      <w:bookmarkStart w:id="858" w:name="_Toc60173324"/>
      <w:bookmarkStart w:id="859" w:name="_Toc11913"/>
      <w:bookmarkStart w:id="860" w:name="_Toc26081"/>
      <w:bookmarkStart w:id="861" w:name="_Toc60172964"/>
      <w:r>
        <w:rPr>
          <w:rFonts w:eastAsia="黑体" w:cs="Times New Roman"/>
        </w:rPr>
        <w:t>8.5</w:t>
      </w:r>
      <w:r>
        <w:rPr>
          <w:rFonts w:eastAsia="黑体" w:cs="Times New Roman"/>
          <w:b w:val="0"/>
        </w:rPr>
        <w:t xml:space="preserve">  顶管机安装和调试</w:t>
      </w:r>
      <w:bookmarkEnd w:id="852"/>
      <w:bookmarkEnd w:id="853"/>
      <w:bookmarkEnd w:id="854"/>
      <w:bookmarkEnd w:id="855"/>
      <w:bookmarkEnd w:id="856"/>
      <w:bookmarkEnd w:id="857"/>
      <w:bookmarkEnd w:id="858"/>
      <w:bookmarkEnd w:id="859"/>
      <w:bookmarkEnd w:id="860"/>
      <w:bookmarkEnd w:id="861"/>
    </w:p>
    <w:p w14:paraId="1B98D6FA">
      <w:r>
        <w:rPr>
          <w:b/>
          <w:bCs/>
        </w:rPr>
        <w:t>8.5.5</w:t>
      </w:r>
      <w:r>
        <w:t xml:space="preserve">  设置限位装置的目的是在顶管机吊放至导轨时</w:t>
      </w:r>
      <w:bookmarkStart w:id="956" w:name="_GoBack"/>
      <w:bookmarkEnd w:id="956"/>
      <w:r>
        <w:t>以及矩形顶管机向前移动进入土体之前保证始发左右精度。</w:t>
      </w:r>
    </w:p>
    <w:p w14:paraId="1489FEE9">
      <w:r>
        <w:rPr>
          <w:b/>
          <w:bCs/>
        </w:rPr>
        <w:t xml:space="preserve">8.5.7  </w:t>
      </w:r>
      <w:r>
        <w:t>本条规定顶管机主机组装工作遵循由前向后、先下后上、先机械后液压电气考虑以下几点原则：</w:t>
      </w:r>
    </w:p>
    <w:p w14:paraId="3581F506">
      <w:pPr>
        <w:ind w:firstLine="482" w:firstLineChars="200"/>
      </w:pPr>
      <w:r>
        <w:rPr>
          <w:b/>
          <w:bCs/>
        </w:rPr>
        <w:t xml:space="preserve">1  </w:t>
      </w:r>
      <w:r>
        <w:t>组装过程中严禁踩踏扳动传感器、仪表、电磁阀、液压缸等易损部件。</w:t>
      </w:r>
    </w:p>
    <w:p w14:paraId="1C5971D2">
      <w:pPr>
        <w:ind w:firstLine="482" w:firstLineChars="200"/>
      </w:pPr>
      <w:r>
        <w:rPr>
          <w:b/>
          <w:bCs/>
        </w:rPr>
        <w:t xml:space="preserve">2  </w:t>
      </w:r>
      <w:r>
        <w:t>常规矩形顶管机主机一般组装步骤为：</w:t>
      </w:r>
    </w:p>
    <w:p w14:paraId="6CDC8049">
      <w:pPr>
        <w:ind w:firstLine="480" w:firstLineChars="200"/>
      </w:pPr>
      <w:r>
        <w:t>前盾总成→安装刀盘→尾盾总成→铰接密封→前盾与尾盾合拢→前盾通过纠偏液压缸与尾盾连接→安装螺旋输送机</w:t>
      </w:r>
    </w:p>
    <w:p w14:paraId="07E32454">
      <w:pPr>
        <w:ind w:firstLine="482" w:firstLineChars="200"/>
      </w:pPr>
      <w:r>
        <w:rPr>
          <w:b/>
          <w:bCs/>
        </w:rPr>
        <w:t xml:space="preserve">3  </w:t>
      </w:r>
      <w:r>
        <w:t>采用多刀盘的矩形顶管机开挖系统安装：按先后再前、先下再上、先中间再两边的顺序安装刀盘。</w:t>
      </w:r>
    </w:p>
    <w:p w14:paraId="141B55C0">
      <w:pPr>
        <w:ind w:firstLine="482" w:firstLineChars="200"/>
      </w:pPr>
      <w:r>
        <w:rPr>
          <w:b/>
          <w:bCs/>
        </w:rPr>
        <w:t xml:space="preserve">4  </w:t>
      </w:r>
      <w:r>
        <w:t>液压管线的连接应保证清洁，禁止使用棉纱等易脱落线头的物品擦拭。</w:t>
      </w:r>
    </w:p>
    <w:p w14:paraId="72F9F201">
      <w:pPr>
        <w:ind w:firstLine="482" w:firstLineChars="200"/>
      </w:pPr>
      <w:r>
        <w:rPr>
          <w:b/>
          <w:bCs/>
        </w:rPr>
        <w:t xml:space="preserve">5  </w:t>
      </w:r>
      <w:r>
        <w:t>液压油箱加油前需检查是否清洁，并对加油口进行必要的清洁，同时要在指定的加油口加油。</w:t>
      </w:r>
    </w:p>
    <w:p w14:paraId="67914813">
      <w:pPr>
        <w:ind w:firstLine="482" w:firstLineChars="200"/>
      </w:pPr>
      <w:r>
        <w:rPr>
          <w:b/>
          <w:bCs/>
        </w:rPr>
        <w:t xml:space="preserve">6  </w:t>
      </w:r>
      <w:r>
        <w:t>将顶管机主机结构和电路、油路、水路、气路、泥浆管路、控制系统等进行逐一连接，要求各部件安装正确、连接牢固、不得渗漏，要求安装后对各分系统进行认真检查和试运行，达到按照设计参数正常运转的状态。</w:t>
      </w:r>
    </w:p>
    <w:p w14:paraId="2F5B7426">
      <w:pPr>
        <w:pStyle w:val="3"/>
        <w:rPr>
          <w:rFonts w:eastAsia="黑体" w:cs="Times New Roman"/>
          <w:b w:val="0"/>
        </w:rPr>
      </w:pPr>
      <w:bookmarkStart w:id="862" w:name="_Toc6901"/>
      <w:bookmarkStart w:id="863" w:name="_Toc60173325"/>
      <w:bookmarkStart w:id="864" w:name="_Toc60173852"/>
      <w:bookmarkStart w:id="865" w:name="_Toc60172965"/>
      <w:r>
        <w:rPr>
          <w:rFonts w:eastAsia="黑体" w:cs="Times New Roman"/>
        </w:rPr>
        <w:t>8.9</w:t>
      </w:r>
      <w:r>
        <w:rPr>
          <w:rFonts w:eastAsia="黑体" w:cs="Times New Roman"/>
          <w:b w:val="0"/>
        </w:rPr>
        <w:t xml:space="preserve">  顶管辅助施工与设备</w:t>
      </w:r>
      <w:bookmarkEnd w:id="862"/>
      <w:bookmarkEnd w:id="863"/>
      <w:bookmarkEnd w:id="864"/>
      <w:bookmarkEnd w:id="865"/>
    </w:p>
    <w:p w14:paraId="078C2629">
      <w:r>
        <w:rPr>
          <w:rFonts w:hint="eastAsia"/>
          <w:b/>
          <w:bCs/>
        </w:rPr>
        <w:t>8.9.3</w:t>
      </w:r>
      <w:r>
        <w:rPr>
          <w:rFonts w:hint="eastAsia"/>
        </w:rPr>
        <w:t xml:space="preserve">  本条第1款的目的是用以调整垂直和水平的轴线偏差。</w:t>
      </w:r>
    </w:p>
    <w:p w14:paraId="3CE2E0AE">
      <w:pPr>
        <w:ind w:firstLine="480" w:firstLineChars="200"/>
        <w:sectPr>
          <w:pgSz w:w="11850" w:h="16783"/>
          <w:pgMar w:top="1440" w:right="1644" w:bottom="1440" w:left="1800" w:header="720" w:footer="720" w:gutter="0"/>
          <w:cols w:space="720" w:num="1"/>
          <w:docGrid w:linePitch="360" w:charSpace="0"/>
        </w:sectPr>
      </w:pPr>
    </w:p>
    <w:p w14:paraId="6B44B76A">
      <w:pPr>
        <w:pStyle w:val="2"/>
        <w:spacing w:before="0" w:after="0"/>
        <w:rPr>
          <w:rFonts w:cs="Times New Roman"/>
        </w:rPr>
      </w:pPr>
      <w:bookmarkStart w:id="866" w:name="_Toc60173853"/>
      <w:bookmarkStart w:id="867" w:name="_Toc20598"/>
      <w:bookmarkStart w:id="868" w:name="_Toc14672"/>
      <w:bookmarkStart w:id="869" w:name="_Toc21545"/>
      <w:bookmarkStart w:id="870" w:name="_Toc60172966"/>
      <w:bookmarkStart w:id="871" w:name="_Toc29858"/>
      <w:bookmarkStart w:id="872" w:name="_Toc33214160"/>
      <w:bookmarkStart w:id="873" w:name="_Toc11717"/>
      <w:bookmarkStart w:id="874" w:name="_Toc60173326"/>
      <w:bookmarkStart w:id="875" w:name="_Toc29315"/>
      <w:r>
        <w:rPr>
          <w:rFonts w:cs="Times New Roman"/>
        </w:rPr>
        <w:t>9  顶进施工</w:t>
      </w:r>
      <w:bookmarkEnd w:id="866"/>
      <w:bookmarkEnd w:id="867"/>
      <w:bookmarkEnd w:id="868"/>
      <w:bookmarkEnd w:id="869"/>
      <w:bookmarkEnd w:id="870"/>
      <w:bookmarkEnd w:id="871"/>
      <w:bookmarkEnd w:id="872"/>
      <w:bookmarkEnd w:id="873"/>
      <w:bookmarkEnd w:id="874"/>
      <w:bookmarkEnd w:id="875"/>
    </w:p>
    <w:p w14:paraId="666A38D6">
      <w:pPr>
        <w:pStyle w:val="3"/>
        <w:rPr>
          <w:rFonts w:eastAsia="黑体" w:cs="Times New Roman"/>
          <w:b w:val="0"/>
        </w:rPr>
      </w:pPr>
      <w:bookmarkStart w:id="876" w:name="_Toc23465"/>
      <w:bookmarkStart w:id="877" w:name="_Toc15036"/>
      <w:bookmarkStart w:id="878" w:name="_Toc5396"/>
      <w:bookmarkStart w:id="879" w:name="_Toc5325"/>
      <w:bookmarkStart w:id="880" w:name="_Toc60173854"/>
      <w:bookmarkStart w:id="881" w:name="_Toc13276"/>
      <w:bookmarkStart w:id="882" w:name="_Toc60173327"/>
      <w:bookmarkStart w:id="883" w:name="_Toc33214161"/>
      <w:bookmarkStart w:id="884" w:name="_Toc10800"/>
      <w:bookmarkStart w:id="885" w:name="_Toc60172967"/>
      <w:r>
        <w:rPr>
          <w:rFonts w:eastAsia="黑体" w:cs="Times New Roman"/>
        </w:rPr>
        <w:t>9.2</w:t>
      </w:r>
      <w:r>
        <w:rPr>
          <w:rFonts w:eastAsia="黑体" w:cs="Times New Roman"/>
          <w:b w:val="0"/>
        </w:rPr>
        <w:t xml:space="preserve">  施工组织设计</w:t>
      </w:r>
      <w:bookmarkEnd w:id="876"/>
      <w:bookmarkEnd w:id="877"/>
      <w:bookmarkEnd w:id="878"/>
      <w:bookmarkEnd w:id="879"/>
      <w:bookmarkEnd w:id="880"/>
      <w:bookmarkEnd w:id="881"/>
      <w:bookmarkEnd w:id="882"/>
      <w:bookmarkEnd w:id="883"/>
      <w:bookmarkEnd w:id="884"/>
      <w:bookmarkEnd w:id="885"/>
    </w:p>
    <w:p w14:paraId="0148B546">
      <w:r>
        <w:rPr>
          <w:b/>
          <w:bCs/>
        </w:rPr>
        <w:t>9.2.2</w:t>
      </w:r>
      <w:r>
        <w:t xml:space="preserve">  顶管施工属于地下工程，影响施工的因素很多，除了施工工艺方法多、技术要求差异大等特点外，工程地质条件、原有地下设施和地下障碍物情况以及施工现场环境等因素均可对施工进度、工程质量、施工安全和施工成本造成影响。为了保证顶管施工项目的顺利进行，取得良好的经济效益和社会效益，编写好顶管施工组织设计是十分关键的。</w:t>
      </w:r>
    </w:p>
    <w:p w14:paraId="2BD74FC2">
      <w:pPr>
        <w:ind w:firstLine="482" w:firstLineChars="200"/>
      </w:pPr>
      <w:r>
        <w:rPr>
          <w:rFonts w:hint="eastAsia"/>
          <w:b/>
          <w:bCs/>
        </w:rPr>
        <w:t>6</w:t>
      </w:r>
      <w:r>
        <w:rPr>
          <w:rFonts w:hint="eastAsia"/>
        </w:rPr>
        <w:t xml:space="preserve">  顶管设备的选型与配置应符合可靠性、安全性、地层适应性等原则，并应根据断面大小、掘进距离、地质条件、估算总顶力、顶管施工方法等确定顶管机设备类型和合适的刀盘布置形式。</w:t>
      </w:r>
    </w:p>
    <w:p w14:paraId="28B01C10"/>
    <w:p w14:paraId="67D88429">
      <w:pPr>
        <w:pStyle w:val="3"/>
        <w:rPr>
          <w:rFonts w:eastAsia="黑体" w:cs="Times New Roman"/>
          <w:b w:val="0"/>
        </w:rPr>
      </w:pPr>
      <w:bookmarkStart w:id="886" w:name="_Toc10223"/>
      <w:bookmarkStart w:id="887" w:name="_Toc2175"/>
      <w:bookmarkStart w:id="888" w:name="_Toc33214162"/>
      <w:bookmarkStart w:id="889" w:name="_Toc26110"/>
      <w:bookmarkStart w:id="890" w:name="_Toc20242"/>
      <w:bookmarkStart w:id="891" w:name="_Toc30370"/>
      <w:bookmarkStart w:id="892" w:name="_Toc60173328"/>
      <w:bookmarkStart w:id="893" w:name="_Toc60172968"/>
      <w:bookmarkStart w:id="894" w:name="_Toc14604"/>
      <w:bookmarkStart w:id="895" w:name="_Toc60173855"/>
      <w:r>
        <w:rPr>
          <w:rFonts w:eastAsia="黑体" w:cs="Times New Roman"/>
        </w:rPr>
        <w:t>9.3</w:t>
      </w:r>
      <w:r>
        <w:rPr>
          <w:rFonts w:eastAsia="黑体" w:cs="Times New Roman"/>
          <w:b w:val="0"/>
        </w:rPr>
        <w:t xml:space="preserve">  顶管始发与接收</w:t>
      </w:r>
      <w:bookmarkEnd w:id="886"/>
      <w:bookmarkEnd w:id="887"/>
      <w:bookmarkEnd w:id="888"/>
      <w:bookmarkEnd w:id="889"/>
      <w:bookmarkEnd w:id="890"/>
      <w:bookmarkEnd w:id="891"/>
      <w:bookmarkEnd w:id="892"/>
      <w:bookmarkEnd w:id="893"/>
      <w:bookmarkEnd w:id="894"/>
      <w:bookmarkEnd w:id="895"/>
    </w:p>
    <w:p w14:paraId="5FAF5603">
      <w:pPr>
        <w:jc w:val="left"/>
      </w:pPr>
      <w:r>
        <w:rPr>
          <w:rFonts w:eastAsia="仿宋"/>
          <w:b/>
          <w:bCs/>
        </w:rPr>
        <w:t xml:space="preserve">9.3.1  </w:t>
      </w:r>
      <w:r>
        <w:t>本条对顶管洞口的施工作出了规定。</w:t>
      </w:r>
    </w:p>
    <w:p w14:paraId="33D751D7">
      <w:pPr>
        <w:ind w:firstLine="424" w:firstLineChars="176"/>
        <w:jc w:val="left"/>
      </w:pPr>
      <w:r>
        <w:rPr>
          <w:b/>
        </w:rPr>
        <w:t>4</w:t>
      </w:r>
      <w:r>
        <w:t xml:space="preserve">  工作井洞口设置止水装置的目的是为了防止顶管机始发时发生水土流失，造成洞门塌方，并保证顶管机迅速穿越始发洞口进入加固土体，止住渗漏。顶管机与洞门的间隙及时封堵，主要是为了防止管道移动和管节端头的位移，同时也可防止地下水的浸入和顶进施工时泥浆外漏，止水装置一般采用帘布橡胶板止水。</w:t>
      </w:r>
    </w:p>
    <w:p w14:paraId="597D6018">
      <w:pPr>
        <w:jc w:val="left"/>
      </w:pPr>
      <w:r>
        <w:rPr>
          <w:rFonts w:hint="eastAsia"/>
          <w:b/>
        </w:rPr>
        <w:t xml:space="preserve">9.3.4  </w:t>
      </w:r>
      <w:r>
        <w:rPr>
          <w:rFonts w:hint="eastAsia"/>
        </w:rPr>
        <w:t>加固区顶进时，因刀盘转速一般宜为1—1.5r/min，为使刀盘转动有效切削加固土体和搅拌改良切削下来的土体，同时盲区位置的三角锥和齿刀切削加固土体时速度慢刀具不易损坏，根据施工经验顶进速度一般控制在2-3mm/min。</w:t>
      </w:r>
    </w:p>
    <w:p w14:paraId="77ABF3CB">
      <w:pPr>
        <w:ind w:firstLine="480" w:firstLineChars="200"/>
        <w:jc w:val="left"/>
      </w:pPr>
      <w:r>
        <w:rPr>
          <w:rFonts w:hint="eastAsia"/>
        </w:rPr>
        <w:t>正常顶进时，应使刀盘转速、土体改良搅拌时间、螺旋出土器的出土速度三者相匹配，根据施工经验一般控制在10-20mm/min，实际顶进时还应根据顶管覆土深度，掌子面水土压力，地质变化，地面沉降变化等因素做适当的调整。</w:t>
      </w:r>
    </w:p>
    <w:p w14:paraId="03132920">
      <w:r>
        <w:rPr>
          <w:b/>
          <w:bCs/>
        </w:rPr>
        <w:t>9.3.</w:t>
      </w:r>
      <w:r>
        <w:rPr>
          <w:rFonts w:hint="eastAsia"/>
          <w:b/>
          <w:bCs/>
        </w:rPr>
        <w:t>5</w:t>
      </w:r>
      <w:r>
        <w:rPr>
          <w:b/>
          <w:bCs/>
        </w:rPr>
        <w:t xml:space="preserve">  </w:t>
      </w:r>
      <w:r>
        <w:t>本条对顶管接收作出了规定。</w:t>
      </w:r>
    </w:p>
    <w:p w14:paraId="2DCD4F37">
      <w:pPr>
        <w:ind w:firstLine="482" w:firstLineChars="200"/>
      </w:pPr>
      <w:r>
        <w:rPr>
          <w:b/>
        </w:rPr>
        <w:t>5</w:t>
      </w:r>
      <w:r>
        <w:t xml:space="preserve">  水下接收是指在接收井内回填水，接收时矩形顶管机进入接收井回填的水中。一般情况下，为减少回填水的工作量，需建立封闭空间，空间应满足矩形顶管机接收需要的尺寸，且满足顶管机拆除的工作空间需要。封堵墙应专项设计，且满足抵抗隧道埋深的水压力和抗渗的性能要求。水下接收需要计算顶管机和隧道的抗浮安全性，同时加强顶管机姿态的测量工作。</w:t>
      </w:r>
    </w:p>
    <w:p w14:paraId="77343C83">
      <w:pPr>
        <w:ind w:firstLine="480" w:firstLineChars="200"/>
      </w:pPr>
    </w:p>
    <w:p w14:paraId="5A3DA8D7">
      <w:pPr>
        <w:pStyle w:val="3"/>
        <w:rPr>
          <w:rFonts w:eastAsia="黑体" w:cs="Times New Roman"/>
          <w:b w:val="0"/>
        </w:rPr>
      </w:pPr>
      <w:bookmarkStart w:id="896" w:name="_Toc4470"/>
      <w:bookmarkStart w:id="897" w:name="_Toc24569"/>
      <w:bookmarkStart w:id="898" w:name="_Toc13020"/>
      <w:bookmarkStart w:id="899" w:name="_Toc33214163"/>
      <w:bookmarkStart w:id="900" w:name="_Toc11194"/>
      <w:bookmarkStart w:id="901" w:name="_Toc60173329"/>
      <w:bookmarkStart w:id="902" w:name="_Toc60172969"/>
      <w:bookmarkStart w:id="903" w:name="_Toc60173856"/>
      <w:bookmarkStart w:id="904" w:name="_Toc31752"/>
      <w:bookmarkStart w:id="905" w:name="_Toc2919"/>
      <w:r>
        <w:rPr>
          <w:rFonts w:eastAsia="黑体" w:cs="Times New Roman"/>
        </w:rPr>
        <w:t>9.4</w:t>
      </w:r>
      <w:r>
        <w:rPr>
          <w:rFonts w:eastAsia="黑体" w:cs="Times New Roman"/>
          <w:b w:val="0"/>
        </w:rPr>
        <w:t xml:space="preserve">  顶管掘进</w:t>
      </w:r>
      <w:bookmarkEnd w:id="896"/>
      <w:bookmarkEnd w:id="897"/>
      <w:bookmarkEnd w:id="898"/>
      <w:bookmarkEnd w:id="899"/>
      <w:bookmarkEnd w:id="900"/>
      <w:bookmarkEnd w:id="901"/>
      <w:bookmarkEnd w:id="902"/>
      <w:bookmarkEnd w:id="903"/>
      <w:bookmarkEnd w:id="904"/>
      <w:bookmarkEnd w:id="905"/>
    </w:p>
    <w:p w14:paraId="174A90FC">
      <w:r>
        <w:rPr>
          <w:b/>
          <w:bCs/>
        </w:rPr>
        <w:t>9.4</w:t>
      </w:r>
      <w:r>
        <w:rPr>
          <w:rFonts w:hint="eastAsia"/>
          <w:b/>
          <w:bCs/>
        </w:rPr>
        <w:t>.4~9.4.5</w:t>
      </w:r>
      <w:r>
        <w:t xml:space="preserve">  本条对顶管掘进进行了规定。</w:t>
      </w:r>
    </w:p>
    <w:p w14:paraId="0C67DE06">
      <w:pPr>
        <w:ind w:firstLine="482" w:firstLineChars="200"/>
      </w:pPr>
      <w:r>
        <w:rPr>
          <w:b/>
        </w:rPr>
        <w:t>1</w:t>
      </w:r>
      <w:r>
        <w:t xml:space="preserve">  顶管初始掘进时应控制掘进速度，不宜过快，在此过程中应摸索掘进的相关数据，为正常掘进提供依据。</w:t>
      </w:r>
    </w:p>
    <w:p w14:paraId="77B0ECFA">
      <w:pPr>
        <w:ind w:firstLine="426" w:firstLineChars="177"/>
      </w:pPr>
      <w:r>
        <w:rPr>
          <w:b/>
        </w:rPr>
        <w:t>2</w:t>
      </w:r>
      <w:r>
        <w:t xml:space="preserve">  顶管正常掘进确定掘进速度、正面土压力与出渣量的最佳匹配值，以取保控制开挖量与出渣量的平衡。</w:t>
      </w:r>
    </w:p>
    <w:p w14:paraId="66C560F8">
      <w:pPr>
        <w:ind w:firstLine="426" w:firstLineChars="177"/>
      </w:pPr>
      <w:r>
        <w:rPr>
          <w:b/>
        </w:rPr>
        <w:t>3</w:t>
      </w:r>
      <w:r>
        <w:t xml:space="preserve">  控制土舱内压力的方法有以下三种：</w:t>
      </w:r>
    </w:p>
    <w:p w14:paraId="13A0657D">
      <w:pPr>
        <w:tabs>
          <w:tab w:val="left" w:pos="1134"/>
          <w:tab w:val="left" w:pos="1276"/>
        </w:tabs>
        <w:ind w:firstLine="566" w:firstLineChars="236"/>
      </w:pPr>
      <w:r>
        <w:t>1</w:t>
      </w:r>
      <w:r>
        <w:rPr>
          <w:rFonts w:hint="eastAsia"/>
        </w:rPr>
        <w:t xml:space="preserve">） </w:t>
      </w:r>
      <w:r>
        <w:t>用主顶油缸或第一个中继间的推进速度来调节，在排土量不变的条件下，推进速度快，则土压力上升，反之则下降。</w:t>
      </w:r>
    </w:p>
    <w:p w14:paraId="622CF2D4">
      <w:pPr>
        <w:tabs>
          <w:tab w:val="left" w:pos="1134"/>
          <w:tab w:val="left" w:pos="1276"/>
        </w:tabs>
        <w:ind w:firstLine="566" w:firstLineChars="236"/>
      </w:pPr>
      <w:r>
        <w:t>2</w:t>
      </w:r>
      <w:r>
        <w:rPr>
          <w:rFonts w:hint="eastAsia"/>
        </w:rPr>
        <w:t>）</w:t>
      </w:r>
      <w:r>
        <w:t xml:space="preserve"> 利用调节螺旋输送机转速和快慢来调节土压力。在推进速度保持不变的条件下，螺旋输送机的转速较快，排土量则越大，土舱内的压力就下降，反之则上升。</w:t>
      </w:r>
    </w:p>
    <w:p w14:paraId="56C13E88">
      <w:pPr>
        <w:tabs>
          <w:tab w:val="left" w:pos="1134"/>
          <w:tab w:val="left" w:pos="1276"/>
        </w:tabs>
        <w:ind w:firstLine="566" w:firstLineChars="236"/>
      </w:pPr>
      <w:r>
        <w:t>3</w:t>
      </w:r>
      <w:r>
        <w:rPr>
          <w:rFonts w:hint="eastAsia"/>
        </w:rPr>
        <w:t xml:space="preserve">） </w:t>
      </w:r>
      <w:r>
        <w:t>利用顶管机后的主推装置和调速螺旋输送机共同来控制土舱内土压力，用这种调节方法最好，但施工成本高。</w:t>
      </w:r>
    </w:p>
    <w:p w14:paraId="02483928">
      <w:pPr>
        <w:tabs>
          <w:tab w:val="left" w:pos="1134"/>
          <w:tab w:val="left" w:pos="1276"/>
        </w:tabs>
        <w:ind w:firstLine="566" w:firstLineChars="236"/>
      </w:pPr>
      <w:r>
        <w:rPr>
          <w:rFonts w:hint="eastAsia"/>
        </w:rPr>
        <w:t>加固区顶进时，因刀盘转速一般宜为1r/min~1.5r/min，为使刀盘转动有效切削加固土体和搅拌改良切削下来的土体，同时盲区位置的三角锥和齿刀切削加固土体时速度慢刀具不易损坏，根据施工经验顶进速度一般控制在2mm/min~3mm/min。</w:t>
      </w:r>
    </w:p>
    <w:p w14:paraId="59B52957">
      <w:pPr>
        <w:tabs>
          <w:tab w:val="left" w:pos="1134"/>
          <w:tab w:val="left" w:pos="1276"/>
        </w:tabs>
        <w:ind w:firstLine="566" w:firstLineChars="236"/>
      </w:pPr>
      <w:r>
        <w:rPr>
          <w:rFonts w:hint="eastAsia"/>
        </w:rPr>
        <w:t>正常顶进时，应使刀盘转速、土体改良搅拌时间、螺旋出土器的出土速度三者相匹配，根据施工经验一般控制在10mm/min~20mm/min，实际顶进时还应根据顶管覆土深度，掌子面水土压力，地质变化，地面沉降变化等因素做适当的调整。</w:t>
      </w:r>
    </w:p>
    <w:p w14:paraId="06ED5A69">
      <w:pPr>
        <w:tabs>
          <w:tab w:val="left" w:pos="1134"/>
          <w:tab w:val="left" w:pos="1276"/>
        </w:tabs>
        <w:ind w:firstLine="566" w:firstLineChars="236"/>
      </w:pPr>
    </w:p>
    <w:p w14:paraId="4EE1ADB8">
      <w:pPr>
        <w:pStyle w:val="3"/>
        <w:rPr>
          <w:rFonts w:eastAsia="黑体" w:cs="Times New Roman"/>
          <w:b w:val="0"/>
        </w:rPr>
      </w:pPr>
      <w:bookmarkStart w:id="906" w:name="_Toc60172970"/>
      <w:bookmarkStart w:id="907" w:name="_Toc11797"/>
      <w:bookmarkStart w:id="908" w:name="_Toc21891"/>
      <w:bookmarkStart w:id="909" w:name="_Toc60173330"/>
      <w:bookmarkStart w:id="910" w:name="_Toc5073"/>
      <w:bookmarkStart w:id="911" w:name="_Toc17617"/>
      <w:bookmarkStart w:id="912" w:name="_Toc33214164"/>
      <w:bookmarkStart w:id="913" w:name="_Toc17865"/>
      <w:bookmarkStart w:id="914" w:name="_Toc16960"/>
      <w:bookmarkStart w:id="915" w:name="_Toc60173857"/>
      <w:r>
        <w:rPr>
          <w:rFonts w:eastAsia="黑体" w:cs="Times New Roman"/>
        </w:rPr>
        <w:t>9.5</w:t>
      </w:r>
      <w:r>
        <w:rPr>
          <w:rFonts w:eastAsia="黑体" w:cs="Times New Roman"/>
          <w:b w:val="0"/>
        </w:rPr>
        <w:t xml:space="preserve">  注浆减阻</w:t>
      </w:r>
      <w:bookmarkEnd w:id="906"/>
      <w:bookmarkEnd w:id="907"/>
      <w:bookmarkEnd w:id="908"/>
      <w:bookmarkEnd w:id="909"/>
      <w:bookmarkEnd w:id="910"/>
      <w:bookmarkEnd w:id="911"/>
      <w:bookmarkEnd w:id="912"/>
      <w:bookmarkEnd w:id="913"/>
      <w:bookmarkEnd w:id="914"/>
      <w:bookmarkEnd w:id="915"/>
    </w:p>
    <w:p w14:paraId="37798BAA">
      <w:r>
        <w:rPr>
          <w:rFonts w:hint="eastAsia"/>
          <w:b/>
          <w:bCs/>
        </w:rPr>
        <w:t>9.5.</w:t>
      </w:r>
      <w:r>
        <w:rPr>
          <w:b/>
          <w:bCs/>
        </w:rPr>
        <w:t>2</w:t>
      </w:r>
      <w:r>
        <w:t>注浆压力可按下列公式计算</w:t>
      </w:r>
      <w:r>
        <w:rPr>
          <w:rFonts w:hint="eastAsia"/>
        </w:rPr>
        <w:t>，</w:t>
      </w:r>
      <w:r>
        <w:t>并</w:t>
      </w:r>
      <w:r>
        <w:rPr>
          <w:rFonts w:hint="eastAsia"/>
        </w:rPr>
        <w:t>应</w:t>
      </w:r>
      <w:r>
        <w:t>取各计算值的最大值：</w:t>
      </w:r>
    </w:p>
    <w:p w14:paraId="4DEDB3FC">
      <w:pPr>
        <w:jc w:val="right"/>
      </w:pPr>
      <w:r>
        <w:rPr>
          <w:position w:val="-12"/>
        </w:rPr>
        <w:object>
          <v:shape id="_x0000_i1161" o:spt="75" type="#_x0000_t75" style="height:19.5pt;width:80.25pt;" o:ole="t" filled="f" o:preferrelative="t" stroked="f" coordsize="21600,21600">
            <v:path/>
            <v:fill on="f" focussize="0,0"/>
            <v:stroke on="f" joinstyle="miter"/>
            <v:imagedata r:id="rId290" o:title=""/>
            <o:lock v:ext="edit" aspectratio="t"/>
            <w10:wrap type="none"/>
            <w10:anchorlock/>
          </v:shape>
          <o:OLEObject Type="Embed" ProgID="Equation.DSMT4" ShapeID="_x0000_i1161" DrawAspect="Content" ObjectID="_1468075861" r:id="rId289">
            <o:LockedField>false</o:LockedField>
          </o:OLEObject>
        </w:object>
      </w:r>
      <w:r>
        <w:t xml:space="preserve">                          （2）</w:t>
      </w:r>
    </w:p>
    <w:p w14:paraId="6B351045">
      <w:pPr>
        <w:wordWrap w:val="0"/>
        <w:jc w:val="right"/>
      </w:pPr>
      <w:r>
        <w:rPr>
          <w:position w:val="-10"/>
        </w:rPr>
        <w:object>
          <v:shape id="_x0000_i1162" o:spt="75" type="#_x0000_t75" style="height:15.75pt;width:82.5pt;" o:ole="t" filled="f" o:preferrelative="t" stroked="f" coordsize="21600,21600">
            <v:path/>
            <v:fill on="f" focussize="0,0"/>
            <v:stroke on="f" joinstyle="miter"/>
            <v:imagedata r:id="rId292" o:title=""/>
            <o:lock v:ext="edit" aspectratio="t"/>
            <w10:wrap type="none"/>
            <w10:anchorlock/>
          </v:shape>
          <o:OLEObject Type="Embed" ProgID="Equation.3" ShapeID="_x0000_i1162" DrawAspect="Content" ObjectID="_1468075862" r:id="rId291">
            <o:LockedField>false</o:LockedField>
          </o:OLEObject>
        </w:object>
      </w:r>
      <w:r>
        <w:t xml:space="preserve">                         （3）</w:t>
      </w:r>
    </w:p>
    <w:p w14:paraId="33EE75FF">
      <w:pPr>
        <w:wordWrap w:val="0"/>
        <w:ind w:firstLine="1440" w:firstLineChars="600"/>
        <w:jc w:val="right"/>
      </w:pPr>
      <w:r>
        <w:rPr>
          <w:position w:val="-28"/>
        </w:rPr>
        <w:object>
          <v:shape id="_x0000_i1163" o:spt="75" type="#_x0000_t75" style="height:34.5pt;width:194.25pt;" o:ole="t" filled="f" o:preferrelative="t" stroked="f" coordsize="21600,21600">
            <v:path/>
            <v:fill on="f" focussize="0,0"/>
            <v:stroke on="f" joinstyle="miter"/>
            <v:imagedata r:id="rId294" o:title=""/>
            <o:lock v:ext="edit" aspectratio="t"/>
            <w10:wrap type="none"/>
            <w10:anchorlock/>
          </v:shape>
          <o:OLEObject Type="Embed" ProgID="Equation.DSMT4" ShapeID="_x0000_i1163" DrawAspect="Content" ObjectID="_1468075863" r:id="rId293">
            <o:LockedField>false</o:LockedField>
          </o:OLEObject>
        </w:object>
      </w:r>
      <w:r>
        <w:t xml:space="preserve">            （4）</w:t>
      </w:r>
    </w:p>
    <w:p w14:paraId="7A6E4DE6">
      <w:pPr>
        <w:wordWrap w:val="0"/>
        <w:ind w:firstLine="1440" w:firstLineChars="600"/>
        <w:jc w:val="right"/>
      </w:pPr>
      <w:r>
        <w:rPr>
          <w:position w:val="-28"/>
        </w:rPr>
        <w:object>
          <v:shape id="_x0000_i1164" o:spt="75" type="#_x0000_t75" style="height:34.5pt;width:236.25pt;" o:ole="t" filled="f" o:preferrelative="t" stroked="f" coordsize="21600,21600">
            <v:path/>
            <v:fill on="f" focussize="0,0"/>
            <v:stroke on="f" joinstyle="miter"/>
            <v:imagedata r:id="rId296" o:title=""/>
            <o:lock v:ext="edit" aspectratio="t"/>
            <w10:wrap type="none"/>
            <w10:anchorlock/>
          </v:shape>
          <o:OLEObject Type="Embed" ProgID="Equation.3" ShapeID="_x0000_i1164" DrawAspect="Content" ObjectID="_1468075864" r:id="rId295">
            <o:LockedField>false</o:LockedField>
          </o:OLEObject>
        </w:object>
      </w:r>
      <w:r>
        <w:t xml:space="preserve">         （5）</w:t>
      </w:r>
    </w:p>
    <w:p w14:paraId="0F777ED3">
      <w:pPr>
        <w:wordWrap w:val="0"/>
        <w:ind w:firstLine="480" w:firstLineChars="200"/>
        <w:jc w:val="right"/>
      </w:pPr>
      <w:r>
        <w:rPr>
          <w:position w:val="-12"/>
        </w:rPr>
        <w:object>
          <v:shape id="_x0000_i1165" o:spt="75" type="#_x0000_t75" style="height:19.5pt;width:88.5pt;" o:ole="t" filled="f" o:preferrelative="t" stroked="f" coordsize="21600,21600">
            <v:path/>
            <v:fill on="f" focussize="0,0"/>
            <v:stroke on="f" joinstyle="miter"/>
            <v:imagedata r:id="rId298" o:title=""/>
            <o:lock v:ext="edit" aspectratio="t"/>
            <w10:wrap type="none"/>
            <w10:anchorlock/>
          </v:shape>
          <o:OLEObject Type="Embed" ProgID="Equation.DSMT4" ShapeID="_x0000_i1165" DrawAspect="Content" ObjectID="_1468075865" r:id="rId297">
            <o:LockedField>false</o:LockedField>
          </o:OLEObject>
        </w:object>
      </w:r>
      <w:r>
        <w:rPr>
          <w:rFonts w:hint="eastAsia"/>
        </w:rPr>
        <w:t>(管顶</w:t>
      </w:r>
      <w:r>
        <w:t>存在卸力拱时</w:t>
      </w:r>
      <w:r>
        <w:rPr>
          <w:rFonts w:hint="eastAsia"/>
        </w:rPr>
        <w:t>)</w:t>
      </w:r>
      <w:r>
        <w:t xml:space="preserve">           （6）</w:t>
      </w:r>
    </w:p>
    <w:p w14:paraId="33280C3D">
      <w:pPr>
        <w:wordWrap w:val="0"/>
        <w:ind w:firstLine="1920" w:firstLineChars="800"/>
        <w:jc w:val="right"/>
      </w:pPr>
      <w:r>
        <w:rPr>
          <w:position w:val="-28"/>
        </w:rPr>
        <w:object>
          <v:shape id="_x0000_i1166" o:spt="75" type="#_x0000_t75" style="height:51pt;width:127.5pt;" o:ole="t" filled="f" o:preferrelative="t" stroked="f" coordsize="21600,21600">
            <v:path/>
            <v:fill on="f" focussize="0,0"/>
            <v:stroke on="f" joinstyle="miter"/>
            <v:imagedata r:id="rId300" o:title=""/>
            <o:lock v:ext="edit" aspectratio="t"/>
            <w10:wrap type="none"/>
            <w10:anchorlock/>
          </v:shape>
          <o:OLEObject Type="Embed" ProgID="Equation.3" ShapeID="_x0000_i1166" DrawAspect="Content" ObjectID="_1468075866" r:id="rId299">
            <o:LockedField>false</o:LockedField>
          </o:OLEObject>
        </w:object>
      </w:r>
      <w:r>
        <w:rPr>
          <w:rFonts w:hint="eastAsia"/>
        </w:rPr>
        <w:t>(管顶</w:t>
      </w:r>
      <w:r>
        <w:t>存在卸力拱时</w:t>
      </w:r>
      <w:r>
        <w:rPr>
          <w:rFonts w:hint="eastAsia"/>
        </w:rPr>
        <w:t xml:space="preserve">）  </w:t>
      </w:r>
      <w:r>
        <w:t xml:space="preserve">   （7）</w:t>
      </w:r>
    </w:p>
    <w:p w14:paraId="653CD719">
      <w:pPr>
        <w:adjustRightInd w:val="0"/>
        <w:snapToGrid w:val="0"/>
        <w:ind w:firstLine="480" w:firstLineChars="200"/>
      </w:pPr>
      <w:r>
        <w:t>式中：</w:t>
      </w:r>
      <w:r>
        <w:rPr>
          <w:position w:val="-12"/>
        </w:rPr>
        <w:object>
          <v:shape id="_x0000_i1167" o:spt="75" type="#_x0000_t75" style="height:19.5pt;width:14.25pt;" o:ole="t" filled="f" o:preferrelative="t" stroked="f" coordsize="21600,21600">
            <v:path/>
            <v:fill on="f" focussize="0,0"/>
            <v:stroke on="f" joinstyle="miter"/>
            <v:imagedata r:id="rId302" o:title=""/>
            <o:lock v:ext="edit" aspectratio="t"/>
            <w10:wrap type="none"/>
            <w10:anchorlock/>
          </v:shape>
          <o:OLEObject Type="Embed" ProgID="Equation.DSMT4" ShapeID="_x0000_i1167" DrawAspect="Content" ObjectID="_1468075867" r:id="rId301">
            <o:LockedField>false</o:LockedField>
          </o:OLEObject>
        </w:object>
      </w:r>
      <w:r>
        <w:t>——泥浆套顶部的水压力和主动土压力（kPa）；</w:t>
      </w:r>
    </w:p>
    <w:p w14:paraId="3D46BE1D">
      <w:pPr>
        <w:adjustRightInd w:val="0"/>
        <w:snapToGrid w:val="0"/>
        <w:ind w:firstLine="1200" w:firstLineChars="500"/>
      </w:pPr>
      <w:r>
        <w:rPr>
          <w:position w:val="-12"/>
        </w:rPr>
        <w:object>
          <v:shape id="_x0000_i1168" o:spt="75" type="#_x0000_t75" style="height:19.5pt;width:14.25pt;" o:ole="t" filled="f" o:preferrelative="t" stroked="f" coordsize="21600,21600">
            <v:path/>
            <v:fill on="f" focussize="0,0"/>
            <v:stroke on="f" joinstyle="miter"/>
            <v:imagedata r:id="rId304" o:title=""/>
            <o:lock v:ext="edit" aspectratio="t"/>
            <w10:wrap type="none"/>
            <w10:anchorlock/>
          </v:shape>
          <o:OLEObject Type="Embed" ProgID="Equation.DSMT4" ShapeID="_x0000_i1168" DrawAspect="Content" ObjectID="_1468075868" r:id="rId303">
            <o:LockedField>false</o:LockedField>
          </o:OLEObject>
        </w:object>
      </w:r>
      <w:r>
        <w:t>——主动土压力（kPa）；</w:t>
      </w:r>
    </w:p>
    <w:p w14:paraId="33AA784F">
      <w:pPr>
        <w:adjustRightInd w:val="0"/>
        <w:snapToGrid w:val="0"/>
        <w:ind w:firstLine="1272" w:firstLineChars="530"/>
      </w:pPr>
      <w:r>
        <w:rPr>
          <w:position w:val="-10"/>
        </w:rPr>
        <w:object>
          <v:shape id="_x0000_i1169" o:spt="75" type="#_x0000_t75" style="height:13.5pt;width:9.75pt;" o:ole="t" filled="f" o:preferrelative="t" stroked="f" coordsize="21600,21600">
            <v:path/>
            <v:fill on="f" focussize="0,0"/>
            <v:stroke on="f" joinstyle="miter"/>
            <v:imagedata r:id="rId306" o:title=""/>
            <o:lock v:ext="edit" aspectratio="t"/>
            <w10:wrap type="none"/>
            <w10:anchorlock/>
          </v:shape>
          <o:OLEObject Type="Embed" ProgID="Equation.DSMT4" ShapeID="_x0000_i1169" DrawAspect="Content" ObjectID="_1468075869" r:id="rId305">
            <o:LockedField>false</o:LockedField>
          </o:OLEObject>
        </w:object>
      </w:r>
      <w:r>
        <w:t>——土的重度（kN/m</w:t>
      </w:r>
      <w:r>
        <w:rPr>
          <w:vertAlign w:val="superscript"/>
        </w:rPr>
        <w:t>3</w:t>
      </w:r>
      <w:r>
        <w:t>）；</w:t>
      </w:r>
    </w:p>
    <w:p w14:paraId="4BFD2270">
      <w:pPr>
        <w:adjustRightInd w:val="0"/>
        <w:snapToGrid w:val="0"/>
        <w:ind w:firstLine="1200" w:firstLineChars="500"/>
      </w:pPr>
      <w:r>
        <w:rPr>
          <w:position w:val="-12"/>
        </w:rPr>
        <w:object>
          <v:shape id="_x0000_i1170" o:spt="75" type="#_x0000_t75" style="height:19.5pt;width:15pt;" o:ole="t" filled="f" o:preferrelative="t" stroked="f" coordsize="21600,21600">
            <v:path/>
            <v:fill on="f" focussize="0,0"/>
            <v:stroke on="f" joinstyle="miter"/>
            <v:imagedata r:id="rId308" o:title=""/>
            <o:lock v:ext="edit" aspectratio="t"/>
            <w10:wrap type="none"/>
            <w10:anchorlock/>
          </v:shape>
          <o:OLEObject Type="Embed" ProgID="Equation.DSMT4" ShapeID="_x0000_i1170" DrawAspect="Content" ObjectID="_1468075870" r:id="rId307">
            <o:LockedField>false</o:LockedField>
          </o:OLEObject>
        </w:object>
      </w:r>
      <w:r>
        <w:t>——水的重度（kN/m</w:t>
      </w:r>
      <w:r>
        <w:rPr>
          <w:vertAlign w:val="superscript"/>
        </w:rPr>
        <w:t>3</w:t>
      </w:r>
      <w:r>
        <w:t>）；</w:t>
      </w:r>
    </w:p>
    <w:p w14:paraId="6C74B4B8">
      <w:pPr>
        <w:adjustRightInd w:val="0"/>
        <w:snapToGrid w:val="0"/>
        <w:ind w:firstLine="1152" w:firstLineChars="480"/>
      </w:pPr>
      <w:r>
        <w:rPr>
          <w:position w:val="-12"/>
        </w:rPr>
        <w:object>
          <v:shape id="_x0000_i1171" o:spt="75" type="#_x0000_t75" style="height:19.5pt;width:20.25pt;" o:ole="t" filled="f" o:preferrelative="t" stroked="f" coordsize="21600,21600">
            <v:path/>
            <v:fill on="f" focussize="0,0"/>
            <v:stroke on="f" joinstyle="miter"/>
            <v:imagedata r:id="rId310" o:title=""/>
            <o:lock v:ext="edit" aspectratio="t"/>
            <w10:wrap type="none"/>
            <w10:anchorlock/>
          </v:shape>
          <o:OLEObject Type="Embed" ProgID="Equation.DSMT4" ShapeID="_x0000_i1171" DrawAspect="Content" ObjectID="_1468075871" r:id="rId309">
            <o:LockedField>false</o:LockedField>
          </o:OLEObject>
        </w:object>
      </w:r>
      <w:r>
        <w:t>——工作面或卸力拱以上的水柱高度（m）；</w:t>
      </w:r>
    </w:p>
    <w:p w14:paraId="40E8F1C6">
      <w:pPr>
        <w:adjustRightInd w:val="0"/>
        <w:snapToGrid w:val="0"/>
        <w:ind w:firstLine="1245" w:firstLineChars="519"/>
        <w:rPr>
          <w:kern w:val="24"/>
        </w:rPr>
      </w:pPr>
      <w:r>
        <w:rPr>
          <w:position w:val="-12"/>
        </w:rPr>
        <w:object>
          <v:shape id="_x0000_i1172" o:spt="75" type="#_x0000_t75" style="height:15pt;width:15pt;" o:ole="t" filled="f" o:preferrelative="t" stroked="f" coordsize="21600,21600">
            <v:path/>
            <v:fill on="f" focussize="0,0"/>
            <v:stroke on="f" joinstyle="miter"/>
            <v:imagedata r:id="rId188" o:title=""/>
            <o:lock v:ext="edit" aspectratio="t"/>
            <w10:wrap type="none"/>
            <w10:anchorlock/>
          </v:shape>
          <o:OLEObject Type="Embed" ProgID="Equation.DSMT4" ShapeID="_x0000_i1172" DrawAspect="Content" ObjectID="_1468075872" r:id="rId311">
            <o:LockedField>false</o:LockedField>
          </o:OLEObject>
        </w:object>
      </w:r>
      <w:r>
        <w:t>——管顶至原状土地面覆土层厚度（m）；</w:t>
      </w:r>
    </w:p>
    <w:p w14:paraId="192CD7E9">
      <w:pPr>
        <w:adjustRightInd w:val="0"/>
        <w:snapToGrid w:val="0"/>
        <w:ind w:firstLine="1320" w:firstLineChars="550"/>
      </w:pPr>
      <w:r>
        <w:rPr>
          <w:position w:val="-10"/>
        </w:rPr>
        <w:object>
          <v:shape id="_x0000_i1173" o:spt="75" type="#_x0000_t75" style="height:13.5pt;width:12pt;" o:ole="t" filled="f" o:preferrelative="t" stroked="f" coordsize="21600,21600">
            <v:path/>
            <v:fill on="f" focussize="0,0"/>
            <v:stroke on="f" joinstyle="miter"/>
            <v:imagedata r:id="rId313" o:title=""/>
            <o:lock v:ext="edit" aspectratio="t"/>
            <w10:wrap type="none"/>
            <w10:anchorlock/>
          </v:shape>
          <o:OLEObject Type="Embed" ProgID="Equation.3" ShapeID="_x0000_i1173" DrawAspect="Content" ObjectID="_1468075873" r:id="rId312">
            <o:LockedField>false</o:LockedField>
          </o:OLEObject>
        </w:object>
      </w:r>
      <w:r>
        <w:t>——土的内摩擦角（°）；</w:t>
      </w:r>
    </w:p>
    <w:p w14:paraId="01B96089">
      <w:pPr>
        <w:adjustRightInd w:val="0"/>
        <w:snapToGrid w:val="0"/>
        <w:ind w:firstLine="1320" w:firstLineChars="550"/>
      </w:pPr>
      <w:r>
        <w:rPr>
          <w:position w:val="-12"/>
        </w:rPr>
        <w:object>
          <v:shape id="_x0000_i1174" o:spt="75" type="#_x0000_t75" style="height:19.5pt;width:13.5pt;" o:ole="t" filled="f" o:preferrelative="t" stroked="f" coordsize="21600,21600">
            <v:path/>
            <v:fill on="f" focussize="0,0"/>
            <v:stroke on="f" joinstyle="miter"/>
            <v:imagedata r:id="rId315" o:title=""/>
            <o:lock v:ext="edit" aspectratio="t"/>
            <w10:wrap type="none"/>
            <w10:anchorlock/>
          </v:shape>
          <o:OLEObject Type="Embed" ProgID="Equation.DSMT4" ShapeID="_x0000_i1174" DrawAspect="Content" ObjectID="_1468075874" r:id="rId314">
            <o:LockedField>false</o:LockedField>
          </o:OLEObject>
        </w:object>
      </w:r>
      <w:r>
        <w:t>——卸力拱的高度（m）；</w:t>
      </w:r>
    </w:p>
    <w:p w14:paraId="5C723543">
      <w:pPr>
        <w:ind w:firstLine="1200" w:firstLineChars="500"/>
        <w:rPr>
          <w:b/>
          <w:bCs/>
        </w:rPr>
      </w:pPr>
      <w:r>
        <w:rPr>
          <w:position w:val="-6"/>
        </w:rPr>
        <w:object>
          <v:shape id="_x0000_i1175" o:spt="75" type="#_x0000_t75" style="height:12pt;width:8.25pt;" o:ole="t" filled="f" o:preferrelative="t" stroked="f" coordsize="21600,21600">
            <v:path/>
            <v:fill on="f" focussize="0,0"/>
            <v:stroke on="f" joinstyle="miter"/>
            <v:imagedata r:id="rId317" o:title=""/>
            <o:lock v:ext="edit" aspectratio="t"/>
            <w10:wrap type="none"/>
            <w10:anchorlock/>
          </v:shape>
          <o:OLEObject Type="Embed" ProgID="Equation.3" ShapeID="_x0000_i1175" DrawAspect="Content" ObjectID="_1468075875" r:id="rId316">
            <o:LockedField>false</o:LockedField>
          </o:OLEObject>
        </w:object>
      </w:r>
      <w:r>
        <w:t>——土的黏聚力（kPa）。</w:t>
      </w:r>
    </w:p>
    <w:p w14:paraId="4816C532">
      <w:r>
        <w:rPr>
          <w:b/>
          <w:bCs/>
        </w:rPr>
        <w:t>9.5.3</w:t>
      </w:r>
      <w:r>
        <w:t xml:space="preserve">  触变泥浆注浆要求是保证掘进管道外壁与土体之间形成稳定的、连续的泥浆套，实际效果可以通过掘进力降低程度来验证。</w:t>
      </w:r>
    </w:p>
    <w:p w14:paraId="60067E08">
      <w:pPr>
        <w:ind w:firstLine="482" w:firstLineChars="200"/>
      </w:pPr>
      <w:r>
        <w:rPr>
          <w:b/>
        </w:rPr>
        <w:t>4</w:t>
      </w:r>
      <w:r>
        <w:t xml:space="preserve">  在掘进过程中要经常检查各掘进段的浆液形成情况，以便及时补浆形成完整的泥浆套。</w:t>
      </w:r>
    </w:p>
    <w:p w14:paraId="1E99F02A">
      <w:pPr>
        <w:ind w:firstLine="482" w:firstLineChars="200"/>
      </w:pPr>
      <w:r>
        <w:rPr>
          <w:b/>
        </w:rPr>
        <w:t>5</w:t>
      </w:r>
      <w:r>
        <w:t xml:space="preserve">  注浆设备应可靠，在注浆孔中设置</w:t>
      </w:r>
      <w:r>
        <w:rPr>
          <w:rFonts w:hint="eastAsia"/>
        </w:rPr>
        <w:t>1</w:t>
      </w:r>
      <w:r>
        <w:t>个单向阀，使注浆管外的土不能倒灌而堵塞注浆孔，从而影响注浆效果。</w:t>
      </w:r>
    </w:p>
    <w:p w14:paraId="50C4AF3F">
      <w:pPr>
        <w:jc w:val="left"/>
      </w:pPr>
      <w:r>
        <w:rPr>
          <w:rFonts w:eastAsia="仿宋"/>
          <w:b/>
          <w:bCs/>
        </w:rPr>
        <w:t xml:space="preserve">9.5.5  </w:t>
      </w:r>
      <w:r>
        <w:t>本条对触变泥浆注浆系统作出了规定。</w:t>
      </w:r>
    </w:p>
    <w:p w14:paraId="15A399A4">
      <w:pPr>
        <w:ind w:firstLine="482" w:firstLineChars="200"/>
        <w:jc w:val="left"/>
        <w:rPr>
          <w:b/>
          <w:bCs/>
        </w:rPr>
      </w:pPr>
      <w:r>
        <w:rPr>
          <w:b/>
        </w:rPr>
        <w:t>1</w:t>
      </w:r>
      <w:r>
        <w:t xml:space="preserve">  注浆装置容积计算建议按5倍～10倍管道外壁与周围土层之间的环形间隙的体积来设置拌浆装置、注浆装置；对于浆液难以到达的区域，可以在切削刀盘位置或顶管机尾部进行注浆；对于浆液容易到达的区域，可通过管节上的注浆孔进行注浆，注浆结束后需要对注浆孔进行密封。</w:t>
      </w:r>
    </w:p>
    <w:p w14:paraId="59EAF8B1">
      <w:pPr>
        <w:ind w:firstLine="480" w:firstLineChars="200"/>
        <w:rPr>
          <w:b/>
          <w:bCs/>
        </w:rPr>
      </w:pPr>
      <w:r>
        <w:t>为保障注浆减阻效果，地层和管道之间的环状间隙要足够大，在松散地层不宜小于20mm，并要求在整个施工过程中和整个施工管节都要保持这样的间隙。注浆材料在任何施工阶段都应保持其流动性，不宜通过孔壁漏失到地层中，如有渗漏应及时补充。</w:t>
      </w:r>
    </w:p>
    <w:p w14:paraId="618AF265">
      <w:r>
        <w:rPr>
          <w:b/>
          <w:bCs/>
        </w:rPr>
        <w:t>9.5.6</w:t>
      </w:r>
      <w:r>
        <w:t xml:space="preserve">  一般情况下，在现场按配合比进行泥浆的配置，所用的主要材料包括：膨润土、水、Na</w:t>
      </w:r>
      <w:r>
        <w:rPr>
          <w:vertAlign w:val="subscript"/>
        </w:rPr>
        <w:t>2</w:t>
      </w:r>
      <w:r>
        <w:t>CO</w:t>
      </w:r>
      <w:r>
        <w:rPr>
          <w:vertAlign w:val="subscript"/>
        </w:rPr>
        <w:t>3</w:t>
      </w:r>
      <w:r>
        <w:t>和CMC，有时也可以加入其他掺和剂，如废机油、粉煤灰和其他高分子化合物等。材料的配比通常为：</w:t>
      </w:r>
    </w:p>
    <w:p w14:paraId="55C16B91">
      <w:pPr>
        <w:ind w:firstLine="480" w:firstLineChars="200"/>
      </w:pPr>
      <w:r>
        <w:t>水：土=（4～5）：1</w:t>
      </w:r>
    </w:p>
    <w:p w14:paraId="7CE17C1C">
      <w:pPr>
        <w:ind w:firstLine="480" w:firstLineChars="200"/>
      </w:pPr>
      <w:r>
        <w:t>土：掺和剂=（20～30）：1</w:t>
      </w:r>
    </w:p>
    <w:p w14:paraId="7CBD85B2">
      <w:r>
        <w:rPr>
          <w:b/>
          <w:bCs/>
        </w:rPr>
        <w:t>9.5.8</w:t>
      </w:r>
      <w:r>
        <w:t xml:space="preserve">  本条是指补浆量的控制和注浆压力的控制。一般情况下是以注浆压力为控制目标。在注浆过程中，需要注意注浆孔堵塞与否，要使得管外壁形成完整的触变泥浆润滑套，防止单侧有泥浆，形成制动效应。</w:t>
      </w:r>
    </w:p>
    <w:p w14:paraId="20F48C3F"/>
    <w:p w14:paraId="1AEA09DE">
      <w:pPr>
        <w:pStyle w:val="3"/>
        <w:rPr>
          <w:rFonts w:eastAsia="黑体" w:cs="Times New Roman"/>
          <w:b w:val="0"/>
        </w:rPr>
      </w:pPr>
      <w:bookmarkStart w:id="916" w:name="_Toc23542"/>
      <w:bookmarkStart w:id="917" w:name="_Toc2921"/>
      <w:bookmarkStart w:id="918" w:name="_Toc60173858"/>
      <w:bookmarkStart w:id="919" w:name="_Toc12363"/>
      <w:bookmarkStart w:id="920" w:name="_Toc33214165"/>
      <w:bookmarkStart w:id="921" w:name="_Toc1238"/>
      <w:bookmarkStart w:id="922" w:name="_Toc6634"/>
      <w:bookmarkStart w:id="923" w:name="_Toc13341"/>
      <w:bookmarkStart w:id="924" w:name="_Toc60172971"/>
      <w:bookmarkStart w:id="925" w:name="_Toc60173331"/>
      <w:r>
        <w:rPr>
          <w:rFonts w:eastAsia="黑体" w:cs="Times New Roman"/>
        </w:rPr>
        <w:t>9.6</w:t>
      </w:r>
      <w:r>
        <w:rPr>
          <w:rFonts w:eastAsia="黑体" w:cs="Times New Roman"/>
          <w:b w:val="0"/>
        </w:rPr>
        <w:t xml:space="preserve">  渣土改良</w:t>
      </w:r>
      <w:bookmarkEnd w:id="916"/>
      <w:bookmarkEnd w:id="917"/>
      <w:bookmarkEnd w:id="918"/>
      <w:bookmarkEnd w:id="919"/>
      <w:bookmarkEnd w:id="920"/>
      <w:bookmarkEnd w:id="921"/>
      <w:bookmarkEnd w:id="922"/>
      <w:bookmarkEnd w:id="923"/>
      <w:bookmarkEnd w:id="924"/>
      <w:bookmarkEnd w:id="925"/>
    </w:p>
    <w:p w14:paraId="00009F48">
      <w:r>
        <w:rPr>
          <w:b/>
          <w:bCs/>
        </w:rPr>
        <w:t>9.6.1</w:t>
      </w:r>
      <w:r>
        <w:t xml:space="preserve">  顶管机遇到不良土体时，由于土体流动性差，给出土造成很大困难，通过注浆对土体进行改良，可以控制开挖量与出渣量的平衡，加快掘进速度。</w:t>
      </w:r>
    </w:p>
    <w:p w14:paraId="18531F6D">
      <w:pPr>
        <w:ind w:firstLine="480" w:firstLineChars="200"/>
      </w:pPr>
      <w:r>
        <w:rPr>
          <w:rFonts w:hint="eastAsia"/>
        </w:rPr>
        <w:t>渣土改良作泥材料配比宜为：膨润土98kg、黏土392kg、水892kg。</w:t>
      </w:r>
    </w:p>
    <w:p w14:paraId="3AD8017B"/>
    <w:p w14:paraId="2AD2B08D">
      <w:pPr>
        <w:pStyle w:val="3"/>
        <w:rPr>
          <w:rFonts w:eastAsia="黑体" w:cs="Times New Roman"/>
          <w:b w:val="0"/>
        </w:rPr>
      </w:pPr>
      <w:bookmarkStart w:id="926" w:name="_Toc6543"/>
      <w:bookmarkStart w:id="927" w:name="_Toc33214166"/>
      <w:bookmarkStart w:id="928" w:name="_Toc6110"/>
      <w:bookmarkStart w:id="929" w:name="_Toc9028"/>
      <w:bookmarkStart w:id="930" w:name="_Toc60173859"/>
      <w:bookmarkStart w:id="931" w:name="_Toc60172972"/>
      <w:bookmarkStart w:id="932" w:name="_Toc15078"/>
      <w:bookmarkStart w:id="933" w:name="_Toc19578"/>
      <w:bookmarkStart w:id="934" w:name="_Toc60173332"/>
      <w:bookmarkStart w:id="935" w:name="_Toc32443"/>
      <w:r>
        <w:rPr>
          <w:rFonts w:eastAsia="黑体" w:cs="Times New Roman"/>
        </w:rPr>
        <w:t xml:space="preserve">9.7 </w:t>
      </w:r>
      <w:r>
        <w:rPr>
          <w:rFonts w:eastAsia="黑体" w:cs="Times New Roman"/>
          <w:b w:val="0"/>
        </w:rPr>
        <w:t xml:space="preserve"> 测量和姿态控制</w:t>
      </w:r>
      <w:bookmarkEnd w:id="926"/>
      <w:bookmarkEnd w:id="927"/>
      <w:bookmarkEnd w:id="928"/>
      <w:bookmarkEnd w:id="929"/>
      <w:bookmarkEnd w:id="930"/>
      <w:bookmarkEnd w:id="931"/>
      <w:bookmarkEnd w:id="932"/>
      <w:bookmarkEnd w:id="933"/>
      <w:bookmarkEnd w:id="934"/>
      <w:bookmarkEnd w:id="935"/>
    </w:p>
    <w:p w14:paraId="226AF588">
      <w:r>
        <w:rPr>
          <w:b/>
          <w:bCs/>
        </w:rPr>
        <w:t>9.7.6</w:t>
      </w:r>
      <w:r>
        <w:t xml:space="preserve">  顶管机的姿态包括顶管机轴线空间位置、垂直方向倾角、水平方向偏转角、机身自转的转角。纠偏基本纲领：及时纠偏和小角度纠偏；挖土纠偏和调整合力方向的纠偏；刀盘式矩形顶管机纠偏时，可采用调整挖土方法、调整掘进合力方向、改变切削刀盘的转动方向、在管内相对于机头旋转的方向增加配重等措施。</w:t>
      </w:r>
    </w:p>
    <w:p w14:paraId="76FA72E5">
      <w:pPr>
        <w:rPr>
          <w:b/>
          <w:bCs/>
        </w:rPr>
      </w:pPr>
      <w:r>
        <w:rPr>
          <w:rFonts w:hint="eastAsia"/>
          <w:b/>
          <w:bCs/>
        </w:rPr>
        <w:t>9.7.</w:t>
      </w:r>
      <w:r>
        <w:rPr>
          <w:b/>
          <w:bCs/>
        </w:rPr>
        <w:t>9</w:t>
      </w:r>
      <w:r>
        <w:rPr>
          <w:rFonts w:hint="eastAsia"/>
          <w:b/>
          <w:bCs/>
        </w:rPr>
        <w:t xml:space="preserve">  </w:t>
      </w:r>
      <w:r>
        <w:rPr>
          <w:rFonts w:hint="eastAsia"/>
        </w:rPr>
        <w:t>为防止顶管机头扭转可遵循以下原则：</w:t>
      </w:r>
    </w:p>
    <w:p w14:paraId="5C856098">
      <w:pPr>
        <w:ind w:firstLine="472" w:firstLineChars="196"/>
      </w:pPr>
      <w:r>
        <w:rPr>
          <w:b/>
          <w:bCs/>
        </w:rPr>
        <w:t>1</w:t>
      </w:r>
      <w:r>
        <w:t xml:space="preserve">  在壳体两侧安装纠扭装置，根据需要将翼板伸出壳体插入土体内，在机头向前推进时，土体在翼板上产生一侧向分力，形成力偶使机头按所需的方向旋转，以达到纠扭目的；</w:t>
      </w:r>
    </w:p>
    <w:p w14:paraId="1E174E2D">
      <w:pPr>
        <w:ind w:firstLine="472" w:firstLineChars="196"/>
      </w:pPr>
      <w:r>
        <w:rPr>
          <w:b/>
          <w:bCs/>
        </w:rPr>
        <w:t>2</w:t>
      </w:r>
      <w:r>
        <w:t xml:space="preserve">  在壳体上安装压浆管注浆，将浆液分隔成四个区域，根据纠转方向的要求，选择适当的压浆点，使压出的浆液在机头形成力偶，使机头按所需的方向旋转，以达到纠扭目的；</w:t>
      </w:r>
    </w:p>
    <w:p w14:paraId="1627ACC3">
      <w:pPr>
        <w:ind w:firstLine="482" w:firstLineChars="200"/>
      </w:pPr>
      <w:r>
        <w:rPr>
          <w:b/>
          <w:bCs/>
        </w:rPr>
        <w:t>3</w:t>
      </w:r>
      <w:r>
        <w:t xml:space="preserve">  偏差较大时调整两个矩形刀盘同向旋转，并与机头的扭转方向一致，将产生反向力偶，以控制机头的姿态，达到纠转的目的。</w:t>
      </w:r>
    </w:p>
    <w:p w14:paraId="1FB180B7">
      <w:pPr>
        <w:pStyle w:val="3"/>
        <w:rPr>
          <w:rFonts w:eastAsia="黑体" w:cs="Times New Roman"/>
          <w:b w:val="0"/>
        </w:rPr>
      </w:pPr>
      <w:bookmarkStart w:id="936" w:name="_Toc8224"/>
      <w:bookmarkStart w:id="937" w:name="_Toc60173860"/>
      <w:bookmarkStart w:id="938" w:name="_Toc33214167"/>
      <w:bookmarkStart w:id="939" w:name="_Toc60172973"/>
      <w:bookmarkStart w:id="940" w:name="_Toc60173333"/>
      <w:bookmarkStart w:id="941" w:name="_Toc15291"/>
      <w:bookmarkStart w:id="942" w:name="_Toc26559"/>
      <w:bookmarkStart w:id="943" w:name="_Toc15760"/>
      <w:bookmarkStart w:id="944" w:name="_Toc12289"/>
      <w:bookmarkStart w:id="945" w:name="_Toc13376"/>
      <w:r>
        <w:rPr>
          <w:rFonts w:eastAsia="黑体" w:cs="Times New Roman"/>
        </w:rPr>
        <w:t>9.8</w:t>
      </w:r>
      <w:r>
        <w:rPr>
          <w:rFonts w:eastAsia="黑体" w:cs="Times New Roman"/>
          <w:b w:val="0"/>
        </w:rPr>
        <w:t xml:space="preserve">  监测与变形控制</w:t>
      </w:r>
      <w:bookmarkEnd w:id="936"/>
      <w:bookmarkEnd w:id="937"/>
      <w:bookmarkEnd w:id="938"/>
      <w:bookmarkEnd w:id="939"/>
      <w:bookmarkEnd w:id="940"/>
      <w:bookmarkEnd w:id="941"/>
      <w:bookmarkEnd w:id="942"/>
      <w:bookmarkEnd w:id="943"/>
      <w:bookmarkEnd w:id="944"/>
      <w:bookmarkEnd w:id="945"/>
    </w:p>
    <w:p w14:paraId="67113A94">
      <w:r>
        <w:rPr>
          <w:b/>
          <w:bCs/>
        </w:rPr>
        <w:t>9.8.1</w:t>
      </w:r>
      <w:r>
        <w:t xml:space="preserve">  通过运用科学合理的监测方法，获取矩形顶管施工过程中重要的监测数据，为顶管的设计和施工提供依据。通过数据反馈，及时调整施工参数，减小对地面、周边建筑物或构筑物及重要设施的影响；同时监测资料还可作为检验和评价支护结构稳定性的重要依据。</w:t>
      </w:r>
    </w:p>
    <w:p w14:paraId="1746BD3D">
      <w:pPr>
        <w:ind w:firstLine="480" w:firstLineChars="200"/>
        <w:rPr>
          <w:bCs/>
          <w:kern w:val="44"/>
        </w:rPr>
      </w:pPr>
      <w:r>
        <w:rPr>
          <w:rFonts w:hint="eastAsia"/>
          <w:bCs/>
          <w:kern w:val="44"/>
        </w:rPr>
        <w:t>监测点布置需考虑顶管长度和断面大小及覆土厚度，一般纵向间距不大于20m，横向间距不大于10m。如遇下穿地下管线，监测点应在管线正上方布设且纵线间距适当加密。浅覆土顶管施工，监测点宜在距离顶管机前方10~20m范围开始监测。</w:t>
      </w:r>
    </w:p>
    <w:p w14:paraId="5E040A1A"/>
    <w:p w14:paraId="285A429A">
      <w:r>
        <w:rPr>
          <w:b/>
          <w:bCs/>
        </w:rPr>
        <w:t>9.8.3</w:t>
      </w:r>
      <w:r>
        <w:t xml:space="preserve">  顶管在路面下掘进，不可避免的会造成土体扰动变形。如果掘进中出现超量出泥的情况，路面一般不会立刻下沉，如果顶管施工时已经发生较大的坍塌，会使路面下方塌方严重，并产生孔洞。</w:t>
      </w:r>
    </w:p>
    <w:p w14:paraId="40EAC080"/>
    <w:p w14:paraId="5F2D9F7F">
      <w:pPr>
        <w:pStyle w:val="3"/>
        <w:rPr>
          <w:rFonts w:eastAsia="黑体" w:cs="Times New Roman"/>
          <w:b w:val="0"/>
        </w:rPr>
      </w:pPr>
      <w:bookmarkStart w:id="946" w:name="_Toc18960"/>
      <w:bookmarkStart w:id="947" w:name="_Toc60172974"/>
      <w:bookmarkStart w:id="948" w:name="_Toc28592"/>
      <w:bookmarkStart w:id="949" w:name="_Toc22558"/>
      <w:bookmarkStart w:id="950" w:name="_Toc12263"/>
      <w:bookmarkStart w:id="951" w:name="_Toc60173334"/>
      <w:bookmarkStart w:id="952" w:name="_Toc60173861"/>
      <w:bookmarkStart w:id="953" w:name="_Toc30468"/>
      <w:bookmarkStart w:id="954" w:name="_Toc19608"/>
      <w:bookmarkStart w:id="955" w:name="_Toc33214168"/>
      <w:r>
        <w:rPr>
          <w:rFonts w:eastAsia="黑体" w:cs="Times New Roman"/>
        </w:rPr>
        <w:t>9.9</w:t>
      </w:r>
      <w:r>
        <w:rPr>
          <w:rFonts w:eastAsia="黑体" w:cs="Times New Roman"/>
          <w:b w:val="0"/>
        </w:rPr>
        <w:t xml:space="preserve">  顶管机拆解与吊出</w:t>
      </w:r>
      <w:bookmarkEnd w:id="946"/>
      <w:bookmarkEnd w:id="947"/>
      <w:bookmarkEnd w:id="948"/>
      <w:bookmarkEnd w:id="949"/>
      <w:bookmarkEnd w:id="950"/>
      <w:bookmarkEnd w:id="951"/>
      <w:bookmarkEnd w:id="952"/>
      <w:bookmarkEnd w:id="953"/>
      <w:bookmarkEnd w:id="954"/>
      <w:bookmarkEnd w:id="955"/>
    </w:p>
    <w:p w14:paraId="7C064019">
      <w:r>
        <w:rPr>
          <w:b/>
          <w:bCs/>
        </w:rPr>
        <w:t>9.9.3</w:t>
      </w:r>
      <w:r>
        <w:t xml:space="preserve">  本条根据常规顶管机拆机的要求作出了几点规定，顶管机拆机过程中需要保证顶管机各连接部件清洁并按照合理顺利依次拆除，确保整个拆机过程的安全。</w:t>
      </w:r>
    </w:p>
    <w:p w14:paraId="678B701C">
      <w:r>
        <w:rPr>
          <w:b/>
          <w:bCs/>
        </w:rPr>
        <w:t>9.9.5</w:t>
      </w:r>
      <w:r>
        <w:t xml:space="preserve">  矩形顶管机的拆解与吊出需要根据场地大小、构件重量大小、吊装费用等因素综合考虑选择性能匹配的吊装机械。</w:t>
      </w:r>
    </w:p>
    <w:sectPr>
      <w:pgSz w:w="11850" w:h="16783"/>
      <w:pgMar w:top="1440" w:right="1800" w:bottom="1440" w:left="1800" w:header="720" w:footer="720" w:gutter="0"/>
      <w:cols w:space="720"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简体">
    <w:panose1 w:val="03000509000000000000"/>
    <w:charset w:val="86"/>
    <w:family w:val="auto"/>
    <w:pitch w:val="default"/>
    <w:sig w:usb0="00000001" w:usb1="080E0000" w:usb2="00000000" w:usb3="00000000" w:csb0="00040000" w:csb1="00000000"/>
  </w:font>
  <w:font w:name="楷体_GB2312">
    <w:panose1 w:val="02010609030101010101"/>
    <w:charset w:val="86"/>
    <w:family w:val="auto"/>
    <w:pitch w:val="default"/>
    <w:sig w:usb0="00000001" w:usb1="080E0000" w:usb2="00000000" w:usb3="00000000" w:csb0="00040000"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华文仿宋">
    <w:altName w:val="仿宋"/>
    <w:panose1 w:val="02010600040101010101"/>
    <w:charset w:val="86"/>
    <w:family w:val="auto"/>
    <w:pitch w:val="default"/>
    <w:sig w:usb0="00000000" w:usb1="00000000" w:usb2="00000000" w:usb3="00000000" w:csb0="0004009F" w:csb1="DFD70000"/>
  </w:font>
  <w:font w:name="Cambria Math">
    <w:panose1 w:val="02040503050406030204"/>
    <w:charset w:val="00"/>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A98B764">
    <w:pPr>
      <w:pStyle w:val="24"/>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87C8FE6">
                          <w:pPr>
                            <w:pStyle w:val="24"/>
                            <w:rPr>
                              <w:rFonts w:eastAsiaTheme="minorEastAsia"/>
                            </w:rPr>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0O3bcsAgAAV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PQa5aFrd5ZHqGj&#10;eN6ujgECtrpGUToleq3QbW1l+smI7fznvo16+hssH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vQ7dtywCAABVBAAADgAAAAAAAAABACAAAAAfAQAAZHJzL2Uyb0RvYy54bWxQSwUGAAAAAAYA&#10;BgBZAQAAvQUAAAAA&#10;">
              <v:fill on="f" focussize="0,0"/>
              <v:stroke on="f" weight="0.5pt"/>
              <v:imagedata o:title=""/>
              <o:lock v:ext="edit" aspectratio="f"/>
              <v:textbox inset="0mm,0mm,0mm,0mm" style="mso-fit-shape-to-text:t;">
                <w:txbxContent>
                  <w:p w14:paraId="687C8FE6">
                    <w:pPr>
                      <w:pStyle w:val="24"/>
                      <w:rPr>
                        <w:rFonts w:eastAsiaTheme="minorEastAsia"/>
                      </w:rPr>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7F77E0">
    <w:pPr>
      <w:pStyle w:val="24"/>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45A9490">
                          <w:pPr>
                            <w:pStyle w:val="24"/>
                          </w:pPr>
                          <w:r>
                            <w:rPr>
                              <w:rFonts w:hint="eastAsia"/>
                            </w:rPr>
                            <w:fldChar w:fldCharType="begin"/>
                          </w:r>
                          <w:r>
                            <w:rPr>
                              <w:rFonts w:hint="eastAsia"/>
                            </w:rPr>
                            <w:instrText xml:space="preserve"> PAGE  \* MERGEFORMAT </w:instrText>
                          </w:r>
                          <w:r>
                            <w:rPr>
                              <w:rFonts w:hint="eastAsia"/>
                            </w:rPr>
                            <w:fldChar w:fldCharType="separate"/>
                          </w:r>
                          <w:r>
                            <w:t>43</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q/o+UsAgAAV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yr+j5SwCAABVBAAADgAAAAAAAAABACAAAAAfAQAAZHJzL2Uyb0RvYy54bWxQSwUGAAAAAAYA&#10;BgBZAQAAvQUAAAAA&#10;">
              <v:fill on="f" focussize="0,0"/>
              <v:stroke on="f" weight="0.5pt"/>
              <v:imagedata o:title=""/>
              <o:lock v:ext="edit" aspectratio="f"/>
              <v:textbox inset="0mm,0mm,0mm,0mm" style="mso-fit-shape-to-text:t;">
                <w:txbxContent>
                  <w:p w14:paraId="245A9490">
                    <w:pPr>
                      <w:pStyle w:val="24"/>
                    </w:pPr>
                    <w:r>
                      <w:rPr>
                        <w:rFonts w:hint="eastAsia"/>
                      </w:rPr>
                      <w:fldChar w:fldCharType="begin"/>
                    </w:r>
                    <w:r>
                      <w:rPr>
                        <w:rFonts w:hint="eastAsia"/>
                      </w:rPr>
                      <w:instrText xml:space="preserve"> PAGE  \* MERGEFORMAT </w:instrText>
                    </w:r>
                    <w:r>
                      <w:rPr>
                        <w:rFonts w:hint="eastAsia"/>
                      </w:rPr>
                      <w:fldChar w:fldCharType="separate"/>
                    </w:r>
                    <w:r>
                      <w:t>43</w:t>
                    </w:r>
                    <w:r>
                      <w:rPr>
                        <w:rFonts w:hint="eastAsia"/>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3885E5">
    <w:pPr>
      <w:pStyle w:val="24"/>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AF72804">
                          <w:pPr>
                            <w:pStyle w:val="24"/>
                            <w:jc w:val="center"/>
                          </w:pPr>
                          <w:r>
                            <w:rPr>
                              <w:b/>
                              <w:sz w:val="24"/>
                              <w:szCs w:val="24"/>
                            </w:rPr>
                            <w:fldChar w:fldCharType="begin"/>
                          </w:r>
                          <w:r>
                            <w:rPr>
                              <w:b/>
                            </w:rPr>
                            <w:instrText xml:space="preserve">PAGE</w:instrText>
                          </w:r>
                          <w:r>
                            <w:rPr>
                              <w:b/>
                              <w:sz w:val="24"/>
                              <w:szCs w:val="24"/>
                            </w:rPr>
                            <w:fldChar w:fldCharType="separate"/>
                          </w:r>
                          <w:r>
                            <w:rPr>
                              <w:b/>
                            </w:rPr>
                            <w:t>97</w:t>
                          </w:r>
                          <w:r>
                            <w:rPr>
                              <w:b/>
                              <w:sz w:val="24"/>
                              <w:szCs w:val="24"/>
                            </w:rPr>
                            <w:fldChar w:fldCharType="end"/>
                          </w:r>
                          <w:r>
                            <w:rPr>
                              <w:lang w:val="zh-CN"/>
                            </w:rPr>
                            <w:t xml:space="preserve"> </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LQ8m0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y0PJtKwIAAFUEAAAOAAAAAAAAAAEAIAAAAB8BAABkcnMvZTJvRG9jLnhtbFBLBQYAAAAABgAG&#10;AFkBAAC8BQAAAAA=&#10;">
              <v:fill on="f" focussize="0,0"/>
              <v:stroke on="f" weight="0.5pt"/>
              <v:imagedata o:title=""/>
              <o:lock v:ext="edit" aspectratio="f"/>
              <v:textbox inset="0mm,0mm,0mm,0mm" style="mso-fit-shape-to-text:t;">
                <w:txbxContent>
                  <w:p w14:paraId="1AF72804">
                    <w:pPr>
                      <w:pStyle w:val="24"/>
                      <w:jc w:val="center"/>
                    </w:pPr>
                    <w:r>
                      <w:rPr>
                        <w:b/>
                        <w:sz w:val="24"/>
                        <w:szCs w:val="24"/>
                      </w:rPr>
                      <w:fldChar w:fldCharType="begin"/>
                    </w:r>
                    <w:r>
                      <w:rPr>
                        <w:b/>
                      </w:rPr>
                      <w:instrText xml:space="preserve">PAGE</w:instrText>
                    </w:r>
                    <w:r>
                      <w:rPr>
                        <w:b/>
                        <w:sz w:val="24"/>
                        <w:szCs w:val="24"/>
                      </w:rPr>
                      <w:fldChar w:fldCharType="separate"/>
                    </w:r>
                    <w:r>
                      <w:rPr>
                        <w:b/>
                      </w:rPr>
                      <w:t>97</w:t>
                    </w:r>
                    <w:r>
                      <w:rPr>
                        <w:b/>
                        <w:sz w:val="24"/>
                        <w:szCs w:val="24"/>
                      </w:rPr>
                      <w:fldChar w:fldCharType="end"/>
                    </w:r>
                    <w:r>
                      <w:rPr>
                        <w:lang w:val="zh-CN"/>
                      </w:rPr>
                      <w:t xml:space="preserve"> </w:t>
                    </w:r>
                  </w:p>
                </w:txbxContent>
              </v:textbox>
            </v:shape>
          </w:pict>
        </mc:Fallback>
      </mc:AlternateContent>
    </w:r>
  </w:p>
  <w:p w14:paraId="3D6990F0">
    <w:pPr>
      <w:pStyle w:val="2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C52C0E">
    <w:pPr>
      <w:pStyle w:val="25"/>
      <w:pBdr>
        <w:bottom w:val="none" w:color="auto" w:sz="0" w:space="1"/>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3F45A70"/>
    <w:multiLevelType w:val="multilevel"/>
    <w:tmpl w:val="03F45A70"/>
    <w:lvl w:ilvl="0" w:tentative="0">
      <w:start w:val="1"/>
      <w:numFmt w:val="decimal"/>
      <w:pStyle w:val="9"/>
      <w:lvlText w:val="%1）"/>
      <w:lvlJc w:val="left"/>
      <w:pPr>
        <w:ind w:left="1446" w:hanging="397"/>
      </w:pPr>
      <w:rPr>
        <w:rFonts w:hint="default" w:ascii="Times New Roman" w:hAnsi="Times New Roman"/>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16CD6532"/>
    <w:multiLevelType w:val="multilevel"/>
    <w:tmpl w:val="16CD6532"/>
    <w:lvl w:ilvl="0" w:tentative="0">
      <w:start w:val="6"/>
      <w:numFmt w:val="decimal"/>
      <w:lvlText w:val="%1"/>
      <w:lvlJc w:val="left"/>
      <w:pPr>
        <w:tabs>
          <w:tab w:val="left" w:pos="660"/>
        </w:tabs>
        <w:ind w:left="660" w:hanging="660"/>
      </w:pPr>
      <w:rPr>
        <w:rFonts w:hint="eastAsia"/>
        <w:b w:val="0"/>
      </w:rPr>
    </w:lvl>
    <w:lvl w:ilvl="1" w:tentative="0">
      <w:start w:val="6"/>
      <w:numFmt w:val="decimal"/>
      <w:pStyle w:val="82"/>
      <w:lvlText w:val="%1.%2"/>
      <w:lvlJc w:val="left"/>
      <w:pPr>
        <w:tabs>
          <w:tab w:val="left" w:pos="720"/>
        </w:tabs>
        <w:ind w:left="720" w:hanging="720"/>
      </w:pPr>
      <w:rPr>
        <w:rFonts w:hint="eastAsia"/>
        <w:b/>
      </w:rPr>
    </w:lvl>
    <w:lvl w:ilvl="2" w:tentative="0">
      <w:start w:val="1"/>
      <w:numFmt w:val="decimal"/>
      <w:lvlText w:val="%1.%2.%3"/>
      <w:lvlJc w:val="left"/>
      <w:pPr>
        <w:tabs>
          <w:tab w:val="left" w:pos="720"/>
        </w:tabs>
        <w:ind w:left="720" w:hanging="720"/>
      </w:pPr>
      <w:rPr>
        <w:rFonts w:hint="eastAsia"/>
        <w:b w:val="0"/>
      </w:rPr>
    </w:lvl>
    <w:lvl w:ilvl="3" w:tentative="0">
      <w:start w:val="1"/>
      <w:numFmt w:val="decimal"/>
      <w:lvlText w:val="%1.%2.%3.%4"/>
      <w:lvlJc w:val="left"/>
      <w:pPr>
        <w:tabs>
          <w:tab w:val="left" w:pos="1080"/>
        </w:tabs>
        <w:ind w:left="1080" w:hanging="1080"/>
      </w:pPr>
      <w:rPr>
        <w:rFonts w:hint="eastAsia"/>
        <w:b w:val="0"/>
      </w:rPr>
    </w:lvl>
    <w:lvl w:ilvl="4" w:tentative="0">
      <w:start w:val="1"/>
      <w:numFmt w:val="decimal"/>
      <w:lvlText w:val="%1.%2.%3.%4.%5"/>
      <w:lvlJc w:val="left"/>
      <w:pPr>
        <w:tabs>
          <w:tab w:val="left" w:pos="1440"/>
        </w:tabs>
        <w:ind w:left="1440" w:hanging="1440"/>
      </w:pPr>
      <w:rPr>
        <w:rFonts w:hint="eastAsia"/>
        <w:b w:val="0"/>
      </w:rPr>
    </w:lvl>
    <w:lvl w:ilvl="5" w:tentative="0">
      <w:start w:val="1"/>
      <w:numFmt w:val="decimal"/>
      <w:lvlText w:val="%1.%2.%3.%4.%5.%6"/>
      <w:lvlJc w:val="left"/>
      <w:pPr>
        <w:tabs>
          <w:tab w:val="left" w:pos="1440"/>
        </w:tabs>
        <w:ind w:left="1440" w:hanging="1440"/>
      </w:pPr>
      <w:rPr>
        <w:rFonts w:hint="eastAsia"/>
        <w:b w:val="0"/>
      </w:rPr>
    </w:lvl>
    <w:lvl w:ilvl="6" w:tentative="0">
      <w:start w:val="1"/>
      <w:numFmt w:val="decimal"/>
      <w:lvlText w:val="%1.%2.%3.%4.%5.%6.%7"/>
      <w:lvlJc w:val="left"/>
      <w:pPr>
        <w:tabs>
          <w:tab w:val="left" w:pos="1800"/>
        </w:tabs>
        <w:ind w:left="1800" w:hanging="1800"/>
      </w:pPr>
      <w:rPr>
        <w:rFonts w:hint="eastAsia"/>
        <w:b w:val="0"/>
      </w:rPr>
    </w:lvl>
    <w:lvl w:ilvl="7" w:tentative="0">
      <w:start w:val="1"/>
      <w:numFmt w:val="decimal"/>
      <w:lvlText w:val="%1.%2.%3.%4.%5.%6.%7.%8"/>
      <w:lvlJc w:val="left"/>
      <w:pPr>
        <w:tabs>
          <w:tab w:val="left" w:pos="1800"/>
        </w:tabs>
        <w:ind w:left="1800" w:hanging="1800"/>
      </w:pPr>
      <w:rPr>
        <w:rFonts w:hint="eastAsia"/>
        <w:b w:val="0"/>
      </w:rPr>
    </w:lvl>
    <w:lvl w:ilvl="8" w:tentative="0">
      <w:start w:val="1"/>
      <w:numFmt w:val="decimal"/>
      <w:lvlText w:val="%1.%2.%3.%4.%5.%6.%7.%8.%9"/>
      <w:lvlJc w:val="left"/>
      <w:pPr>
        <w:tabs>
          <w:tab w:val="left" w:pos="2160"/>
        </w:tabs>
        <w:ind w:left="2160" w:hanging="2160"/>
      </w:pPr>
      <w:rPr>
        <w:rFonts w:hint="eastAsia"/>
        <w:b w:val="0"/>
      </w:rPr>
    </w:lvl>
  </w:abstractNum>
  <w:abstractNum w:abstractNumId="2">
    <w:nsid w:val="6C9156BB"/>
    <w:multiLevelType w:val="multilevel"/>
    <w:tmpl w:val="6C9156BB"/>
    <w:lvl w:ilvl="0" w:tentative="0">
      <w:start w:val="1"/>
      <w:numFmt w:val="decimal"/>
      <w:lvlText w:val="%1"/>
      <w:lvlJc w:val="left"/>
      <w:pPr>
        <w:ind w:left="420" w:hanging="420"/>
      </w:pPr>
      <w:rPr>
        <w:rFonts w:hint="eastAsia"/>
        <w:b/>
        <w:i w:val="0"/>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7E0B5280"/>
    <w:multiLevelType w:val="multilevel"/>
    <w:tmpl w:val="7E0B5280"/>
    <w:lvl w:ilvl="0" w:tentative="0">
      <w:start w:val="1"/>
      <w:numFmt w:val="decimal"/>
      <w:pStyle w:val="7"/>
      <w:lvlText w:val="%1"/>
      <w:lvlJc w:val="left"/>
      <w:pPr>
        <w:ind w:left="737" w:hanging="317"/>
      </w:pPr>
      <w:rPr>
        <w:rFonts w:hint="default" w:ascii="Times New Roman" w:hAnsi="Times New Roman"/>
        <w:b/>
        <w:i w:val="0"/>
        <w:lang w:val="en-US"/>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4"/>
  <w:hideSpellingErrors/>
  <w:documentProtection w:enforcement="0"/>
  <w:defaultTabStop w:val="420"/>
  <w:drawingGridHorizontalSpacing w:val="120"/>
  <w:drawingGridVerticalSpacing w:val="163"/>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JiZTdlNTcyNzA2M2I0YjQxYjQyMzM4NDlkZTRmZTYifQ=="/>
  </w:docVars>
  <w:rsids>
    <w:rsidRoot w:val="00724E6B"/>
    <w:rsid w:val="00000231"/>
    <w:rsid w:val="0000031E"/>
    <w:rsid w:val="00000540"/>
    <w:rsid w:val="00003A12"/>
    <w:rsid w:val="00007632"/>
    <w:rsid w:val="00007997"/>
    <w:rsid w:val="00010DA2"/>
    <w:rsid w:val="00011376"/>
    <w:rsid w:val="000143D3"/>
    <w:rsid w:val="00014465"/>
    <w:rsid w:val="00014C03"/>
    <w:rsid w:val="00014DB2"/>
    <w:rsid w:val="000163D7"/>
    <w:rsid w:val="0002067A"/>
    <w:rsid w:val="00020BEA"/>
    <w:rsid w:val="00020EB6"/>
    <w:rsid w:val="000214C4"/>
    <w:rsid w:val="00024985"/>
    <w:rsid w:val="00025B3F"/>
    <w:rsid w:val="000306C4"/>
    <w:rsid w:val="00033B76"/>
    <w:rsid w:val="00034642"/>
    <w:rsid w:val="00041690"/>
    <w:rsid w:val="000419C4"/>
    <w:rsid w:val="00043F75"/>
    <w:rsid w:val="000441A0"/>
    <w:rsid w:val="00045267"/>
    <w:rsid w:val="00045E23"/>
    <w:rsid w:val="0005001B"/>
    <w:rsid w:val="00050604"/>
    <w:rsid w:val="00050C18"/>
    <w:rsid w:val="00051482"/>
    <w:rsid w:val="0005523A"/>
    <w:rsid w:val="000560C3"/>
    <w:rsid w:val="00056B02"/>
    <w:rsid w:val="00062486"/>
    <w:rsid w:val="000624B0"/>
    <w:rsid w:val="00062A4D"/>
    <w:rsid w:val="0006444D"/>
    <w:rsid w:val="00064FD6"/>
    <w:rsid w:val="000652AA"/>
    <w:rsid w:val="00065DF8"/>
    <w:rsid w:val="00067C65"/>
    <w:rsid w:val="00070FFC"/>
    <w:rsid w:val="00071196"/>
    <w:rsid w:val="00071E69"/>
    <w:rsid w:val="0007280C"/>
    <w:rsid w:val="00073D1D"/>
    <w:rsid w:val="00073D6C"/>
    <w:rsid w:val="00077737"/>
    <w:rsid w:val="0007794E"/>
    <w:rsid w:val="000825C3"/>
    <w:rsid w:val="00082F59"/>
    <w:rsid w:val="0008476A"/>
    <w:rsid w:val="00085598"/>
    <w:rsid w:val="00085896"/>
    <w:rsid w:val="00086228"/>
    <w:rsid w:val="000866AA"/>
    <w:rsid w:val="0008771D"/>
    <w:rsid w:val="00087AB8"/>
    <w:rsid w:val="0009097E"/>
    <w:rsid w:val="000912A3"/>
    <w:rsid w:val="00096204"/>
    <w:rsid w:val="000971A6"/>
    <w:rsid w:val="0009793D"/>
    <w:rsid w:val="00097ACA"/>
    <w:rsid w:val="000A08CF"/>
    <w:rsid w:val="000A1777"/>
    <w:rsid w:val="000A1D6E"/>
    <w:rsid w:val="000A2169"/>
    <w:rsid w:val="000A251F"/>
    <w:rsid w:val="000A2C91"/>
    <w:rsid w:val="000A3094"/>
    <w:rsid w:val="000A32D1"/>
    <w:rsid w:val="000A4047"/>
    <w:rsid w:val="000A56D2"/>
    <w:rsid w:val="000A59D4"/>
    <w:rsid w:val="000A705D"/>
    <w:rsid w:val="000B4CB1"/>
    <w:rsid w:val="000B5D4C"/>
    <w:rsid w:val="000B6904"/>
    <w:rsid w:val="000B6D9C"/>
    <w:rsid w:val="000B7264"/>
    <w:rsid w:val="000C0635"/>
    <w:rsid w:val="000C0993"/>
    <w:rsid w:val="000C1B3C"/>
    <w:rsid w:val="000C21E5"/>
    <w:rsid w:val="000D0E38"/>
    <w:rsid w:val="000D1B00"/>
    <w:rsid w:val="000D3CE1"/>
    <w:rsid w:val="000D54C0"/>
    <w:rsid w:val="000D6F2B"/>
    <w:rsid w:val="000E0A79"/>
    <w:rsid w:val="000E3C29"/>
    <w:rsid w:val="000E627D"/>
    <w:rsid w:val="000E6F76"/>
    <w:rsid w:val="000F092A"/>
    <w:rsid w:val="000F0ABB"/>
    <w:rsid w:val="000F1C6E"/>
    <w:rsid w:val="000F23A3"/>
    <w:rsid w:val="000F2AAE"/>
    <w:rsid w:val="000F5D6C"/>
    <w:rsid w:val="000F5E88"/>
    <w:rsid w:val="001016FB"/>
    <w:rsid w:val="00102A13"/>
    <w:rsid w:val="0010620B"/>
    <w:rsid w:val="00110FF4"/>
    <w:rsid w:val="001111DD"/>
    <w:rsid w:val="001114A0"/>
    <w:rsid w:val="00113A03"/>
    <w:rsid w:val="00115578"/>
    <w:rsid w:val="00121642"/>
    <w:rsid w:val="00122D4E"/>
    <w:rsid w:val="00123215"/>
    <w:rsid w:val="0012545B"/>
    <w:rsid w:val="001269FC"/>
    <w:rsid w:val="00126CA4"/>
    <w:rsid w:val="00127614"/>
    <w:rsid w:val="001302A2"/>
    <w:rsid w:val="001315D9"/>
    <w:rsid w:val="001316A9"/>
    <w:rsid w:val="00131D2C"/>
    <w:rsid w:val="00131DD2"/>
    <w:rsid w:val="00132C1E"/>
    <w:rsid w:val="00133DEB"/>
    <w:rsid w:val="00134406"/>
    <w:rsid w:val="0013487A"/>
    <w:rsid w:val="00134FF5"/>
    <w:rsid w:val="001361B8"/>
    <w:rsid w:val="00136DD4"/>
    <w:rsid w:val="00137E6C"/>
    <w:rsid w:val="00137E86"/>
    <w:rsid w:val="001405BF"/>
    <w:rsid w:val="00141879"/>
    <w:rsid w:val="00141C4F"/>
    <w:rsid w:val="00142326"/>
    <w:rsid w:val="001500B2"/>
    <w:rsid w:val="0015393C"/>
    <w:rsid w:val="00153CC2"/>
    <w:rsid w:val="00153CFC"/>
    <w:rsid w:val="0015637F"/>
    <w:rsid w:val="0015785F"/>
    <w:rsid w:val="00157E8D"/>
    <w:rsid w:val="00160D12"/>
    <w:rsid w:val="00160F3E"/>
    <w:rsid w:val="001610AB"/>
    <w:rsid w:val="00161B50"/>
    <w:rsid w:val="001623E0"/>
    <w:rsid w:val="00162A52"/>
    <w:rsid w:val="00162FAE"/>
    <w:rsid w:val="00166D4F"/>
    <w:rsid w:val="00167382"/>
    <w:rsid w:val="00170470"/>
    <w:rsid w:val="00170A62"/>
    <w:rsid w:val="001711A4"/>
    <w:rsid w:val="0017172B"/>
    <w:rsid w:val="00171C09"/>
    <w:rsid w:val="00172445"/>
    <w:rsid w:val="00172E20"/>
    <w:rsid w:val="001735DE"/>
    <w:rsid w:val="00174B31"/>
    <w:rsid w:val="00174C2B"/>
    <w:rsid w:val="00175A07"/>
    <w:rsid w:val="00175C41"/>
    <w:rsid w:val="00176621"/>
    <w:rsid w:val="00180103"/>
    <w:rsid w:val="001801A7"/>
    <w:rsid w:val="001824A4"/>
    <w:rsid w:val="001840B8"/>
    <w:rsid w:val="001850BA"/>
    <w:rsid w:val="00185BE9"/>
    <w:rsid w:val="001870EA"/>
    <w:rsid w:val="00192CBB"/>
    <w:rsid w:val="00193276"/>
    <w:rsid w:val="00193847"/>
    <w:rsid w:val="00194090"/>
    <w:rsid w:val="00194489"/>
    <w:rsid w:val="001944C0"/>
    <w:rsid w:val="00194AD3"/>
    <w:rsid w:val="00196948"/>
    <w:rsid w:val="001A05CF"/>
    <w:rsid w:val="001A1B82"/>
    <w:rsid w:val="001A1ECC"/>
    <w:rsid w:val="001A2008"/>
    <w:rsid w:val="001A49E7"/>
    <w:rsid w:val="001A5294"/>
    <w:rsid w:val="001A7DFB"/>
    <w:rsid w:val="001B21B5"/>
    <w:rsid w:val="001B23BA"/>
    <w:rsid w:val="001B2C62"/>
    <w:rsid w:val="001B2D97"/>
    <w:rsid w:val="001B3BCD"/>
    <w:rsid w:val="001B3F3B"/>
    <w:rsid w:val="001B79CD"/>
    <w:rsid w:val="001C023D"/>
    <w:rsid w:val="001C3CB8"/>
    <w:rsid w:val="001D1625"/>
    <w:rsid w:val="001D3398"/>
    <w:rsid w:val="001D5C97"/>
    <w:rsid w:val="001E0042"/>
    <w:rsid w:val="001E1B8F"/>
    <w:rsid w:val="001E1F39"/>
    <w:rsid w:val="001E39AC"/>
    <w:rsid w:val="001E5367"/>
    <w:rsid w:val="001E5379"/>
    <w:rsid w:val="001E57EA"/>
    <w:rsid w:val="001E74C3"/>
    <w:rsid w:val="001E7849"/>
    <w:rsid w:val="001E7917"/>
    <w:rsid w:val="001F0368"/>
    <w:rsid w:val="001F0E76"/>
    <w:rsid w:val="001F2557"/>
    <w:rsid w:val="001F3D6C"/>
    <w:rsid w:val="001F7606"/>
    <w:rsid w:val="0020065F"/>
    <w:rsid w:val="00200C79"/>
    <w:rsid w:val="00200CA4"/>
    <w:rsid w:val="0020137C"/>
    <w:rsid w:val="00201619"/>
    <w:rsid w:val="00201CEF"/>
    <w:rsid w:val="0020416E"/>
    <w:rsid w:val="0020423C"/>
    <w:rsid w:val="002050A2"/>
    <w:rsid w:val="002062C8"/>
    <w:rsid w:val="0020638E"/>
    <w:rsid w:val="00206969"/>
    <w:rsid w:val="002075BB"/>
    <w:rsid w:val="00210BD3"/>
    <w:rsid w:val="00211461"/>
    <w:rsid w:val="002121CA"/>
    <w:rsid w:val="00214C08"/>
    <w:rsid w:val="00215C36"/>
    <w:rsid w:val="00217227"/>
    <w:rsid w:val="00222932"/>
    <w:rsid w:val="00224CF0"/>
    <w:rsid w:val="002253EE"/>
    <w:rsid w:val="00227167"/>
    <w:rsid w:val="00227468"/>
    <w:rsid w:val="00232261"/>
    <w:rsid w:val="00233CCD"/>
    <w:rsid w:val="00233D92"/>
    <w:rsid w:val="00234FFA"/>
    <w:rsid w:val="00237799"/>
    <w:rsid w:val="002379BE"/>
    <w:rsid w:val="00240066"/>
    <w:rsid w:val="0024006A"/>
    <w:rsid w:val="00241455"/>
    <w:rsid w:val="002415F6"/>
    <w:rsid w:val="00244F6E"/>
    <w:rsid w:val="00245384"/>
    <w:rsid w:val="00246929"/>
    <w:rsid w:val="0024729B"/>
    <w:rsid w:val="0024789D"/>
    <w:rsid w:val="0025000D"/>
    <w:rsid w:val="00250224"/>
    <w:rsid w:val="00252794"/>
    <w:rsid w:val="00252873"/>
    <w:rsid w:val="002532DF"/>
    <w:rsid w:val="00253A08"/>
    <w:rsid w:val="00253E47"/>
    <w:rsid w:val="00254163"/>
    <w:rsid w:val="00254ED7"/>
    <w:rsid w:val="00254F9F"/>
    <w:rsid w:val="00254FC3"/>
    <w:rsid w:val="002562FF"/>
    <w:rsid w:val="00257FB6"/>
    <w:rsid w:val="00260394"/>
    <w:rsid w:val="002621DC"/>
    <w:rsid w:val="00263BC3"/>
    <w:rsid w:val="0026583E"/>
    <w:rsid w:val="0027007F"/>
    <w:rsid w:val="002701DD"/>
    <w:rsid w:val="002723EE"/>
    <w:rsid w:val="002739AF"/>
    <w:rsid w:val="00280153"/>
    <w:rsid w:val="002853A6"/>
    <w:rsid w:val="0028743E"/>
    <w:rsid w:val="002912AB"/>
    <w:rsid w:val="00291FC3"/>
    <w:rsid w:val="00294403"/>
    <w:rsid w:val="002A15A5"/>
    <w:rsid w:val="002A257A"/>
    <w:rsid w:val="002A7A80"/>
    <w:rsid w:val="002B0126"/>
    <w:rsid w:val="002B047B"/>
    <w:rsid w:val="002B323F"/>
    <w:rsid w:val="002B5DD0"/>
    <w:rsid w:val="002B5F45"/>
    <w:rsid w:val="002C0116"/>
    <w:rsid w:val="002C0ACB"/>
    <w:rsid w:val="002C0B84"/>
    <w:rsid w:val="002C1C22"/>
    <w:rsid w:val="002C291B"/>
    <w:rsid w:val="002C5D87"/>
    <w:rsid w:val="002C6BFD"/>
    <w:rsid w:val="002D3936"/>
    <w:rsid w:val="002D3BDC"/>
    <w:rsid w:val="002D4546"/>
    <w:rsid w:val="002D5680"/>
    <w:rsid w:val="002E0F94"/>
    <w:rsid w:val="002E132B"/>
    <w:rsid w:val="002E135D"/>
    <w:rsid w:val="002E22C2"/>
    <w:rsid w:val="002E468A"/>
    <w:rsid w:val="002E4859"/>
    <w:rsid w:val="002E50FD"/>
    <w:rsid w:val="002E632C"/>
    <w:rsid w:val="002F3CFE"/>
    <w:rsid w:val="002F50F4"/>
    <w:rsid w:val="002F7DAC"/>
    <w:rsid w:val="003014AD"/>
    <w:rsid w:val="00302C7E"/>
    <w:rsid w:val="00303212"/>
    <w:rsid w:val="003035CB"/>
    <w:rsid w:val="0030455B"/>
    <w:rsid w:val="00304BC3"/>
    <w:rsid w:val="00305194"/>
    <w:rsid w:val="00305468"/>
    <w:rsid w:val="00305C84"/>
    <w:rsid w:val="00306843"/>
    <w:rsid w:val="00306AFA"/>
    <w:rsid w:val="00307F95"/>
    <w:rsid w:val="00311D87"/>
    <w:rsid w:val="0031254D"/>
    <w:rsid w:val="0031336D"/>
    <w:rsid w:val="00316470"/>
    <w:rsid w:val="003164EB"/>
    <w:rsid w:val="00322141"/>
    <w:rsid w:val="00322931"/>
    <w:rsid w:val="00322A1E"/>
    <w:rsid w:val="00322E7B"/>
    <w:rsid w:val="00324E06"/>
    <w:rsid w:val="003256A9"/>
    <w:rsid w:val="00327740"/>
    <w:rsid w:val="00327ADB"/>
    <w:rsid w:val="00327BEF"/>
    <w:rsid w:val="003319C6"/>
    <w:rsid w:val="0033343F"/>
    <w:rsid w:val="00336C92"/>
    <w:rsid w:val="0033716B"/>
    <w:rsid w:val="00337449"/>
    <w:rsid w:val="0033768C"/>
    <w:rsid w:val="003417FB"/>
    <w:rsid w:val="00342209"/>
    <w:rsid w:val="00344A93"/>
    <w:rsid w:val="00345B26"/>
    <w:rsid w:val="00346057"/>
    <w:rsid w:val="003473AC"/>
    <w:rsid w:val="003478C3"/>
    <w:rsid w:val="00347D03"/>
    <w:rsid w:val="003503CA"/>
    <w:rsid w:val="0035057F"/>
    <w:rsid w:val="003506D5"/>
    <w:rsid w:val="003526A0"/>
    <w:rsid w:val="00352F70"/>
    <w:rsid w:val="00353882"/>
    <w:rsid w:val="003541C8"/>
    <w:rsid w:val="00354DE9"/>
    <w:rsid w:val="00355170"/>
    <w:rsid w:val="00355414"/>
    <w:rsid w:val="00355ADA"/>
    <w:rsid w:val="00357122"/>
    <w:rsid w:val="00357859"/>
    <w:rsid w:val="00357E5B"/>
    <w:rsid w:val="00357EBA"/>
    <w:rsid w:val="0036064B"/>
    <w:rsid w:val="00360EA4"/>
    <w:rsid w:val="003633C8"/>
    <w:rsid w:val="00363C69"/>
    <w:rsid w:val="0036426C"/>
    <w:rsid w:val="003671D3"/>
    <w:rsid w:val="00370EC5"/>
    <w:rsid w:val="00371198"/>
    <w:rsid w:val="003732C0"/>
    <w:rsid w:val="00373EE2"/>
    <w:rsid w:val="00375D1A"/>
    <w:rsid w:val="00377E26"/>
    <w:rsid w:val="003801E3"/>
    <w:rsid w:val="0038052F"/>
    <w:rsid w:val="00384FA6"/>
    <w:rsid w:val="003878AB"/>
    <w:rsid w:val="003914BD"/>
    <w:rsid w:val="0039188A"/>
    <w:rsid w:val="00392710"/>
    <w:rsid w:val="00393F70"/>
    <w:rsid w:val="00395EF9"/>
    <w:rsid w:val="00395F93"/>
    <w:rsid w:val="003A0883"/>
    <w:rsid w:val="003A1EE9"/>
    <w:rsid w:val="003A67CA"/>
    <w:rsid w:val="003B2519"/>
    <w:rsid w:val="003B3F58"/>
    <w:rsid w:val="003C0B92"/>
    <w:rsid w:val="003C2C10"/>
    <w:rsid w:val="003C3400"/>
    <w:rsid w:val="003C3AF8"/>
    <w:rsid w:val="003C4046"/>
    <w:rsid w:val="003C7DEF"/>
    <w:rsid w:val="003D0066"/>
    <w:rsid w:val="003D15CB"/>
    <w:rsid w:val="003D2219"/>
    <w:rsid w:val="003D2836"/>
    <w:rsid w:val="003D33CB"/>
    <w:rsid w:val="003D565E"/>
    <w:rsid w:val="003D6295"/>
    <w:rsid w:val="003D6497"/>
    <w:rsid w:val="003E0747"/>
    <w:rsid w:val="003E2DD5"/>
    <w:rsid w:val="003E4751"/>
    <w:rsid w:val="003E5AC3"/>
    <w:rsid w:val="003E7419"/>
    <w:rsid w:val="003E7E13"/>
    <w:rsid w:val="003F0AF1"/>
    <w:rsid w:val="003F3647"/>
    <w:rsid w:val="003F3CDF"/>
    <w:rsid w:val="003F4263"/>
    <w:rsid w:val="003F5511"/>
    <w:rsid w:val="003F55C6"/>
    <w:rsid w:val="003F5931"/>
    <w:rsid w:val="003F5A2C"/>
    <w:rsid w:val="003F71F2"/>
    <w:rsid w:val="00400322"/>
    <w:rsid w:val="00401336"/>
    <w:rsid w:val="00402294"/>
    <w:rsid w:val="004044E4"/>
    <w:rsid w:val="0040545B"/>
    <w:rsid w:val="00405AB2"/>
    <w:rsid w:val="00411578"/>
    <w:rsid w:val="0041492C"/>
    <w:rsid w:val="00415E4D"/>
    <w:rsid w:val="00415FB2"/>
    <w:rsid w:val="0041731E"/>
    <w:rsid w:val="00420742"/>
    <w:rsid w:val="00421956"/>
    <w:rsid w:val="00422227"/>
    <w:rsid w:val="00424628"/>
    <w:rsid w:val="00426FB1"/>
    <w:rsid w:val="00431B60"/>
    <w:rsid w:val="00432D03"/>
    <w:rsid w:val="00435A21"/>
    <w:rsid w:val="00440C82"/>
    <w:rsid w:val="00441E4E"/>
    <w:rsid w:val="004429A7"/>
    <w:rsid w:val="004449CA"/>
    <w:rsid w:val="00444AFA"/>
    <w:rsid w:val="0044531D"/>
    <w:rsid w:val="00445893"/>
    <w:rsid w:val="00451026"/>
    <w:rsid w:val="004511EA"/>
    <w:rsid w:val="00453A39"/>
    <w:rsid w:val="00453EAF"/>
    <w:rsid w:val="00462AB9"/>
    <w:rsid w:val="0046405E"/>
    <w:rsid w:val="0047189C"/>
    <w:rsid w:val="00474883"/>
    <w:rsid w:val="004757A9"/>
    <w:rsid w:val="00475A42"/>
    <w:rsid w:val="00476BE6"/>
    <w:rsid w:val="0048052D"/>
    <w:rsid w:val="00480EAA"/>
    <w:rsid w:val="004817A1"/>
    <w:rsid w:val="00482CFF"/>
    <w:rsid w:val="00484AF9"/>
    <w:rsid w:val="00484BBB"/>
    <w:rsid w:val="00485FC5"/>
    <w:rsid w:val="00486AC9"/>
    <w:rsid w:val="00492834"/>
    <w:rsid w:val="004934C7"/>
    <w:rsid w:val="004959D4"/>
    <w:rsid w:val="004972CE"/>
    <w:rsid w:val="00497878"/>
    <w:rsid w:val="00497C08"/>
    <w:rsid w:val="004A0F25"/>
    <w:rsid w:val="004B0984"/>
    <w:rsid w:val="004B0DAB"/>
    <w:rsid w:val="004B67EA"/>
    <w:rsid w:val="004B6F1E"/>
    <w:rsid w:val="004B72E1"/>
    <w:rsid w:val="004B7CFC"/>
    <w:rsid w:val="004B7CFE"/>
    <w:rsid w:val="004C00DC"/>
    <w:rsid w:val="004C1538"/>
    <w:rsid w:val="004C25EE"/>
    <w:rsid w:val="004C3E29"/>
    <w:rsid w:val="004C5B64"/>
    <w:rsid w:val="004C5C8A"/>
    <w:rsid w:val="004C5E46"/>
    <w:rsid w:val="004D0C7D"/>
    <w:rsid w:val="004D0CF6"/>
    <w:rsid w:val="004D1EC3"/>
    <w:rsid w:val="004D25BB"/>
    <w:rsid w:val="004E2AF4"/>
    <w:rsid w:val="004E2EAB"/>
    <w:rsid w:val="004E3254"/>
    <w:rsid w:val="004E4280"/>
    <w:rsid w:val="004F0924"/>
    <w:rsid w:val="004F10FB"/>
    <w:rsid w:val="004F3DA4"/>
    <w:rsid w:val="00501AEF"/>
    <w:rsid w:val="00502002"/>
    <w:rsid w:val="00502E97"/>
    <w:rsid w:val="005037A6"/>
    <w:rsid w:val="00507209"/>
    <w:rsid w:val="00512F8C"/>
    <w:rsid w:val="00514542"/>
    <w:rsid w:val="00517A38"/>
    <w:rsid w:val="00520127"/>
    <w:rsid w:val="005209D9"/>
    <w:rsid w:val="00520C70"/>
    <w:rsid w:val="005217C7"/>
    <w:rsid w:val="005234A0"/>
    <w:rsid w:val="00525F0E"/>
    <w:rsid w:val="00527012"/>
    <w:rsid w:val="00527A4F"/>
    <w:rsid w:val="00530B4A"/>
    <w:rsid w:val="005317C7"/>
    <w:rsid w:val="0053374E"/>
    <w:rsid w:val="00536644"/>
    <w:rsid w:val="005375ED"/>
    <w:rsid w:val="005377C0"/>
    <w:rsid w:val="00537ABC"/>
    <w:rsid w:val="00540CBD"/>
    <w:rsid w:val="00542352"/>
    <w:rsid w:val="00542AF8"/>
    <w:rsid w:val="005432F9"/>
    <w:rsid w:val="0054558C"/>
    <w:rsid w:val="005474D0"/>
    <w:rsid w:val="00547DBE"/>
    <w:rsid w:val="00550557"/>
    <w:rsid w:val="00550635"/>
    <w:rsid w:val="00550CFB"/>
    <w:rsid w:val="005546CF"/>
    <w:rsid w:val="00554EA4"/>
    <w:rsid w:val="00555507"/>
    <w:rsid w:val="00555E59"/>
    <w:rsid w:val="005566EF"/>
    <w:rsid w:val="00556707"/>
    <w:rsid w:val="00557323"/>
    <w:rsid w:val="005618A6"/>
    <w:rsid w:val="005619E1"/>
    <w:rsid w:val="00562258"/>
    <w:rsid w:val="00562299"/>
    <w:rsid w:val="00564DA7"/>
    <w:rsid w:val="00566606"/>
    <w:rsid w:val="00566F00"/>
    <w:rsid w:val="00571F55"/>
    <w:rsid w:val="00572B19"/>
    <w:rsid w:val="00573043"/>
    <w:rsid w:val="00575870"/>
    <w:rsid w:val="005776A5"/>
    <w:rsid w:val="005801D4"/>
    <w:rsid w:val="00580724"/>
    <w:rsid w:val="00584C12"/>
    <w:rsid w:val="00587CB5"/>
    <w:rsid w:val="00590B34"/>
    <w:rsid w:val="00590BB2"/>
    <w:rsid w:val="005919D5"/>
    <w:rsid w:val="00594EF1"/>
    <w:rsid w:val="0059642C"/>
    <w:rsid w:val="005A1BC0"/>
    <w:rsid w:val="005A2705"/>
    <w:rsid w:val="005A27C4"/>
    <w:rsid w:val="005A5440"/>
    <w:rsid w:val="005A583D"/>
    <w:rsid w:val="005B09FC"/>
    <w:rsid w:val="005B1F4E"/>
    <w:rsid w:val="005B2A8A"/>
    <w:rsid w:val="005B3085"/>
    <w:rsid w:val="005B4076"/>
    <w:rsid w:val="005B47AA"/>
    <w:rsid w:val="005C2BA0"/>
    <w:rsid w:val="005C3F9C"/>
    <w:rsid w:val="005C5955"/>
    <w:rsid w:val="005C764F"/>
    <w:rsid w:val="005C7FAB"/>
    <w:rsid w:val="005D2A17"/>
    <w:rsid w:val="005D3CD4"/>
    <w:rsid w:val="005D47BB"/>
    <w:rsid w:val="005D50D0"/>
    <w:rsid w:val="005D5135"/>
    <w:rsid w:val="005D5B0D"/>
    <w:rsid w:val="005D6FCD"/>
    <w:rsid w:val="005E05DD"/>
    <w:rsid w:val="005E170E"/>
    <w:rsid w:val="005F14FD"/>
    <w:rsid w:val="005F6100"/>
    <w:rsid w:val="006015A0"/>
    <w:rsid w:val="00601709"/>
    <w:rsid w:val="0060353D"/>
    <w:rsid w:val="00604975"/>
    <w:rsid w:val="0060760C"/>
    <w:rsid w:val="00610AFF"/>
    <w:rsid w:val="00612E17"/>
    <w:rsid w:val="00613A91"/>
    <w:rsid w:val="00614362"/>
    <w:rsid w:val="00614465"/>
    <w:rsid w:val="00617BE0"/>
    <w:rsid w:val="00621705"/>
    <w:rsid w:val="0062205A"/>
    <w:rsid w:val="00622496"/>
    <w:rsid w:val="00622599"/>
    <w:rsid w:val="006235DD"/>
    <w:rsid w:val="00625667"/>
    <w:rsid w:val="00625BB7"/>
    <w:rsid w:val="00626662"/>
    <w:rsid w:val="00630818"/>
    <w:rsid w:val="006327FF"/>
    <w:rsid w:val="00633148"/>
    <w:rsid w:val="00633A60"/>
    <w:rsid w:val="00634F08"/>
    <w:rsid w:val="006359DA"/>
    <w:rsid w:val="006403A0"/>
    <w:rsid w:val="006408EB"/>
    <w:rsid w:val="00641A78"/>
    <w:rsid w:val="0064574B"/>
    <w:rsid w:val="006465AC"/>
    <w:rsid w:val="00650972"/>
    <w:rsid w:val="00651D72"/>
    <w:rsid w:val="006540A1"/>
    <w:rsid w:val="0065648B"/>
    <w:rsid w:val="0065743E"/>
    <w:rsid w:val="00660724"/>
    <w:rsid w:val="00660BDB"/>
    <w:rsid w:val="00662EBB"/>
    <w:rsid w:val="00664DB0"/>
    <w:rsid w:val="00666E61"/>
    <w:rsid w:val="00667EB5"/>
    <w:rsid w:val="00671182"/>
    <w:rsid w:val="006721FD"/>
    <w:rsid w:val="0067312B"/>
    <w:rsid w:val="00674E17"/>
    <w:rsid w:val="00676265"/>
    <w:rsid w:val="00677FA2"/>
    <w:rsid w:val="0068080F"/>
    <w:rsid w:val="00680824"/>
    <w:rsid w:val="00681E77"/>
    <w:rsid w:val="00682AC5"/>
    <w:rsid w:val="00685BD2"/>
    <w:rsid w:val="006865C9"/>
    <w:rsid w:val="006868CA"/>
    <w:rsid w:val="00687108"/>
    <w:rsid w:val="0069061B"/>
    <w:rsid w:val="00694667"/>
    <w:rsid w:val="006A17CC"/>
    <w:rsid w:val="006A17F3"/>
    <w:rsid w:val="006A20A5"/>
    <w:rsid w:val="006A242A"/>
    <w:rsid w:val="006A3513"/>
    <w:rsid w:val="006A49A6"/>
    <w:rsid w:val="006A4AE0"/>
    <w:rsid w:val="006A519C"/>
    <w:rsid w:val="006A690C"/>
    <w:rsid w:val="006B1B89"/>
    <w:rsid w:val="006B2371"/>
    <w:rsid w:val="006B3D3B"/>
    <w:rsid w:val="006B436F"/>
    <w:rsid w:val="006B4617"/>
    <w:rsid w:val="006B4922"/>
    <w:rsid w:val="006B6E9A"/>
    <w:rsid w:val="006C157B"/>
    <w:rsid w:val="006C205E"/>
    <w:rsid w:val="006C2401"/>
    <w:rsid w:val="006C3253"/>
    <w:rsid w:val="006C40FD"/>
    <w:rsid w:val="006C5488"/>
    <w:rsid w:val="006C5E94"/>
    <w:rsid w:val="006C68C8"/>
    <w:rsid w:val="006C7AF4"/>
    <w:rsid w:val="006D1878"/>
    <w:rsid w:val="006D1E36"/>
    <w:rsid w:val="006D376B"/>
    <w:rsid w:val="006D3E1A"/>
    <w:rsid w:val="006D4213"/>
    <w:rsid w:val="006D6E31"/>
    <w:rsid w:val="006D769A"/>
    <w:rsid w:val="006D79FA"/>
    <w:rsid w:val="006E038E"/>
    <w:rsid w:val="006E11F0"/>
    <w:rsid w:val="006E1491"/>
    <w:rsid w:val="006E2988"/>
    <w:rsid w:val="006E33E6"/>
    <w:rsid w:val="006E55A5"/>
    <w:rsid w:val="006E6145"/>
    <w:rsid w:val="006E6B38"/>
    <w:rsid w:val="006E70E5"/>
    <w:rsid w:val="006F1750"/>
    <w:rsid w:val="006F332B"/>
    <w:rsid w:val="006F337E"/>
    <w:rsid w:val="006F3686"/>
    <w:rsid w:val="006F4222"/>
    <w:rsid w:val="007029F4"/>
    <w:rsid w:val="007032C3"/>
    <w:rsid w:val="00706E51"/>
    <w:rsid w:val="00711863"/>
    <w:rsid w:val="0071311B"/>
    <w:rsid w:val="00713C48"/>
    <w:rsid w:val="007141DA"/>
    <w:rsid w:val="00716B4E"/>
    <w:rsid w:val="00720059"/>
    <w:rsid w:val="00720B80"/>
    <w:rsid w:val="00720EB4"/>
    <w:rsid w:val="0072420E"/>
    <w:rsid w:val="00724E6B"/>
    <w:rsid w:val="0072601C"/>
    <w:rsid w:val="00726C57"/>
    <w:rsid w:val="007304BE"/>
    <w:rsid w:val="00731701"/>
    <w:rsid w:val="007327D8"/>
    <w:rsid w:val="007336B7"/>
    <w:rsid w:val="007349E5"/>
    <w:rsid w:val="00735275"/>
    <w:rsid w:val="00735D2C"/>
    <w:rsid w:val="00736DD3"/>
    <w:rsid w:val="00741C72"/>
    <w:rsid w:val="00744459"/>
    <w:rsid w:val="00746B53"/>
    <w:rsid w:val="00747E6C"/>
    <w:rsid w:val="0075019A"/>
    <w:rsid w:val="007507B4"/>
    <w:rsid w:val="00750FE5"/>
    <w:rsid w:val="00754B0B"/>
    <w:rsid w:val="00757A36"/>
    <w:rsid w:val="007600DA"/>
    <w:rsid w:val="007604F2"/>
    <w:rsid w:val="00761603"/>
    <w:rsid w:val="0076339D"/>
    <w:rsid w:val="00763845"/>
    <w:rsid w:val="00765727"/>
    <w:rsid w:val="00765D86"/>
    <w:rsid w:val="0076685D"/>
    <w:rsid w:val="00766A17"/>
    <w:rsid w:val="00767876"/>
    <w:rsid w:val="00773730"/>
    <w:rsid w:val="007737BB"/>
    <w:rsid w:val="007761BD"/>
    <w:rsid w:val="00776A1C"/>
    <w:rsid w:val="00776AA2"/>
    <w:rsid w:val="00777048"/>
    <w:rsid w:val="00777179"/>
    <w:rsid w:val="00780555"/>
    <w:rsid w:val="0078152B"/>
    <w:rsid w:val="007824F8"/>
    <w:rsid w:val="00783670"/>
    <w:rsid w:val="007852F9"/>
    <w:rsid w:val="00785F0B"/>
    <w:rsid w:val="0078617C"/>
    <w:rsid w:val="00786516"/>
    <w:rsid w:val="007871CD"/>
    <w:rsid w:val="00787EE6"/>
    <w:rsid w:val="00791155"/>
    <w:rsid w:val="0079123D"/>
    <w:rsid w:val="0079158B"/>
    <w:rsid w:val="007924EB"/>
    <w:rsid w:val="00793FAD"/>
    <w:rsid w:val="007941D6"/>
    <w:rsid w:val="00795581"/>
    <w:rsid w:val="00796729"/>
    <w:rsid w:val="007A02CB"/>
    <w:rsid w:val="007A1398"/>
    <w:rsid w:val="007A14A4"/>
    <w:rsid w:val="007A1A52"/>
    <w:rsid w:val="007A3719"/>
    <w:rsid w:val="007A384A"/>
    <w:rsid w:val="007A3933"/>
    <w:rsid w:val="007A5C97"/>
    <w:rsid w:val="007A719D"/>
    <w:rsid w:val="007A734F"/>
    <w:rsid w:val="007A7381"/>
    <w:rsid w:val="007B00BF"/>
    <w:rsid w:val="007B524E"/>
    <w:rsid w:val="007B5272"/>
    <w:rsid w:val="007B61F9"/>
    <w:rsid w:val="007B65EF"/>
    <w:rsid w:val="007B7264"/>
    <w:rsid w:val="007C0B41"/>
    <w:rsid w:val="007C18CC"/>
    <w:rsid w:val="007C549C"/>
    <w:rsid w:val="007C65FA"/>
    <w:rsid w:val="007C683A"/>
    <w:rsid w:val="007C6C91"/>
    <w:rsid w:val="007C78DA"/>
    <w:rsid w:val="007C7D8B"/>
    <w:rsid w:val="007D000A"/>
    <w:rsid w:val="007D04F1"/>
    <w:rsid w:val="007D2C40"/>
    <w:rsid w:val="007D3EA5"/>
    <w:rsid w:val="007D5CB2"/>
    <w:rsid w:val="007E14CE"/>
    <w:rsid w:val="007E387C"/>
    <w:rsid w:val="007E4E5B"/>
    <w:rsid w:val="007E5C5E"/>
    <w:rsid w:val="007E6DCE"/>
    <w:rsid w:val="007F236C"/>
    <w:rsid w:val="007F3985"/>
    <w:rsid w:val="007F5FF7"/>
    <w:rsid w:val="007F6008"/>
    <w:rsid w:val="007F65CC"/>
    <w:rsid w:val="007F7DCD"/>
    <w:rsid w:val="00802FDF"/>
    <w:rsid w:val="0080642E"/>
    <w:rsid w:val="008078D6"/>
    <w:rsid w:val="00810BDA"/>
    <w:rsid w:val="00812C02"/>
    <w:rsid w:val="00814221"/>
    <w:rsid w:val="008154EB"/>
    <w:rsid w:val="00816AE0"/>
    <w:rsid w:val="008176DE"/>
    <w:rsid w:val="008209F9"/>
    <w:rsid w:val="00821866"/>
    <w:rsid w:val="00821DD6"/>
    <w:rsid w:val="008225EE"/>
    <w:rsid w:val="00822E63"/>
    <w:rsid w:val="0082312B"/>
    <w:rsid w:val="00823209"/>
    <w:rsid w:val="00824E01"/>
    <w:rsid w:val="0083301F"/>
    <w:rsid w:val="00833C4F"/>
    <w:rsid w:val="008341C0"/>
    <w:rsid w:val="00835FA6"/>
    <w:rsid w:val="0083751D"/>
    <w:rsid w:val="008420ED"/>
    <w:rsid w:val="00846F12"/>
    <w:rsid w:val="00847768"/>
    <w:rsid w:val="0085131C"/>
    <w:rsid w:val="00852C14"/>
    <w:rsid w:val="00853739"/>
    <w:rsid w:val="00853CAC"/>
    <w:rsid w:val="00856783"/>
    <w:rsid w:val="00856A4E"/>
    <w:rsid w:val="00857117"/>
    <w:rsid w:val="008577D4"/>
    <w:rsid w:val="00857E4A"/>
    <w:rsid w:val="008606CD"/>
    <w:rsid w:val="00861049"/>
    <w:rsid w:val="008636FA"/>
    <w:rsid w:val="0086375A"/>
    <w:rsid w:val="008669CD"/>
    <w:rsid w:val="00867043"/>
    <w:rsid w:val="00867580"/>
    <w:rsid w:val="00871353"/>
    <w:rsid w:val="00871F56"/>
    <w:rsid w:val="00872CCB"/>
    <w:rsid w:val="008753D6"/>
    <w:rsid w:val="00876330"/>
    <w:rsid w:val="0087744C"/>
    <w:rsid w:val="00884466"/>
    <w:rsid w:val="0088646D"/>
    <w:rsid w:val="00886F2A"/>
    <w:rsid w:val="008870B3"/>
    <w:rsid w:val="00890067"/>
    <w:rsid w:val="0089118C"/>
    <w:rsid w:val="008912B9"/>
    <w:rsid w:val="008923D7"/>
    <w:rsid w:val="0089301D"/>
    <w:rsid w:val="00893A4C"/>
    <w:rsid w:val="008948E3"/>
    <w:rsid w:val="00895235"/>
    <w:rsid w:val="008961A4"/>
    <w:rsid w:val="00896A99"/>
    <w:rsid w:val="00896EFF"/>
    <w:rsid w:val="008971F2"/>
    <w:rsid w:val="0089760C"/>
    <w:rsid w:val="008A0669"/>
    <w:rsid w:val="008A0DD2"/>
    <w:rsid w:val="008A1053"/>
    <w:rsid w:val="008A33E1"/>
    <w:rsid w:val="008A49CE"/>
    <w:rsid w:val="008A508B"/>
    <w:rsid w:val="008A5224"/>
    <w:rsid w:val="008A5E2C"/>
    <w:rsid w:val="008A5E6D"/>
    <w:rsid w:val="008A5E85"/>
    <w:rsid w:val="008B0864"/>
    <w:rsid w:val="008B30DF"/>
    <w:rsid w:val="008B45F9"/>
    <w:rsid w:val="008B5A24"/>
    <w:rsid w:val="008C1257"/>
    <w:rsid w:val="008C50CE"/>
    <w:rsid w:val="008C553E"/>
    <w:rsid w:val="008D1621"/>
    <w:rsid w:val="008D1E42"/>
    <w:rsid w:val="008D274A"/>
    <w:rsid w:val="008D2871"/>
    <w:rsid w:val="008D36DF"/>
    <w:rsid w:val="008D433F"/>
    <w:rsid w:val="008D74AD"/>
    <w:rsid w:val="008E11F9"/>
    <w:rsid w:val="008E5898"/>
    <w:rsid w:val="008E6612"/>
    <w:rsid w:val="008E69C1"/>
    <w:rsid w:val="008E77CC"/>
    <w:rsid w:val="008F0EAB"/>
    <w:rsid w:val="008F25AD"/>
    <w:rsid w:val="008F2634"/>
    <w:rsid w:val="008F3E99"/>
    <w:rsid w:val="008F4831"/>
    <w:rsid w:val="008F4E21"/>
    <w:rsid w:val="008F74B9"/>
    <w:rsid w:val="008F79A6"/>
    <w:rsid w:val="008F7F85"/>
    <w:rsid w:val="00900BB6"/>
    <w:rsid w:val="00902915"/>
    <w:rsid w:val="00903252"/>
    <w:rsid w:val="00903472"/>
    <w:rsid w:val="009072B8"/>
    <w:rsid w:val="00907ACB"/>
    <w:rsid w:val="0091048D"/>
    <w:rsid w:val="009110D4"/>
    <w:rsid w:val="00911FA7"/>
    <w:rsid w:val="009134A8"/>
    <w:rsid w:val="0091437B"/>
    <w:rsid w:val="00914603"/>
    <w:rsid w:val="009154BA"/>
    <w:rsid w:val="009167EE"/>
    <w:rsid w:val="009172AD"/>
    <w:rsid w:val="00924620"/>
    <w:rsid w:val="00926644"/>
    <w:rsid w:val="0093049A"/>
    <w:rsid w:val="009332D4"/>
    <w:rsid w:val="00933AF3"/>
    <w:rsid w:val="009353F7"/>
    <w:rsid w:val="00935661"/>
    <w:rsid w:val="0093581B"/>
    <w:rsid w:val="00940A78"/>
    <w:rsid w:val="00942592"/>
    <w:rsid w:val="0094285A"/>
    <w:rsid w:val="009433FB"/>
    <w:rsid w:val="0094546D"/>
    <w:rsid w:val="0094679B"/>
    <w:rsid w:val="00947282"/>
    <w:rsid w:val="00950C85"/>
    <w:rsid w:val="00952273"/>
    <w:rsid w:val="00952864"/>
    <w:rsid w:val="00952DD8"/>
    <w:rsid w:val="009539F6"/>
    <w:rsid w:val="00953BC4"/>
    <w:rsid w:val="0095404E"/>
    <w:rsid w:val="009548F5"/>
    <w:rsid w:val="00954DCD"/>
    <w:rsid w:val="00955080"/>
    <w:rsid w:val="009562AE"/>
    <w:rsid w:val="00961DF2"/>
    <w:rsid w:val="00962181"/>
    <w:rsid w:val="00963335"/>
    <w:rsid w:val="00963B75"/>
    <w:rsid w:val="009665EB"/>
    <w:rsid w:val="00966AD5"/>
    <w:rsid w:val="009670F5"/>
    <w:rsid w:val="0096778D"/>
    <w:rsid w:val="00970547"/>
    <w:rsid w:val="009708D8"/>
    <w:rsid w:val="00971728"/>
    <w:rsid w:val="00971BA0"/>
    <w:rsid w:val="0097376E"/>
    <w:rsid w:val="009738FF"/>
    <w:rsid w:val="009744A7"/>
    <w:rsid w:val="0097485F"/>
    <w:rsid w:val="009762DC"/>
    <w:rsid w:val="00976797"/>
    <w:rsid w:val="00977259"/>
    <w:rsid w:val="0098030B"/>
    <w:rsid w:val="00980393"/>
    <w:rsid w:val="00981DA9"/>
    <w:rsid w:val="00983515"/>
    <w:rsid w:val="009841CF"/>
    <w:rsid w:val="00986034"/>
    <w:rsid w:val="0098665D"/>
    <w:rsid w:val="00987D63"/>
    <w:rsid w:val="00993B26"/>
    <w:rsid w:val="00993E1A"/>
    <w:rsid w:val="00993FE5"/>
    <w:rsid w:val="00995F99"/>
    <w:rsid w:val="009972C2"/>
    <w:rsid w:val="00997FF7"/>
    <w:rsid w:val="009A0EA9"/>
    <w:rsid w:val="009A19B0"/>
    <w:rsid w:val="009A2701"/>
    <w:rsid w:val="009A2A0A"/>
    <w:rsid w:val="009A2C21"/>
    <w:rsid w:val="009A3C86"/>
    <w:rsid w:val="009A437C"/>
    <w:rsid w:val="009A500C"/>
    <w:rsid w:val="009A56BD"/>
    <w:rsid w:val="009B2366"/>
    <w:rsid w:val="009B32E0"/>
    <w:rsid w:val="009B38E0"/>
    <w:rsid w:val="009B3AE3"/>
    <w:rsid w:val="009B5B6F"/>
    <w:rsid w:val="009B5F9A"/>
    <w:rsid w:val="009B6AF1"/>
    <w:rsid w:val="009B78D8"/>
    <w:rsid w:val="009B7CB7"/>
    <w:rsid w:val="009C0435"/>
    <w:rsid w:val="009C1209"/>
    <w:rsid w:val="009C1E2E"/>
    <w:rsid w:val="009C22D6"/>
    <w:rsid w:val="009C2B6D"/>
    <w:rsid w:val="009C3485"/>
    <w:rsid w:val="009D0F2B"/>
    <w:rsid w:val="009D24C7"/>
    <w:rsid w:val="009D312A"/>
    <w:rsid w:val="009D4B38"/>
    <w:rsid w:val="009D501E"/>
    <w:rsid w:val="009D56B1"/>
    <w:rsid w:val="009E0BC7"/>
    <w:rsid w:val="009E0BF0"/>
    <w:rsid w:val="009E1E82"/>
    <w:rsid w:val="009E1F62"/>
    <w:rsid w:val="009E3DFC"/>
    <w:rsid w:val="009E4BD9"/>
    <w:rsid w:val="009E65EE"/>
    <w:rsid w:val="009E65FD"/>
    <w:rsid w:val="009E7891"/>
    <w:rsid w:val="009F2240"/>
    <w:rsid w:val="009F334C"/>
    <w:rsid w:val="009F3753"/>
    <w:rsid w:val="009F5615"/>
    <w:rsid w:val="009F5FF6"/>
    <w:rsid w:val="009F64FC"/>
    <w:rsid w:val="009F6D37"/>
    <w:rsid w:val="009F6FFF"/>
    <w:rsid w:val="009F7B10"/>
    <w:rsid w:val="00A0160C"/>
    <w:rsid w:val="00A019CD"/>
    <w:rsid w:val="00A035DD"/>
    <w:rsid w:val="00A0497F"/>
    <w:rsid w:val="00A05536"/>
    <w:rsid w:val="00A06EE3"/>
    <w:rsid w:val="00A079B1"/>
    <w:rsid w:val="00A13C77"/>
    <w:rsid w:val="00A14D48"/>
    <w:rsid w:val="00A14D9F"/>
    <w:rsid w:val="00A15C02"/>
    <w:rsid w:val="00A15CAF"/>
    <w:rsid w:val="00A165E0"/>
    <w:rsid w:val="00A1716F"/>
    <w:rsid w:val="00A2042B"/>
    <w:rsid w:val="00A22135"/>
    <w:rsid w:val="00A226A9"/>
    <w:rsid w:val="00A251E4"/>
    <w:rsid w:val="00A2644E"/>
    <w:rsid w:val="00A27AC4"/>
    <w:rsid w:val="00A30812"/>
    <w:rsid w:val="00A30910"/>
    <w:rsid w:val="00A30FED"/>
    <w:rsid w:val="00A31894"/>
    <w:rsid w:val="00A33052"/>
    <w:rsid w:val="00A33341"/>
    <w:rsid w:val="00A33653"/>
    <w:rsid w:val="00A336E0"/>
    <w:rsid w:val="00A341B8"/>
    <w:rsid w:val="00A34DAA"/>
    <w:rsid w:val="00A35E26"/>
    <w:rsid w:val="00A368F8"/>
    <w:rsid w:val="00A3737F"/>
    <w:rsid w:val="00A37858"/>
    <w:rsid w:val="00A40D51"/>
    <w:rsid w:val="00A41610"/>
    <w:rsid w:val="00A41654"/>
    <w:rsid w:val="00A421B4"/>
    <w:rsid w:val="00A43BA4"/>
    <w:rsid w:val="00A447A4"/>
    <w:rsid w:val="00A454A2"/>
    <w:rsid w:val="00A4795E"/>
    <w:rsid w:val="00A47B89"/>
    <w:rsid w:val="00A500D2"/>
    <w:rsid w:val="00A5020F"/>
    <w:rsid w:val="00A50530"/>
    <w:rsid w:val="00A507DE"/>
    <w:rsid w:val="00A51624"/>
    <w:rsid w:val="00A53C5B"/>
    <w:rsid w:val="00A54A70"/>
    <w:rsid w:val="00A5751E"/>
    <w:rsid w:val="00A61136"/>
    <w:rsid w:val="00A61A8A"/>
    <w:rsid w:val="00A6238D"/>
    <w:rsid w:val="00A62AAD"/>
    <w:rsid w:val="00A62CFE"/>
    <w:rsid w:val="00A63957"/>
    <w:rsid w:val="00A63974"/>
    <w:rsid w:val="00A65905"/>
    <w:rsid w:val="00A674A6"/>
    <w:rsid w:val="00A70397"/>
    <w:rsid w:val="00A73CB6"/>
    <w:rsid w:val="00A77E56"/>
    <w:rsid w:val="00A827CE"/>
    <w:rsid w:val="00A833F5"/>
    <w:rsid w:val="00A836CB"/>
    <w:rsid w:val="00A83B9F"/>
    <w:rsid w:val="00A84754"/>
    <w:rsid w:val="00A855E5"/>
    <w:rsid w:val="00A86BF5"/>
    <w:rsid w:val="00A87556"/>
    <w:rsid w:val="00A903E9"/>
    <w:rsid w:val="00A9187C"/>
    <w:rsid w:val="00A92039"/>
    <w:rsid w:val="00A92126"/>
    <w:rsid w:val="00A92154"/>
    <w:rsid w:val="00A924A1"/>
    <w:rsid w:val="00A94273"/>
    <w:rsid w:val="00A95E6C"/>
    <w:rsid w:val="00A95F51"/>
    <w:rsid w:val="00A961F9"/>
    <w:rsid w:val="00A963BA"/>
    <w:rsid w:val="00AA202B"/>
    <w:rsid w:val="00AA2958"/>
    <w:rsid w:val="00AA2A92"/>
    <w:rsid w:val="00AA5046"/>
    <w:rsid w:val="00AA5C29"/>
    <w:rsid w:val="00AA6D7F"/>
    <w:rsid w:val="00AB0983"/>
    <w:rsid w:val="00AB315B"/>
    <w:rsid w:val="00AB3FA2"/>
    <w:rsid w:val="00AB48DF"/>
    <w:rsid w:val="00AB6EFD"/>
    <w:rsid w:val="00AC0F3A"/>
    <w:rsid w:val="00AC1773"/>
    <w:rsid w:val="00AC344F"/>
    <w:rsid w:val="00AC5CEF"/>
    <w:rsid w:val="00AC717C"/>
    <w:rsid w:val="00AD08E6"/>
    <w:rsid w:val="00AD0A9C"/>
    <w:rsid w:val="00AD0EF8"/>
    <w:rsid w:val="00AD1423"/>
    <w:rsid w:val="00AD19D4"/>
    <w:rsid w:val="00AD2D2F"/>
    <w:rsid w:val="00AD37F6"/>
    <w:rsid w:val="00AD3F25"/>
    <w:rsid w:val="00AD5699"/>
    <w:rsid w:val="00AD787D"/>
    <w:rsid w:val="00AE3E12"/>
    <w:rsid w:val="00AE7717"/>
    <w:rsid w:val="00AF000F"/>
    <w:rsid w:val="00AF0580"/>
    <w:rsid w:val="00AF0A76"/>
    <w:rsid w:val="00AF2369"/>
    <w:rsid w:val="00AF333C"/>
    <w:rsid w:val="00AF5229"/>
    <w:rsid w:val="00AF52B6"/>
    <w:rsid w:val="00B000FD"/>
    <w:rsid w:val="00B01071"/>
    <w:rsid w:val="00B01474"/>
    <w:rsid w:val="00B02740"/>
    <w:rsid w:val="00B027E5"/>
    <w:rsid w:val="00B03A46"/>
    <w:rsid w:val="00B06640"/>
    <w:rsid w:val="00B06A64"/>
    <w:rsid w:val="00B0714D"/>
    <w:rsid w:val="00B07238"/>
    <w:rsid w:val="00B075A1"/>
    <w:rsid w:val="00B10312"/>
    <w:rsid w:val="00B116E9"/>
    <w:rsid w:val="00B12084"/>
    <w:rsid w:val="00B124C9"/>
    <w:rsid w:val="00B13A73"/>
    <w:rsid w:val="00B146D8"/>
    <w:rsid w:val="00B1497E"/>
    <w:rsid w:val="00B14A3B"/>
    <w:rsid w:val="00B14A7E"/>
    <w:rsid w:val="00B21C4D"/>
    <w:rsid w:val="00B220AE"/>
    <w:rsid w:val="00B22DA1"/>
    <w:rsid w:val="00B24371"/>
    <w:rsid w:val="00B24DDF"/>
    <w:rsid w:val="00B2599A"/>
    <w:rsid w:val="00B263CD"/>
    <w:rsid w:val="00B272F1"/>
    <w:rsid w:val="00B307E2"/>
    <w:rsid w:val="00B31707"/>
    <w:rsid w:val="00B32288"/>
    <w:rsid w:val="00B33AB0"/>
    <w:rsid w:val="00B3429E"/>
    <w:rsid w:val="00B41A8A"/>
    <w:rsid w:val="00B43AE0"/>
    <w:rsid w:val="00B4459A"/>
    <w:rsid w:val="00B44A6F"/>
    <w:rsid w:val="00B452CA"/>
    <w:rsid w:val="00B4654C"/>
    <w:rsid w:val="00B4663F"/>
    <w:rsid w:val="00B47253"/>
    <w:rsid w:val="00B479FF"/>
    <w:rsid w:val="00B50B45"/>
    <w:rsid w:val="00B54B0E"/>
    <w:rsid w:val="00B55482"/>
    <w:rsid w:val="00B55BAC"/>
    <w:rsid w:val="00B5653D"/>
    <w:rsid w:val="00B56649"/>
    <w:rsid w:val="00B60CE2"/>
    <w:rsid w:val="00B60E3C"/>
    <w:rsid w:val="00B633C9"/>
    <w:rsid w:val="00B63F58"/>
    <w:rsid w:val="00B642B2"/>
    <w:rsid w:val="00B67004"/>
    <w:rsid w:val="00B6725D"/>
    <w:rsid w:val="00B67918"/>
    <w:rsid w:val="00B704F6"/>
    <w:rsid w:val="00B715C2"/>
    <w:rsid w:val="00B72257"/>
    <w:rsid w:val="00B72DB5"/>
    <w:rsid w:val="00B76C26"/>
    <w:rsid w:val="00B76E6A"/>
    <w:rsid w:val="00B77059"/>
    <w:rsid w:val="00B77CE3"/>
    <w:rsid w:val="00B814FC"/>
    <w:rsid w:val="00B82B74"/>
    <w:rsid w:val="00B8620B"/>
    <w:rsid w:val="00B86634"/>
    <w:rsid w:val="00B90323"/>
    <w:rsid w:val="00B91F04"/>
    <w:rsid w:val="00B941C6"/>
    <w:rsid w:val="00B959D7"/>
    <w:rsid w:val="00B97584"/>
    <w:rsid w:val="00BA04FD"/>
    <w:rsid w:val="00BA176F"/>
    <w:rsid w:val="00BA2D16"/>
    <w:rsid w:val="00BA384B"/>
    <w:rsid w:val="00BA42E8"/>
    <w:rsid w:val="00BA4537"/>
    <w:rsid w:val="00BA5686"/>
    <w:rsid w:val="00BA7D79"/>
    <w:rsid w:val="00BB141F"/>
    <w:rsid w:val="00BB353D"/>
    <w:rsid w:val="00BB58D1"/>
    <w:rsid w:val="00BB5D19"/>
    <w:rsid w:val="00BB60AA"/>
    <w:rsid w:val="00BB7AFA"/>
    <w:rsid w:val="00BC043A"/>
    <w:rsid w:val="00BC6E93"/>
    <w:rsid w:val="00BC76D8"/>
    <w:rsid w:val="00BC7A88"/>
    <w:rsid w:val="00BD09BE"/>
    <w:rsid w:val="00BD0FB0"/>
    <w:rsid w:val="00BD13B7"/>
    <w:rsid w:val="00BD3CDC"/>
    <w:rsid w:val="00BD3D36"/>
    <w:rsid w:val="00BD3FB3"/>
    <w:rsid w:val="00BD4F1A"/>
    <w:rsid w:val="00BD6069"/>
    <w:rsid w:val="00BE075A"/>
    <w:rsid w:val="00BE0EBB"/>
    <w:rsid w:val="00BE1426"/>
    <w:rsid w:val="00BE391A"/>
    <w:rsid w:val="00BE7DF6"/>
    <w:rsid w:val="00BF186C"/>
    <w:rsid w:val="00BF1B16"/>
    <w:rsid w:val="00BF1BD1"/>
    <w:rsid w:val="00BF36C4"/>
    <w:rsid w:val="00BF501C"/>
    <w:rsid w:val="00BF6725"/>
    <w:rsid w:val="00C002C0"/>
    <w:rsid w:val="00C008E7"/>
    <w:rsid w:val="00C01F99"/>
    <w:rsid w:val="00C032BB"/>
    <w:rsid w:val="00C03DC4"/>
    <w:rsid w:val="00C055CF"/>
    <w:rsid w:val="00C06D09"/>
    <w:rsid w:val="00C07790"/>
    <w:rsid w:val="00C10236"/>
    <w:rsid w:val="00C1072E"/>
    <w:rsid w:val="00C11CF1"/>
    <w:rsid w:val="00C1393B"/>
    <w:rsid w:val="00C15D03"/>
    <w:rsid w:val="00C15D2F"/>
    <w:rsid w:val="00C16F0B"/>
    <w:rsid w:val="00C171A4"/>
    <w:rsid w:val="00C20AE1"/>
    <w:rsid w:val="00C2189A"/>
    <w:rsid w:val="00C22C94"/>
    <w:rsid w:val="00C24734"/>
    <w:rsid w:val="00C248D8"/>
    <w:rsid w:val="00C35BBC"/>
    <w:rsid w:val="00C4059A"/>
    <w:rsid w:val="00C409F2"/>
    <w:rsid w:val="00C4549A"/>
    <w:rsid w:val="00C4557B"/>
    <w:rsid w:val="00C456C1"/>
    <w:rsid w:val="00C469E6"/>
    <w:rsid w:val="00C502FE"/>
    <w:rsid w:val="00C51E5B"/>
    <w:rsid w:val="00C575E3"/>
    <w:rsid w:val="00C61D0B"/>
    <w:rsid w:val="00C64C28"/>
    <w:rsid w:val="00C659AF"/>
    <w:rsid w:val="00C659F5"/>
    <w:rsid w:val="00C678CC"/>
    <w:rsid w:val="00C67A47"/>
    <w:rsid w:val="00C70E80"/>
    <w:rsid w:val="00C740A0"/>
    <w:rsid w:val="00C74D2F"/>
    <w:rsid w:val="00C77F4A"/>
    <w:rsid w:val="00C80150"/>
    <w:rsid w:val="00C803F3"/>
    <w:rsid w:val="00C81653"/>
    <w:rsid w:val="00C816BE"/>
    <w:rsid w:val="00C817E6"/>
    <w:rsid w:val="00C81BE9"/>
    <w:rsid w:val="00C81D4A"/>
    <w:rsid w:val="00C81D82"/>
    <w:rsid w:val="00C83882"/>
    <w:rsid w:val="00C84668"/>
    <w:rsid w:val="00C867E9"/>
    <w:rsid w:val="00C86E0B"/>
    <w:rsid w:val="00C903F9"/>
    <w:rsid w:val="00C918A6"/>
    <w:rsid w:val="00C91AD9"/>
    <w:rsid w:val="00C91EC7"/>
    <w:rsid w:val="00C923F5"/>
    <w:rsid w:val="00C9450D"/>
    <w:rsid w:val="00C96421"/>
    <w:rsid w:val="00C96646"/>
    <w:rsid w:val="00CA0D53"/>
    <w:rsid w:val="00CA1494"/>
    <w:rsid w:val="00CA1DA1"/>
    <w:rsid w:val="00CA35A8"/>
    <w:rsid w:val="00CA4128"/>
    <w:rsid w:val="00CA530A"/>
    <w:rsid w:val="00CB035B"/>
    <w:rsid w:val="00CB0F15"/>
    <w:rsid w:val="00CB309C"/>
    <w:rsid w:val="00CB5671"/>
    <w:rsid w:val="00CB582D"/>
    <w:rsid w:val="00CB5D94"/>
    <w:rsid w:val="00CB7C12"/>
    <w:rsid w:val="00CB7CCC"/>
    <w:rsid w:val="00CB7D8D"/>
    <w:rsid w:val="00CC1ABC"/>
    <w:rsid w:val="00CC3F65"/>
    <w:rsid w:val="00CC4A8E"/>
    <w:rsid w:val="00CC7154"/>
    <w:rsid w:val="00CD042D"/>
    <w:rsid w:val="00CD0488"/>
    <w:rsid w:val="00CD04EE"/>
    <w:rsid w:val="00CD1520"/>
    <w:rsid w:val="00CD1B49"/>
    <w:rsid w:val="00CD2709"/>
    <w:rsid w:val="00CD314C"/>
    <w:rsid w:val="00CD3343"/>
    <w:rsid w:val="00CD38CF"/>
    <w:rsid w:val="00CD4CF9"/>
    <w:rsid w:val="00CD5DB2"/>
    <w:rsid w:val="00CD626D"/>
    <w:rsid w:val="00CD67AD"/>
    <w:rsid w:val="00CE00E8"/>
    <w:rsid w:val="00CE1100"/>
    <w:rsid w:val="00CE1281"/>
    <w:rsid w:val="00CE15E3"/>
    <w:rsid w:val="00CE1655"/>
    <w:rsid w:val="00CE1902"/>
    <w:rsid w:val="00CE2468"/>
    <w:rsid w:val="00CE2671"/>
    <w:rsid w:val="00CE26C6"/>
    <w:rsid w:val="00CE334B"/>
    <w:rsid w:val="00CE3E0F"/>
    <w:rsid w:val="00CE6996"/>
    <w:rsid w:val="00CE7F8B"/>
    <w:rsid w:val="00CF058F"/>
    <w:rsid w:val="00CF1756"/>
    <w:rsid w:val="00CF3295"/>
    <w:rsid w:val="00CF357A"/>
    <w:rsid w:val="00CF625A"/>
    <w:rsid w:val="00CF7500"/>
    <w:rsid w:val="00CF7CB5"/>
    <w:rsid w:val="00D006EA"/>
    <w:rsid w:val="00D00EF2"/>
    <w:rsid w:val="00D0126F"/>
    <w:rsid w:val="00D015B7"/>
    <w:rsid w:val="00D02C79"/>
    <w:rsid w:val="00D03B7E"/>
    <w:rsid w:val="00D042C6"/>
    <w:rsid w:val="00D0549F"/>
    <w:rsid w:val="00D1040E"/>
    <w:rsid w:val="00D10C64"/>
    <w:rsid w:val="00D11492"/>
    <w:rsid w:val="00D11985"/>
    <w:rsid w:val="00D11B75"/>
    <w:rsid w:val="00D137A3"/>
    <w:rsid w:val="00D1578E"/>
    <w:rsid w:val="00D15E45"/>
    <w:rsid w:val="00D15F71"/>
    <w:rsid w:val="00D16530"/>
    <w:rsid w:val="00D174A8"/>
    <w:rsid w:val="00D207A4"/>
    <w:rsid w:val="00D22148"/>
    <w:rsid w:val="00D22BB1"/>
    <w:rsid w:val="00D22C01"/>
    <w:rsid w:val="00D24A0B"/>
    <w:rsid w:val="00D25464"/>
    <w:rsid w:val="00D25711"/>
    <w:rsid w:val="00D25902"/>
    <w:rsid w:val="00D26014"/>
    <w:rsid w:val="00D26BFD"/>
    <w:rsid w:val="00D277A6"/>
    <w:rsid w:val="00D27D63"/>
    <w:rsid w:val="00D30238"/>
    <w:rsid w:val="00D31349"/>
    <w:rsid w:val="00D34949"/>
    <w:rsid w:val="00D349F7"/>
    <w:rsid w:val="00D361DF"/>
    <w:rsid w:val="00D37F45"/>
    <w:rsid w:val="00D409A8"/>
    <w:rsid w:val="00D411E7"/>
    <w:rsid w:val="00D41338"/>
    <w:rsid w:val="00D414C3"/>
    <w:rsid w:val="00D419EC"/>
    <w:rsid w:val="00D44CCC"/>
    <w:rsid w:val="00D44FB5"/>
    <w:rsid w:val="00D45CCD"/>
    <w:rsid w:val="00D45DE2"/>
    <w:rsid w:val="00D52E2A"/>
    <w:rsid w:val="00D545CB"/>
    <w:rsid w:val="00D5622C"/>
    <w:rsid w:val="00D57CCF"/>
    <w:rsid w:val="00D60EA1"/>
    <w:rsid w:val="00D610EA"/>
    <w:rsid w:val="00D6159D"/>
    <w:rsid w:val="00D62FD6"/>
    <w:rsid w:val="00D652F1"/>
    <w:rsid w:val="00D7085B"/>
    <w:rsid w:val="00D70DF1"/>
    <w:rsid w:val="00D71473"/>
    <w:rsid w:val="00D7289D"/>
    <w:rsid w:val="00D758BF"/>
    <w:rsid w:val="00D77A84"/>
    <w:rsid w:val="00D821F0"/>
    <w:rsid w:val="00D82E0A"/>
    <w:rsid w:val="00D83C8E"/>
    <w:rsid w:val="00D855C7"/>
    <w:rsid w:val="00D85675"/>
    <w:rsid w:val="00D86212"/>
    <w:rsid w:val="00D87BA7"/>
    <w:rsid w:val="00D90423"/>
    <w:rsid w:val="00D908BE"/>
    <w:rsid w:val="00D90B93"/>
    <w:rsid w:val="00D90C87"/>
    <w:rsid w:val="00D9142C"/>
    <w:rsid w:val="00D92A8E"/>
    <w:rsid w:val="00D94BC1"/>
    <w:rsid w:val="00D972D8"/>
    <w:rsid w:val="00DA00C4"/>
    <w:rsid w:val="00DA2459"/>
    <w:rsid w:val="00DA5203"/>
    <w:rsid w:val="00DA5B11"/>
    <w:rsid w:val="00DA7062"/>
    <w:rsid w:val="00DA7308"/>
    <w:rsid w:val="00DB0155"/>
    <w:rsid w:val="00DB4EB7"/>
    <w:rsid w:val="00DB4F90"/>
    <w:rsid w:val="00DB561F"/>
    <w:rsid w:val="00DC002F"/>
    <w:rsid w:val="00DC2503"/>
    <w:rsid w:val="00DC2C2D"/>
    <w:rsid w:val="00DC4187"/>
    <w:rsid w:val="00DC50B1"/>
    <w:rsid w:val="00DC50D2"/>
    <w:rsid w:val="00DC6C34"/>
    <w:rsid w:val="00DC7361"/>
    <w:rsid w:val="00DD130F"/>
    <w:rsid w:val="00DD1E48"/>
    <w:rsid w:val="00DD2D16"/>
    <w:rsid w:val="00DD41F4"/>
    <w:rsid w:val="00DD7FDD"/>
    <w:rsid w:val="00DE0272"/>
    <w:rsid w:val="00DE0A1B"/>
    <w:rsid w:val="00DE1FE7"/>
    <w:rsid w:val="00DE2408"/>
    <w:rsid w:val="00DE255E"/>
    <w:rsid w:val="00DE3BB1"/>
    <w:rsid w:val="00DE5D9C"/>
    <w:rsid w:val="00DE75BA"/>
    <w:rsid w:val="00DF0406"/>
    <w:rsid w:val="00DF159C"/>
    <w:rsid w:val="00DF1E4E"/>
    <w:rsid w:val="00DF3B61"/>
    <w:rsid w:val="00DF4C42"/>
    <w:rsid w:val="00DF510F"/>
    <w:rsid w:val="00DF5183"/>
    <w:rsid w:val="00DF6517"/>
    <w:rsid w:val="00DF6704"/>
    <w:rsid w:val="00DF7480"/>
    <w:rsid w:val="00DF7FF1"/>
    <w:rsid w:val="00E00A05"/>
    <w:rsid w:val="00E029D5"/>
    <w:rsid w:val="00E06669"/>
    <w:rsid w:val="00E10091"/>
    <w:rsid w:val="00E10D2B"/>
    <w:rsid w:val="00E118BF"/>
    <w:rsid w:val="00E11C2B"/>
    <w:rsid w:val="00E11EDF"/>
    <w:rsid w:val="00E16F0D"/>
    <w:rsid w:val="00E1714B"/>
    <w:rsid w:val="00E17B8E"/>
    <w:rsid w:val="00E21B23"/>
    <w:rsid w:val="00E22518"/>
    <w:rsid w:val="00E22D7C"/>
    <w:rsid w:val="00E275F2"/>
    <w:rsid w:val="00E31C2D"/>
    <w:rsid w:val="00E33CD3"/>
    <w:rsid w:val="00E34177"/>
    <w:rsid w:val="00E352E9"/>
    <w:rsid w:val="00E37443"/>
    <w:rsid w:val="00E3785A"/>
    <w:rsid w:val="00E409D8"/>
    <w:rsid w:val="00E41EA3"/>
    <w:rsid w:val="00E423B9"/>
    <w:rsid w:val="00E4295F"/>
    <w:rsid w:val="00E455DC"/>
    <w:rsid w:val="00E46519"/>
    <w:rsid w:val="00E50579"/>
    <w:rsid w:val="00E50B0B"/>
    <w:rsid w:val="00E51463"/>
    <w:rsid w:val="00E51DD4"/>
    <w:rsid w:val="00E52952"/>
    <w:rsid w:val="00E5379E"/>
    <w:rsid w:val="00E5412F"/>
    <w:rsid w:val="00E5628E"/>
    <w:rsid w:val="00E619D6"/>
    <w:rsid w:val="00E61EC0"/>
    <w:rsid w:val="00E630B0"/>
    <w:rsid w:val="00E64366"/>
    <w:rsid w:val="00E65BB7"/>
    <w:rsid w:val="00E66545"/>
    <w:rsid w:val="00E66EFD"/>
    <w:rsid w:val="00E671EA"/>
    <w:rsid w:val="00E67AA3"/>
    <w:rsid w:val="00E67C5A"/>
    <w:rsid w:val="00E67CD9"/>
    <w:rsid w:val="00E719B9"/>
    <w:rsid w:val="00E7265E"/>
    <w:rsid w:val="00E7521B"/>
    <w:rsid w:val="00E77319"/>
    <w:rsid w:val="00E7774B"/>
    <w:rsid w:val="00E80022"/>
    <w:rsid w:val="00E802A5"/>
    <w:rsid w:val="00E80A28"/>
    <w:rsid w:val="00E849B5"/>
    <w:rsid w:val="00E85AE3"/>
    <w:rsid w:val="00E90B49"/>
    <w:rsid w:val="00E9119F"/>
    <w:rsid w:val="00E915B9"/>
    <w:rsid w:val="00E916F7"/>
    <w:rsid w:val="00E93F0B"/>
    <w:rsid w:val="00E940FE"/>
    <w:rsid w:val="00E94144"/>
    <w:rsid w:val="00E95B48"/>
    <w:rsid w:val="00EA0CE7"/>
    <w:rsid w:val="00EA1905"/>
    <w:rsid w:val="00EA565F"/>
    <w:rsid w:val="00EA6D90"/>
    <w:rsid w:val="00EA725A"/>
    <w:rsid w:val="00EA7A94"/>
    <w:rsid w:val="00EB0523"/>
    <w:rsid w:val="00EB265E"/>
    <w:rsid w:val="00EB26EE"/>
    <w:rsid w:val="00EB2C61"/>
    <w:rsid w:val="00EB308C"/>
    <w:rsid w:val="00EB3938"/>
    <w:rsid w:val="00EB4702"/>
    <w:rsid w:val="00EB7ED9"/>
    <w:rsid w:val="00EC5D3B"/>
    <w:rsid w:val="00ED069C"/>
    <w:rsid w:val="00ED1DAB"/>
    <w:rsid w:val="00ED3A8D"/>
    <w:rsid w:val="00ED530B"/>
    <w:rsid w:val="00ED5F92"/>
    <w:rsid w:val="00ED6940"/>
    <w:rsid w:val="00EE3568"/>
    <w:rsid w:val="00EE6072"/>
    <w:rsid w:val="00EE69B2"/>
    <w:rsid w:val="00EE74EC"/>
    <w:rsid w:val="00EE7E7D"/>
    <w:rsid w:val="00EF128E"/>
    <w:rsid w:val="00EF28DF"/>
    <w:rsid w:val="00EF35A5"/>
    <w:rsid w:val="00EF4449"/>
    <w:rsid w:val="00EF4638"/>
    <w:rsid w:val="00EF594C"/>
    <w:rsid w:val="00EF6E3A"/>
    <w:rsid w:val="00EF71D9"/>
    <w:rsid w:val="00F0126C"/>
    <w:rsid w:val="00F01395"/>
    <w:rsid w:val="00F0252C"/>
    <w:rsid w:val="00F0330C"/>
    <w:rsid w:val="00F03C7F"/>
    <w:rsid w:val="00F040A9"/>
    <w:rsid w:val="00F1247C"/>
    <w:rsid w:val="00F16FAC"/>
    <w:rsid w:val="00F17892"/>
    <w:rsid w:val="00F21B4F"/>
    <w:rsid w:val="00F21E29"/>
    <w:rsid w:val="00F2295A"/>
    <w:rsid w:val="00F23AF9"/>
    <w:rsid w:val="00F23BD3"/>
    <w:rsid w:val="00F2406E"/>
    <w:rsid w:val="00F2444A"/>
    <w:rsid w:val="00F25B2E"/>
    <w:rsid w:val="00F25D94"/>
    <w:rsid w:val="00F269F0"/>
    <w:rsid w:val="00F27713"/>
    <w:rsid w:val="00F27D99"/>
    <w:rsid w:val="00F32E32"/>
    <w:rsid w:val="00F33495"/>
    <w:rsid w:val="00F33717"/>
    <w:rsid w:val="00F3509B"/>
    <w:rsid w:val="00F356EE"/>
    <w:rsid w:val="00F370FE"/>
    <w:rsid w:val="00F40180"/>
    <w:rsid w:val="00F422C2"/>
    <w:rsid w:val="00F439C9"/>
    <w:rsid w:val="00F4480D"/>
    <w:rsid w:val="00F44F9A"/>
    <w:rsid w:val="00F47652"/>
    <w:rsid w:val="00F51990"/>
    <w:rsid w:val="00F52558"/>
    <w:rsid w:val="00F52AB7"/>
    <w:rsid w:val="00F54414"/>
    <w:rsid w:val="00F552C7"/>
    <w:rsid w:val="00F560ED"/>
    <w:rsid w:val="00F60DA1"/>
    <w:rsid w:val="00F61874"/>
    <w:rsid w:val="00F61ABE"/>
    <w:rsid w:val="00F66990"/>
    <w:rsid w:val="00F67311"/>
    <w:rsid w:val="00F76364"/>
    <w:rsid w:val="00F7767F"/>
    <w:rsid w:val="00F777A6"/>
    <w:rsid w:val="00F802A9"/>
    <w:rsid w:val="00F811FD"/>
    <w:rsid w:val="00F8319C"/>
    <w:rsid w:val="00F84C6D"/>
    <w:rsid w:val="00F86D35"/>
    <w:rsid w:val="00F90B74"/>
    <w:rsid w:val="00F9184F"/>
    <w:rsid w:val="00F93298"/>
    <w:rsid w:val="00F94DBC"/>
    <w:rsid w:val="00F94EFB"/>
    <w:rsid w:val="00F95E13"/>
    <w:rsid w:val="00F97244"/>
    <w:rsid w:val="00FA0839"/>
    <w:rsid w:val="00FA0D93"/>
    <w:rsid w:val="00FA6811"/>
    <w:rsid w:val="00FA6952"/>
    <w:rsid w:val="00FA7E5D"/>
    <w:rsid w:val="00FB0AFF"/>
    <w:rsid w:val="00FB34B3"/>
    <w:rsid w:val="00FB3997"/>
    <w:rsid w:val="00FB3A9A"/>
    <w:rsid w:val="00FB4181"/>
    <w:rsid w:val="00FB6259"/>
    <w:rsid w:val="00FB6ED6"/>
    <w:rsid w:val="00FC141F"/>
    <w:rsid w:val="00FC4DCD"/>
    <w:rsid w:val="00FC4F7E"/>
    <w:rsid w:val="00FC660A"/>
    <w:rsid w:val="00FD014C"/>
    <w:rsid w:val="00FD0B57"/>
    <w:rsid w:val="00FD3178"/>
    <w:rsid w:val="00FD50DA"/>
    <w:rsid w:val="00FD5C5C"/>
    <w:rsid w:val="00FD7C4D"/>
    <w:rsid w:val="00FE0242"/>
    <w:rsid w:val="00FE0E36"/>
    <w:rsid w:val="00FE18DC"/>
    <w:rsid w:val="00FE1FCB"/>
    <w:rsid w:val="00FE3FF3"/>
    <w:rsid w:val="00FE4272"/>
    <w:rsid w:val="00FE429C"/>
    <w:rsid w:val="00FE53BE"/>
    <w:rsid w:val="00FE5DB4"/>
    <w:rsid w:val="00FE65AC"/>
    <w:rsid w:val="00FE72CB"/>
    <w:rsid w:val="00FF24B4"/>
    <w:rsid w:val="00FF2DF9"/>
    <w:rsid w:val="00FF3B49"/>
    <w:rsid w:val="00FF4A2C"/>
    <w:rsid w:val="00FF4B6E"/>
    <w:rsid w:val="00FF4FB6"/>
    <w:rsid w:val="00FF5123"/>
    <w:rsid w:val="00FF5A33"/>
    <w:rsid w:val="01D77569"/>
    <w:rsid w:val="022A4001"/>
    <w:rsid w:val="026D0023"/>
    <w:rsid w:val="02A20E38"/>
    <w:rsid w:val="02F045EE"/>
    <w:rsid w:val="032E71FE"/>
    <w:rsid w:val="035F6CAF"/>
    <w:rsid w:val="03BF4748"/>
    <w:rsid w:val="03D05EBF"/>
    <w:rsid w:val="043D00CF"/>
    <w:rsid w:val="045910E2"/>
    <w:rsid w:val="04604819"/>
    <w:rsid w:val="047E3AB3"/>
    <w:rsid w:val="04D96B64"/>
    <w:rsid w:val="058E0455"/>
    <w:rsid w:val="05C72CEE"/>
    <w:rsid w:val="05F16DFD"/>
    <w:rsid w:val="05F55BF1"/>
    <w:rsid w:val="06A40C6B"/>
    <w:rsid w:val="06BE7E09"/>
    <w:rsid w:val="06E038FE"/>
    <w:rsid w:val="06F35EFD"/>
    <w:rsid w:val="073C0907"/>
    <w:rsid w:val="0774466A"/>
    <w:rsid w:val="07F45F97"/>
    <w:rsid w:val="088536B7"/>
    <w:rsid w:val="08974400"/>
    <w:rsid w:val="08F85609"/>
    <w:rsid w:val="09A31878"/>
    <w:rsid w:val="0A1138DF"/>
    <w:rsid w:val="0A521CD0"/>
    <w:rsid w:val="0A526D8D"/>
    <w:rsid w:val="0A8145B2"/>
    <w:rsid w:val="0AEE5592"/>
    <w:rsid w:val="0B974740"/>
    <w:rsid w:val="0BFC5028"/>
    <w:rsid w:val="0C2C6896"/>
    <w:rsid w:val="0C4E78C1"/>
    <w:rsid w:val="0CC76A11"/>
    <w:rsid w:val="0CF1566D"/>
    <w:rsid w:val="0D892CAE"/>
    <w:rsid w:val="0DEE3A66"/>
    <w:rsid w:val="0DEF04CB"/>
    <w:rsid w:val="0DFD3C84"/>
    <w:rsid w:val="0E7A2F63"/>
    <w:rsid w:val="0EB90429"/>
    <w:rsid w:val="0EC56FF0"/>
    <w:rsid w:val="0F24364C"/>
    <w:rsid w:val="0F74265F"/>
    <w:rsid w:val="0F9376BE"/>
    <w:rsid w:val="0FCD4AA6"/>
    <w:rsid w:val="1082528D"/>
    <w:rsid w:val="10D021E4"/>
    <w:rsid w:val="10DD1BA0"/>
    <w:rsid w:val="113E296E"/>
    <w:rsid w:val="11677548"/>
    <w:rsid w:val="116A1CC6"/>
    <w:rsid w:val="11BB0793"/>
    <w:rsid w:val="121465DB"/>
    <w:rsid w:val="12227168"/>
    <w:rsid w:val="125858AE"/>
    <w:rsid w:val="12FB59CB"/>
    <w:rsid w:val="139B6D98"/>
    <w:rsid w:val="13C6329C"/>
    <w:rsid w:val="14866CB9"/>
    <w:rsid w:val="14A1498C"/>
    <w:rsid w:val="14E74CB0"/>
    <w:rsid w:val="15A43BF7"/>
    <w:rsid w:val="160A4C3C"/>
    <w:rsid w:val="173268AC"/>
    <w:rsid w:val="17A909DD"/>
    <w:rsid w:val="17B16ACD"/>
    <w:rsid w:val="180835F2"/>
    <w:rsid w:val="18132FA4"/>
    <w:rsid w:val="18345CCE"/>
    <w:rsid w:val="18CE7AAB"/>
    <w:rsid w:val="192030D9"/>
    <w:rsid w:val="19A62955"/>
    <w:rsid w:val="1A325AD9"/>
    <w:rsid w:val="1A4C535A"/>
    <w:rsid w:val="1ADB411F"/>
    <w:rsid w:val="1B1A665C"/>
    <w:rsid w:val="1B265445"/>
    <w:rsid w:val="1B313749"/>
    <w:rsid w:val="1C7F0784"/>
    <w:rsid w:val="1D18240B"/>
    <w:rsid w:val="1D9E2B2D"/>
    <w:rsid w:val="1DA07700"/>
    <w:rsid w:val="1DA56541"/>
    <w:rsid w:val="1E451EC6"/>
    <w:rsid w:val="1E683DB2"/>
    <w:rsid w:val="1F133DA7"/>
    <w:rsid w:val="1F256047"/>
    <w:rsid w:val="1F4C600E"/>
    <w:rsid w:val="1F4D0BF2"/>
    <w:rsid w:val="1F600D99"/>
    <w:rsid w:val="203219C4"/>
    <w:rsid w:val="20D17970"/>
    <w:rsid w:val="211B4C05"/>
    <w:rsid w:val="21BE474F"/>
    <w:rsid w:val="21EB5EE8"/>
    <w:rsid w:val="225F02EC"/>
    <w:rsid w:val="2269581C"/>
    <w:rsid w:val="2272354E"/>
    <w:rsid w:val="22817940"/>
    <w:rsid w:val="22993C79"/>
    <w:rsid w:val="229E38BF"/>
    <w:rsid w:val="22A647FA"/>
    <w:rsid w:val="22CB0164"/>
    <w:rsid w:val="23595C48"/>
    <w:rsid w:val="23743631"/>
    <w:rsid w:val="23854086"/>
    <w:rsid w:val="23D1569C"/>
    <w:rsid w:val="246611EB"/>
    <w:rsid w:val="24BF54C8"/>
    <w:rsid w:val="25580D03"/>
    <w:rsid w:val="25F96F86"/>
    <w:rsid w:val="2649000C"/>
    <w:rsid w:val="26B61C14"/>
    <w:rsid w:val="2805587E"/>
    <w:rsid w:val="280A7B36"/>
    <w:rsid w:val="28B65FBC"/>
    <w:rsid w:val="29AF2102"/>
    <w:rsid w:val="29B246B2"/>
    <w:rsid w:val="2A47110C"/>
    <w:rsid w:val="2ACE2A0F"/>
    <w:rsid w:val="2AFF17F3"/>
    <w:rsid w:val="2B2A484F"/>
    <w:rsid w:val="2B2A7437"/>
    <w:rsid w:val="2B2D0F70"/>
    <w:rsid w:val="2B564B41"/>
    <w:rsid w:val="2BB7198D"/>
    <w:rsid w:val="2BF57EFD"/>
    <w:rsid w:val="2C2F2C65"/>
    <w:rsid w:val="2C5431A6"/>
    <w:rsid w:val="2CB2501C"/>
    <w:rsid w:val="2D0662A1"/>
    <w:rsid w:val="2D6C4252"/>
    <w:rsid w:val="2D866D80"/>
    <w:rsid w:val="2D8F6F61"/>
    <w:rsid w:val="2E48326B"/>
    <w:rsid w:val="2E8621EA"/>
    <w:rsid w:val="2F0156FE"/>
    <w:rsid w:val="2F9300AC"/>
    <w:rsid w:val="2FB83193"/>
    <w:rsid w:val="30782879"/>
    <w:rsid w:val="313E48F4"/>
    <w:rsid w:val="317C5D0B"/>
    <w:rsid w:val="318152DA"/>
    <w:rsid w:val="31B42473"/>
    <w:rsid w:val="31BD7858"/>
    <w:rsid w:val="31FD54DB"/>
    <w:rsid w:val="32444076"/>
    <w:rsid w:val="3249428A"/>
    <w:rsid w:val="329B4667"/>
    <w:rsid w:val="32A25844"/>
    <w:rsid w:val="336D631D"/>
    <w:rsid w:val="33DB35EB"/>
    <w:rsid w:val="34436CFD"/>
    <w:rsid w:val="345572F9"/>
    <w:rsid w:val="3461676A"/>
    <w:rsid w:val="34874D1E"/>
    <w:rsid w:val="349B02F2"/>
    <w:rsid w:val="34B456FD"/>
    <w:rsid w:val="34F269B9"/>
    <w:rsid w:val="354E7B97"/>
    <w:rsid w:val="35BF168E"/>
    <w:rsid w:val="35D11ED7"/>
    <w:rsid w:val="362C5E75"/>
    <w:rsid w:val="3644511A"/>
    <w:rsid w:val="36AC11DD"/>
    <w:rsid w:val="36CB3872"/>
    <w:rsid w:val="36E12460"/>
    <w:rsid w:val="371733C0"/>
    <w:rsid w:val="38F1425E"/>
    <w:rsid w:val="39DC26F2"/>
    <w:rsid w:val="3A566800"/>
    <w:rsid w:val="3A9C1CAF"/>
    <w:rsid w:val="3AA63AB6"/>
    <w:rsid w:val="3AD82423"/>
    <w:rsid w:val="3C1B5795"/>
    <w:rsid w:val="3C647DDE"/>
    <w:rsid w:val="3CB30E22"/>
    <w:rsid w:val="3D053263"/>
    <w:rsid w:val="3D244D11"/>
    <w:rsid w:val="3D680DCE"/>
    <w:rsid w:val="3DDD13AC"/>
    <w:rsid w:val="3DEF3255"/>
    <w:rsid w:val="3E0B03F4"/>
    <w:rsid w:val="3E2624A8"/>
    <w:rsid w:val="3EF26F22"/>
    <w:rsid w:val="3F89068C"/>
    <w:rsid w:val="3F982F89"/>
    <w:rsid w:val="3FFC62EE"/>
    <w:rsid w:val="407866BA"/>
    <w:rsid w:val="40A04590"/>
    <w:rsid w:val="40A125FC"/>
    <w:rsid w:val="40AC1B4A"/>
    <w:rsid w:val="40B45559"/>
    <w:rsid w:val="41297C6D"/>
    <w:rsid w:val="41643546"/>
    <w:rsid w:val="41A631C1"/>
    <w:rsid w:val="4247125A"/>
    <w:rsid w:val="439D525D"/>
    <w:rsid w:val="43D96399"/>
    <w:rsid w:val="442477B5"/>
    <w:rsid w:val="45725831"/>
    <w:rsid w:val="457437F7"/>
    <w:rsid w:val="45AA3A4E"/>
    <w:rsid w:val="45AC1DD1"/>
    <w:rsid w:val="45F059FD"/>
    <w:rsid w:val="45F67622"/>
    <w:rsid w:val="469F2D57"/>
    <w:rsid w:val="46B81815"/>
    <w:rsid w:val="471322A3"/>
    <w:rsid w:val="47EA3F28"/>
    <w:rsid w:val="481A73A0"/>
    <w:rsid w:val="489238F1"/>
    <w:rsid w:val="48FE1370"/>
    <w:rsid w:val="49CC67DE"/>
    <w:rsid w:val="49CE007B"/>
    <w:rsid w:val="49D47D19"/>
    <w:rsid w:val="4A275809"/>
    <w:rsid w:val="4B3918FE"/>
    <w:rsid w:val="4B607372"/>
    <w:rsid w:val="4BC106BC"/>
    <w:rsid w:val="4C693FCD"/>
    <w:rsid w:val="4C6A405E"/>
    <w:rsid w:val="4C79488B"/>
    <w:rsid w:val="4C9C75A2"/>
    <w:rsid w:val="4DFD3134"/>
    <w:rsid w:val="4E302A49"/>
    <w:rsid w:val="4E730903"/>
    <w:rsid w:val="4E863EC6"/>
    <w:rsid w:val="4E9F46B6"/>
    <w:rsid w:val="4EB51886"/>
    <w:rsid w:val="4ECA24E6"/>
    <w:rsid w:val="5035429A"/>
    <w:rsid w:val="509F0FD0"/>
    <w:rsid w:val="50C83108"/>
    <w:rsid w:val="50C856F0"/>
    <w:rsid w:val="50DA1F30"/>
    <w:rsid w:val="510D5C63"/>
    <w:rsid w:val="51BE4F04"/>
    <w:rsid w:val="523F167D"/>
    <w:rsid w:val="53035AF9"/>
    <w:rsid w:val="530C682B"/>
    <w:rsid w:val="53437AB8"/>
    <w:rsid w:val="536B0269"/>
    <w:rsid w:val="542A68BF"/>
    <w:rsid w:val="5432061C"/>
    <w:rsid w:val="54563F91"/>
    <w:rsid w:val="548A7716"/>
    <w:rsid w:val="55701241"/>
    <w:rsid w:val="55DC6678"/>
    <w:rsid w:val="56760158"/>
    <w:rsid w:val="57E62EE7"/>
    <w:rsid w:val="57EE5393"/>
    <w:rsid w:val="57FF7969"/>
    <w:rsid w:val="583F4FDC"/>
    <w:rsid w:val="58583625"/>
    <w:rsid w:val="58AF4BBE"/>
    <w:rsid w:val="58CB260F"/>
    <w:rsid w:val="58CC0D1D"/>
    <w:rsid w:val="58E339F3"/>
    <w:rsid w:val="5916216F"/>
    <w:rsid w:val="591D610C"/>
    <w:rsid w:val="592F77C8"/>
    <w:rsid w:val="59A43FC7"/>
    <w:rsid w:val="59C075D0"/>
    <w:rsid w:val="59E5265E"/>
    <w:rsid w:val="5AB252CB"/>
    <w:rsid w:val="5B113B70"/>
    <w:rsid w:val="5BB213F0"/>
    <w:rsid w:val="5BD73293"/>
    <w:rsid w:val="5D3C5363"/>
    <w:rsid w:val="5DA35F93"/>
    <w:rsid w:val="5E112AD7"/>
    <w:rsid w:val="5E8F1B3D"/>
    <w:rsid w:val="5F336485"/>
    <w:rsid w:val="600E20BF"/>
    <w:rsid w:val="60C76FE2"/>
    <w:rsid w:val="60D80421"/>
    <w:rsid w:val="610B2CD4"/>
    <w:rsid w:val="61377E54"/>
    <w:rsid w:val="61E77A1C"/>
    <w:rsid w:val="635C3ADF"/>
    <w:rsid w:val="63AD3734"/>
    <w:rsid w:val="63AF07F5"/>
    <w:rsid w:val="64A17BC3"/>
    <w:rsid w:val="64C24C00"/>
    <w:rsid w:val="65217832"/>
    <w:rsid w:val="65A370F3"/>
    <w:rsid w:val="65CC3743"/>
    <w:rsid w:val="65FC68CD"/>
    <w:rsid w:val="66162FEA"/>
    <w:rsid w:val="66336F73"/>
    <w:rsid w:val="6693606E"/>
    <w:rsid w:val="66A443E2"/>
    <w:rsid w:val="66EE3977"/>
    <w:rsid w:val="67163972"/>
    <w:rsid w:val="67746C30"/>
    <w:rsid w:val="67C479BD"/>
    <w:rsid w:val="6890416C"/>
    <w:rsid w:val="68FC6558"/>
    <w:rsid w:val="694A2709"/>
    <w:rsid w:val="6956585B"/>
    <w:rsid w:val="69751071"/>
    <w:rsid w:val="69791811"/>
    <w:rsid w:val="69AF6B46"/>
    <w:rsid w:val="69B25C42"/>
    <w:rsid w:val="69EF4A08"/>
    <w:rsid w:val="6A5E23FB"/>
    <w:rsid w:val="6B066EA0"/>
    <w:rsid w:val="6B946E83"/>
    <w:rsid w:val="6C8449F6"/>
    <w:rsid w:val="6CF34569"/>
    <w:rsid w:val="6DA36DE9"/>
    <w:rsid w:val="6E235550"/>
    <w:rsid w:val="6E4102EC"/>
    <w:rsid w:val="6E6125E2"/>
    <w:rsid w:val="6E6E5580"/>
    <w:rsid w:val="6E8D66E4"/>
    <w:rsid w:val="6F604C71"/>
    <w:rsid w:val="70391606"/>
    <w:rsid w:val="70414CE8"/>
    <w:rsid w:val="708700AA"/>
    <w:rsid w:val="714F67FE"/>
    <w:rsid w:val="719F13AD"/>
    <w:rsid w:val="721D08CD"/>
    <w:rsid w:val="725175DE"/>
    <w:rsid w:val="7263067B"/>
    <w:rsid w:val="729463EA"/>
    <w:rsid w:val="72D51BE3"/>
    <w:rsid w:val="72EC6342"/>
    <w:rsid w:val="73061E95"/>
    <w:rsid w:val="73504F10"/>
    <w:rsid w:val="737F3D78"/>
    <w:rsid w:val="749B3E0B"/>
    <w:rsid w:val="74B45AF6"/>
    <w:rsid w:val="74FD588F"/>
    <w:rsid w:val="758510F5"/>
    <w:rsid w:val="7614014F"/>
    <w:rsid w:val="76AB4DC0"/>
    <w:rsid w:val="76BF4BCC"/>
    <w:rsid w:val="76C24028"/>
    <w:rsid w:val="77823396"/>
    <w:rsid w:val="778D01D3"/>
    <w:rsid w:val="77A27C09"/>
    <w:rsid w:val="77AD00F2"/>
    <w:rsid w:val="784359A8"/>
    <w:rsid w:val="78536B1E"/>
    <w:rsid w:val="787239FB"/>
    <w:rsid w:val="787E2E54"/>
    <w:rsid w:val="79025F27"/>
    <w:rsid w:val="79FC78F7"/>
    <w:rsid w:val="7A5B315C"/>
    <w:rsid w:val="7AEF7BA7"/>
    <w:rsid w:val="7B0904E4"/>
    <w:rsid w:val="7B137BA9"/>
    <w:rsid w:val="7B471231"/>
    <w:rsid w:val="7B510878"/>
    <w:rsid w:val="7B913B2D"/>
    <w:rsid w:val="7D091D33"/>
    <w:rsid w:val="7D483003"/>
    <w:rsid w:val="7DD43EDE"/>
    <w:rsid w:val="7E58043F"/>
    <w:rsid w:val="7E6C4ECA"/>
    <w:rsid w:val="7EAB24AE"/>
    <w:rsid w:val="7EDD28A4"/>
    <w:rsid w:val="7F687C91"/>
    <w:rsid w:val="7FCC5B9E"/>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semiHidden="0" w:name="heading 7"/>
    <w:lsdException w:qFormat="1" w:uiPriority="9" w:name="heading 8"/>
    <w:lsdException w:qFormat="1" w:uiPriority="9"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qFormat="1" w:unhideWhenUsed="0" w:uiPriority="0" w:semiHidden="0" w:name="Normal Indent"/>
    <w:lsdException w:uiPriority="99" w:name="footnote text"/>
    <w:lsdException w:qFormat="1" w:uiPriority="99" w:semiHidden="0" w:name="annotation text"/>
    <w:lsdException w:qFormat="1" w:uiPriority="0"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0" w:semiHidden="0" w:name="annotation reference"/>
    <w:lsdException w:uiPriority="99" w:name="line number"/>
    <w:lsdException w:uiPriority="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0" w:semiHidden="0" w:name="Date"/>
    <w:lsdException w:uiPriority="99" w:name="Body Text First Indent"/>
    <w:lsdException w:uiPriority="99" w:name="Body Text First Indent 2"/>
    <w:lsdException w:uiPriority="99" w:name="Note Heading"/>
    <w:lsdException w:qFormat="1" w:unhideWhenUsed="0" w:uiPriority="0" w:name="Body Text 2"/>
    <w:lsdException w:qFormat="1" w:unhideWhenUsed="0" w:uiPriority="0" w:name="Body Text 3"/>
    <w:lsdException w:qFormat="1" w:unhideWhenUsed="0" w:uiPriority="0" w:name="Body Text Indent 2"/>
    <w:lsdException w:qFormat="1" w:uiPriority="0" w:semiHidden="0" w:name="Body Text Indent 3"/>
    <w:lsdException w:uiPriority="99" w:name="Block Text"/>
    <w:lsdException w:qFormat="1" w:uiPriority="99" w:semiHidden="0" w:name="Hyperlink"/>
    <w:lsdException w:qFormat="1" w:uiPriority="99" w:name="FollowedHyperlink"/>
    <w:lsdException w:qFormat="1" w:unhideWhenUsed="0" w:uiPriority="0" w:semiHidden="0" w:name="Strong"/>
    <w:lsdException w:qFormat="1" w:unhideWhenUsed="0" w:uiPriority="20" w:semiHidden="0" w:name="Emphasis"/>
    <w:lsdException w:qFormat="1" w:unhideWhenUsed="0" w:uiPriority="0" w:semiHidden="0" w:name="Document Map"/>
    <w:lsdException w:qFormat="1" w:unhideWhenUsed="0" w:uiPriority="0" w:name="Plain Text"/>
    <w:lsdException w:uiPriority="99" w:name="E-mail Signature"/>
    <w:lsdException w:qFormat="1" w:unhideWhenUsed="0" w:uiPriority="99" w:semiHidden="0" w:name="Normal (Web)"/>
    <w:lsdException w:uiPriority="99" w:name="HTML Acronym"/>
    <w:lsdException w:uiPriority="99" w:name="HTML Address"/>
    <w:lsdException w:qFormat="1" w:uiPriority="99" w:name="HTML Cite"/>
    <w:lsdException w:qFormat="1" w:uiPriority="99" w:name="HTML Code"/>
    <w:lsdException w:qFormat="1" w:uiPriority="99" w:name="HTML Definition"/>
    <w:lsdException w:qFormat="1" w:uiPriority="99" w:name="HTML Keyboard"/>
    <w:lsdException w:uiPriority="99" w:name="HTML Preformatted"/>
    <w:lsdException w:qFormat="1" w:uiPriority="99" w:name="HTML Sample"/>
    <w:lsdException w:uiPriority="99" w:name="HTML Typewriter"/>
    <w:lsdException w:qFormat="1" w:uiPriority="99" w:name="HTML Variable"/>
    <w:lsdException w:uiPriority="99" w:name="Normal Table"/>
    <w:lsdException w:qFormat="1"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0" w:semiHidden="0" w:name="Balloon Text"/>
    <w:lsdException w:qFormat="1" w:unhideWhenUsed="0" w:uiPriority="59" w:semiHidden="0" w:name="Table Grid"/>
    <w:lsdException w:uiPriority="99" w:name="Table Theme"/>
    <w:lsdException w:qFormat="1"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qFormat="1"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qFormat="1"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imes New Roman" w:hAnsi="Times New Roman" w:eastAsia="宋体" w:cs="Times New Roman"/>
      <w:kern w:val="2"/>
      <w:sz w:val="24"/>
      <w:szCs w:val="21"/>
      <w:lang w:val="en-US" w:eastAsia="zh-CN" w:bidi="ar-SA"/>
    </w:rPr>
  </w:style>
  <w:style w:type="paragraph" w:styleId="2">
    <w:name w:val="heading 1"/>
    <w:basedOn w:val="1"/>
    <w:next w:val="1"/>
    <w:link w:val="51"/>
    <w:qFormat/>
    <w:uiPriority w:val="0"/>
    <w:pPr>
      <w:keepNext/>
      <w:keepLines/>
      <w:spacing w:before="100" w:after="100"/>
      <w:jc w:val="center"/>
      <w:outlineLvl w:val="0"/>
    </w:pPr>
    <w:rPr>
      <w:rFonts w:cstheme="minorBidi"/>
      <w:b/>
      <w:bCs/>
      <w:kern w:val="44"/>
      <w:sz w:val="32"/>
      <w:szCs w:val="44"/>
    </w:rPr>
  </w:style>
  <w:style w:type="paragraph" w:styleId="3">
    <w:name w:val="heading 2"/>
    <w:basedOn w:val="1"/>
    <w:next w:val="1"/>
    <w:link w:val="52"/>
    <w:unhideWhenUsed/>
    <w:qFormat/>
    <w:uiPriority w:val="0"/>
    <w:pPr>
      <w:keepNext/>
      <w:keepLines/>
      <w:jc w:val="center"/>
      <w:outlineLvl w:val="1"/>
    </w:pPr>
    <w:rPr>
      <w:rFonts w:cstheme="majorBidi"/>
      <w:b/>
      <w:bCs/>
      <w:sz w:val="28"/>
      <w:szCs w:val="32"/>
    </w:rPr>
  </w:style>
  <w:style w:type="paragraph" w:styleId="4">
    <w:name w:val="heading 3"/>
    <w:basedOn w:val="1"/>
    <w:next w:val="1"/>
    <w:link w:val="53"/>
    <w:unhideWhenUsed/>
    <w:qFormat/>
    <w:uiPriority w:val="9"/>
    <w:pPr>
      <w:keepNext/>
      <w:keepLines/>
      <w:spacing w:before="260" w:after="260" w:line="416" w:lineRule="auto"/>
      <w:outlineLvl w:val="2"/>
    </w:pPr>
    <w:rPr>
      <w:rFonts w:asciiTheme="minorHAnsi" w:hAnsiTheme="minorHAnsi" w:eastAsiaTheme="minorEastAsia" w:cstheme="minorBidi"/>
      <w:b/>
      <w:bCs/>
      <w:sz w:val="32"/>
      <w:szCs w:val="32"/>
    </w:rPr>
  </w:style>
  <w:style w:type="paragraph" w:styleId="5">
    <w:name w:val="heading 4"/>
    <w:basedOn w:val="1"/>
    <w:next w:val="1"/>
    <w:link w:val="54"/>
    <w:semiHidden/>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55"/>
    <w:semiHidden/>
    <w:unhideWhenUsed/>
    <w:qFormat/>
    <w:uiPriority w:val="9"/>
    <w:pPr>
      <w:keepNext/>
      <w:keepLines/>
      <w:spacing w:before="280" w:after="290" w:line="376" w:lineRule="auto"/>
      <w:outlineLvl w:val="4"/>
    </w:pPr>
    <w:rPr>
      <w:b/>
      <w:bCs/>
      <w:sz w:val="28"/>
      <w:szCs w:val="28"/>
    </w:rPr>
  </w:style>
  <w:style w:type="paragraph" w:styleId="7">
    <w:name w:val="heading 7"/>
    <w:next w:val="8"/>
    <w:link w:val="56"/>
    <w:unhideWhenUsed/>
    <w:qFormat/>
    <w:uiPriority w:val="9"/>
    <w:pPr>
      <w:numPr>
        <w:ilvl w:val="0"/>
        <w:numId w:val="1"/>
      </w:numPr>
      <w:outlineLvl w:val="6"/>
    </w:pPr>
    <w:rPr>
      <w:rFonts w:ascii="Times New Roman" w:hAnsi="Times New Roman" w:eastAsia="宋体" w:cstheme="minorBidi"/>
      <w:kern w:val="2"/>
      <w:sz w:val="21"/>
      <w:szCs w:val="21"/>
      <w:lang w:val="en-US" w:eastAsia="zh-CN" w:bidi="ar-SA"/>
    </w:rPr>
  </w:style>
  <w:style w:type="paragraph" w:styleId="9">
    <w:name w:val="heading 9"/>
    <w:basedOn w:val="8"/>
    <w:next w:val="8"/>
    <w:link w:val="57"/>
    <w:unhideWhenUsed/>
    <w:qFormat/>
    <w:uiPriority w:val="9"/>
    <w:pPr>
      <w:numPr>
        <w:ilvl w:val="0"/>
        <w:numId w:val="2"/>
      </w:numPr>
      <w:outlineLvl w:val="8"/>
    </w:pPr>
    <w:rPr>
      <w:rFonts w:ascii="Times New Roman" w:hAnsi="Times New Roman" w:cs="Times New Roman"/>
      <w:sz w:val="21"/>
      <w:szCs w:val="21"/>
    </w:rPr>
  </w:style>
  <w:style w:type="character" w:default="1" w:styleId="39">
    <w:name w:val="Default Paragraph Font"/>
    <w:semiHidden/>
    <w:unhideWhenUsed/>
    <w:qFormat/>
    <w:uiPriority w:val="1"/>
  </w:style>
  <w:style w:type="table" w:default="1" w:styleId="35">
    <w:name w:val="Normal Table"/>
    <w:semiHidden/>
    <w:unhideWhenUsed/>
    <w:uiPriority w:val="99"/>
    <w:tblPr>
      <w:tblCellMar>
        <w:top w:w="0" w:type="dxa"/>
        <w:left w:w="108" w:type="dxa"/>
        <w:bottom w:w="0" w:type="dxa"/>
        <w:right w:w="108" w:type="dxa"/>
      </w:tblCellMar>
    </w:tblPr>
  </w:style>
  <w:style w:type="paragraph" w:customStyle="1" w:styleId="8">
    <w:name w:val="Default"/>
    <w:qFormat/>
    <w:uiPriority w:val="0"/>
    <w:pPr>
      <w:widowControl w:val="0"/>
      <w:autoSpaceDE w:val="0"/>
      <w:autoSpaceDN w:val="0"/>
      <w:adjustRightInd w:val="0"/>
    </w:pPr>
    <w:rPr>
      <w:rFonts w:ascii="宋体" w:hAnsi="宋体" w:eastAsia="宋体" w:cs="宋体"/>
      <w:color w:val="000000"/>
      <w:sz w:val="24"/>
      <w:szCs w:val="24"/>
      <w:lang w:val="en-US" w:eastAsia="zh-CN" w:bidi="ar-SA"/>
    </w:rPr>
  </w:style>
  <w:style w:type="paragraph" w:styleId="10">
    <w:name w:val="toc 7"/>
    <w:basedOn w:val="1"/>
    <w:next w:val="1"/>
    <w:unhideWhenUsed/>
    <w:qFormat/>
    <w:uiPriority w:val="39"/>
    <w:pPr>
      <w:ind w:left="1440"/>
      <w:jc w:val="left"/>
    </w:pPr>
    <w:rPr>
      <w:rFonts w:asciiTheme="minorHAnsi" w:hAnsiTheme="minorHAnsi" w:cstheme="minorHAnsi"/>
      <w:sz w:val="18"/>
      <w:szCs w:val="18"/>
    </w:rPr>
  </w:style>
  <w:style w:type="paragraph" w:styleId="11">
    <w:name w:val="Normal Indent"/>
    <w:basedOn w:val="1"/>
    <w:link w:val="58"/>
    <w:qFormat/>
    <w:uiPriority w:val="0"/>
    <w:pPr>
      <w:ind w:firstLine="200" w:firstLineChars="200"/>
    </w:pPr>
    <w:rPr>
      <w:szCs w:val="24"/>
    </w:rPr>
  </w:style>
  <w:style w:type="paragraph" w:styleId="12">
    <w:name w:val="Document Map"/>
    <w:basedOn w:val="1"/>
    <w:link w:val="59"/>
    <w:qFormat/>
    <w:uiPriority w:val="0"/>
    <w:pPr>
      <w:shd w:val="clear" w:color="auto" w:fill="000080"/>
    </w:pPr>
    <w:rPr>
      <w:szCs w:val="24"/>
    </w:rPr>
  </w:style>
  <w:style w:type="paragraph" w:styleId="13">
    <w:name w:val="annotation text"/>
    <w:basedOn w:val="1"/>
    <w:link w:val="60"/>
    <w:unhideWhenUsed/>
    <w:qFormat/>
    <w:uiPriority w:val="99"/>
    <w:pPr>
      <w:jc w:val="left"/>
    </w:pPr>
    <w:rPr>
      <w:rFonts w:asciiTheme="minorHAnsi" w:hAnsiTheme="minorHAnsi" w:eastAsiaTheme="minorEastAsia" w:cstheme="minorBidi"/>
      <w:szCs w:val="22"/>
    </w:rPr>
  </w:style>
  <w:style w:type="paragraph" w:styleId="14">
    <w:name w:val="Body Text 3"/>
    <w:basedOn w:val="1"/>
    <w:link w:val="61"/>
    <w:semiHidden/>
    <w:qFormat/>
    <w:uiPriority w:val="0"/>
    <w:rPr>
      <w:rFonts w:ascii="宋体" w:hAnsi="宋体"/>
      <w:color w:val="000000"/>
      <w:szCs w:val="28"/>
    </w:rPr>
  </w:style>
  <w:style w:type="paragraph" w:styleId="15">
    <w:name w:val="Body Text"/>
    <w:basedOn w:val="1"/>
    <w:link w:val="62"/>
    <w:qFormat/>
    <w:uiPriority w:val="0"/>
    <w:pPr>
      <w:spacing w:line="400" w:lineRule="atLeast"/>
      <w:jc w:val="center"/>
    </w:pPr>
    <w:rPr>
      <w:rFonts w:ascii="宋体" w:hAnsi="宋体"/>
      <w:sz w:val="28"/>
      <w:szCs w:val="24"/>
    </w:rPr>
  </w:style>
  <w:style w:type="paragraph" w:styleId="16">
    <w:name w:val="Body Text Indent"/>
    <w:basedOn w:val="1"/>
    <w:link w:val="63"/>
    <w:semiHidden/>
    <w:qFormat/>
    <w:uiPriority w:val="0"/>
    <w:pPr>
      <w:ind w:firstLine="420" w:firstLineChars="200"/>
    </w:pPr>
    <w:rPr>
      <w:rFonts w:ascii="宋体" w:hAnsi="宋体"/>
      <w:color w:val="000000"/>
      <w:szCs w:val="28"/>
    </w:rPr>
  </w:style>
  <w:style w:type="paragraph" w:styleId="17">
    <w:name w:val="toc 5"/>
    <w:basedOn w:val="1"/>
    <w:next w:val="1"/>
    <w:unhideWhenUsed/>
    <w:qFormat/>
    <w:uiPriority w:val="39"/>
    <w:pPr>
      <w:ind w:left="960"/>
      <w:jc w:val="left"/>
    </w:pPr>
    <w:rPr>
      <w:rFonts w:asciiTheme="minorHAnsi" w:hAnsiTheme="minorHAnsi" w:cstheme="minorHAnsi"/>
      <w:sz w:val="18"/>
      <w:szCs w:val="18"/>
    </w:rPr>
  </w:style>
  <w:style w:type="paragraph" w:styleId="18">
    <w:name w:val="toc 3"/>
    <w:basedOn w:val="1"/>
    <w:next w:val="1"/>
    <w:unhideWhenUsed/>
    <w:qFormat/>
    <w:uiPriority w:val="39"/>
    <w:pPr>
      <w:ind w:left="480"/>
      <w:jc w:val="left"/>
    </w:pPr>
    <w:rPr>
      <w:rFonts w:asciiTheme="minorHAnsi" w:hAnsiTheme="minorHAnsi" w:cstheme="minorHAnsi"/>
      <w:i/>
      <w:iCs/>
      <w:sz w:val="20"/>
      <w:szCs w:val="20"/>
    </w:rPr>
  </w:style>
  <w:style w:type="paragraph" w:styleId="19">
    <w:name w:val="Plain Text"/>
    <w:basedOn w:val="1"/>
    <w:link w:val="64"/>
    <w:semiHidden/>
    <w:qFormat/>
    <w:uiPriority w:val="0"/>
    <w:rPr>
      <w:rFonts w:ascii="宋体" w:hAnsi="Courier New" w:cs="Courier New"/>
    </w:rPr>
  </w:style>
  <w:style w:type="paragraph" w:styleId="20">
    <w:name w:val="toc 8"/>
    <w:basedOn w:val="1"/>
    <w:next w:val="1"/>
    <w:unhideWhenUsed/>
    <w:qFormat/>
    <w:uiPriority w:val="39"/>
    <w:pPr>
      <w:ind w:left="1680"/>
      <w:jc w:val="left"/>
    </w:pPr>
    <w:rPr>
      <w:rFonts w:asciiTheme="minorHAnsi" w:hAnsiTheme="minorHAnsi" w:cstheme="minorHAnsi"/>
      <w:sz w:val="18"/>
      <w:szCs w:val="18"/>
    </w:rPr>
  </w:style>
  <w:style w:type="paragraph" w:styleId="21">
    <w:name w:val="Date"/>
    <w:basedOn w:val="1"/>
    <w:next w:val="1"/>
    <w:link w:val="65"/>
    <w:unhideWhenUsed/>
    <w:qFormat/>
    <w:uiPriority w:val="0"/>
    <w:pPr>
      <w:ind w:left="100" w:leftChars="2500"/>
    </w:pPr>
  </w:style>
  <w:style w:type="paragraph" w:styleId="22">
    <w:name w:val="Body Text Indent 2"/>
    <w:basedOn w:val="1"/>
    <w:link w:val="66"/>
    <w:semiHidden/>
    <w:qFormat/>
    <w:uiPriority w:val="0"/>
    <w:pPr>
      <w:ind w:firstLine="538" w:firstLineChars="192"/>
    </w:pPr>
    <w:rPr>
      <w:sz w:val="28"/>
      <w:szCs w:val="24"/>
    </w:rPr>
  </w:style>
  <w:style w:type="paragraph" w:styleId="23">
    <w:name w:val="Balloon Text"/>
    <w:basedOn w:val="1"/>
    <w:link w:val="67"/>
    <w:unhideWhenUsed/>
    <w:qFormat/>
    <w:uiPriority w:val="0"/>
    <w:rPr>
      <w:sz w:val="18"/>
      <w:szCs w:val="18"/>
    </w:rPr>
  </w:style>
  <w:style w:type="paragraph" w:styleId="24">
    <w:name w:val="footer"/>
    <w:basedOn w:val="1"/>
    <w:link w:val="68"/>
    <w:unhideWhenUsed/>
    <w:qFormat/>
    <w:uiPriority w:val="0"/>
    <w:pPr>
      <w:tabs>
        <w:tab w:val="center" w:pos="4153"/>
        <w:tab w:val="right" w:pos="8306"/>
      </w:tabs>
      <w:snapToGrid w:val="0"/>
      <w:jc w:val="left"/>
    </w:pPr>
    <w:rPr>
      <w:sz w:val="18"/>
      <w:szCs w:val="18"/>
    </w:rPr>
  </w:style>
  <w:style w:type="paragraph" w:styleId="25">
    <w:name w:val="header"/>
    <w:basedOn w:val="1"/>
    <w:link w:val="69"/>
    <w:unhideWhenUsed/>
    <w:qFormat/>
    <w:uiPriority w:val="0"/>
    <w:pPr>
      <w:pBdr>
        <w:bottom w:val="single" w:color="auto" w:sz="6" w:space="1"/>
      </w:pBdr>
      <w:tabs>
        <w:tab w:val="center" w:pos="4153"/>
        <w:tab w:val="right" w:pos="8306"/>
      </w:tabs>
      <w:snapToGrid w:val="0"/>
      <w:jc w:val="center"/>
    </w:pPr>
    <w:rPr>
      <w:sz w:val="18"/>
      <w:szCs w:val="18"/>
    </w:rPr>
  </w:style>
  <w:style w:type="paragraph" w:styleId="26">
    <w:name w:val="toc 1"/>
    <w:basedOn w:val="1"/>
    <w:next w:val="1"/>
    <w:unhideWhenUsed/>
    <w:qFormat/>
    <w:uiPriority w:val="39"/>
    <w:pPr>
      <w:snapToGrid w:val="0"/>
      <w:spacing w:line="360" w:lineRule="exact"/>
      <w:jc w:val="left"/>
    </w:pPr>
    <w:rPr>
      <w:rFonts w:asciiTheme="minorHAnsi" w:hAnsiTheme="minorHAnsi" w:cstheme="minorHAnsi"/>
      <w:b/>
      <w:bCs/>
      <w:caps/>
      <w:szCs w:val="20"/>
    </w:rPr>
  </w:style>
  <w:style w:type="paragraph" w:styleId="27">
    <w:name w:val="toc 4"/>
    <w:basedOn w:val="1"/>
    <w:next w:val="1"/>
    <w:unhideWhenUsed/>
    <w:qFormat/>
    <w:uiPriority w:val="39"/>
    <w:pPr>
      <w:ind w:left="720"/>
      <w:jc w:val="left"/>
    </w:pPr>
    <w:rPr>
      <w:rFonts w:asciiTheme="minorHAnsi" w:hAnsiTheme="minorHAnsi" w:cstheme="minorHAnsi"/>
      <w:sz w:val="18"/>
      <w:szCs w:val="18"/>
    </w:rPr>
  </w:style>
  <w:style w:type="paragraph" w:styleId="28">
    <w:name w:val="Subtitle"/>
    <w:basedOn w:val="1"/>
    <w:next w:val="1"/>
    <w:link w:val="70"/>
    <w:qFormat/>
    <w:uiPriority w:val="11"/>
    <w:pPr>
      <w:spacing w:before="240" w:after="60" w:line="312" w:lineRule="auto"/>
      <w:jc w:val="center"/>
      <w:outlineLvl w:val="1"/>
    </w:pPr>
    <w:rPr>
      <w:rFonts w:asciiTheme="majorHAnsi" w:hAnsiTheme="majorHAnsi" w:cstheme="majorBidi"/>
      <w:b/>
      <w:bCs/>
      <w:kern w:val="28"/>
      <w:sz w:val="32"/>
      <w:szCs w:val="32"/>
    </w:rPr>
  </w:style>
  <w:style w:type="paragraph" w:styleId="29">
    <w:name w:val="toc 6"/>
    <w:basedOn w:val="1"/>
    <w:next w:val="1"/>
    <w:unhideWhenUsed/>
    <w:qFormat/>
    <w:uiPriority w:val="39"/>
    <w:pPr>
      <w:ind w:left="1200"/>
      <w:jc w:val="left"/>
    </w:pPr>
    <w:rPr>
      <w:rFonts w:asciiTheme="minorHAnsi" w:hAnsiTheme="minorHAnsi" w:cstheme="minorHAnsi"/>
      <w:sz w:val="18"/>
      <w:szCs w:val="18"/>
    </w:rPr>
  </w:style>
  <w:style w:type="paragraph" w:styleId="30">
    <w:name w:val="toc 2"/>
    <w:basedOn w:val="1"/>
    <w:next w:val="1"/>
    <w:unhideWhenUsed/>
    <w:qFormat/>
    <w:uiPriority w:val="39"/>
    <w:pPr>
      <w:snapToGrid w:val="0"/>
      <w:spacing w:line="360" w:lineRule="exact"/>
      <w:ind w:left="238"/>
      <w:jc w:val="left"/>
    </w:pPr>
    <w:rPr>
      <w:rFonts w:asciiTheme="minorHAnsi" w:hAnsiTheme="minorHAnsi" w:cstheme="minorHAnsi"/>
      <w:smallCaps/>
      <w:szCs w:val="20"/>
    </w:rPr>
  </w:style>
  <w:style w:type="paragraph" w:styleId="31">
    <w:name w:val="toc 9"/>
    <w:basedOn w:val="1"/>
    <w:next w:val="1"/>
    <w:unhideWhenUsed/>
    <w:qFormat/>
    <w:uiPriority w:val="39"/>
    <w:pPr>
      <w:ind w:left="1920"/>
      <w:jc w:val="left"/>
    </w:pPr>
    <w:rPr>
      <w:rFonts w:asciiTheme="minorHAnsi" w:hAnsiTheme="minorHAnsi" w:cstheme="minorHAnsi"/>
      <w:sz w:val="18"/>
      <w:szCs w:val="18"/>
    </w:rPr>
  </w:style>
  <w:style w:type="paragraph" w:styleId="32">
    <w:name w:val="Body Text 2"/>
    <w:basedOn w:val="1"/>
    <w:link w:val="71"/>
    <w:semiHidden/>
    <w:qFormat/>
    <w:uiPriority w:val="0"/>
    <w:pPr>
      <w:spacing w:after="120" w:line="480" w:lineRule="auto"/>
    </w:pPr>
    <w:rPr>
      <w:rFonts w:ascii="宋体" w:hAnsi="宋体"/>
      <w:sz w:val="28"/>
      <w:szCs w:val="24"/>
    </w:rPr>
  </w:style>
  <w:style w:type="paragraph" w:styleId="33">
    <w:name w:val="Normal (Web)"/>
    <w:basedOn w:val="1"/>
    <w:qFormat/>
    <w:uiPriority w:val="99"/>
    <w:rPr>
      <w:rFonts w:ascii="宋体" w:hAnsi="宋体"/>
      <w:szCs w:val="24"/>
    </w:rPr>
  </w:style>
  <w:style w:type="paragraph" w:styleId="34">
    <w:name w:val="annotation subject"/>
    <w:basedOn w:val="13"/>
    <w:next w:val="13"/>
    <w:link w:val="72"/>
    <w:unhideWhenUsed/>
    <w:qFormat/>
    <w:uiPriority w:val="0"/>
    <w:rPr>
      <w:b/>
      <w:bCs/>
    </w:rPr>
  </w:style>
  <w:style w:type="table" w:styleId="36">
    <w:name w:val="Table Grid"/>
    <w:basedOn w:val="35"/>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37">
    <w:name w:val="Light List Accent 6"/>
    <w:basedOn w:val="35"/>
    <w:qFormat/>
    <w:uiPriority w:val="61"/>
    <w:tblPr>
      <w:tblBorders>
        <w:top w:val="single" w:color="F79646" w:sz="8" w:space="0"/>
        <w:left w:val="single" w:color="F79646" w:sz="8" w:space="0"/>
        <w:bottom w:val="single" w:color="F79646" w:sz="8" w:space="0"/>
        <w:right w:val="single" w:color="F79646" w:sz="8" w:space="0"/>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color="F79646" w:sz="6" w:space="0"/>
          <w:left w:val="single" w:color="F79646" w:sz="8" w:space="0"/>
          <w:bottom w:val="single" w:color="F79646" w:sz="8" w:space="0"/>
          <w:right w:val="single" w:color="F79646" w:sz="8" w:space="0"/>
        </w:tcBorders>
      </w:tcPr>
    </w:tblStylePr>
    <w:tblStylePr w:type="firstCol">
      <w:rPr>
        <w:b/>
        <w:bCs/>
      </w:rPr>
    </w:tblStylePr>
    <w:tblStylePr w:type="lastCol">
      <w:rPr>
        <w:b/>
        <w:bCs/>
      </w:rPr>
    </w:tblStylePr>
    <w:tblStylePr w:type="band1Vert">
      <w:tblPr/>
      <w:tcPr>
        <w:tcBorders>
          <w:top w:val="single" w:color="F79646" w:sz="8" w:space="0"/>
          <w:left w:val="single" w:color="F79646" w:sz="8" w:space="0"/>
          <w:bottom w:val="single" w:color="F79646" w:sz="8" w:space="0"/>
          <w:right w:val="single" w:color="F79646" w:sz="8" w:space="0"/>
        </w:tcBorders>
      </w:tcPr>
    </w:tblStylePr>
    <w:tblStylePr w:type="band1Horz">
      <w:tblPr/>
      <w:tcPr>
        <w:tcBorders>
          <w:top w:val="single" w:color="F79646" w:sz="8" w:space="0"/>
          <w:left w:val="single" w:color="F79646" w:sz="8" w:space="0"/>
          <w:bottom w:val="single" w:color="F79646" w:sz="8" w:space="0"/>
          <w:right w:val="single" w:color="F79646" w:sz="8" w:space="0"/>
        </w:tcBorders>
      </w:tcPr>
    </w:tblStylePr>
  </w:style>
  <w:style w:type="table" w:styleId="38">
    <w:name w:val="Light Grid Accent 3"/>
    <w:basedOn w:val="35"/>
    <w:qFormat/>
    <w:uiPriority w:val="62"/>
    <w:tblPr>
      <w:tblBorders>
        <w:top w:val="single" w:color="9BBB59" w:sz="8" w:space="0"/>
        <w:left w:val="single" w:color="9BBB59" w:sz="8" w:space="0"/>
        <w:bottom w:val="single" w:color="9BBB59" w:sz="8" w:space="0"/>
        <w:right w:val="single" w:color="9BBB59" w:sz="8" w:space="0"/>
        <w:insideH w:val="single" w:color="9BBB59" w:sz="8" w:space="0"/>
        <w:insideV w:val="single" w:color="9BBB59" w:sz="8" w:space="0"/>
      </w:tblBorders>
    </w:tblPr>
    <w:tblStylePr w:type="firstRow">
      <w:pPr>
        <w:spacing w:before="0" w:after="0" w:line="240" w:lineRule="auto"/>
      </w:pPr>
      <w:rPr>
        <w:rFonts w:ascii="Cambria" w:hAnsi="Cambria" w:eastAsia="宋体" w:cs="Times New Roman"/>
        <w:b/>
        <w:bCs/>
      </w:rPr>
      <w:tblPr/>
      <w:tcPr>
        <w:tcBorders>
          <w:top w:val="single" w:color="9BBB59" w:sz="8" w:space="0"/>
          <w:left w:val="single" w:color="9BBB59" w:sz="8" w:space="0"/>
          <w:bottom w:val="single" w:color="9BBB59" w:sz="18" w:space="0"/>
          <w:right w:val="single" w:color="9BBB59" w:sz="8" w:space="0"/>
          <w:insideH w:val="nil"/>
          <w:insideV w:val="single" w:sz="8" w:space="0"/>
        </w:tcBorders>
      </w:tcPr>
    </w:tblStylePr>
    <w:tblStylePr w:type="lastRow">
      <w:pPr>
        <w:spacing w:before="0" w:after="0" w:line="240" w:lineRule="auto"/>
      </w:pPr>
      <w:rPr>
        <w:rFonts w:ascii="Cambria" w:hAnsi="Cambria" w:eastAsia="宋体" w:cs="Times New Roman"/>
        <w:b/>
        <w:bCs/>
      </w:rPr>
      <w:tblPr/>
      <w:tcPr>
        <w:tcBorders>
          <w:top w:val="double" w:color="9BBB59" w:sz="6" w:space="0"/>
          <w:left w:val="single" w:color="9BBB59" w:sz="8" w:space="0"/>
          <w:bottom w:val="single" w:color="9BBB59" w:sz="8" w:space="0"/>
          <w:right w:val="single" w:color="9BBB59" w:sz="8" w:space="0"/>
          <w:insideH w:val="nil"/>
          <w:insideV w:val="single" w:sz="8" w:space="0"/>
        </w:tcBorders>
      </w:tcPr>
    </w:tblStylePr>
    <w:tblStylePr w:type="firstCol">
      <w:rPr>
        <w:rFonts w:ascii="Cambria" w:hAnsi="Cambria" w:eastAsia="宋体" w:cs="Times New Roman"/>
        <w:b/>
        <w:bCs/>
      </w:rPr>
    </w:tblStylePr>
    <w:tblStylePr w:type="lastCol">
      <w:rPr>
        <w:rFonts w:ascii="Cambria" w:hAnsi="Cambria" w:eastAsia="宋体" w:cs="Times New Roman"/>
        <w:b/>
        <w:bCs/>
      </w:rPr>
      <w:tblPr/>
      <w:tcPr>
        <w:tcBorders>
          <w:top w:val="single" w:color="9BBB59" w:sz="8" w:space="0"/>
          <w:left w:val="single" w:color="9BBB59" w:sz="8" w:space="0"/>
          <w:bottom w:val="single" w:color="9BBB59" w:sz="8" w:space="0"/>
          <w:right w:val="single" w:color="9BBB59" w:sz="8" w:space="0"/>
        </w:tcBorders>
      </w:tcPr>
    </w:tblStylePr>
    <w:tblStylePr w:type="band1Vert">
      <w:tblPr/>
      <w:tcPr>
        <w:tcBorders>
          <w:top w:val="single" w:color="9BBB59" w:sz="8" w:space="0"/>
          <w:left w:val="single" w:color="9BBB59" w:sz="8" w:space="0"/>
          <w:bottom w:val="single" w:color="9BBB59" w:sz="8" w:space="0"/>
          <w:right w:val="single" w:color="9BBB59" w:sz="8" w:space="0"/>
        </w:tcBorders>
        <w:shd w:val="clear" w:color="auto" w:fill="E6EED5"/>
      </w:tcPr>
    </w:tblStylePr>
    <w:tblStylePr w:type="band1Horz">
      <w:tblPr/>
      <w:tcPr>
        <w:tcBorders>
          <w:top w:val="single" w:color="9BBB59" w:sz="8" w:space="0"/>
          <w:left w:val="single" w:color="9BBB59" w:sz="8" w:space="0"/>
          <w:bottom w:val="single" w:color="9BBB59" w:sz="8" w:space="0"/>
          <w:right w:val="single" w:color="9BBB59" w:sz="8" w:space="0"/>
          <w:insideV w:val="single" w:sz="8" w:space="0"/>
        </w:tcBorders>
        <w:shd w:val="clear" w:color="auto" w:fill="E6EED5"/>
      </w:tcPr>
    </w:tblStylePr>
    <w:tblStylePr w:type="band2Horz">
      <w:tblPr/>
      <w:tcPr>
        <w:tcBorders>
          <w:top w:val="single" w:color="9BBB59" w:sz="8" w:space="0"/>
          <w:left w:val="single" w:color="9BBB59" w:sz="8" w:space="0"/>
          <w:bottom w:val="single" w:color="9BBB59" w:sz="8" w:space="0"/>
          <w:right w:val="single" w:color="9BBB59" w:sz="8" w:space="0"/>
          <w:insideV w:val="single" w:sz="8" w:space="0"/>
        </w:tcBorders>
      </w:tcPr>
    </w:tblStylePr>
  </w:style>
  <w:style w:type="character" w:styleId="40">
    <w:name w:val="Strong"/>
    <w:qFormat/>
    <w:uiPriority w:val="0"/>
    <w:rPr>
      <w:b/>
      <w:bCs/>
    </w:rPr>
  </w:style>
  <w:style w:type="character" w:styleId="41">
    <w:name w:val="FollowedHyperlink"/>
    <w:basedOn w:val="39"/>
    <w:semiHidden/>
    <w:unhideWhenUsed/>
    <w:qFormat/>
    <w:uiPriority w:val="99"/>
    <w:rPr>
      <w:color w:val="800080"/>
      <w:u w:val="single"/>
    </w:rPr>
  </w:style>
  <w:style w:type="character" w:styleId="42">
    <w:name w:val="Emphasis"/>
    <w:basedOn w:val="39"/>
    <w:qFormat/>
    <w:uiPriority w:val="20"/>
    <w:rPr>
      <w:color w:val="CC0000"/>
      <w:sz w:val="24"/>
      <w:szCs w:val="24"/>
    </w:rPr>
  </w:style>
  <w:style w:type="character" w:styleId="43">
    <w:name w:val="HTML Definition"/>
    <w:basedOn w:val="39"/>
    <w:semiHidden/>
    <w:unhideWhenUsed/>
    <w:qFormat/>
    <w:uiPriority w:val="99"/>
  </w:style>
  <w:style w:type="character" w:styleId="44">
    <w:name w:val="HTML Variable"/>
    <w:basedOn w:val="39"/>
    <w:semiHidden/>
    <w:unhideWhenUsed/>
    <w:qFormat/>
    <w:uiPriority w:val="99"/>
  </w:style>
  <w:style w:type="character" w:styleId="45">
    <w:name w:val="Hyperlink"/>
    <w:unhideWhenUsed/>
    <w:qFormat/>
    <w:uiPriority w:val="99"/>
    <w:rPr>
      <w:color w:val="0000FF"/>
      <w:u w:val="single"/>
    </w:rPr>
  </w:style>
  <w:style w:type="character" w:styleId="46">
    <w:name w:val="HTML Code"/>
    <w:basedOn w:val="39"/>
    <w:semiHidden/>
    <w:unhideWhenUsed/>
    <w:qFormat/>
    <w:uiPriority w:val="99"/>
    <w:rPr>
      <w:rFonts w:hint="default" w:ascii="Courier New" w:hAnsi="Courier New" w:eastAsia="Courier New" w:cs="Courier New"/>
      <w:sz w:val="20"/>
    </w:rPr>
  </w:style>
  <w:style w:type="character" w:styleId="47">
    <w:name w:val="annotation reference"/>
    <w:basedOn w:val="39"/>
    <w:unhideWhenUsed/>
    <w:qFormat/>
    <w:uiPriority w:val="0"/>
    <w:rPr>
      <w:sz w:val="21"/>
      <w:szCs w:val="21"/>
    </w:rPr>
  </w:style>
  <w:style w:type="character" w:styleId="48">
    <w:name w:val="HTML Cite"/>
    <w:basedOn w:val="39"/>
    <w:semiHidden/>
    <w:unhideWhenUsed/>
    <w:qFormat/>
    <w:uiPriority w:val="99"/>
  </w:style>
  <w:style w:type="character" w:styleId="49">
    <w:name w:val="HTML Keyboard"/>
    <w:basedOn w:val="39"/>
    <w:semiHidden/>
    <w:unhideWhenUsed/>
    <w:qFormat/>
    <w:uiPriority w:val="99"/>
    <w:rPr>
      <w:rFonts w:ascii="Courier New" w:hAnsi="Courier New" w:eastAsia="Courier New" w:cs="Courier New"/>
      <w:sz w:val="20"/>
    </w:rPr>
  </w:style>
  <w:style w:type="character" w:styleId="50">
    <w:name w:val="HTML Sample"/>
    <w:basedOn w:val="39"/>
    <w:semiHidden/>
    <w:unhideWhenUsed/>
    <w:qFormat/>
    <w:uiPriority w:val="99"/>
    <w:rPr>
      <w:rFonts w:hint="default" w:ascii="Courier New" w:hAnsi="Courier New" w:eastAsia="Courier New" w:cs="Courier New"/>
    </w:rPr>
  </w:style>
  <w:style w:type="character" w:customStyle="1" w:styleId="51">
    <w:name w:val="标题 1 字符"/>
    <w:basedOn w:val="39"/>
    <w:link w:val="2"/>
    <w:qFormat/>
    <w:uiPriority w:val="0"/>
    <w:rPr>
      <w:rFonts w:ascii="Times New Roman" w:hAnsi="Times New Roman" w:eastAsia="宋体"/>
      <w:b/>
      <w:bCs/>
      <w:kern w:val="44"/>
      <w:sz w:val="32"/>
      <w:szCs w:val="44"/>
    </w:rPr>
  </w:style>
  <w:style w:type="character" w:customStyle="1" w:styleId="52">
    <w:name w:val="标题 2 字符"/>
    <w:basedOn w:val="39"/>
    <w:link w:val="3"/>
    <w:qFormat/>
    <w:uiPriority w:val="0"/>
    <w:rPr>
      <w:rFonts w:ascii="Times New Roman" w:hAnsi="Times New Roman" w:eastAsia="宋体" w:cstheme="majorBidi"/>
      <w:b/>
      <w:bCs/>
      <w:kern w:val="2"/>
      <w:sz w:val="28"/>
      <w:szCs w:val="32"/>
    </w:rPr>
  </w:style>
  <w:style w:type="character" w:customStyle="1" w:styleId="53">
    <w:name w:val="标题 3 字符"/>
    <w:basedOn w:val="39"/>
    <w:link w:val="4"/>
    <w:qFormat/>
    <w:uiPriority w:val="9"/>
    <w:rPr>
      <w:b/>
      <w:bCs/>
      <w:sz w:val="32"/>
      <w:szCs w:val="32"/>
    </w:rPr>
  </w:style>
  <w:style w:type="character" w:customStyle="1" w:styleId="54">
    <w:name w:val="标题 4 字符"/>
    <w:basedOn w:val="39"/>
    <w:link w:val="5"/>
    <w:semiHidden/>
    <w:qFormat/>
    <w:uiPriority w:val="9"/>
    <w:rPr>
      <w:rFonts w:asciiTheme="majorHAnsi" w:hAnsiTheme="majorHAnsi" w:eastAsiaTheme="majorEastAsia" w:cstheme="majorBidi"/>
      <w:b/>
      <w:bCs/>
      <w:kern w:val="2"/>
      <w:sz w:val="28"/>
      <w:szCs w:val="28"/>
    </w:rPr>
  </w:style>
  <w:style w:type="character" w:customStyle="1" w:styleId="55">
    <w:name w:val="标题 5 字符"/>
    <w:basedOn w:val="39"/>
    <w:link w:val="6"/>
    <w:semiHidden/>
    <w:qFormat/>
    <w:uiPriority w:val="9"/>
    <w:rPr>
      <w:rFonts w:ascii="Times New Roman" w:hAnsi="Times New Roman" w:eastAsia="宋体" w:cs="Times New Roman"/>
      <w:b/>
      <w:bCs/>
      <w:kern w:val="2"/>
      <w:sz w:val="28"/>
      <w:szCs w:val="28"/>
    </w:rPr>
  </w:style>
  <w:style w:type="character" w:customStyle="1" w:styleId="56">
    <w:name w:val="标题 7 字符"/>
    <w:basedOn w:val="39"/>
    <w:link w:val="7"/>
    <w:qFormat/>
    <w:uiPriority w:val="9"/>
    <w:rPr>
      <w:rFonts w:ascii="Times New Roman" w:hAnsi="Times New Roman" w:eastAsia="宋体"/>
      <w:kern w:val="2"/>
      <w:sz w:val="21"/>
      <w:szCs w:val="21"/>
    </w:rPr>
  </w:style>
  <w:style w:type="character" w:customStyle="1" w:styleId="57">
    <w:name w:val="标题 9 字符"/>
    <w:basedOn w:val="39"/>
    <w:link w:val="9"/>
    <w:qFormat/>
    <w:uiPriority w:val="9"/>
    <w:rPr>
      <w:rFonts w:ascii="Times New Roman" w:hAnsi="Times New Roman" w:eastAsia="宋体" w:cs="Times New Roman"/>
      <w:color w:val="000000"/>
      <w:sz w:val="21"/>
      <w:szCs w:val="21"/>
    </w:rPr>
  </w:style>
  <w:style w:type="character" w:customStyle="1" w:styleId="58">
    <w:name w:val="正文缩进 字符"/>
    <w:link w:val="11"/>
    <w:qFormat/>
    <w:uiPriority w:val="0"/>
    <w:rPr>
      <w:rFonts w:cs="Times New Roman"/>
      <w:kern w:val="2"/>
      <w:sz w:val="24"/>
      <w:szCs w:val="24"/>
    </w:rPr>
  </w:style>
  <w:style w:type="character" w:customStyle="1" w:styleId="59">
    <w:name w:val="文档结构图 字符"/>
    <w:basedOn w:val="39"/>
    <w:link w:val="12"/>
    <w:qFormat/>
    <w:uiPriority w:val="0"/>
    <w:rPr>
      <w:rFonts w:ascii="Times New Roman" w:hAnsi="Times New Roman" w:eastAsia="宋体" w:cs="Times New Roman"/>
      <w:kern w:val="2"/>
      <w:sz w:val="24"/>
      <w:szCs w:val="24"/>
      <w:shd w:val="clear" w:color="auto" w:fill="000080"/>
    </w:rPr>
  </w:style>
  <w:style w:type="character" w:customStyle="1" w:styleId="60">
    <w:name w:val="批注文字 字符"/>
    <w:basedOn w:val="39"/>
    <w:link w:val="13"/>
    <w:qFormat/>
    <w:uiPriority w:val="99"/>
  </w:style>
  <w:style w:type="character" w:customStyle="1" w:styleId="61">
    <w:name w:val="正文文本 3 字符"/>
    <w:basedOn w:val="39"/>
    <w:link w:val="14"/>
    <w:semiHidden/>
    <w:qFormat/>
    <w:uiPriority w:val="0"/>
    <w:rPr>
      <w:rFonts w:ascii="宋体" w:hAnsi="宋体" w:eastAsia="宋体" w:cs="Times New Roman"/>
      <w:color w:val="000000"/>
      <w:kern w:val="2"/>
      <w:sz w:val="24"/>
      <w:szCs w:val="28"/>
    </w:rPr>
  </w:style>
  <w:style w:type="character" w:customStyle="1" w:styleId="62">
    <w:name w:val="正文文本 字符"/>
    <w:basedOn w:val="39"/>
    <w:link w:val="15"/>
    <w:qFormat/>
    <w:uiPriority w:val="0"/>
    <w:rPr>
      <w:rFonts w:ascii="宋体" w:hAnsi="宋体" w:eastAsia="宋体" w:cs="Times New Roman"/>
      <w:kern w:val="2"/>
      <w:sz w:val="28"/>
      <w:szCs w:val="24"/>
    </w:rPr>
  </w:style>
  <w:style w:type="character" w:customStyle="1" w:styleId="63">
    <w:name w:val="正文文本缩进 字符"/>
    <w:basedOn w:val="39"/>
    <w:link w:val="16"/>
    <w:semiHidden/>
    <w:qFormat/>
    <w:uiPriority w:val="0"/>
    <w:rPr>
      <w:rFonts w:ascii="宋体" w:hAnsi="宋体" w:eastAsia="宋体" w:cs="Times New Roman"/>
      <w:color w:val="000000"/>
      <w:kern w:val="2"/>
      <w:sz w:val="24"/>
      <w:szCs w:val="28"/>
    </w:rPr>
  </w:style>
  <w:style w:type="character" w:customStyle="1" w:styleId="64">
    <w:name w:val="纯文本 字符"/>
    <w:basedOn w:val="39"/>
    <w:link w:val="19"/>
    <w:semiHidden/>
    <w:qFormat/>
    <w:uiPriority w:val="0"/>
    <w:rPr>
      <w:rFonts w:ascii="宋体" w:hAnsi="Courier New" w:eastAsia="宋体" w:cs="Courier New"/>
      <w:kern w:val="2"/>
      <w:sz w:val="24"/>
      <w:szCs w:val="21"/>
    </w:rPr>
  </w:style>
  <w:style w:type="character" w:customStyle="1" w:styleId="65">
    <w:name w:val="日期 字符"/>
    <w:basedOn w:val="39"/>
    <w:link w:val="21"/>
    <w:qFormat/>
    <w:uiPriority w:val="0"/>
    <w:rPr>
      <w:rFonts w:ascii="Times New Roman" w:hAnsi="Times New Roman" w:eastAsia="宋体" w:cs="Times New Roman"/>
      <w:szCs w:val="21"/>
    </w:rPr>
  </w:style>
  <w:style w:type="character" w:customStyle="1" w:styleId="66">
    <w:name w:val="正文文本缩进 2 字符"/>
    <w:basedOn w:val="39"/>
    <w:link w:val="22"/>
    <w:semiHidden/>
    <w:qFormat/>
    <w:uiPriority w:val="0"/>
    <w:rPr>
      <w:rFonts w:ascii="Times New Roman" w:hAnsi="Times New Roman" w:eastAsia="宋体" w:cs="Times New Roman"/>
      <w:kern w:val="2"/>
      <w:sz w:val="28"/>
      <w:szCs w:val="24"/>
    </w:rPr>
  </w:style>
  <w:style w:type="character" w:customStyle="1" w:styleId="67">
    <w:name w:val="批注框文本 字符"/>
    <w:basedOn w:val="39"/>
    <w:link w:val="23"/>
    <w:qFormat/>
    <w:uiPriority w:val="0"/>
    <w:rPr>
      <w:rFonts w:ascii="Times New Roman" w:hAnsi="Times New Roman" w:eastAsia="宋体" w:cs="Times New Roman"/>
      <w:sz w:val="18"/>
      <w:szCs w:val="18"/>
    </w:rPr>
  </w:style>
  <w:style w:type="character" w:customStyle="1" w:styleId="68">
    <w:name w:val="页脚 字符"/>
    <w:basedOn w:val="39"/>
    <w:link w:val="24"/>
    <w:qFormat/>
    <w:uiPriority w:val="0"/>
    <w:rPr>
      <w:rFonts w:ascii="Times New Roman" w:hAnsi="Times New Roman" w:eastAsia="宋体" w:cs="Times New Roman"/>
      <w:sz w:val="18"/>
      <w:szCs w:val="18"/>
    </w:rPr>
  </w:style>
  <w:style w:type="character" w:customStyle="1" w:styleId="69">
    <w:name w:val="页眉 字符"/>
    <w:basedOn w:val="39"/>
    <w:link w:val="25"/>
    <w:qFormat/>
    <w:uiPriority w:val="0"/>
    <w:rPr>
      <w:rFonts w:ascii="Times New Roman" w:hAnsi="Times New Roman" w:eastAsia="宋体" w:cs="Times New Roman"/>
      <w:sz w:val="18"/>
      <w:szCs w:val="18"/>
    </w:rPr>
  </w:style>
  <w:style w:type="character" w:customStyle="1" w:styleId="70">
    <w:name w:val="副标题 字符"/>
    <w:basedOn w:val="39"/>
    <w:link w:val="28"/>
    <w:qFormat/>
    <w:uiPriority w:val="11"/>
    <w:rPr>
      <w:rFonts w:eastAsia="宋体" w:asciiTheme="majorHAnsi" w:hAnsiTheme="majorHAnsi" w:cstheme="majorBidi"/>
      <w:b/>
      <w:bCs/>
      <w:kern w:val="28"/>
      <w:sz w:val="32"/>
      <w:szCs w:val="32"/>
    </w:rPr>
  </w:style>
  <w:style w:type="character" w:customStyle="1" w:styleId="71">
    <w:name w:val="正文文本 2 字符"/>
    <w:basedOn w:val="39"/>
    <w:link w:val="32"/>
    <w:semiHidden/>
    <w:qFormat/>
    <w:uiPriority w:val="0"/>
    <w:rPr>
      <w:rFonts w:ascii="宋体" w:hAnsi="宋体" w:eastAsia="宋体" w:cs="Times New Roman"/>
      <w:kern w:val="2"/>
      <w:sz w:val="28"/>
      <w:szCs w:val="24"/>
    </w:rPr>
  </w:style>
  <w:style w:type="character" w:customStyle="1" w:styleId="72">
    <w:name w:val="批注主题 字符"/>
    <w:basedOn w:val="60"/>
    <w:link w:val="34"/>
    <w:qFormat/>
    <w:uiPriority w:val="0"/>
    <w:rPr>
      <w:b/>
      <w:bCs/>
    </w:rPr>
  </w:style>
  <w:style w:type="paragraph" w:customStyle="1" w:styleId="73">
    <w:name w:val="列出段落1"/>
    <w:basedOn w:val="1"/>
    <w:qFormat/>
    <w:uiPriority w:val="0"/>
    <w:pPr>
      <w:ind w:left="720"/>
      <w:contextualSpacing/>
    </w:pPr>
  </w:style>
  <w:style w:type="character" w:customStyle="1" w:styleId="74">
    <w:name w:val="u11"/>
    <w:basedOn w:val="39"/>
    <w:qFormat/>
    <w:uiPriority w:val="0"/>
  </w:style>
  <w:style w:type="paragraph" w:customStyle="1" w:styleId="75">
    <w:name w:val="TOC 标题1"/>
    <w:basedOn w:val="2"/>
    <w:next w:val="1"/>
    <w:unhideWhenUsed/>
    <w:qFormat/>
    <w:uiPriority w:val="39"/>
    <w:pPr>
      <w:widowControl/>
      <w:spacing w:before="480" w:after="0" w:line="276" w:lineRule="auto"/>
      <w:jc w:val="left"/>
      <w:outlineLvl w:val="9"/>
    </w:pPr>
    <w:rPr>
      <w:rFonts w:asciiTheme="majorHAnsi" w:hAnsiTheme="majorHAnsi" w:eastAsiaTheme="majorEastAsia" w:cstheme="majorBidi"/>
      <w:color w:val="376092" w:themeColor="accent1" w:themeShade="BF"/>
      <w:kern w:val="0"/>
      <w:sz w:val="28"/>
      <w:szCs w:val="28"/>
    </w:rPr>
  </w:style>
  <w:style w:type="table" w:customStyle="1" w:styleId="76">
    <w:name w:val="网格型1"/>
    <w:basedOn w:val="35"/>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customStyle="1" w:styleId="77">
    <w:name w:val="txt Char"/>
    <w:qFormat/>
    <w:uiPriority w:val="0"/>
    <w:rPr>
      <w:rFonts w:ascii="宋体" w:hAnsi="宋体" w:eastAsia="宋体"/>
      <w:sz w:val="24"/>
      <w:szCs w:val="24"/>
      <w:lang w:val="en-US" w:eastAsia="zh-CN" w:bidi="ar-SA"/>
    </w:rPr>
  </w:style>
  <w:style w:type="character" w:styleId="78">
    <w:name w:val="Placeholder Text"/>
    <w:semiHidden/>
    <w:qFormat/>
    <w:uiPriority w:val="99"/>
    <w:rPr>
      <w:color w:val="808080"/>
    </w:rPr>
  </w:style>
  <w:style w:type="character" w:customStyle="1" w:styleId="79">
    <w:name w:val="txt1"/>
    <w:basedOn w:val="39"/>
    <w:qFormat/>
    <w:uiPriority w:val="0"/>
  </w:style>
  <w:style w:type="character" w:customStyle="1" w:styleId="80">
    <w:name w:val="标题 2 Char"/>
    <w:qFormat/>
    <w:uiPriority w:val="0"/>
    <w:rPr>
      <w:rFonts w:ascii="宋体" w:hAnsi="宋体" w:eastAsia="宋体"/>
      <w:b/>
      <w:spacing w:val="-10"/>
      <w:sz w:val="24"/>
      <w:szCs w:val="32"/>
      <w:lang w:val="en-US" w:eastAsia="zh-CN" w:bidi="ar-SA"/>
    </w:rPr>
  </w:style>
  <w:style w:type="paragraph" w:customStyle="1" w:styleId="81">
    <w:name w:val="二级条标题"/>
    <w:basedOn w:val="1"/>
    <w:next w:val="1"/>
    <w:qFormat/>
    <w:uiPriority w:val="0"/>
    <w:pPr>
      <w:widowControl/>
      <w:outlineLvl w:val="3"/>
    </w:pPr>
    <w:rPr>
      <w:rFonts w:ascii="黑体" w:eastAsia="黑体"/>
      <w:kern w:val="0"/>
      <w:szCs w:val="20"/>
    </w:rPr>
  </w:style>
  <w:style w:type="paragraph" w:customStyle="1" w:styleId="82">
    <w:name w:val="样式4"/>
    <w:basedOn w:val="3"/>
    <w:qFormat/>
    <w:uiPriority w:val="0"/>
    <w:pPr>
      <w:numPr>
        <w:ilvl w:val="1"/>
        <w:numId w:val="3"/>
      </w:numPr>
    </w:pPr>
    <w:rPr>
      <w:rFonts w:ascii="宋体" w:hAnsi="宋体" w:cs="Times New Roman"/>
      <w:color w:val="000000"/>
    </w:rPr>
  </w:style>
  <w:style w:type="paragraph" w:customStyle="1" w:styleId="83">
    <w:name w:val="txt"/>
    <w:basedOn w:val="1"/>
    <w:qFormat/>
    <w:uiPriority w:val="0"/>
    <w:pPr>
      <w:widowControl/>
      <w:spacing w:before="54" w:after="54" w:line="336" w:lineRule="auto"/>
      <w:ind w:left="14" w:right="14" w:firstLine="326"/>
      <w:jc w:val="left"/>
    </w:pPr>
    <w:rPr>
      <w:rFonts w:ascii="宋体" w:hAnsi="宋体"/>
      <w:kern w:val="0"/>
      <w:szCs w:val="24"/>
    </w:rPr>
  </w:style>
  <w:style w:type="paragraph" w:styleId="84">
    <w:name w:val="List Paragraph"/>
    <w:basedOn w:val="1"/>
    <w:qFormat/>
    <w:uiPriority w:val="34"/>
    <w:pPr>
      <w:ind w:firstLine="420" w:firstLineChars="200"/>
    </w:pPr>
    <w:rPr>
      <w:szCs w:val="24"/>
    </w:rPr>
  </w:style>
  <w:style w:type="paragraph" w:customStyle="1" w:styleId="85">
    <w:name w:val="修订1"/>
    <w:semiHidden/>
    <w:qFormat/>
    <w:uiPriority w:val="99"/>
    <w:rPr>
      <w:rFonts w:ascii="Times New Roman" w:hAnsi="Times New Roman" w:eastAsia="宋体" w:cs="Times New Roman"/>
      <w:kern w:val="2"/>
      <w:sz w:val="21"/>
      <w:szCs w:val="24"/>
      <w:lang w:val="en-US" w:eastAsia="zh-CN" w:bidi="ar-SA"/>
    </w:rPr>
  </w:style>
  <w:style w:type="paragraph" w:customStyle="1" w:styleId="86">
    <w:name w:val="简单回函地址"/>
    <w:basedOn w:val="1"/>
    <w:qFormat/>
    <w:uiPriority w:val="0"/>
    <w:rPr>
      <w:szCs w:val="24"/>
    </w:rPr>
  </w:style>
  <w:style w:type="paragraph" w:customStyle="1" w:styleId="87">
    <w:name w:val="reader-word-layer"/>
    <w:basedOn w:val="1"/>
    <w:qFormat/>
    <w:uiPriority w:val="0"/>
    <w:pPr>
      <w:widowControl/>
      <w:spacing w:before="100" w:beforeAutospacing="1" w:after="100" w:afterAutospacing="1"/>
      <w:jc w:val="left"/>
    </w:pPr>
    <w:rPr>
      <w:rFonts w:ascii="宋体" w:hAnsi="宋体"/>
      <w:kern w:val="0"/>
      <w:szCs w:val="20"/>
    </w:rPr>
  </w:style>
  <w:style w:type="character" w:customStyle="1" w:styleId="88">
    <w:name w:val="apple-converted-space"/>
    <w:basedOn w:val="39"/>
    <w:qFormat/>
    <w:uiPriority w:val="0"/>
  </w:style>
  <w:style w:type="paragraph" w:customStyle="1" w:styleId="89">
    <w:name w:val="段"/>
    <w:link w:val="90"/>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character" w:customStyle="1" w:styleId="90">
    <w:name w:val="段 Char Char"/>
    <w:link w:val="89"/>
    <w:qFormat/>
    <w:uiPriority w:val="0"/>
    <w:rPr>
      <w:rFonts w:ascii="宋体" w:hAnsi="Times New Roman" w:eastAsia="宋体" w:cs="Times New Roman"/>
      <w:sz w:val="21"/>
    </w:rPr>
  </w:style>
  <w:style w:type="paragraph" w:customStyle="1" w:styleId="91">
    <w:name w:val="二级无"/>
    <w:basedOn w:val="81"/>
    <w:qFormat/>
    <w:uiPriority w:val="0"/>
    <w:pPr>
      <w:spacing w:before="50" w:after="50" w:line="240" w:lineRule="auto"/>
      <w:jc w:val="left"/>
    </w:pPr>
    <w:rPr>
      <w:rFonts w:ascii="宋体" w:eastAsia="宋体"/>
      <w:sz w:val="21"/>
      <w:szCs w:val="21"/>
    </w:rPr>
  </w:style>
  <w:style w:type="paragraph" w:customStyle="1" w:styleId="92">
    <w:name w:val="+正文"/>
    <w:basedOn w:val="1"/>
    <w:link w:val="93"/>
    <w:qFormat/>
    <w:uiPriority w:val="99"/>
    <w:pPr>
      <w:widowControl/>
      <w:ind w:firstLine="200" w:firstLineChars="200"/>
      <w:jc w:val="left"/>
    </w:pPr>
    <w:rPr>
      <w:rFonts w:ascii="Calibri" w:hAnsi="Calibri"/>
      <w:kern w:val="0"/>
      <w:szCs w:val="28"/>
      <w:lang w:val="zh-CN" w:eastAsia="en-US" w:bidi="en-US"/>
    </w:rPr>
  </w:style>
  <w:style w:type="character" w:customStyle="1" w:styleId="93">
    <w:name w:val="+正文 Char"/>
    <w:link w:val="92"/>
    <w:qFormat/>
    <w:uiPriority w:val="99"/>
    <w:rPr>
      <w:rFonts w:ascii="Calibri" w:hAnsi="Calibri" w:eastAsia="宋体" w:cs="Times New Roman"/>
      <w:sz w:val="24"/>
      <w:szCs w:val="28"/>
      <w:lang w:val="zh-CN" w:eastAsia="en-US" w:bidi="en-US"/>
    </w:rPr>
  </w:style>
  <w:style w:type="character" w:customStyle="1" w:styleId="94">
    <w:name w:val="规范_正文_编号"/>
    <w:basedOn w:val="39"/>
    <w:qFormat/>
    <w:uiPriority w:val="0"/>
  </w:style>
  <w:style w:type="character" w:customStyle="1" w:styleId="95">
    <w:name w:val="未处理的提及1"/>
    <w:basedOn w:val="39"/>
    <w:semiHidden/>
    <w:unhideWhenUsed/>
    <w:qFormat/>
    <w:uiPriority w:val="99"/>
    <w:rPr>
      <w:color w:val="605E5C"/>
      <w:shd w:val="clear" w:color="auto" w:fill="E1DFDD"/>
    </w:rPr>
  </w:style>
  <w:style w:type="character" w:customStyle="1" w:styleId="96">
    <w:name w:val="checked"/>
    <w:basedOn w:val="39"/>
    <w:qFormat/>
    <w:uiPriority w:val="0"/>
    <w:rPr>
      <w:vanish/>
    </w:rPr>
  </w:style>
  <w:style w:type="character" w:customStyle="1" w:styleId="97">
    <w:name w:val="checked1"/>
    <w:basedOn w:val="39"/>
    <w:qFormat/>
    <w:uiPriority w:val="0"/>
  </w:style>
  <w:style w:type="character" w:customStyle="1" w:styleId="98">
    <w:name w:val="active2"/>
    <w:basedOn w:val="39"/>
    <w:qFormat/>
    <w:uiPriority w:val="0"/>
    <w:rPr>
      <w:color w:val="33BBD9"/>
      <w:bdr w:val="single" w:color="CCCCCC" w:sz="6" w:space="0"/>
      <w:shd w:val="clear" w:color="auto" w:fill="FFFFFF"/>
    </w:rPr>
  </w:style>
  <w:style w:type="character" w:customStyle="1" w:styleId="99">
    <w:name w:val="hover33"/>
    <w:basedOn w:val="39"/>
    <w:qFormat/>
    <w:uiPriority w:val="0"/>
  </w:style>
  <w:style w:type="character" w:customStyle="1" w:styleId="100">
    <w:name w:val="ca-nav-next"/>
    <w:basedOn w:val="39"/>
    <w:qFormat/>
    <w:uiPriority w:val="0"/>
  </w:style>
  <w:style w:type="character" w:customStyle="1" w:styleId="101">
    <w:name w:val="last-child"/>
    <w:basedOn w:val="39"/>
    <w:qFormat/>
    <w:uiPriority w:val="0"/>
    <w:rPr>
      <w:color w:val="999999"/>
    </w:rPr>
  </w:style>
  <w:style w:type="character" w:customStyle="1" w:styleId="102">
    <w:name w:val="active"/>
    <w:basedOn w:val="39"/>
    <w:qFormat/>
    <w:uiPriority w:val="0"/>
    <w:rPr>
      <w:color w:val="33BBD9"/>
      <w:bdr w:val="single" w:color="CCCCCC" w:sz="6" w:space="0"/>
      <w:shd w:val="clear" w:color="auto" w:fill="FFFFFF"/>
    </w:rPr>
  </w:style>
  <w:style w:type="paragraph" w:styleId="103">
    <w:name w:val="No Spacing"/>
    <w:qFormat/>
    <w:uiPriority w:val="1"/>
    <w:rPr>
      <w:rFonts w:ascii="Calibri" w:hAnsi="Calibri" w:eastAsiaTheme="minorEastAsia" w:cstheme="minorBidi"/>
      <w:kern w:val="2"/>
      <w:sz w:val="22"/>
      <w:szCs w:val="22"/>
      <w:lang w:val="en-US" w:eastAsia="zh-CN" w:bidi="ar-SA"/>
    </w:rPr>
  </w:style>
  <w:style w:type="character" w:customStyle="1" w:styleId="104">
    <w:name w:val="font11"/>
    <w:basedOn w:val="39"/>
    <w:qFormat/>
    <w:uiPriority w:val="0"/>
    <w:rPr>
      <w:rFonts w:hint="eastAsia" w:ascii="宋体" w:hAnsi="宋体" w:eastAsia="宋体" w:cs="宋体"/>
      <w:color w:val="000000"/>
      <w:sz w:val="21"/>
      <w:szCs w:val="21"/>
      <w:u w:val="none"/>
    </w:rPr>
  </w:style>
  <w:style w:type="character" w:customStyle="1" w:styleId="105">
    <w:name w:val="font01"/>
    <w:basedOn w:val="39"/>
    <w:qFormat/>
    <w:uiPriority w:val="0"/>
    <w:rPr>
      <w:rFonts w:hint="default" w:ascii="Times New Roman" w:hAnsi="Times New Roman" w:cs="Times New Roman"/>
      <w:color w:val="000000"/>
      <w:sz w:val="21"/>
      <w:szCs w:val="21"/>
      <w:u w:val="none"/>
    </w:r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45.bin"/><Relationship Id="rId98" Type="http://schemas.openxmlformats.org/officeDocument/2006/relationships/image" Target="media/image45.wmf"/><Relationship Id="rId97" Type="http://schemas.openxmlformats.org/officeDocument/2006/relationships/oleObject" Target="embeddings/oleObject44.bin"/><Relationship Id="rId96" Type="http://schemas.openxmlformats.org/officeDocument/2006/relationships/image" Target="media/image44.wmf"/><Relationship Id="rId95" Type="http://schemas.openxmlformats.org/officeDocument/2006/relationships/oleObject" Target="embeddings/oleObject43.bin"/><Relationship Id="rId94" Type="http://schemas.openxmlformats.org/officeDocument/2006/relationships/image" Target="media/image43.wmf"/><Relationship Id="rId93" Type="http://schemas.openxmlformats.org/officeDocument/2006/relationships/oleObject" Target="embeddings/oleObject42.bin"/><Relationship Id="rId92" Type="http://schemas.openxmlformats.org/officeDocument/2006/relationships/image" Target="media/image42.wmf"/><Relationship Id="rId91" Type="http://schemas.openxmlformats.org/officeDocument/2006/relationships/oleObject" Target="embeddings/oleObject41.bin"/><Relationship Id="rId90" Type="http://schemas.openxmlformats.org/officeDocument/2006/relationships/image" Target="media/image41.wmf"/><Relationship Id="rId9" Type="http://schemas.openxmlformats.org/officeDocument/2006/relationships/theme" Target="theme/theme1.xml"/><Relationship Id="rId89" Type="http://schemas.openxmlformats.org/officeDocument/2006/relationships/oleObject" Target="embeddings/oleObject40.bin"/><Relationship Id="rId88" Type="http://schemas.openxmlformats.org/officeDocument/2006/relationships/image" Target="media/image40.wmf"/><Relationship Id="rId87" Type="http://schemas.openxmlformats.org/officeDocument/2006/relationships/oleObject" Target="embeddings/oleObject39.bin"/><Relationship Id="rId86" Type="http://schemas.openxmlformats.org/officeDocument/2006/relationships/image" Target="media/image39.wmf"/><Relationship Id="rId85" Type="http://schemas.openxmlformats.org/officeDocument/2006/relationships/oleObject" Target="embeddings/oleObject38.bin"/><Relationship Id="rId84" Type="http://schemas.openxmlformats.org/officeDocument/2006/relationships/image" Target="media/image38.wmf"/><Relationship Id="rId83" Type="http://schemas.openxmlformats.org/officeDocument/2006/relationships/oleObject" Target="embeddings/oleObject37.bin"/><Relationship Id="rId82" Type="http://schemas.openxmlformats.org/officeDocument/2006/relationships/image" Target="media/image37.wmf"/><Relationship Id="rId81" Type="http://schemas.openxmlformats.org/officeDocument/2006/relationships/oleObject" Target="embeddings/oleObject36.bin"/><Relationship Id="rId80" Type="http://schemas.openxmlformats.org/officeDocument/2006/relationships/image" Target="media/image36.wmf"/><Relationship Id="rId8" Type="http://schemas.openxmlformats.org/officeDocument/2006/relationships/footer" Target="footer3.xml"/><Relationship Id="rId79" Type="http://schemas.openxmlformats.org/officeDocument/2006/relationships/oleObject" Target="embeddings/oleObject35.bin"/><Relationship Id="rId78" Type="http://schemas.openxmlformats.org/officeDocument/2006/relationships/image" Target="media/image35.wmf"/><Relationship Id="rId77" Type="http://schemas.openxmlformats.org/officeDocument/2006/relationships/oleObject" Target="embeddings/oleObject34.bin"/><Relationship Id="rId76" Type="http://schemas.openxmlformats.org/officeDocument/2006/relationships/image" Target="media/image34.wmf"/><Relationship Id="rId75" Type="http://schemas.openxmlformats.org/officeDocument/2006/relationships/oleObject" Target="embeddings/oleObject33.bin"/><Relationship Id="rId74" Type="http://schemas.openxmlformats.org/officeDocument/2006/relationships/image" Target="media/image33.wmf"/><Relationship Id="rId73" Type="http://schemas.openxmlformats.org/officeDocument/2006/relationships/oleObject" Target="embeddings/oleObject32.bin"/><Relationship Id="rId72" Type="http://schemas.openxmlformats.org/officeDocument/2006/relationships/image" Target="media/image32.wmf"/><Relationship Id="rId71" Type="http://schemas.openxmlformats.org/officeDocument/2006/relationships/oleObject" Target="embeddings/oleObject31.bin"/><Relationship Id="rId70" Type="http://schemas.openxmlformats.org/officeDocument/2006/relationships/image" Target="media/image31.wmf"/><Relationship Id="rId7" Type="http://schemas.openxmlformats.org/officeDocument/2006/relationships/footer" Target="footer2.xml"/><Relationship Id="rId69" Type="http://schemas.openxmlformats.org/officeDocument/2006/relationships/oleObject" Target="embeddings/oleObject30.bin"/><Relationship Id="rId68" Type="http://schemas.openxmlformats.org/officeDocument/2006/relationships/image" Target="media/image30.wmf"/><Relationship Id="rId67" Type="http://schemas.openxmlformats.org/officeDocument/2006/relationships/oleObject" Target="embeddings/oleObject29.bin"/><Relationship Id="rId66" Type="http://schemas.openxmlformats.org/officeDocument/2006/relationships/image" Target="media/image29.wmf"/><Relationship Id="rId65" Type="http://schemas.openxmlformats.org/officeDocument/2006/relationships/oleObject" Target="embeddings/oleObject28.bin"/><Relationship Id="rId64" Type="http://schemas.openxmlformats.org/officeDocument/2006/relationships/image" Target="media/image28.wmf"/><Relationship Id="rId63" Type="http://schemas.openxmlformats.org/officeDocument/2006/relationships/oleObject" Target="embeddings/oleObject27.bin"/><Relationship Id="rId62" Type="http://schemas.openxmlformats.org/officeDocument/2006/relationships/image" Target="media/image27.wmf"/><Relationship Id="rId61" Type="http://schemas.openxmlformats.org/officeDocument/2006/relationships/oleObject" Target="embeddings/oleObject26.bin"/><Relationship Id="rId60" Type="http://schemas.openxmlformats.org/officeDocument/2006/relationships/image" Target="media/image26.wmf"/><Relationship Id="rId6" Type="http://schemas.openxmlformats.org/officeDocument/2006/relationships/header" Target="header1.xml"/><Relationship Id="rId59" Type="http://schemas.openxmlformats.org/officeDocument/2006/relationships/oleObject" Target="embeddings/oleObject25.bin"/><Relationship Id="rId58" Type="http://schemas.openxmlformats.org/officeDocument/2006/relationships/image" Target="media/image25.wmf"/><Relationship Id="rId57" Type="http://schemas.openxmlformats.org/officeDocument/2006/relationships/oleObject" Target="embeddings/oleObject24.bin"/><Relationship Id="rId56" Type="http://schemas.openxmlformats.org/officeDocument/2006/relationships/image" Target="media/image24.wmf"/><Relationship Id="rId55" Type="http://schemas.openxmlformats.org/officeDocument/2006/relationships/oleObject" Target="embeddings/oleObject23.bin"/><Relationship Id="rId54" Type="http://schemas.openxmlformats.org/officeDocument/2006/relationships/image" Target="media/image23.wmf"/><Relationship Id="rId53" Type="http://schemas.openxmlformats.org/officeDocument/2006/relationships/oleObject" Target="embeddings/oleObject22.bin"/><Relationship Id="rId52" Type="http://schemas.openxmlformats.org/officeDocument/2006/relationships/image" Target="media/image22.wmf"/><Relationship Id="rId51" Type="http://schemas.openxmlformats.org/officeDocument/2006/relationships/oleObject" Target="embeddings/oleObject21.bin"/><Relationship Id="rId50" Type="http://schemas.openxmlformats.org/officeDocument/2006/relationships/image" Target="media/image21.wmf"/><Relationship Id="rId5" Type="http://schemas.openxmlformats.org/officeDocument/2006/relationships/footer" Target="footer1.xml"/><Relationship Id="rId49" Type="http://schemas.openxmlformats.org/officeDocument/2006/relationships/oleObject" Target="embeddings/oleObject20.bin"/><Relationship Id="rId48" Type="http://schemas.openxmlformats.org/officeDocument/2006/relationships/image" Target="media/image20.wmf"/><Relationship Id="rId47" Type="http://schemas.openxmlformats.org/officeDocument/2006/relationships/oleObject" Target="embeddings/oleObject19.bin"/><Relationship Id="rId46" Type="http://schemas.openxmlformats.org/officeDocument/2006/relationships/image" Target="media/image19.wmf"/><Relationship Id="rId45" Type="http://schemas.openxmlformats.org/officeDocument/2006/relationships/oleObject" Target="embeddings/oleObject18.bin"/><Relationship Id="rId44" Type="http://schemas.openxmlformats.org/officeDocument/2006/relationships/image" Target="media/image18.wmf"/><Relationship Id="rId43" Type="http://schemas.openxmlformats.org/officeDocument/2006/relationships/oleObject" Target="embeddings/oleObject17.bin"/><Relationship Id="rId42" Type="http://schemas.openxmlformats.org/officeDocument/2006/relationships/image" Target="media/image17.wmf"/><Relationship Id="rId41" Type="http://schemas.openxmlformats.org/officeDocument/2006/relationships/oleObject" Target="embeddings/oleObject16.bin"/><Relationship Id="rId40" Type="http://schemas.openxmlformats.org/officeDocument/2006/relationships/image" Target="media/image16.wmf"/><Relationship Id="rId4" Type="http://schemas.openxmlformats.org/officeDocument/2006/relationships/endnotes" Target="endnotes.xml"/><Relationship Id="rId39" Type="http://schemas.openxmlformats.org/officeDocument/2006/relationships/oleObject" Target="embeddings/oleObject15.bin"/><Relationship Id="rId38" Type="http://schemas.openxmlformats.org/officeDocument/2006/relationships/image" Target="media/image15.wmf"/><Relationship Id="rId37" Type="http://schemas.openxmlformats.org/officeDocument/2006/relationships/oleObject" Target="embeddings/oleObject14.bin"/><Relationship Id="rId36" Type="http://schemas.openxmlformats.org/officeDocument/2006/relationships/image" Target="media/image14.wmf"/><Relationship Id="rId35" Type="http://schemas.openxmlformats.org/officeDocument/2006/relationships/oleObject" Target="embeddings/oleObject13.bin"/><Relationship Id="rId34" Type="http://schemas.openxmlformats.org/officeDocument/2006/relationships/image" Target="media/image13.wmf"/><Relationship Id="rId33" Type="http://schemas.openxmlformats.org/officeDocument/2006/relationships/oleObject" Target="embeddings/oleObject12.bin"/><Relationship Id="rId321" Type="http://schemas.openxmlformats.org/officeDocument/2006/relationships/fontTable" Target="fontTable.xml"/><Relationship Id="rId320" Type="http://schemas.openxmlformats.org/officeDocument/2006/relationships/customXml" Target="../customXml/item2.xml"/><Relationship Id="rId32" Type="http://schemas.openxmlformats.org/officeDocument/2006/relationships/image" Target="media/image12.wmf"/><Relationship Id="rId319" Type="http://schemas.openxmlformats.org/officeDocument/2006/relationships/numbering" Target="numbering.xml"/><Relationship Id="rId318" Type="http://schemas.openxmlformats.org/officeDocument/2006/relationships/customXml" Target="../customXml/item1.xml"/><Relationship Id="rId317" Type="http://schemas.openxmlformats.org/officeDocument/2006/relationships/image" Target="media/image157.wmf"/><Relationship Id="rId316" Type="http://schemas.openxmlformats.org/officeDocument/2006/relationships/oleObject" Target="embeddings/oleObject151.bin"/><Relationship Id="rId315" Type="http://schemas.openxmlformats.org/officeDocument/2006/relationships/image" Target="media/image156.wmf"/><Relationship Id="rId314" Type="http://schemas.openxmlformats.org/officeDocument/2006/relationships/oleObject" Target="embeddings/oleObject150.bin"/><Relationship Id="rId313" Type="http://schemas.openxmlformats.org/officeDocument/2006/relationships/image" Target="media/image155.wmf"/><Relationship Id="rId312" Type="http://schemas.openxmlformats.org/officeDocument/2006/relationships/oleObject" Target="embeddings/oleObject149.bin"/><Relationship Id="rId311" Type="http://schemas.openxmlformats.org/officeDocument/2006/relationships/oleObject" Target="embeddings/oleObject148.bin"/><Relationship Id="rId310" Type="http://schemas.openxmlformats.org/officeDocument/2006/relationships/image" Target="media/image154.wmf"/><Relationship Id="rId31" Type="http://schemas.openxmlformats.org/officeDocument/2006/relationships/oleObject" Target="embeddings/oleObject11.bin"/><Relationship Id="rId309" Type="http://schemas.openxmlformats.org/officeDocument/2006/relationships/oleObject" Target="embeddings/oleObject147.bin"/><Relationship Id="rId308" Type="http://schemas.openxmlformats.org/officeDocument/2006/relationships/image" Target="media/image153.wmf"/><Relationship Id="rId307" Type="http://schemas.openxmlformats.org/officeDocument/2006/relationships/oleObject" Target="embeddings/oleObject146.bin"/><Relationship Id="rId306" Type="http://schemas.openxmlformats.org/officeDocument/2006/relationships/image" Target="media/image152.wmf"/><Relationship Id="rId305" Type="http://schemas.openxmlformats.org/officeDocument/2006/relationships/oleObject" Target="embeddings/oleObject145.bin"/><Relationship Id="rId304" Type="http://schemas.openxmlformats.org/officeDocument/2006/relationships/image" Target="media/image151.wmf"/><Relationship Id="rId303" Type="http://schemas.openxmlformats.org/officeDocument/2006/relationships/oleObject" Target="embeddings/oleObject144.bin"/><Relationship Id="rId302" Type="http://schemas.openxmlformats.org/officeDocument/2006/relationships/image" Target="media/image150.wmf"/><Relationship Id="rId301" Type="http://schemas.openxmlformats.org/officeDocument/2006/relationships/oleObject" Target="embeddings/oleObject143.bin"/><Relationship Id="rId300" Type="http://schemas.openxmlformats.org/officeDocument/2006/relationships/image" Target="media/image149.wmf"/><Relationship Id="rId30" Type="http://schemas.openxmlformats.org/officeDocument/2006/relationships/image" Target="media/image11.wmf"/><Relationship Id="rId3" Type="http://schemas.openxmlformats.org/officeDocument/2006/relationships/footnotes" Target="footnotes.xml"/><Relationship Id="rId299" Type="http://schemas.openxmlformats.org/officeDocument/2006/relationships/oleObject" Target="embeddings/oleObject142.bin"/><Relationship Id="rId298" Type="http://schemas.openxmlformats.org/officeDocument/2006/relationships/image" Target="media/image148.wmf"/><Relationship Id="rId297" Type="http://schemas.openxmlformats.org/officeDocument/2006/relationships/oleObject" Target="embeddings/oleObject141.bin"/><Relationship Id="rId296" Type="http://schemas.openxmlformats.org/officeDocument/2006/relationships/image" Target="media/image147.wmf"/><Relationship Id="rId295" Type="http://schemas.openxmlformats.org/officeDocument/2006/relationships/oleObject" Target="embeddings/oleObject140.bin"/><Relationship Id="rId294" Type="http://schemas.openxmlformats.org/officeDocument/2006/relationships/image" Target="media/image146.wmf"/><Relationship Id="rId293" Type="http://schemas.openxmlformats.org/officeDocument/2006/relationships/oleObject" Target="embeddings/oleObject139.bin"/><Relationship Id="rId292" Type="http://schemas.openxmlformats.org/officeDocument/2006/relationships/image" Target="media/image145.wmf"/><Relationship Id="rId291" Type="http://schemas.openxmlformats.org/officeDocument/2006/relationships/oleObject" Target="embeddings/oleObject138.bin"/><Relationship Id="rId290" Type="http://schemas.openxmlformats.org/officeDocument/2006/relationships/image" Target="media/image144.wmf"/><Relationship Id="rId29" Type="http://schemas.openxmlformats.org/officeDocument/2006/relationships/oleObject" Target="embeddings/oleObject10.bin"/><Relationship Id="rId289" Type="http://schemas.openxmlformats.org/officeDocument/2006/relationships/oleObject" Target="embeddings/oleObject137.bin"/><Relationship Id="rId288" Type="http://schemas.openxmlformats.org/officeDocument/2006/relationships/image" Target="media/image143.emf"/><Relationship Id="rId287" Type="http://schemas.openxmlformats.org/officeDocument/2006/relationships/image" Target="media/image142.emf"/><Relationship Id="rId286" Type="http://schemas.openxmlformats.org/officeDocument/2006/relationships/image" Target="media/image141.wmf"/><Relationship Id="rId285" Type="http://schemas.openxmlformats.org/officeDocument/2006/relationships/oleObject" Target="embeddings/oleObject136.bin"/><Relationship Id="rId284" Type="http://schemas.openxmlformats.org/officeDocument/2006/relationships/image" Target="media/image140.wmf"/><Relationship Id="rId283" Type="http://schemas.openxmlformats.org/officeDocument/2006/relationships/oleObject" Target="embeddings/oleObject135.bin"/><Relationship Id="rId282" Type="http://schemas.openxmlformats.org/officeDocument/2006/relationships/image" Target="media/image139.wmf"/><Relationship Id="rId281" Type="http://schemas.openxmlformats.org/officeDocument/2006/relationships/oleObject" Target="embeddings/oleObject134.bin"/><Relationship Id="rId280" Type="http://schemas.openxmlformats.org/officeDocument/2006/relationships/image" Target="media/image138.wmf"/><Relationship Id="rId28" Type="http://schemas.openxmlformats.org/officeDocument/2006/relationships/image" Target="media/image10.wmf"/><Relationship Id="rId279" Type="http://schemas.openxmlformats.org/officeDocument/2006/relationships/oleObject" Target="embeddings/oleObject133.bin"/><Relationship Id="rId278" Type="http://schemas.openxmlformats.org/officeDocument/2006/relationships/image" Target="media/image137.wmf"/><Relationship Id="rId277" Type="http://schemas.openxmlformats.org/officeDocument/2006/relationships/oleObject" Target="embeddings/oleObject132.bin"/><Relationship Id="rId276" Type="http://schemas.openxmlformats.org/officeDocument/2006/relationships/image" Target="media/image136.wmf"/><Relationship Id="rId275" Type="http://schemas.openxmlformats.org/officeDocument/2006/relationships/oleObject" Target="embeddings/oleObject131.bin"/><Relationship Id="rId274" Type="http://schemas.openxmlformats.org/officeDocument/2006/relationships/image" Target="media/image135.wmf"/><Relationship Id="rId273" Type="http://schemas.openxmlformats.org/officeDocument/2006/relationships/oleObject" Target="embeddings/oleObject130.bin"/><Relationship Id="rId272" Type="http://schemas.openxmlformats.org/officeDocument/2006/relationships/image" Target="media/image134.png"/><Relationship Id="rId271" Type="http://schemas.openxmlformats.org/officeDocument/2006/relationships/image" Target="media/image133.png"/><Relationship Id="rId270" Type="http://schemas.openxmlformats.org/officeDocument/2006/relationships/image" Target="media/image132.png"/><Relationship Id="rId27" Type="http://schemas.openxmlformats.org/officeDocument/2006/relationships/oleObject" Target="embeddings/oleObject9.bin"/><Relationship Id="rId269" Type="http://schemas.openxmlformats.org/officeDocument/2006/relationships/image" Target="media/image131.wmf"/><Relationship Id="rId268" Type="http://schemas.openxmlformats.org/officeDocument/2006/relationships/oleObject" Target="embeddings/oleObject129.bin"/><Relationship Id="rId267" Type="http://schemas.openxmlformats.org/officeDocument/2006/relationships/image" Target="media/image130.wmf"/><Relationship Id="rId266" Type="http://schemas.openxmlformats.org/officeDocument/2006/relationships/oleObject" Target="embeddings/oleObject128.bin"/><Relationship Id="rId265" Type="http://schemas.openxmlformats.org/officeDocument/2006/relationships/image" Target="media/image129.wmf"/><Relationship Id="rId264" Type="http://schemas.openxmlformats.org/officeDocument/2006/relationships/oleObject" Target="embeddings/oleObject127.bin"/><Relationship Id="rId263" Type="http://schemas.openxmlformats.org/officeDocument/2006/relationships/image" Target="media/image128.wmf"/><Relationship Id="rId262" Type="http://schemas.openxmlformats.org/officeDocument/2006/relationships/oleObject" Target="embeddings/oleObject126.bin"/><Relationship Id="rId261" Type="http://schemas.openxmlformats.org/officeDocument/2006/relationships/image" Target="media/image127.wmf"/><Relationship Id="rId260" Type="http://schemas.openxmlformats.org/officeDocument/2006/relationships/oleObject" Target="embeddings/oleObject125.bin"/><Relationship Id="rId26" Type="http://schemas.openxmlformats.org/officeDocument/2006/relationships/image" Target="media/image9.wmf"/><Relationship Id="rId259" Type="http://schemas.openxmlformats.org/officeDocument/2006/relationships/oleObject" Target="embeddings/oleObject124.bin"/><Relationship Id="rId258" Type="http://schemas.openxmlformats.org/officeDocument/2006/relationships/image" Target="media/image126.wmf"/><Relationship Id="rId257" Type="http://schemas.openxmlformats.org/officeDocument/2006/relationships/oleObject" Target="embeddings/oleObject123.bin"/><Relationship Id="rId256" Type="http://schemas.openxmlformats.org/officeDocument/2006/relationships/image" Target="media/image125.wmf"/><Relationship Id="rId255" Type="http://schemas.openxmlformats.org/officeDocument/2006/relationships/oleObject" Target="embeddings/oleObject122.bin"/><Relationship Id="rId254" Type="http://schemas.openxmlformats.org/officeDocument/2006/relationships/oleObject" Target="embeddings/oleObject121.bin"/><Relationship Id="rId253" Type="http://schemas.openxmlformats.org/officeDocument/2006/relationships/image" Target="media/image124.wmf"/><Relationship Id="rId252" Type="http://schemas.openxmlformats.org/officeDocument/2006/relationships/oleObject" Target="embeddings/oleObject120.bin"/><Relationship Id="rId251" Type="http://schemas.openxmlformats.org/officeDocument/2006/relationships/image" Target="media/image123.wmf"/><Relationship Id="rId250" Type="http://schemas.openxmlformats.org/officeDocument/2006/relationships/oleObject" Target="embeddings/oleObject119.bin"/><Relationship Id="rId25" Type="http://schemas.openxmlformats.org/officeDocument/2006/relationships/oleObject" Target="embeddings/oleObject8.bin"/><Relationship Id="rId249" Type="http://schemas.openxmlformats.org/officeDocument/2006/relationships/image" Target="media/image122.wmf"/><Relationship Id="rId248" Type="http://schemas.openxmlformats.org/officeDocument/2006/relationships/oleObject" Target="embeddings/oleObject118.bin"/><Relationship Id="rId247" Type="http://schemas.openxmlformats.org/officeDocument/2006/relationships/image" Target="media/image121.wmf"/><Relationship Id="rId246" Type="http://schemas.openxmlformats.org/officeDocument/2006/relationships/oleObject" Target="embeddings/oleObject117.bin"/><Relationship Id="rId245" Type="http://schemas.openxmlformats.org/officeDocument/2006/relationships/image" Target="media/image120.wmf"/><Relationship Id="rId244" Type="http://schemas.openxmlformats.org/officeDocument/2006/relationships/oleObject" Target="embeddings/oleObject116.bin"/><Relationship Id="rId243" Type="http://schemas.openxmlformats.org/officeDocument/2006/relationships/image" Target="media/image119.wmf"/><Relationship Id="rId242" Type="http://schemas.openxmlformats.org/officeDocument/2006/relationships/oleObject" Target="embeddings/oleObject115.bin"/><Relationship Id="rId241" Type="http://schemas.openxmlformats.org/officeDocument/2006/relationships/image" Target="media/image118.jpeg"/><Relationship Id="rId240" Type="http://schemas.openxmlformats.org/officeDocument/2006/relationships/image" Target="media/image117.jpeg"/><Relationship Id="rId24" Type="http://schemas.openxmlformats.org/officeDocument/2006/relationships/image" Target="media/image8.wmf"/><Relationship Id="rId239" Type="http://schemas.openxmlformats.org/officeDocument/2006/relationships/image" Target="media/image116.png"/><Relationship Id="rId238" Type="http://schemas.openxmlformats.org/officeDocument/2006/relationships/image" Target="media/image115.png"/><Relationship Id="rId237" Type="http://schemas.openxmlformats.org/officeDocument/2006/relationships/image" Target="media/image114.png"/><Relationship Id="rId236" Type="http://schemas.openxmlformats.org/officeDocument/2006/relationships/image" Target="media/image113.png"/><Relationship Id="rId235" Type="http://schemas.openxmlformats.org/officeDocument/2006/relationships/image" Target="media/image112.png"/><Relationship Id="rId234" Type="http://schemas.openxmlformats.org/officeDocument/2006/relationships/image" Target="media/image111.png"/><Relationship Id="rId233" Type="http://schemas.openxmlformats.org/officeDocument/2006/relationships/image" Target="media/image110.png"/><Relationship Id="rId232" Type="http://schemas.openxmlformats.org/officeDocument/2006/relationships/image" Target="media/image109.png"/><Relationship Id="rId231" Type="http://schemas.openxmlformats.org/officeDocument/2006/relationships/image" Target="media/image108.png"/><Relationship Id="rId230" Type="http://schemas.openxmlformats.org/officeDocument/2006/relationships/oleObject" Target="embeddings/oleObject114.bin"/><Relationship Id="rId23" Type="http://schemas.openxmlformats.org/officeDocument/2006/relationships/oleObject" Target="embeddings/oleObject7.bin"/><Relationship Id="rId229" Type="http://schemas.openxmlformats.org/officeDocument/2006/relationships/oleObject" Target="embeddings/oleObject113.bin"/><Relationship Id="rId228" Type="http://schemas.openxmlformats.org/officeDocument/2006/relationships/image" Target="media/image107.wmf"/><Relationship Id="rId227" Type="http://schemas.openxmlformats.org/officeDocument/2006/relationships/oleObject" Target="embeddings/oleObject112.bin"/><Relationship Id="rId226" Type="http://schemas.openxmlformats.org/officeDocument/2006/relationships/image" Target="media/image106.wmf"/><Relationship Id="rId225" Type="http://schemas.openxmlformats.org/officeDocument/2006/relationships/oleObject" Target="embeddings/oleObject111.bin"/><Relationship Id="rId224" Type="http://schemas.openxmlformats.org/officeDocument/2006/relationships/oleObject" Target="embeddings/oleObject110.bin"/><Relationship Id="rId223" Type="http://schemas.openxmlformats.org/officeDocument/2006/relationships/image" Target="media/image105.wmf"/><Relationship Id="rId222" Type="http://schemas.openxmlformats.org/officeDocument/2006/relationships/oleObject" Target="embeddings/oleObject109.bin"/><Relationship Id="rId221" Type="http://schemas.openxmlformats.org/officeDocument/2006/relationships/image" Target="media/image104.wmf"/><Relationship Id="rId220" Type="http://schemas.openxmlformats.org/officeDocument/2006/relationships/oleObject" Target="embeddings/oleObject108.bin"/><Relationship Id="rId22" Type="http://schemas.openxmlformats.org/officeDocument/2006/relationships/image" Target="media/image7.wmf"/><Relationship Id="rId219" Type="http://schemas.openxmlformats.org/officeDocument/2006/relationships/image" Target="media/image103.wmf"/><Relationship Id="rId218" Type="http://schemas.openxmlformats.org/officeDocument/2006/relationships/oleObject" Target="embeddings/oleObject107.bin"/><Relationship Id="rId217" Type="http://schemas.openxmlformats.org/officeDocument/2006/relationships/image" Target="media/image102.wmf"/><Relationship Id="rId216" Type="http://schemas.openxmlformats.org/officeDocument/2006/relationships/oleObject" Target="embeddings/oleObject106.bin"/><Relationship Id="rId215" Type="http://schemas.openxmlformats.org/officeDocument/2006/relationships/oleObject" Target="embeddings/oleObject105.bin"/><Relationship Id="rId214" Type="http://schemas.openxmlformats.org/officeDocument/2006/relationships/image" Target="media/image101.wmf"/><Relationship Id="rId213" Type="http://schemas.openxmlformats.org/officeDocument/2006/relationships/oleObject" Target="embeddings/oleObject104.bin"/><Relationship Id="rId212" Type="http://schemas.openxmlformats.org/officeDocument/2006/relationships/image" Target="media/image100.wmf"/><Relationship Id="rId211" Type="http://schemas.openxmlformats.org/officeDocument/2006/relationships/oleObject" Target="embeddings/oleObject103.bin"/><Relationship Id="rId210" Type="http://schemas.openxmlformats.org/officeDocument/2006/relationships/image" Target="media/image99.wmf"/><Relationship Id="rId21" Type="http://schemas.openxmlformats.org/officeDocument/2006/relationships/oleObject" Target="embeddings/oleObject6.bin"/><Relationship Id="rId209" Type="http://schemas.openxmlformats.org/officeDocument/2006/relationships/oleObject" Target="embeddings/oleObject102.bin"/><Relationship Id="rId208" Type="http://schemas.openxmlformats.org/officeDocument/2006/relationships/image" Target="media/image98.wmf"/><Relationship Id="rId207" Type="http://schemas.openxmlformats.org/officeDocument/2006/relationships/oleObject" Target="embeddings/oleObject101.bin"/><Relationship Id="rId206" Type="http://schemas.openxmlformats.org/officeDocument/2006/relationships/oleObject" Target="embeddings/oleObject100.bin"/><Relationship Id="rId205" Type="http://schemas.openxmlformats.org/officeDocument/2006/relationships/image" Target="media/image97.wmf"/><Relationship Id="rId204" Type="http://schemas.openxmlformats.org/officeDocument/2006/relationships/oleObject" Target="embeddings/oleObject99.bin"/><Relationship Id="rId203" Type="http://schemas.openxmlformats.org/officeDocument/2006/relationships/oleObject" Target="embeddings/oleObject98.bin"/><Relationship Id="rId202" Type="http://schemas.openxmlformats.org/officeDocument/2006/relationships/image" Target="media/image96.wmf"/><Relationship Id="rId201" Type="http://schemas.openxmlformats.org/officeDocument/2006/relationships/oleObject" Target="embeddings/oleObject97.bin"/><Relationship Id="rId200" Type="http://schemas.openxmlformats.org/officeDocument/2006/relationships/image" Target="media/image95.wmf"/><Relationship Id="rId20" Type="http://schemas.openxmlformats.org/officeDocument/2006/relationships/image" Target="media/image6.wmf"/><Relationship Id="rId2" Type="http://schemas.openxmlformats.org/officeDocument/2006/relationships/settings" Target="settings.xml"/><Relationship Id="rId199" Type="http://schemas.openxmlformats.org/officeDocument/2006/relationships/oleObject" Target="embeddings/oleObject96.bin"/><Relationship Id="rId198" Type="http://schemas.openxmlformats.org/officeDocument/2006/relationships/image" Target="media/image94.wmf"/><Relationship Id="rId197" Type="http://schemas.openxmlformats.org/officeDocument/2006/relationships/oleObject" Target="embeddings/oleObject95.bin"/><Relationship Id="rId196" Type="http://schemas.openxmlformats.org/officeDocument/2006/relationships/image" Target="media/image93.wmf"/><Relationship Id="rId195" Type="http://schemas.openxmlformats.org/officeDocument/2006/relationships/oleObject" Target="embeddings/oleObject94.bin"/><Relationship Id="rId194" Type="http://schemas.openxmlformats.org/officeDocument/2006/relationships/oleObject" Target="embeddings/oleObject93.bin"/><Relationship Id="rId193" Type="http://schemas.openxmlformats.org/officeDocument/2006/relationships/image" Target="media/image92.wmf"/><Relationship Id="rId192" Type="http://schemas.openxmlformats.org/officeDocument/2006/relationships/oleObject" Target="embeddings/oleObject92.bin"/><Relationship Id="rId191" Type="http://schemas.openxmlformats.org/officeDocument/2006/relationships/oleObject" Target="embeddings/oleObject91.bin"/><Relationship Id="rId190" Type="http://schemas.openxmlformats.org/officeDocument/2006/relationships/image" Target="media/image91.wmf"/><Relationship Id="rId19" Type="http://schemas.openxmlformats.org/officeDocument/2006/relationships/oleObject" Target="embeddings/oleObject5.bin"/><Relationship Id="rId189" Type="http://schemas.openxmlformats.org/officeDocument/2006/relationships/oleObject" Target="embeddings/oleObject90.bin"/><Relationship Id="rId188" Type="http://schemas.openxmlformats.org/officeDocument/2006/relationships/image" Target="media/image90.wmf"/><Relationship Id="rId187" Type="http://schemas.openxmlformats.org/officeDocument/2006/relationships/oleObject" Target="embeddings/oleObject89.bin"/><Relationship Id="rId186" Type="http://schemas.openxmlformats.org/officeDocument/2006/relationships/image" Target="media/image89.wmf"/><Relationship Id="rId185" Type="http://schemas.openxmlformats.org/officeDocument/2006/relationships/oleObject" Target="embeddings/oleObject88.bin"/><Relationship Id="rId184" Type="http://schemas.openxmlformats.org/officeDocument/2006/relationships/image" Target="media/image88.wmf"/><Relationship Id="rId183" Type="http://schemas.openxmlformats.org/officeDocument/2006/relationships/oleObject" Target="embeddings/oleObject87.bin"/><Relationship Id="rId182" Type="http://schemas.openxmlformats.org/officeDocument/2006/relationships/image" Target="media/image87.wmf"/><Relationship Id="rId181" Type="http://schemas.openxmlformats.org/officeDocument/2006/relationships/oleObject" Target="embeddings/oleObject86.bin"/><Relationship Id="rId180" Type="http://schemas.openxmlformats.org/officeDocument/2006/relationships/image" Target="media/image86.wmf"/><Relationship Id="rId18" Type="http://schemas.openxmlformats.org/officeDocument/2006/relationships/image" Target="media/image5.wmf"/><Relationship Id="rId179" Type="http://schemas.openxmlformats.org/officeDocument/2006/relationships/oleObject" Target="embeddings/oleObject85.bin"/><Relationship Id="rId178" Type="http://schemas.openxmlformats.org/officeDocument/2006/relationships/image" Target="media/image85.wmf"/><Relationship Id="rId177" Type="http://schemas.openxmlformats.org/officeDocument/2006/relationships/oleObject" Target="embeddings/oleObject84.bin"/><Relationship Id="rId176" Type="http://schemas.openxmlformats.org/officeDocument/2006/relationships/image" Target="media/image84.wmf"/><Relationship Id="rId175" Type="http://schemas.openxmlformats.org/officeDocument/2006/relationships/oleObject" Target="embeddings/oleObject83.bin"/><Relationship Id="rId174" Type="http://schemas.openxmlformats.org/officeDocument/2006/relationships/image" Target="media/image83.wmf"/><Relationship Id="rId173" Type="http://schemas.openxmlformats.org/officeDocument/2006/relationships/oleObject" Target="embeddings/oleObject82.bin"/><Relationship Id="rId172" Type="http://schemas.openxmlformats.org/officeDocument/2006/relationships/image" Target="media/image82.wmf"/><Relationship Id="rId171" Type="http://schemas.openxmlformats.org/officeDocument/2006/relationships/oleObject" Target="embeddings/oleObject81.bin"/><Relationship Id="rId170" Type="http://schemas.openxmlformats.org/officeDocument/2006/relationships/image" Target="media/image81.wmf"/><Relationship Id="rId17" Type="http://schemas.openxmlformats.org/officeDocument/2006/relationships/oleObject" Target="embeddings/oleObject4.bin"/><Relationship Id="rId169" Type="http://schemas.openxmlformats.org/officeDocument/2006/relationships/oleObject" Target="embeddings/oleObject80.bin"/><Relationship Id="rId168" Type="http://schemas.openxmlformats.org/officeDocument/2006/relationships/image" Target="media/image80.wmf"/><Relationship Id="rId167" Type="http://schemas.openxmlformats.org/officeDocument/2006/relationships/oleObject" Target="embeddings/oleObject79.bin"/><Relationship Id="rId166" Type="http://schemas.openxmlformats.org/officeDocument/2006/relationships/image" Target="media/image79.wmf"/><Relationship Id="rId165" Type="http://schemas.openxmlformats.org/officeDocument/2006/relationships/oleObject" Target="embeddings/oleObject78.bin"/><Relationship Id="rId164" Type="http://schemas.openxmlformats.org/officeDocument/2006/relationships/image" Target="media/image78.wmf"/><Relationship Id="rId163" Type="http://schemas.openxmlformats.org/officeDocument/2006/relationships/oleObject" Target="embeddings/oleObject77.bin"/><Relationship Id="rId162" Type="http://schemas.openxmlformats.org/officeDocument/2006/relationships/image" Target="media/image77.wmf"/><Relationship Id="rId161" Type="http://schemas.openxmlformats.org/officeDocument/2006/relationships/oleObject" Target="embeddings/oleObject76.bin"/><Relationship Id="rId160" Type="http://schemas.openxmlformats.org/officeDocument/2006/relationships/image" Target="media/image76.wmf"/><Relationship Id="rId16" Type="http://schemas.openxmlformats.org/officeDocument/2006/relationships/image" Target="media/image4.wmf"/><Relationship Id="rId159" Type="http://schemas.openxmlformats.org/officeDocument/2006/relationships/oleObject" Target="embeddings/oleObject75.bin"/><Relationship Id="rId158" Type="http://schemas.openxmlformats.org/officeDocument/2006/relationships/image" Target="media/image75.wmf"/><Relationship Id="rId157" Type="http://schemas.openxmlformats.org/officeDocument/2006/relationships/oleObject" Target="embeddings/oleObject74.bin"/><Relationship Id="rId156" Type="http://schemas.openxmlformats.org/officeDocument/2006/relationships/image" Target="media/image74.wmf"/><Relationship Id="rId155" Type="http://schemas.openxmlformats.org/officeDocument/2006/relationships/oleObject" Target="embeddings/oleObject73.bin"/><Relationship Id="rId154" Type="http://schemas.openxmlformats.org/officeDocument/2006/relationships/image" Target="media/image73.wmf"/><Relationship Id="rId153" Type="http://schemas.openxmlformats.org/officeDocument/2006/relationships/oleObject" Target="embeddings/oleObject72.bin"/><Relationship Id="rId152" Type="http://schemas.openxmlformats.org/officeDocument/2006/relationships/image" Target="media/image72.wmf"/><Relationship Id="rId151" Type="http://schemas.openxmlformats.org/officeDocument/2006/relationships/oleObject" Target="embeddings/oleObject71.bin"/><Relationship Id="rId150" Type="http://schemas.openxmlformats.org/officeDocument/2006/relationships/image" Target="media/image71.wmf"/><Relationship Id="rId15" Type="http://schemas.openxmlformats.org/officeDocument/2006/relationships/oleObject" Target="embeddings/oleObject3.bin"/><Relationship Id="rId149" Type="http://schemas.openxmlformats.org/officeDocument/2006/relationships/oleObject" Target="embeddings/oleObject70.bin"/><Relationship Id="rId148" Type="http://schemas.openxmlformats.org/officeDocument/2006/relationships/image" Target="media/image70.wmf"/><Relationship Id="rId147" Type="http://schemas.openxmlformats.org/officeDocument/2006/relationships/oleObject" Target="embeddings/oleObject69.bin"/><Relationship Id="rId146" Type="http://schemas.openxmlformats.org/officeDocument/2006/relationships/image" Target="media/image69.wmf"/><Relationship Id="rId145" Type="http://schemas.openxmlformats.org/officeDocument/2006/relationships/oleObject" Target="embeddings/oleObject68.bin"/><Relationship Id="rId144" Type="http://schemas.openxmlformats.org/officeDocument/2006/relationships/image" Target="media/image68.wmf"/><Relationship Id="rId143" Type="http://schemas.openxmlformats.org/officeDocument/2006/relationships/oleObject" Target="embeddings/oleObject67.bin"/><Relationship Id="rId142" Type="http://schemas.openxmlformats.org/officeDocument/2006/relationships/image" Target="media/image67.wmf"/><Relationship Id="rId141" Type="http://schemas.openxmlformats.org/officeDocument/2006/relationships/oleObject" Target="embeddings/oleObject66.bin"/><Relationship Id="rId140" Type="http://schemas.openxmlformats.org/officeDocument/2006/relationships/image" Target="media/image66.wmf"/><Relationship Id="rId14" Type="http://schemas.openxmlformats.org/officeDocument/2006/relationships/image" Target="media/image3.wmf"/><Relationship Id="rId139" Type="http://schemas.openxmlformats.org/officeDocument/2006/relationships/oleObject" Target="embeddings/oleObject65.bin"/><Relationship Id="rId138" Type="http://schemas.openxmlformats.org/officeDocument/2006/relationships/image" Target="media/image65.wmf"/><Relationship Id="rId137" Type="http://schemas.openxmlformats.org/officeDocument/2006/relationships/oleObject" Target="embeddings/oleObject64.bin"/><Relationship Id="rId136" Type="http://schemas.openxmlformats.org/officeDocument/2006/relationships/image" Target="media/image64.wmf"/><Relationship Id="rId135" Type="http://schemas.openxmlformats.org/officeDocument/2006/relationships/oleObject" Target="embeddings/oleObject63.bin"/><Relationship Id="rId134" Type="http://schemas.openxmlformats.org/officeDocument/2006/relationships/image" Target="media/image63.wmf"/><Relationship Id="rId133" Type="http://schemas.openxmlformats.org/officeDocument/2006/relationships/oleObject" Target="embeddings/oleObject62.bin"/><Relationship Id="rId132" Type="http://schemas.openxmlformats.org/officeDocument/2006/relationships/image" Target="media/image62.wmf"/><Relationship Id="rId131" Type="http://schemas.openxmlformats.org/officeDocument/2006/relationships/oleObject" Target="embeddings/oleObject61.bin"/><Relationship Id="rId130" Type="http://schemas.openxmlformats.org/officeDocument/2006/relationships/image" Target="media/image61.wmf"/><Relationship Id="rId13" Type="http://schemas.openxmlformats.org/officeDocument/2006/relationships/oleObject" Target="embeddings/oleObject2.bin"/><Relationship Id="rId129" Type="http://schemas.openxmlformats.org/officeDocument/2006/relationships/oleObject" Target="embeddings/oleObject60.bin"/><Relationship Id="rId128" Type="http://schemas.openxmlformats.org/officeDocument/2006/relationships/image" Target="media/image60.wmf"/><Relationship Id="rId127" Type="http://schemas.openxmlformats.org/officeDocument/2006/relationships/oleObject" Target="embeddings/oleObject59.bin"/><Relationship Id="rId126" Type="http://schemas.openxmlformats.org/officeDocument/2006/relationships/image" Target="media/image59.wmf"/><Relationship Id="rId125" Type="http://schemas.openxmlformats.org/officeDocument/2006/relationships/oleObject" Target="embeddings/oleObject58.bin"/><Relationship Id="rId124" Type="http://schemas.openxmlformats.org/officeDocument/2006/relationships/image" Target="media/image58.wmf"/><Relationship Id="rId123" Type="http://schemas.openxmlformats.org/officeDocument/2006/relationships/oleObject" Target="embeddings/oleObject57.bin"/><Relationship Id="rId122" Type="http://schemas.openxmlformats.org/officeDocument/2006/relationships/image" Target="media/image57.wmf"/><Relationship Id="rId121" Type="http://schemas.openxmlformats.org/officeDocument/2006/relationships/oleObject" Target="embeddings/oleObject56.bin"/><Relationship Id="rId120" Type="http://schemas.openxmlformats.org/officeDocument/2006/relationships/image" Target="media/image56.wmf"/><Relationship Id="rId12" Type="http://schemas.openxmlformats.org/officeDocument/2006/relationships/image" Target="media/image2.wmf"/><Relationship Id="rId119" Type="http://schemas.openxmlformats.org/officeDocument/2006/relationships/oleObject" Target="embeddings/oleObject55.bin"/><Relationship Id="rId118" Type="http://schemas.openxmlformats.org/officeDocument/2006/relationships/image" Target="media/image55.wmf"/><Relationship Id="rId117" Type="http://schemas.openxmlformats.org/officeDocument/2006/relationships/oleObject" Target="embeddings/oleObject54.bin"/><Relationship Id="rId116" Type="http://schemas.openxmlformats.org/officeDocument/2006/relationships/image" Target="media/image54.wmf"/><Relationship Id="rId115" Type="http://schemas.openxmlformats.org/officeDocument/2006/relationships/oleObject" Target="embeddings/oleObject53.bin"/><Relationship Id="rId114" Type="http://schemas.openxmlformats.org/officeDocument/2006/relationships/image" Target="media/image53.wmf"/><Relationship Id="rId113" Type="http://schemas.openxmlformats.org/officeDocument/2006/relationships/oleObject" Target="embeddings/oleObject52.bin"/><Relationship Id="rId112" Type="http://schemas.openxmlformats.org/officeDocument/2006/relationships/image" Target="media/image52.wmf"/><Relationship Id="rId111" Type="http://schemas.openxmlformats.org/officeDocument/2006/relationships/oleObject" Target="embeddings/oleObject51.bin"/><Relationship Id="rId110" Type="http://schemas.openxmlformats.org/officeDocument/2006/relationships/image" Target="media/image51.wmf"/><Relationship Id="rId11" Type="http://schemas.openxmlformats.org/officeDocument/2006/relationships/oleObject" Target="embeddings/oleObject1.bin"/><Relationship Id="rId109" Type="http://schemas.openxmlformats.org/officeDocument/2006/relationships/oleObject" Target="embeddings/oleObject50.bin"/><Relationship Id="rId108" Type="http://schemas.openxmlformats.org/officeDocument/2006/relationships/image" Target="media/image50.wmf"/><Relationship Id="rId107" Type="http://schemas.openxmlformats.org/officeDocument/2006/relationships/oleObject" Target="embeddings/oleObject49.bin"/><Relationship Id="rId106" Type="http://schemas.openxmlformats.org/officeDocument/2006/relationships/image" Target="media/image49.wmf"/><Relationship Id="rId105" Type="http://schemas.openxmlformats.org/officeDocument/2006/relationships/oleObject" Target="embeddings/oleObject48.bin"/><Relationship Id="rId104" Type="http://schemas.openxmlformats.org/officeDocument/2006/relationships/image" Target="media/image48.wmf"/><Relationship Id="rId103" Type="http://schemas.openxmlformats.org/officeDocument/2006/relationships/oleObject" Target="embeddings/oleObject47.bin"/><Relationship Id="rId102" Type="http://schemas.openxmlformats.org/officeDocument/2006/relationships/image" Target="media/image47.wmf"/><Relationship Id="rId101" Type="http://schemas.openxmlformats.org/officeDocument/2006/relationships/oleObject" Target="embeddings/oleObject46.bin"/><Relationship Id="rId100" Type="http://schemas.openxmlformats.org/officeDocument/2006/relationships/image" Target="media/image46.wmf"/><Relationship Id="rId10" Type="http://schemas.openxmlformats.org/officeDocument/2006/relationships/image" Target="media/image1.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C9C94D6-18B3-4C54-A311-C0B971748010}">
  <ds:schemaRefs/>
</ds:datastoreItem>
</file>

<file path=docProps/app.xml><?xml version="1.0" encoding="utf-8"?>
<Properties xmlns="http://schemas.openxmlformats.org/officeDocument/2006/extended-properties" xmlns:vt="http://schemas.openxmlformats.org/officeDocument/2006/docPropsVTypes">
  <Template>Normal</Template>
  <Company>Sky123.Org</Company>
  <Pages>110</Pages>
  <Words>14398</Words>
  <Characters>18360</Characters>
  <Lines>563</Lines>
  <Paragraphs>158</Paragraphs>
  <TotalTime>3</TotalTime>
  <ScaleCrop>false</ScaleCrop>
  <LinksUpToDate>false</LinksUpToDate>
  <CharactersWithSpaces>20275</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2020-12-29T13:08:00Z</dcterms:created>
  <dc:creator>Sky123.Org</dc:creator>
  <cp:lastModifiedBy>六元</cp:lastModifiedBy>
  <cp:lastPrinted>2020-08-07T03:31:00Z</cp:lastPrinted>
  <dcterms:modified xsi:type="dcterms:W3CDTF">2025-01-08T14:47:19Z</dcterms:modified>
  <cp:revision>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74773afd-fb7e-4712-b7f7-a13dafa59b6a</vt:lpwstr>
  </property>
  <property fmtid="{D5CDD505-2E9C-101B-9397-08002B2CF9AE}" pid="3" name="DSMClassification">
    <vt:lpwstr>PUBLIC</vt:lpwstr>
  </property>
  <property fmtid="{D5CDD505-2E9C-101B-9397-08002B2CF9AE}" pid="4" name="KSOProductBuildVer">
    <vt:lpwstr>2052-12.1.0.18608</vt:lpwstr>
  </property>
  <property fmtid="{D5CDD505-2E9C-101B-9397-08002B2CF9AE}" pid="5" name="ribbonExt">
    <vt:lpwstr>{"WPSExtOfficeTab":{"OnGetEnabled":false,"OnGetVisible":false}}</vt:lpwstr>
  </property>
  <property fmtid="{D5CDD505-2E9C-101B-9397-08002B2CF9AE}" pid="6" name="ICV">
    <vt:lpwstr>387E289F46914CFB86A2A28C81102AE6_12</vt:lpwstr>
  </property>
</Properties>
</file>