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部门整体支出绩效目标申报表</w:t>
      </w:r>
    </w:p>
    <w:p>
      <w:pPr>
        <w:jc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( 2020 年度)</w:t>
      </w:r>
    </w:p>
    <w:tbl>
      <w:tblPr>
        <w:tblStyle w:val="4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000000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31"/>
        <w:gridCol w:w="552"/>
        <w:gridCol w:w="993"/>
        <w:gridCol w:w="1651"/>
        <w:gridCol w:w="617"/>
        <w:gridCol w:w="1261"/>
        <w:gridCol w:w="100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  <w:jc w:val="center"/>
        </w:trPr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部门名称</w:t>
            </w:r>
          </w:p>
        </w:tc>
        <w:tc>
          <w:tcPr>
            <w:tcW w:w="725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湛江市民政局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  <w:jc w:val="center"/>
        </w:trPr>
        <w:tc>
          <w:tcPr>
            <w:tcW w:w="17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基本情况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财政供养人员数量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323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预算安排年度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8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下属单位数量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部门预算金额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22959.27万元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年度整体绩效目标概述</w:t>
            </w:r>
          </w:p>
        </w:tc>
        <w:tc>
          <w:tcPr>
            <w:tcW w:w="725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1.严格执行国家财税法律法规，规范收支预决算编制管理，保障机关正常运行，做好民政承担的各项工作。</w:t>
            </w:r>
          </w:p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2．完善社会保障体系，补齐困难群众基本生活保障短板。</w:t>
            </w:r>
          </w:p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3．丰富养老服务业态和服务模式，深化养老服务供给侧结构性改革。</w:t>
            </w:r>
          </w:p>
          <w:p>
            <w:pPr>
              <w:jc w:val="left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．</w:t>
            </w:r>
            <w:r>
              <w:rPr>
                <w:rFonts w:hint="eastAsia" w:ascii="宋体" w:hAnsi="宋体"/>
              </w:rPr>
              <w:t>加强城乡社区和社会组织建设，提升基层治理水平。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atLeast"/>
          <w:jc w:val="center"/>
        </w:trPr>
        <w:tc>
          <w:tcPr>
            <w:tcW w:w="17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预算整体情况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按支出类型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预算金额（万元）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按收入来源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基本支出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5127.91</w:t>
            </w:r>
          </w:p>
        </w:tc>
        <w:tc>
          <w:tcPr>
            <w:tcW w:w="6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</w:t>
            </w:r>
          </w:p>
        </w:tc>
        <w:tc>
          <w:tcPr>
            <w:tcW w:w="13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财政拨款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22959.27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项目支出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17831.36</w:t>
            </w:r>
          </w:p>
        </w:tc>
        <w:tc>
          <w:tcPr>
            <w:tcW w:w="6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其他资金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按支出性质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预算金额（万元）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按预算级次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运转性  支出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22959.27</w:t>
            </w:r>
          </w:p>
        </w:tc>
        <w:tc>
          <w:tcPr>
            <w:tcW w:w="6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</w:t>
            </w:r>
          </w:p>
        </w:tc>
        <w:tc>
          <w:tcPr>
            <w:tcW w:w="13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市本级预算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22959.27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事业发展性支出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转移支付市县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7" w:hRule="atLeast"/>
          <w:jc w:val="center"/>
        </w:trPr>
        <w:tc>
          <w:tcPr>
            <w:tcW w:w="17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年度重点工作任务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名称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主要实施内容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拟投入的资金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（万元）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期望达到的目标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8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日常办公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水费、电费、办公用品购置等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500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保障日常办公正常运转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3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殡葬管理服务视频监控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湛江殡葬管理服务视频监控系统升级改造项目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90.5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殡葬管理服务视频监控信息系统正常运转，加强殡葬信息化建设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3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培训费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婚姻登记业务培训、救助业务培训、社会福利业务培训、人才社工队伍培训、社会组织培训、区划地名培训等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指导和提高业务技能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8" w:hRule="atLeast"/>
          <w:jc w:val="center"/>
        </w:trPr>
        <w:tc>
          <w:tcPr>
            <w:tcW w:w="17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年度重点工作任务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社会组织发展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扶持社会组织发展和党组织建设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86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促进社会组织健康有序发展，加大党组织组建力度，推进社会组织党的组织和党的工作有效覆盖，创新党组织工作内容和活动方式，发挥社会组织党组织的政治核心作用。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困难群众救助补助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救助补助各类困难群众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4000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提高社会救助水平，解决困难群众基本生活问题，落实社会救助政策，对符合条件的困难群众应保尽保。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地名普查成果转化和重点地名文化研究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落实民政部文件精神，做好地名普查成果转化工作，做好图录典志编纂工作。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199.5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进一步提高地名普查成果和重点地名文化研究成果转化率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殡葬改革、殡葬设施建设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落实节地生态安葬奖补政策，建设生态安葬设施</w:t>
            </w:r>
          </w:p>
        </w:tc>
        <w:tc>
          <w:tcPr>
            <w:tcW w:w="197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</w:t>
            </w:r>
          </w:p>
        </w:tc>
        <w:tc>
          <w:tcPr>
            <w:tcW w:w="20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完善我市公益性骨灰存放设施建设，节约土地，保护环境，深化我市殡葬改革，完成殡葬事业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“</w:t>
            </w:r>
            <w:r>
              <w:rPr>
                <w:rFonts w:hint="eastAsia" w:ascii="宋体" w:hAnsi="宋体" w:cs="宋体"/>
                <w:szCs w:val="21"/>
              </w:rPr>
              <w:t>十三五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”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规划期间2020年度工作任务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7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其他需达到的目标（选填）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571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全面实施预算绩效管理，提高资金使用效益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571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加强采购监管，控制经济成本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" w:hRule="atLeast"/>
          <w:jc w:val="center"/>
        </w:trPr>
        <w:tc>
          <w:tcPr>
            <w:tcW w:w="17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绩效指标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三级指标目标值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65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月人均城乡低保补差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分别不低于610元和276元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完成社会工作与志愿协会登记注册率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2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提高残疾人两项补贴标准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困难残疾人生活补贴175元/月·人，重度残疾人护理补贴235元/月·人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培训次数（次）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培训人次（次）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党组织建设和工作有效覆盖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补贴村务监督委员会成员覆盖率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重点地名文化研究覆盖率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保障抚恤金发放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按政策发放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信息日常维护率（%）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进一步完善留守儿童档案管理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参加培训率（%）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地名普查成果转化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效果明显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各项救助补贴政策确保及时足额发放，实现应补尽补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工程施工工作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2020．12．31前完成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资金使用进度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2020．12.31前按进度支付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工程施工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预算控制在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95%内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培训工作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预算控制在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95%内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3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行政运行经费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预算控制在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95%内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“三公”经费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预算控制在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95%内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其他各项经费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预算控制在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95%内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7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绩效指标</w:t>
            </w:r>
          </w:p>
        </w:tc>
        <w:tc>
          <w:tcPr>
            <w:tcW w:w="154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效益指标</w:t>
            </w:r>
          </w:p>
        </w:tc>
        <w:tc>
          <w:tcPr>
            <w:tcW w:w="165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社会效益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保障日常办公正常运转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保障日常办公正常运转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办公设备通过政府采购平台采购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节约了机关经费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实现市委市政府的预期目标任务，达到民生改善的既定目标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着力保障改善民生，提升群众幸福指数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对预算项目进行绩效评价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切实提高财政资金的使用效益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农村留守儿童得到身心健康发展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/>
                <w:color w:val="333333"/>
                <w:sz w:val="22"/>
                <w:szCs w:val="22"/>
              </w:rPr>
              <w:t>效果明显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培养社会组织党员，促进党群关系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效果明显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做好地名普查、地名文化研究工作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做好地名建设，为群众提供便利，保护历史文化遗产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做好基层政权建设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维护社区稳定和正常运转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生态效益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促进节地生态安葬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效果明显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8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可持续影响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健全民生保障体系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不断完善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维护社会稳定和谐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成效明显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服务对象满意度（%）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9" w:hRule="atLeast"/>
          <w:jc w:val="center"/>
        </w:trPr>
        <w:tc>
          <w:tcPr>
            <w:tcW w:w="17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5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社会公众投诉率（%）</w:t>
            </w:r>
          </w:p>
        </w:tc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&lt;1%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其他需要说明的情况</w:t>
            </w:r>
          </w:p>
        </w:tc>
        <w:tc>
          <w:tcPr>
            <w:tcW w:w="725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财政部门审核意见</w:t>
            </w:r>
          </w:p>
        </w:tc>
        <w:tc>
          <w:tcPr>
            <w:tcW w:w="725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/>
    <w:p>
      <w:pPr>
        <w:widowControl/>
        <w:spacing w:line="465" w:lineRule="atLeast"/>
        <w:ind w:firstLine="420"/>
        <w:jc w:val="left"/>
        <w:rPr>
          <w:rFonts w:ascii="宋体" w:hAnsi="宋体" w:cs="宋体"/>
          <w:color w:val="3D3D3D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.产出指标：反映部门根据既定目标计划完成的产品和服务情况。可进一步细分为：数量指标，反映部门计划完成的产品或服务数量；质量指标，反映部门计划提供产品或服务达到的标准、水平和效果；时效指标，反映部门计划提供产品或服务的及时程度和效率情况；成本指标，反映部门计划提供产品或服务所需成本。</w:t>
      </w:r>
    </w:p>
    <w:p>
      <w:pPr>
        <w:widowControl/>
        <w:spacing w:line="465" w:lineRule="atLeast"/>
        <w:ind w:firstLine="420"/>
        <w:jc w:val="left"/>
        <w:rPr>
          <w:rFonts w:ascii="宋体" w:hAnsi="宋体" w:cs="宋体"/>
          <w:color w:val="3D3D3D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2.效益指标：反映与既定绩效目标相关的、部门整体支出预期结果的实现程度和影响，包括经济效益指标、社会效益指标、生态效益指标、可持续影响指标、</w:t>
      </w:r>
      <w:r>
        <w:rPr>
          <w:rFonts w:hint="eastAsia" w:ascii="宋体" w:hAnsi="宋体" w:cs="宋体"/>
          <w:color w:val="3D3D3D"/>
          <w:kern w:val="0"/>
          <w:szCs w:val="21"/>
        </w:rPr>
        <w:t>社会公众或服务对象满意度指标</w:t>
      </w:r>
      <w:r>
        <w:rPr>
          <w:rFonts w:hint="eastAsia" w:ascii="宋体" w:hAnsi="宋体" w:cs="宋体"/>
          <w:color w:val="000000"/>
          <w:kern w:val="0"/>
          <w:szCs w:val="21"/>
        </w:rPr>
        <w:t>等。</w:t>
      </w:r>
    </w:p>
    <w:p>
      <w:pPr>
        <w:ind w:left="-850" w:leftChars="-405"/>
        <w:rPr>
          <w:rFonts w:ascii="宋体" w:hAnsi="宋体" w:cs="宋体"/>
          <w:color w:val="000000"/>
          <w:kern w:val="0"/>
          <w:szCs w:val="21"/>
        </w:rPr>
      </w:pPr>
    </w:p>
    <w:p>
      <w:pPr>
        <w:ind w:left="-850" w:leftChars="-405"/>
      </w:pPr>
    </w:p>
    <w:p/>
    <w:sectPr>
      <w:pgSz w:w="11906" w:h="16838"/>
      <w:pgMar w:top="1247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altName w:val="方正小标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7D6E"/>
    <w:rsid w:val="00097903"/>
    <w:rsid w:val="000F5C3D"/>
    <w:rsid w:val="001019FA"/>
    <w:rsid w:val="001F2105"/>
    <w:rsid w:val="002C3883"/>
    <w:rsid w:val="002E3D66"/>
    <w:rsid w:val="002F7004"/>
    <w:rsid w:val="0038764E"/>
    <w:rsid w:val="00425001"/>
    <w:rsid w:val="004D7001"/>
    <w:rsid w:val="004F5B81"/>
    <w:rsid w:val="00524610"/>
    <w:rsid w:val="00571889"/>
    <w:rsid w:val="005B18DA"/>
    <w:rsid w:val="005D60A9"/>
    <w:rsid w:val="005E5E6F"/>
    <w:rsid w:val="0063023F"/>
    <w:rsid w:val="00642F66"/>
    <w:rsid w:val="006515B4"/>
    <w:rsid w:val="00687C4E"/>
    <w:rsid w:val="006B093B"/>
    <w:rsid w:val="006D363C"/>
    <w:rsid w:val="006E5C4C"/>
    <w:rsid w:val="00705C91"/>
    <w:rsid w:val="00742333"/>
    <w:rsid w:val="00747425"/>
    <w:rsid w:val="00784CD1"/>
    <w:rsid w:val="007E3D17"/>
    <w:rsid w:val="007F36F8"/>
    <w:rsid w:val="008512D9"/>
    <w:rsid w:val="008A6947"/>
    <w:rsid w:val="00930D84"/>
    <w:rsid w:val="00956ED1"/>
    <w:rsid w:val="009B37B6"/>
    <w:rsid w:val="009C194D"/>
    <w:rsid w:val="009D3DFC"/>
    <w:rsid w:val="00A066D1"/>
    <w:rsid w:val="00A35E4F"/>
    <w:rsid w:val="00B05B1B"/>
    <w:rsid w:val="00B37D6E"/>
    <w:rsid w:val="00B4406C"/>
    <w:rsid w:val="00B91559"/>
    <w:rsid w:val="00C0125E"/>
    <w:rsid w:val="00C21282"/>
    <w:rsid w:val="00C515BE"/>
    <w:rsid w:val="00CE7DBA"/>
    <w:rsid w:val="00CF1998"/>
    <w:rsid w:val="00CF6650"/>
    <w:rsid w:val="00DF27D2"/>
    <w:rsid w:val="00E734BD"/>
    <w:rsid w:val="00F61398"/>
    <w:rsid w:val="00F61D5C"/>
    <w:rsid w:val="00FD7655"/>
    <w:rsid w:val="67EFC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4</Pages>
  <Words>338</Words>
  <Characters>1928</Characters>
  <Lines>16</Lines>
  <Paragraphs>4</Paragraphs>
  <TotalTime>20</TotalTime>
  <ScaleCrop>false</ScaleCrop>
  <LinksUpToDate>false</LinksUpToDate>
  <CharactersWithSpaces>2262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2020-02-11T10:49:00Z</dcterms:created>
  <dc:creator>梁志</dc:creator>
  <cp:lastModifiedBy>uos</cp:lastModifiedBy>
  <dcterms:modified xsi:type="dcterms:W3CDTF">2025-01-20T12:05:14Z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