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color w:val="000000" w:themeColor="text1"/>
          <w:sz w:val="44"/>
          <w:szCs w:val="44"/>
          <w14:textFill>
            <w14:solidFill>
              <w14:schemeClr w14:val="tx1"/>
            </w14:solidFill>
          </w14:textFill>
        </w:rPr>
      </w:pPr>
      <w:bookmarkStart w:id="0" w:name="_GoBack"/>
      <w:r>
        <w:rPr>
          <w:rFonts w:hint="eastAsia" w:asciiTheme="minorEastAsia" w:hAnsiTheme="minorEastAsia" w:eastAsiaTheme="minorEastAsia" w:cstheme="minorEastAsia"/>
          <w:b/>
          <w:bCs/>
          <w:color w:val="000000" w:themeColor="text1"/>
          <w:sz w:val="44"/>
          <w:szCs w:val="44"/>
          <w14:textFill>
            <w14:solidFill>
              <w14:schemeClr w14:val="tx1"/>
            </w14:solidFill>
          </w14:textFill>
        </w:rPr>
        <w:t>湛江市文化传承</w:t>
      </w:r>
      <w:r>
        <w:rPr>
          <w:rFonts w:hint="eastAsia" w:asciiTheme="minorEastAsia" w:hAnsiTheme="minorEastAsia" w:eastAsiaTheme="minorEastAsia" w:cstheme="minorEastAsia"/>
          <w:b/>
          <w:bCs/>
          <w:color w:val="000000" w:themeColor="text1"/>
          <w:sz w:val="44"/>
          <w:szCs w:val="44"/>
          <w:lang w:val="en-US" w:eastAsia="zh-CN"/>
          <w14:textFill>
            <w14:solidFill>
              <w14:schemeClr w14:val="tx1"/>
            </w14:solidFill>
          </w14:textFill>
        </w:rPr>
        <w:t>研学</w:t>
      </w:r>
      <w:r>
        <w:rPr>
          <w:rFonts w:hint="eastAsia" w:asciiTheme="minorEastAsia" w:hAnsiTheme="minorEastAsia" w:eastAsiaTheme="minorEastAsia" w:cstheme="minorEastAsia"/>
          <w:b/>
          <w:bCs/>
          <w:color w:val="000000" w:themeColor="text1"/>
          <w:sz w:val="44"/>
          <w:szCs w:val="44"/>
          <w14:textFill>
            <w14:solidFill>
              <w14:schemeClr w14:val="tx1"/>
            </w14:solidFill>
          </w14:textFill>
        </w:rPr>
        <w:t>基地申报工作方案</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44"/>
          <w:szCs w:val="44"/>
          <w:lang w:eastAsia="zh-CN"/>
          <w14:textFill>
            <w14:solidFill>
              <w14:schemeClr w14:val="tx1"/>
            </w14:solidFill>
          </w14:textFill>
        </w:rPr>
        <w:t>（征求意见稿）</w:t>
      </w:r>
    </w:p>
    <w:bookmarkEnd w:id="0"/>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jc w:val="both"/>
        <w:textAlignment w:val="baseline"/>
        <w:rPr>
          <w:rFonts w:hint="eastAsia" w:ascii="方正仿宋_GB2312" w:hAnsi="方正仿宋_GB2312" w:eastAsia="方正仿宋_GB2312" w:cs="方正仿宋_GB2312"/>
          <w:color w:val="000000" w:themeColor="text1"/>
          <w:sz w:val="32"/>
          <w:szCs w:val="32"/>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val="0"/>
        <w:wordWrap/>
        <w:overflowPunct/>
        <w:topLinePunct w:val="0"/>
        <w:autoSpaceDE w:val="0"/>
        <w:autoSpaceDN w:val="0"/>
        <w:bidi w:val="0"/>
        <w:adjustRightInd w:val="0"/>
        <w:snapToGrid w:val="0"/>
        <w:spacing w:before="150" w:beforeAutospacing="0" w:after="0" w:afterAutospacing="0" w:line="520" w:lineRule="exact"/>
        <w:ind w:left="0" w:right="0" w:firstLine="0"/>
        <w:jc w:val="both"/>
        <w:textAlignment w:val="baseline"/>
        <w:rPr>
          <w:rFonts w:hint="eastAsia" w:ascii="仿宋_GB2312" w:hAnsi="仿宋_GB2312" w:eastAsia="仿宋_GB2312" w:cs="仿宋_GB2312"/>
          <w:snapToGrid w:val="0"/>
          <w:color w:val="000000" w:themeColor="text1"/>
          <w:kern w:val="0"/>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snapToGrid w:val="0"/>
          <w:color w:val="000000" w:themeColor="text1"/>
          <w:kern w:val="0"/>
          <w:sz w:val="32"/>
          <w:szCs w:val="32"/>
          <w:highlight w:val="none"/>
          <w:lang w:val="en-US" w:eastAsia="zh-CN" w:bidi="ar-SA"/>
          <w14:textFill>
            <w14:solidFill>
              <w14:schemeClr w14:val="tx1"/>
            </w14:solidFill>
          </w14:textFill>
        </w:rPr>
        <w:t xml:space="preserve">   根据《中华人民共和国非物质文化遗产法》《</w:t>
      </w:r>
      <w:r>
        <w:rPr>
          <w:rFonts w:hint="default" w:ascii="仿宋_GB2312" w:hAnsi="仿宋_GB2312" w:eastAsia="仿宋_GB2312" w:cs="仿宋_GB2312"/>
          <w:snapToGrid w:val="0"/>
          <w:color w:val="000000" w:themeColor="text1"/>
          <w:kern w:val="0"/>
          <w:sz w:val="32"/>
          <w:szCs w:val="32"/>
          <w:highlight w:val="none"/>
          <w:lang w:val="en-US" w:eastAsia="zh-CN" w:bidi="ar-SA"/>
          <w14:textFill>
            <w14:solidFill>
              <w14:schemeClr w14:val="tx1"/>
            </w14:solidFill>
          </w14:textFill>
        </w:rPr>
        <w:t>广东省非物质文化遗产条例</w:t>
      </w:r>
      <w:r>
        <w:rPr>
          <w:rFonts w:hint="eastAsia" w:ascii="仿宋_GB2312" w:hAnsi="仿宋_GB2312" w:eastAsia="仿宋_GB2312" w:cs="仿宋_GB2312"/>
          <w:snapToGrid w:val="0"/>
          <w:color w:val="000000" w:themeColor="text1"/>
          <w:kern w:val="0"/>
          <w:sz w:val="32"/>
          <w:szCs w:val="32"/>
          <w:highlight w:val="none"/>
          <w:lang w:val="en-US" w:eastAsia="zh-CN" w:bidi="ar-SA"/>
          <w14:textFill>
            <w14:solidFill>
              <w14:schemeClr w14:val="tx1"/>
            </w14:solidFill>
          </w14:textFill>
        </w:rPr>
        <w:t>》《博物馆条例 》《博物馆管理办法》等法律法规，为扎实推进我市优秀文化保护传承工作，加强文化传承载体建设，我局拟开展“湛江市文化传承研学基地”申报和认定工作，特制定此方案。</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总体目标</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通过对文化资源的系统梳理与深入挖掘，展现我市独特的文化魅力，以研学基地的建设进一步促进文化的活态传承。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w:t>
      </w:r>
      <w:r>
        <w:rPr>
          <w:rFonts w:hint="eastAsia" w:ascii="仿宋_GB2312" w:hAnsi="仿宋_GB2312" w:eastAsia="仿宋_GB2312" w:cs="仿宋_GB2312"/>
          <w:color w:val="000000" w:themeColor="text1"/>
          <w:sz w:val="32"/>
          <w:szCs w:val="32"/>
          <w14:textFill>
            <w14:solidFill>
              <w14:schemeClr w14:val="tx1"/>
            </w14:solidFill>
          </w14:textFill>
        </w:rPr>
        <w:t>将文化传承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研学</w:t>
      </w:r>
      <w:r>
        <w:rPr>
          <w:rFonts w:hint="eastAsia" w:ascii="仿宋_GB2312" w:hAnsi="仿宋_GB2312" w:eastAsia="仿宋_GB2312" w:cs="仿宋_GB2312"/>
          <w:color w:val="000000" w:themeColor="text1"/>
          <w:sz w:val="32"/>
          <w:szCs w:val="32"/>
          <w14:textFill>
            <w14:solidFill>
              <w14:schemeClr w14:val="tx1"/>
            </w14:solidFill>
          </w14:textFill>
        </w:rPr>
        <w:t>基地打造成为文化旅游的新亮点，提升公众对文化传承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研学</w:t>
      </w:r>
      <w:r>
        <w:rPr>
          <w:rFonts w:hint="eastAsia" w:ascii="仿宋_GB2312" w:hAnsi="仿宋_GB2312" w:eastAsia="仿宋_GB2312" w:cs="仿宋_GB2312"/>
          <w:color w:val="000000" w:themeColor="text1"/>
          <w:sz w:val="32"/>
          <w:szCs w:val="32"/>
          <w14:textFill>
            <w14:solidFill>
              <w14:schemeClr w14:val="tx1"/>
            </w14:solidFill>
          </w14:textFill>
        </w:rPr>
        <w:t>基地的认知度和认同感，促进文化与旅游的深度融合，提升文旅融合文化附加值</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我市打造“博物馆之城”</w:t>
      </w:r>
      <w:r>
        <w:rPr>
          <w:rFonts w:hint="eastAsia" w:ascii="仿宋_GB2312" w:hAnsi="仿宋_GB2312" w:eastAsia="仿宋_GB2312" w:cs="仿宋_GB2312"/>
          <w:color w:val="000000" w:themeColor="text1"/>
          <w:sz w:val="32"/>
          <w:szCs w:val="32"/>
          <w14:textFill>
            <w14:solidFill>
              <w14:schemeClr w14:val="tx1"/>
            </w14:solidFill>
          </w14:textFill>
        </w:rPr>
        <w:t>注入新的动力。</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spacing w:val="-6"/>
          <w:lang w:val="en-US" w:eastAsia="zh-CN"/>
        </w:rPr>
      </w:pPr>
      <w:r>
        <w:rPr>
          <w:rFonts w:hint="eastAsia" w:ascii="黑体" w:hAnsi="黑体" w:eastAsia="黑体" w:cs="黑体"/>
          <w:color w:val="000000" w:themeColor="text1"/>
          <w:spacing w:val="-6"/>
          <w:sz w:val="32"/>
          <w:szCs w:val="32"/>
          <w:lang w:val="en-US" w:eastAsia="zh-CN"/>
          <w14:textFill>
            <w14:solidFill>
              <w14:schemeClr w14:val="tx1"/>
            </w14:solidFill>
          </w14:textFill>
        </w:rPr>
        <w:t>二、湛江市非物质文化遗产代表性项目概况、各类展览馆概况</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snapToGrid/>
        <w:spacing w:line="560" w:lineRule="exact"/>
        <w:ind w:firstLine="640" w:firstLineChars="200"/>
        <w:jc w:val="both"/>
        <w:textAlignment w:val="baseline"/>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目前，湛江市共有国家级非物质文化遗产代表性项目9项、省级非物质文化遗产代表性项目48项、市级非物质文化遗产代表性项目106项。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据统计，现可正常开放接待观众的博物馆、展览馆、收藏馆全市共有95家（不含建设中、未开放的），其中</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属于政府管理国有的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家，属于民间管理非国有的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45</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大致可分为八大类：综合性博物馆、非物质文化遗产展示馆、红色革命旧址、名人馆、民间收藏馆、企业文化馆、科普馆、自然艺术馆等展览馆。</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鉴于以上，文化传承研学基地分为二大类：湛江市文化传承研学基地(非遗类）、湛江市文化传承研学基地(展馆类）。通过分二大类、分批（一年一批）予以评审、挂牌，促进更多展馆优化宣教工作，更多展馆面向大众开放，充分激励民间力量持续地支持和参与建设“博物馆之城”。</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、申报对象</w:t>
      </w:r>
      <w:r>
        <w:rPr>
          <w:rFonts w:hint="eastAsia" w:ascii="黑体" w:hAnsi="黑体" w:eastAsia="黑体" w:cs="黑体"/>
          <w:color w:val="000000" w:themeColor="text1"/>
          <w:sz w:val="32"/>
          <w:szCs w:val="32"/>
          <w:lang w:eastAsia="zh-CN"/>
          <w14:textFill>
            <w14:solidFill>
              <w14:schemeClr w14:val="tx1"/>
            </w14:solidFill>
          </w14:textFill>
        </w:rPr>
        <w:t>的范围和内容</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（一）湛江市文化传承研学基地(非遗类）。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湛江市行政区域内，以固定的文化载体通过展示、教学、传习、讲座、培训、研究、研讨、交流等方式开展非遗项目（含国家级、省级、市级）研学相关活动的企事业法人、社会组织法人、其他组织。</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lang w:eastAsia="zh-CN"/>
        </w:rPr>
      </w:pPr>
      <w:r>
        <w:rPr>
          <w:rFonts w:hint="eastAsia" w:ascii="楷体" w:hAnsi="楷体" w:eastAsia="楷体" w:cs="楷体"/>
          <w:color w:val="000000" w:themeColor="text1"/>
          <w:sz w:val="32"/>
          <w:szCs w:val="32"/>
          <w:lang w:val="en-US" w:eastAsia="zh-CN"/>
          <w14:textFill>
            <w14:solidFill>
              <w14:schemeClr w14:val="tx1"/>
            </w14:solidFill>
          </w14:textFill>
        </w:rPr>
        <w:t>（二）湛江市文化传承研学基地(展馆类）。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湛江市行政区域内，以固定的文化载体（如</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博物馆、展览馆、收藏馆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等）通过展示、教学、传习、讲座、培训、研究、研讨、交流等方式开展研学相关活动的企事业法人、社会组织法人、其他组织。</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、申报条件</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（一）湛江市文化传承研学基地(非遗类）</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1.具备独立法人资质。</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2.已被公布为</w:t>
      </w:r>
      <w:r>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t>国家级</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、省级、市级</w:t>
      </w:r>
      <w:r>
        <w:rPr>
          <w:rFonts w:hint="default" w:ascii="仿宋_GB2312" w:hAnsi="仿宋_GB2312" w:eastAsia="仿宋_GB2312" w:cs="仿宋_GB2312"/>
          <w:color w:val="000000" w:themeColor="text1"/>
          <w:spacing w:val="-6"/>
          <w:sz w:val="32"/>
          <w:szCs w:val="32"/>
          <w:lang w:val="en-US" w:eastAsia="zh-CN"/>
          <w14:textFill>
            <w14:solidFill>
              <w14:schemeClr w14:val="tx1"/>
            </w14:solidFill>
          </w14:textFill>
        </w:rPr>
        <w:t>非物质文化遗产代表性项目</w:t>
      </w: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3.有文化载体三年研学计划和阶段性目标任务，有一定规模(不少于80平方米)的固定场所用于开展活动。</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4.有规范的组织管理，包括有健全的管理制度、专职的管理人员、必需的经费投入保障、完整的档案等。</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5.已开展过相关文化传承研学活动，产生了良好的社会效益，并有一定的影响力。</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6.当地政府部门或主管单位对该文化载体积极给予大力支持。</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（二）湛江市文化传承研学基地(展馆类）</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1.具备独立法人资质。</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须提供展馆的概况说明，包括展览活动的目的和要求、指导思想和原则、展览主题和内容、展览数据收集和范围、展览规模和面积、表达形式和技术、艺术技术设计、施工管理和要求、展览时间和地点、展厅设计要求等。</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3.有文化载体三年研学计划和阶段性目标任务，有一定规模(不少于80平方米)的固定场所用于开展活动。</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4.有规范的组织管理，包括有健全的管理制度、专职的管理人员、必需的经费投入保障、完整的档案等。</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5.已开展过相关文化传承研学活动，产生了良好的社会效益，并有一定的影响力。</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6.当地政府部门或主管单位对该文化载体积极给予大力支持。</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五、申报评定程序</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(一)申报单位填写申报表(见附件1）,经单位所在地的县（区）级文化行政主管部门审核同意后，统一推荐报送市局文物和非物质文化遗产科。</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(二)市局文物和非物质文化遗产科对县（区）级文化行政主管部门上报的申报材料进行初审，组织专家进行评审，并根据工作需要安排实地考察，提出推荐名单。</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(三)市局对推荐名单进行审议、公示，无异议后予以官网公布、挂牌。</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六、时间安排</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（一）自主申报阶段。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各申报单位根据通知要求的申报条件，准备并提交申报材料。申报材料需全面、真实、准确，反映出申报基地的基本情况、传承、研学工作等内容。</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pacing w:val="-6"/>
          <w:sz w:val="32"/>
          <w:szCs w:val="32"/>
          <w:lang w:val="en-US" w:eastAsia="zh-CN"/>
          <w14:textFill>
            <w14:solidFill>
              <w14:schemeClr w14:val="tx1"/>
            </w14:solidFill>
          </w14:textFill>
        </w:rPr>
        <w:t>（二）县（区）级主管部门收集材料上报阶段。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各县（区）级文化主管部门负责收集本区域内申报单位的申报材料，并进行初步审核。审核通过后,将符合条件的申报材料统一上报市局文物和非物质文化遗产科。</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（三）组织专家评审阶段。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市局组织相关领域的专家组成评审委员会，对上报的申报材料遵循公平、公正、公开的原则进行集中评审，形成评审结果。</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（四）实地考察与推荐名单提出阶段。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评审委员会根据评审结果，对部分申报基地进行实地考察。实地考察将重点考察基地的研学工作、发展前景等方面,评审委员会提出推荐名单。</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（五）审议推荐名单阶段。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市局对评审委员会提出的推荐名单进行审议，形成最终推荐名单。</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（六）确定名单并公示阶段。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市局根据审议结果，确定文化传承研学基地名单，并在市文化广电旅游体育局官方网站等媒体上进行公示，接受社会监督。</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（七）公布与挂牌阶段。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公示无异议后，通过市级文件和在市文化广电旅游体育局官方网站等媒体正式公布文化传承研学基地名单，并择机举行挂牌仪式。</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实</w:t>
      </w:r>
      <w:r>
        <w:rPr>
          <w:rFonts w:hint="eastAsia" w:ascii="黑体" w:hAnsi="黑体" w:eastAsia="黑体" w:cs="黑体"/>
          <w:color w:val="000000" w:themeColor="text1"/>
          <w:sz w:val="32"/>
          <w:szCs w:val="32"/>
          <w:lang w:val="en-US" w:eastAsia="zh-CN"/>
          <w14:textFill>
            <w14:solidFill>
              <w14:schemeClr w14:val="tx1"/>
            </w14:solidFill>
          </w14:textFill>
        </w:rPr>
        <w:t>施“摘牌退出”机制</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（一）基地评定的有效期限定为三年，自公布名单之日起计算。在三年的有效期内，县（区）级文化主管部门进行不定期的抽查。</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（二）三年有效期届满时，基地需根据自主申报，接受市局的复查。若复查结果表明基地不符合评审标准，予以摘牌。挂牌期间出现以下情形之一的，将视情况予以摘牌处理：</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3" w:firstLineChars="200"/>
        <w:jc w:val="both"/>
        <w:rPr>
          <w:rFonts w:hint="default"/>
          <w:b/>
          <w:bCs/>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湛江市</w:t>
      </w:r>
      <w:r>
        <w:rPr>
          <w:rFonts w:hint="eastAsia" w:ascii="仿宋_GB2312" w:hAnsi="仿宋_GB2312" w:eastAsia="仿宋_GB2312" w:cs="仿宋_GB2312"/>
          <w:b/>
          <w:bCs/>
          <w:color w:val="000000" w:themeColor="text1"/>
          <w:sz w:val="32"/>
          <w:szCs w:val="32"/>
          <w14:textFill>
            <w14:solidFill>
              <w14:schemeClr w14:val="tx1"/>
            </w14:solidFill>
          </w14:textFill>
        </w:rPr>
        <w:t>文化传承</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研学</w:t>
      </w:r>
      <w:r>
        <w:rPr>
          <w:rFonts w:hint="eastAsia" w:ascii="仿宋_GB2312" w:hAnsi="仿宋_GB2312" w:eastAsia="仿宋_GB2312" w:cs="仿宋_GB2312"/>
          <w:b/>
          <w:bCs/>
          <w:color w:val="000000" w:themeColor="text1"/>
          <w:sz w:val="32"/>
          <w:szCs w:val="32"/>
          <w14:textFill>
            <w14:solidFill>
              <w14:schemeClr w14:val="tx1"/>
            </w14:solidFill>
          </w14:textFill>
        </w:rPr>
        <w:t>基地</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(非遗类）</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（1）无正当理由不履行规定义务</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传承基地在获得挂牌后，应明确其职责和义务，包括但不限于完整传授非遗项目操作程序、技术规范、技艺要领，开展传承活动，参与主管部门组织的非遗传承、展示、传播、研讨等活动。传承基地无正当理由拒不履行这些义务，且经多次提醒和督促仍不改正的。</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（2）考核评估不合格</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文化主管部门定期对传承基地进行考核评估，评估内容包括但不限于传承活动开展情况、传承人培养效果、非遗文化传承档案或资料的完善程度等。传承基地在连续两次或多次考核评估中不合格，且未能在规定时间内完成整改的。</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（3）利用传承基地开展非法活动</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传承基地应严格遵守法律法规和社会公德，不得利用非遗传承之名开展非法活动。传承基地存在违法违规行为，如传播邪教、进行非法集资等，造成重大不良社会影响的。</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（4）注重个人利益得失，忽视非遗文化传承</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传承基地应以非遗文化传承为首要任务，不得将个人利益置于非遗文化传承之上。传承基地存在无大局意识、只注重个人利益得失的行为，如利用非遗项目谋取私利、损害非遗文化传承的公共利益等的。</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（5）其他严重违反非遗文化传承相关规定的行为</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除了以上几种情况外，传承基地存在其他严重违反非遗文化传承相关规定的行为，如擅自改变非遗项目内容、篡改非遗传承历史等的。</w:t>
      </w:r>
    </w:p>
    <w:p>
      <w:pPr>
        <w:pStyle w:val="3"/>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3" w:firstLineChars="200"/>
        <w:jc w:val="both"/>
        <w:rPr>
          <w:rFonts w:hint="default"/>
          <w:b/>
          <w:bCs/>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湛江市</w:t>
      </w:r>
      <w:r>
        <w:rPr>
          <w:rFonts w:hint="eastAsia" w:ascii="仿宋_GB2312" w:hAnsi="仿宋_GB2312" w:eastAsia="仿宋_GB2312" w:cs="仿宋_GB2312"/>
          <w:b/>
          <w:bCs/>
          <w:color w:val="000000" w:themeColor="text1"/>
          <w:sz w:val="32"/>
          <w:szCs w:val="32"/>
          <w14:textFill>
            <w14:solidFill>
              <w14:schemeClr w14:val="tx1"/>
            </w14:solidFill>
          </w14:textFill>
        </w:rPr>
        <w:t>文化传承</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研学</w:t>
      </w:r>
      <w:r>
        <w:rPr>
          <w:rFonts w:hint="eastAsia" w:ascii="仿宋_GB2312" w:hAnsi="仿宋_GB2312" w:eastAsia="仿宋_GB2312" w:cs="仿宋_GB2312"/>
          <w:b/>
          <w:bCs/>
          <w:color w:val="000000" w:themeColor="text1"/>
          <w:sz w:val="32"/>
          <w:szCs w:val="32"/>
          <w14:textFill>
            <w14:solidFill>
              <w14:schemeClr w14:val="tx1"/>
            </w14:solidFill>
          </w14:textFill>
        </w:rPr>
        <w:t>基地</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(展馆类）</w:t>
      </w:r>
    </w:p>
    <w:p>
      <w:pPr>
        <w:pStyle w:val="3"/>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beforeLines="0" w:afterLines="0" w:line="560" w:lineRule="exact"/>
        <w:ind w:left="0" w:leftChars="0" w:firstLine="640" w:firstLineChars="200"/>
        <w:jc w:val="both"/>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（1）未持续符合认定标准与要求</w:t>
      </w:r>
    </w:p>
    <w:p>
      <w:pPr>
        <w:pStyle w:val="3"/>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snapToGrid/>
        <w:spacing w:beforeLines="0" w:afterLines="0" w:line="560" w:lineRule="exact"/>
        <w:ind w:left="0" w:leftChars="0" w:firstLine="640" w:firstLineChars="200"/>
        <w:jc w:val="both"/>
        <w:textAlignment w:val="baseline"/>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基地在运营过程中，应持续符合其认定标准和要求。基地在硬件设施、课程内容设计、教学服务质量等方面出现严重问题，未能持续达标，且经主管部门提醒和督促后仍未有效改进的。</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（2）违规操作与安全隐患</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基地应严格遵守国家法律法规、政策规定及行业准则。存在违反规定的行为，包括但不限于在研学活动中存在安全隐患且未及时整改或整改不到位，对参与者安全构成威胁的。</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（3）教育质量低下与未履行教育职责</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基地应提供具有教育性和实践性的研学课程和活动，满足观众的学习需求。基地提供的课程内容缺乏教育价值，教学质量低下，受到广泛投诉且未能及时有效改进的。</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（4）长期未开展活动或损害声誉</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基地应积极开展研学活动，接待研学团队。若基地在认定后长期未开展研学活动或未接待研学团队，导致资源闲置和浪费；或因严重违规行为、教育质量低下等问题对湛江市文化传承研学基地的整体声誉造成严重影响的。</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（5）未配合主管部门工作与其他严重问题</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32"/>
          <w:szCs w:val="32"/>
          <w:lang w:val="en-US" w:eastAsia="zh-CN" w:bidi="ar-SA"/>
          <w14:textFill>
            <w14:solidFill>
              <w14:schemeClr w14:val="tx1"/>
            </w14:solidFill>
          </w14:textFill>
        </w:rPr>
        <w:t>基地应积极配合主管部门的工作，包括按时提交工作计划等相关材料，接受主管部门的检查和评估等。基地未按时提交相关材料，未配合主管部门工作；或因不可抗力或其他特殊原因无法继续运营，且无法找到合适的替代单位或机构；或存在其他经主管部门研究决定需要摘牌或清退出库的严重问题的，将视情况予以摘牌处理，并考虑清退出库。</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八、评审专家</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由市文化广电旅游体育局牵头成立</w:t>
      </w:r>
      <w:r>
        <w:rPr>
          <w:rFonts w:hint="eastAsia" w:ascii="仿宋_GB2312" w:hAnsi="仿宋_GB2312" w:eastAsia="仿宋_GB2312" w:cs="仿宋_GB2312"/>
          <w:color w:val="000000" w:themeColor="text1"/>
          <w:sz w:val="32"/>
          <w:szCs w:val="32"/>
          <w:lang w:eastAsia="zh-CN"/>
          <w14:textFill>
            <w14:solidFill>
              <w14:schemeClr w14:val="tx1"/>
            </w14:solidFill>
          </w14:textFill>
        </w:rPr>
        <w:t>湛江市</w:t>
      </w:r>
      <w:r>
        <w:rPr>
          <w:rFonts w:hint="eastAsia" w:ascii="仿宋_GB2312" w:hAnsi="仿宋_GB2312" w:eastAsia="仿宋_GB2312" w:cs="仿宋_GB2312"/>
          <w:color w:val="000000" w:themeColor="text1"/>
          <w:sz w:val="32"/>
          <w:szCs w:val="32"/>
          <w14:textFill>
            <w14:solidFill>
              <w14:schemeClr w14:val="tx1"/>
            </w14:solidFill>
          </w14:textFill>
        </w:rPr>
        <w:t>文化传承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研学</w:t>
      </w:r>
      <w:r>
        <w:rPr>
          <w:rFonts w:hint="eastAsia" w:ascii="仿宋_GB2312" w:hAnsi="仿宋_GB2312" w:eastAsia="仿宋_GB2312" w:cs="仿宋_GB2312"/>
          <w:color w:val="000000" w:themeColor="text1"/>
          <w:sz w:val="32"/>
          <w:szCs w:val="32"/>
          <w14:textFill>
            <w14:solidFill>
              <w14:schemeClr w14:val="tx1"/>
            </w14:solidFill>
          </w14:textFill>
        </w:rPr>
        <w:t>基地</w:t>
      </w:r>
      <w:r>
        <w:rPr>
          <w:rFonts w:hint="eastAsia" w:ascii="仿宋_GB2312" w:hAnsi="仿宋_GB2312" w:eastAsia="仿宋_GB2312" w:cs="仿宋_GB2312"/>
          <w:color w:val="000000" w:themeColor="text1"/>
          <w:sz w:val="32"/>
          <w:szCs w:val="32"/>
          <w:lang w:eastAsia="zh-CN"/>
          <w14:textFill>
            <w14:solidFill>
              <w14:schemeClr w14:val="tx1"/>
            </w14:solidFill>
          </w14:textFill>
        </w:rPr>
        <w:t>评审委员会，主要人员构成为：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市文化广电旅游体育局分管领导、业务科室、非遗保护中心、专家学者（非遗、文博、历史学、民俗学、艺术学等方面）等。</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九、申报材料</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湛江市文化传承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研学</w:t>
      </w:r>
      <w:r>
        <w:rPr>
          <w:rFonts w:hint="eastAsia" w:ascii="仿宋_GB2312" w:hAnsi="仿宋_GB2312" w:eastAsia="仿宋_GB2312" w:cs="仿宋_GB2312"/>
          <w:color w:val="000000" w:themeColor="text1"/>
          <w:sz w:val="32"/>
          <w:szCs w:val="32"/>
          <w14:textFill>
            <w14:solidFill>
              <w14:schemeClr w14:val="tx1"/>
            </w14:solidFill>
          </w14:textFill>
        </w:rPr>
        <w:t>基地申报表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2.法人证书复印件。</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已开展的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研学</w:t>
      </w:r>
      <w:r>
        <w:rPr>
          <w:rFonts w:hint="eastAsia" w:ascii="仿宋_GB2312" w:hAnsi="仿宋_GB2312" w:eastAsia="仿宋_GB2312" w:cs="仿宋_GB2312"/>
          <w:color w:val="000000" w:themeColor="text1"/>
          <w:sz w:val="32"/>
          <w:szCs w:val="32"/>
          <w14:textFill>
            <w14:solidFill>
              <w14:schemeClr w14:val="tx1"/>
            </w14:solidFill>
          </w14:textFill>
        </w:rPr>
        <w:t>活动总结</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pPr>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pacing w:val="-6"/>
          <w:sz w:val="32"/>
          <w:szCs w:val="32"/>
          <w14:textFill>
            <w14:solidFill>
              <w14:schemeClr w14:val="tx1"/>
            </w14:solidFill>
          </w14:textFill>
        </w:rPr>
        <w:t>活动照片(附照片说明、拍摄时间、摄影者)及相关音像资料</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场地照片(附照片说明、拍摄时间、摄影者)</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其他相关资料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pPr>
      <w:r>
        <w:rPr>
          <w:rFonts w:hint="eastAsia" w:ascii="黑体" w:hAnsi="黑体" w:eastAsia="黑体" w:cs="黑体"/>
          <w:snapToGrid w:val="0"/>
          <w:color w:val="000000" w:themeColor="text1"/>
          <w:kern w:val="0"/>
          <w:sz w:val="32"/>
          <w:szCs w:val="32"/>
          <w:lang w:val="en-US" w:eastAsia="zh-CN" w:bidi="ar-SA"/>
          <w14:textFill>
            <w14:solidFill>
              <w14:schemeClr w14:val="tx1"/>
            </w14:solidFill>
          </w14:textFill>
        </w:rPr>
        <w:t>十、研学基地宣传与开发</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ind w:left="0" w:leftChars="0" w:firstLine="640" w:firstLineChars="200"/>
        <w:jc w:val="both"/>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湛江市文化传承研学基地的认定与管理工作中，我们涵盖了非遗类及展馆类两大类别。在成功完成基地的挂牌评选后，后续可开展主题研学路径的研究与推选、媒体宣传与推广、对开发研学路径的年度统计与评估、最受欢迎路径的挑选与宣传，为确保基地资源的有效利用和广泛传播。</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jc w:val="both"/>
        <w:rPr>
          <w:rFonts w:hint="default"/>
          <w:lang w:val="en-US" w:eastAsia="zh-CN"/>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附件：湛江市文化传承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研学</w:t>
      </w:r>
      <w:r>
        <w:rPr>
          <w:rFonts w:hint="eastAsia" w:ascii="仿宋_GB2312" w:hAnsi="仿宋_GB2312" w:eastAsia="仿宋_GB2312" w:cs="仿宋_GB2312"/>
          <w:color w:val="000000" w:themeColor="text1"/>
          <w:sz w:val="32"/>
          <w:szCs w:val="32"/>
          <w14:textFill>
            <w14:solidFill>
              <w14:schemeClr w14:val="tx1"/>
            </w14:solidFill>
          </w14:textFill>
        </w:rPr>
        <w:t>基地申报表</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jc w:val="both"/>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jc w:val="both"/>
        <w:rPr>
          <w:rFonts w:hint="default" w:ascii="Times New Roman" w:hAnsi="Times New Roman" w:cs="Times New Roman"/>
          <w:color w:val="auto"/>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湛江</w:t>
      </w:r>
      <w:r>
        <w:rPr>
          <w:rFonts w:hint="eastAsia" w:ascii="方正小标宋简体" w:hAnsi="方正小标宋简体" w:eastAsia="方正小标宋简体" w:cs="方正小标宋简体"/>
          <w:b w:val="0"/>
          <w:bCs w:val="0"/>
          <w:color w:val="auto"/>
          <w:sz w:val="44"/>
          <w:szCs w:val="44"/>
        </w:rPr>
        <w:t>市文化传承</w:t>
      </w:r>
      <w:r>
        <w:rPr>
          <w:rFonts w:hint="eastAsia" w:ascii="方正小标宋简体" w:hAnsi="方正小标宋简体" w:eastAsia="方正小标宋简体" w:cs="方正小标宋简体"/>
          <w:b w:val="0"/>
          <w:bCs w:val="0"/>
          <w:color w:val="auto"/>
          <w:sz w:val="44"/>
          <w:szCs w:val="44"/>
          <w:lang w:val="en-US" w:eastAsia="zh-CN"/>
        </w:rPr>
        <w:t>研学</w:t>
      </w:r>
      <w:r>
        <w:rPr>
          <w:rFonts w:hint="eastAsia" w:ascii="方正小标宋简体" w:hAnsi="方正小标宋简体" w:eastAsia="方正小标宋简体" w:cs="方正小标宋简体"/>
          <w:b w:val="0"/>
          <w:bCs w:val="0"/>
          <w:color w:val="auto"/>
          <w:sz w:val="44"/>
          <w:szCs w:val="44"/>
        </w:rPr>
        <w:t>基地</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u w:val="single"/>
          <w:lang w:val="en-US" w:eastAsia="zh-CN"/>
        </w:rPr>
        <w:t xml:space="preserve">       类</w:t>
      </w: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rPr>
        <w:t>申报表</w:t>
      </w: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jc w:val="both"/>
        <w:rPr>
          <w:rFonts w:hint="default" w:ascii="Times New Roman" w:hAnsi="Times New Roman" w:cs="Times New Roman"/>
          <w:color w:val="auto"/>
        </w:rPr>
      </w:pPr>
    </w:p>
    <w:tbl>
      <w:tblPr>
        <w:tblStyle w:val="8"/>
        <w:tblW w:w="10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8"/>
        <w:gridCol w:w="1088"/>
        <w:gridCol w:w="251"/>
        <w:gridCol w:w="1440"/>
        <w:gridCol w:w="1529"/>
        <w:gridCol w:w="1711"/>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77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申报单位</w:t>
            </w:r>
          </w:p>
        </w:tc>
        <w:tc>
          <w:tcPr>
            <w:tcW w:w="4308" w:type="dxa"/>
            <w:gridSpan w:val="4"/>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tc>
        <w:tc>
          <w:tcPr>
            <w:tcW w:w="171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所在区域</w:t>
            </w:r>
          </w:p>
        </w:tc>
        <w:tc>
          <w:tcPr>
            <w:tcW w:w="245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177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地</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址</w:t>
            </w:r>
          </w:p>
        </w:tc>
        <w:tc>
          <w:tcPr>
            <w:tcW w:w="8472" w:type="dxa"/>
            <w:gridSpan w:val="6"/>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177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none" w:color="auto"/>
              </w:rPr>
              <w:t>法人类型</w:t>
            </w:r>
          </w:p>
        </w:tc>
        <w:tc>
          <w:tcPr>
            <w:tcW w:w="8472" w:type="dxa"/>
            <w:gridSpan w:val="6"/>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u w:val="none" w:color="auto"/>
                <w:lang w:eastAsia="zh-CN"/>
              </w:rPr>
            </w:pPr>
            <w:r>
              <w:rPr>
                <w:rFonts w:hint="eastAsia" w:ascii="宋体" w:hAnsi="宋体" w:eastAsia="宋体" w:cs="宋体"/>
                <w:spacing w:val="2"/>
                <w:sz w:val="27"/>
                <w:szCs w:val="27"/>
                <w:lang w:eastAsia="zh-CN"/>
              </w:rPr>
              <w:t>□</w:t>
            </w:r>
            <w:r>
              <w:rPr>
                <w:rFonts w:hint="default" w:ascii="Times New Roman" w:hAnsi="Times New Roman" w:eastAsia="仿宋_GB2312" w:cs="Times New Roman"/>
                <w:color w:val="auto"/>
                <w:sz w:val="28"/>
                <w:szCs w:val="28"/>
                <w:u w:val="none" w:color="auto"/>
              </w:rPr>
              <w:t xml:space="preserve">企业法人 </w:t>
            </w:r>
            <w:r>
              <w:rPr>
                <w:rFonts w:hint="eastAsia" w:cs="Times New Roman"/>
                <w:color w:val="auto"/>
                <w:sz w:val="28"/>
                <w:szCs w:val="28"/>
                <w:u w:val="none" w:color="auto"/>
                <w:lang w:val="en-US" w:eastAsia="zh-CN"/>
              </w:rPr>
              <w:t xml:space="preserve"> </w:t>
            </w:r>
            <w:r>
              <w:rPr>
                <w:rFonts w:hint="eastAsia" w:ascii="宋体" w:hAnsi="宋体" w:eastAsia="宋体" w:cs="宋体"/>
                <w:spacing w:val="2"/>
                <w:sz w:val="27"/>
                <w:szCs w:val="27"/>
                <w:lang w:eastAsia="zh-CN"/>
              </w:rPr>
              <w:t>□</w:t>
            </w:r>
            <w:r>
              <w:rPr>
                <w:rFonts w:hint="default" w:ascii="Times New Roman" w:hAnsi="Times New Roman" w:eastAsia="仿宋_GB2312" w:cs="Times New Roman"/>
                <w:color w:val="auto"/>
                <w:sz w:val="28"/>
                <w:szCs w:val="28"/>
                <w:u w:val="none" w:color="auto"/>
              </w:rPr>
              <w:t>社会团体法人</w:t>
            </w:r>
            <w:r>
              <w:rPr>
                <w:rFonts w:hint="eastAsia" w:cs="Times New Roman"/>
                <w:color w:val="auto"/>
                <w:sz w:val="28"/>
                <w:szCs w:val="28"/>
                <w:u w:val="none" w:color="auto"/>
                <w:lang w:val="en-US" w:eastAsia="zh-CN"/>
              </w:rPr>
              <w:t xml:space="preserve"> </w:t>
            </w:r>
            <w:r>
              <w:rPr>
                <w:rFonts w:hint="eastAsia" w:ascii="宋体" w:hAnsi="宋体" w:eastAsia="宋体" w:cs="宋体"/>
                <w:spacing w:val="2"/>
                <w:sz w:val="27"/>
                <w:szCs w:val="27"/>
                <w:lang w:eastAsia="zh-CN"/>
              </w:rPr>
              <w:t>□</w:t>
            </w:r>
            <w:r>
              <w:rPr>
                <w:rFonts w:hint="default" w:ascii="Times New Roman" w:hAnsi="Times New Roman" w:eastAsia="仿宋_GB2312" w:cs="Times New Roman"/>
                <w:color w:val="auto"/>
                <w:sz w:val="28"/>
                <w:szCs w:val="28"/>
                <w:u w:val="none" w:color="auto"/>
              </w:rPr>
              <w:t xml:space="preserve">事业单位法人 </w:t>
            </w:r>
            <w:r>
              <w:rPr>
                <w:rFonts w:hint="eastAsia" w:ascii="宋体" w:hAnsi="宋体" w:eastAsia="宋体" w:cs="宋体"/>
                <w:spacing w:val="2"/>
                <w:sz w:val="27"/>
                <w:szCs w:val="27"/>
                <w:lang w:eastAsia="zh-CN"/>
              </w:rPr>
              <w:t>□</w:t>
            </w:r>
            <w:r>
              <w:rPr>
                <w:rFonts w:hint="default" w:ascii="Times New Roman" w:hAnsi="Times New Roman" w:eastAsia="仿宋_GB2312" w:cs="Times New Roman"/>
                <w:color w:val="auto"/>
                <w:sz w:val="28"/>
                <w:szCs w:val="28"/>
                <w:u w:val="none" w:color="auto"/>
              </w:rPr>
              <w:t>其它</w:t>
            </w:r>
            <w:r>
              <w:rPr>
                <w:rFonts w:hint="default" w:ascii="Times New Roman" w:hAnsi="Times New Roman" w:eastAsia="仿宋_GB2312" w:cs="Times New Roman"/>
                <w:color w:val="auto"/>
                <w:sz w:val="28"/>
                <w:szCs w:val="28"/>
                <w:u w:val="none" w:color="auto"/>
                <w:lang w:eastAsia="zh-CN"/>
              </w:rPr>
              <w:t>（具体请注明）</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none" w:color="auto"/>
              </w:rPr>
              <w:t>（在对应</w:t>
            </w:r>
            <w:r>
              <w:rPr>
                <w:rFonts w:hint="eastAsia" w:ascii="宋体" w:hAnsi="宋体" w:eastAsia="宋体" w:cs="宋体"/>
                <w:spacing w:val="2"/>
                <w:sz w:val="27"/>
                <w:szCs w:val="27"/>
                <w:lang w:eastAsia="zh-CN"/>
              </w:rPr>
              <w:t>□</w:t>
            </w:r>
            <w:r>
              <w:rPr>
                <w:rFonts w:hint="eastAsia" w:cs="Times New Roman"/>
                <w:color w:val="auto"/>
                <w:sz w:val="28"/>
                <w:szCs w:val="28"/>
                <w:u w:val="none" w:color="auto"/>
                <w:lang w:val="en-US" w:eastAsia="zh-CN"/>
              </w:rPr>
              <w:t>打</w:t>
            </w:r>
            <w:r>
              <w:rPr>
                <w:rFonts w:hint="default" w:ascii="Times New Roman" w:hAnsi="Times New Roman" w:eastAsia="仿宋_GB2312" w:cs="Times New Roman"/>
                <w:color w:val="auto"/>
                <w:sz w:val="28"/>
                <w:szCs w:val="28"/>
                <w:u w:val="none" w:color="auto"/>
              </w:rPr>
              <w:t>“√”</w:t>
            </w:r>
            <w:r>
              <w:rPr>
                <w:rFonts w:hint="default" w:ascii="Times New Roman" w:hAnsi="Times New Roman" w:eastAsia="仿宋_GB2312" w:cs="Times New Roman"/>
                <w:color w:val="auto"/>
                <w:sz w:val="28"/>
                <w:szCs w:val="28"/>
                <w:u w:val="none" w:color="auto"/>
                <w:lang w:eastAsia="zh-CN"/>
              </w:rPr>
              <w:t>，法人证书复印件附申报表后</w:t>
            </w:r>
            <w:r>
              <w:rPr>
                <w:rFonts w:hint="default" w:ascii="Times New Roman" w:hAnsi="Times New Roman" w:eastAsia="仿宋_GB2312" w:cs="Times New Roman"/>
                <w:color w:val="auto"/>
                <w:sz w:val="28"/>
                <w:szCs w:val="28"/>
                <w:u w:val="none" w:color="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177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法定代表人</w:t>
            </w:r>
          </w:p>
        </w:tc>
        <w:tc>
          <w:tcPr>
            <w:tcW w:w="1339" w:type="dxa"/>
            <w:gridSpan w:val="2"/>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tc>
        <w:tc>
          <w:tcPr>
            <w:tcW w:w="144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专门负责人</w:t>
            </w:r>
          </w:p>
        </w:tc>
        <w:tc>
          <w:tcPr>
            <w:tcW w:w="1529"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tc>
        <w:tc>
          <w:tcPr>
            <w:tcW w:w="1711"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手</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eastAsia="zh-CN"/>
              </w:rPr>
              <w:t>机</w:t>
            </w:r>
          </w:p>
        </w:tc>
        <w:tc>
          <w:tcPr>
            <w:tcW w:w="2453"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8" w:hRule="atLeast"/>
          <w:jc w:val="center"/>
        </w:trPr>
        <w:tc>
          <w:tcPr>
            <w:tcW w:w="177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申报单位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基本</w:t>
            </w:r>
            <w:r>
              <w:rPr>
                <w:rFonts w:hint="default" w:ascii="Times New Roman" w:hAnsi="Times New Roman" w:eastAsia="仿宋_GB2312" w:cs="Times New Roman"/>
                <w:color w:val="auto"/>
                <w:sz w:val="28"/>
                <w:szCs w:val="28"/>
              </w:rPr>
              <w:t>情况</w:t>
            </w:r>
          </w:p>
        </w:tc>
        <w:tc>
          <w:tcPr>
            <w:tcW w:w="8472" w:type="dxa"/>
            <w:gridSpan w:val="6"/>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u w:val="none" w:color="auto"/>
                <w:lang w:eastAsia="zh-CN"/>
              </w:rPr>
            </w:pPr>
            <w:r>
              <w:rPr>
                <w:rFonts w:hint="default" w:ascii="Times New Roman" w:hAnsi="Times New Roman" w:eastAsia="仿宋_GB2312" w:cs="Times New Roman"/>
                <w:color w:val="auto"/>
                <w:sz w:val="28"/>
                <w:szCs w:val="28"/>
                <w:u w:val="none" w:color="auto"/>
              </w:rPr>
              <w:t>填写申报单位所具备的资质，包括单位法人资质、</w:t>
            </w:r>
            <w:r>
              <w:rPr>
                <w:rFonts w:hint="default" w:ascii="Times New Roman" w:hAnsi="Times New Roman" w:eastAsia="仿宋_GB2312" w:cs="Times New Roman"/>
                <w:color w:val="auto"/>
                <w:sz w:val="28"/>
                <w:szCs w:val="28"/>
                <w:u w:val="none" w:color="auto"/>
                <w:lang w:eastAsia="zh-CN"/>
              </w:rPr>
              <w:t>基本情况、</w:t>
            </w:r>
            <w:r>
              <w:rPr>
                <w:rFonts w:hint="eastAsia" w:ascii="Times New Roman" w:hAnsi="Times New Roman" w:eastAsia="仿宋_GB2312" w:cs="Times New Roman"/>
                <w:color w:val="auto"/>
                <w:sz w:val="28"/>
                <w:szCs w:val="28"/>
                <w:u w:val="none" w:color="auto"/>
                <w:lang w:val="en-US" w:eastAsia="zh-CN"/>
              </w:rPr>
              <w:t>基地</w:t>
            </w:r>
            <w:r>
              <w:rPr>
                <w:rFonts w:hint="default" w:ascii="Times New Roman" w:hAnsi="Times New Roman" w:eastAsia="仿宋_GB2312" w:cs="Times New Roman"/>
                <w:color w:val="auto"/>
                <w:sz w:val="28"/>
                <w:szCs w:val="28"/>
                <w:u w:val="none" w:color="auto"/>
              </w:rPr>
              <w:t>场所（面积、产权）等方面情况。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u w:val="none" w:color="auto"/>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1" w:hRule="atLeast"/>
          <w:jc w:val="center"/>
        </w:trPr>
        <w:tc>
          <w:tcPr>
            <w:tcW w:w="177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组织管理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rPr>
              <w:t>情况</w:t>
            </w:r>
          </w:p>
        </w:tc>
        <w:tc>
          <w:tcPr>
            <w:tcW w:w="8472" w:type="dxa"/>
            <w:gridSpan w:val="6"/>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none" w:color="auto"/>
              </w:rPr>
              <w:t>管理制度、管理人员、经费保障</w:t>
            </w:r>
            <w:r>
              <w:rPr>
                <w:rFonts w:hint="default" w:ascii="Times New Roman" w:hAnsi="Times New Roman" w:eastAsia="仿宋_GB2312" w:cs="Times New Roman"/>
                <w:color w:val="auto"/>
                <w:sz w:val="28"/>
                <w:szCs w:val="28"/>
                <w:u w:val="none" w:color="auto"/>
                <w:lang w:eastAsia="zh-CN"/>
              </w:rPr>
              <w:t>等方面情况。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7" w:hRule="atLeast"/>
          <w:jc w:val="center"/>
        </w:trPr>
        <w:tc>
          <w:tcPr>
            <w:tcW w:w="1778" w:type="dxa"/>
            <w:tcBorders>
              <w:bottom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传承传播</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活动情况</w:t>
            </w:r>
          </w:p>
        </w:tc>
        <w:tc>
          <w:tcPr>
            <w:tcW w:w="8472" w:type="dxa"/>
            <w:gridSpan w:val="6"/>
            <w:tcBorders>
              <w:bottom w:val="single" w:color="auto" w:sz="4" w:space="0"/>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u w:val="none" w:color="auto"/>
                <w:lang w:eastAsia="zh-CN"/>
              </w:rPr>
            </w:pPr>
            <w:r>
              <w:rPr>
                <w:rFonts w:hint="default" w:ascii="Times New Roman" w:hAnsi="Times New Roman" w:eastAsia="仿宋_GB2312" w:cs="Times New Roman"/>
                <w:color w:val="auto"/>
                <w:sz w:val="28"/>
                <w:szCs w:val="28"/>
                <w:u w:val="none" w:color="auto"/>
              </w:rPr>
              <w:t>填写近三年申报单位组织开展</w:t>
            </w:r>
            <w:r>
              <w:rPr>
                <w:rFonts w:hint="eastAsia" w:ascii="Times New Roman" w:hAnsi="Times New Roman" w:eastAsia="仿宋_GB2312" w:cs="Times New Roman"/>
                <w:color w:val="auto"/>
                <w:sz w:val="28"/>
                <w:szCs w:val="28"/>
                <w:u w:val="none" w:color="auto"/>
                <w:lang w:val="en-US" w:eastAsia="zh-CN"/>
              </w:rPr>
              <w:t>研学如</w:t>
            </w:r>
            <w:r>
              <w:rPr>
                <w:rFonts w:hint="default" w:ascii="Times New Roman" w:hAnsi="Times New Roman" w:eastAsia="仿宋_GB2312" w:cs="Times New Roman"/>
                <w:color w:val="auto"/>
                <w:sz w:val="28"/>
                <w:szCs w:val="28"/>
                <w:u w:val="none" w:color="auto"/>
                <w:lang w:eastAsia="zh-CN"/>
              </w:rPr>
              <w:t>传播、</w:t>
            </w:r>
            <w:r>
              <w:rPr>
                <w:rFonts w:hint="default" w:ascii="Times New Roman" w:hAnsi="Times New Roman" w:eastAsia="仿宋_GB2312" w:cs="Times New Roman"/>
                <w:color w:val="auto"/>
                <w:sz w:val="28"/>
                <w:szCs w:val="28"/>
                <w:u w:val="none" w:color="auto"/>
              </w:rPr>
              <w:t>培训</w:t>
            </w:r>
            <w:r>
              <w:rPr>
                <w:rFonts w:hint="default" w:ascii="Times New Roman" w:hAnsi="Times New Roman" w:eastAsia="仿宋_GB2312" w:cs="Times New Roman"/>
                <w:color w:val="auto"/>
                <w:sz w:val="28"/>
                <w:szCs w:val="28"/>
                <w:u w:val="none" w:color="auto"/>
                <w:lang w:eastAsia="zh-CN"/>
              </w:rPr>
              <w:t>、交流</w:t>
            </w:r>
            <w:r>
              <w:rPr>
                <w:rFonts w:hint="eastAsia" w:ascii="Times New Roman" w:hAnsi="Times New Roman" w:eastAsia="仿宋_GB2312" w:cs="Times New Roman"/>
                <w:color w:val="auto"/>
                <w:sz w:val="28"/>
                <w:szCs w:val="28"/>
                <w:u w:val="none" w:color="auto"/>
                <w:lang w:eastAsia="zh-CN"/>
              </w:rPr>
              <w:t>、教学、体验</w:t>
            </w:r>
            <w:r>
              <w:rPr>
                <w:rFonts w:hint="default" w:ascii="Times New Roman" w:hAnsi="Times New Roman" w:eastAsia="仿宋_GB2312" w:cs="Times New Roman"/>
                <w:color w:val="auto"/>
                <w:sz w:val="28"/>
                <w:szCs w:val="28"/>
                <w:u w:val="none" w:color="auto"/>
              </w:rPr>
              <w:t>等相关情况</w:t>
            </w:r>
            <w:r>
              <w:rPr>
                <w:rFonts w:hint="default" w:ascii="Times New Roman" w:hAnsi="Times New Roman" w:eastAsia="仿宋_GB2312" w:cs="Times New Roman"/>
                <w:color w:val="auto"/>
                <w:sz w:val="28"/>
                <w:szCs w:val="28"/>
                <w:u w:val="none" w:color="auto"/>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u w:val="none" w:color="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4" w:hRule="atLeast"/>
          <w:jc w:val="center"/>
        </w:trPr>
        <w:tc>
          <w:tcPr>
            <w:tcW w:w="1778" w:type="dxa"/>
            <w:tcBorders>
              <w:bottom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kern w:val="0"/>
                <w:sz w:val="28"/>
                <w:szCs w:val="28"/>
                <w:lang w:eastAsia="zh-CN"/>
              </w:rPr>
              <w:t>所在区域街、镇政府部门或主管单位支持情况</w:t>
            </w:r>
          </w:p>
        </w:tc>
        <w:tc>
          <w:tcPr>
            <w:tcW w:w="8472" w:type="dxa"/>
            <w:gridSpan w:val="6"/>
            <w:tcBorders>
              <w:bottom w:val="single" w:color="auto" w:sz="4" w:space="0"/>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1" w:hRule="atLeast"/>
          <w:jc w:val="center"/>
        </w:trPr>
        <w:tc>
          <w:tcPr>
            <w:tcW w:w="1778" w:type="dxa"/>
            <w:vMerge w:val="restart"/>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eastAsia="zh-CN"/>
              </w:rPr>
              <w:t>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计</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目</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标</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任</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务</w:t>
            </w:r>
          </w:p>
        </w:tc>
        <w:tc>
          <w:tcPr>
            <w:tcW w:w="1088" w:type="dxa"/>
            <w:tcBorders>
              <w:bottom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w:t>
            </w:r>
            <w:r>
              <w:rPr>
                <w:rFonts w:hint="eastAsia" w:ascii="Times New Roman" w:hAnsi="Times New Roman" w:eastAsia="仿宋_GB2312" w:cs="Times New Roman"/>
                <w:color w:val="auto"/>
                <w:sz w:val="28"/>
                <w:szCs w:val="28"/>
                <w:lang w:val="en-US" w:eastAsia="zh-CN"/>
              </w:rPr>
              <w:t>XX</w:t>
            </w:r>
            <w:r>
              <w:rPr>
                <w:rFonts w:hint="default" w:ascii="Times New Roman" w:hAnsi="Times New Roman" w:eastAsia="仿宋_GB2312" w:cs="Times New Roman"/>
                <w:color w:val="auto"/>
                <w:sz w:val="28"/>
                <w:szCs w:val="28"/>
              </w:rPr>
              <w:t>年</w:t>
            </w:r>
          </w:p>
        </w:tc>
        <w:tc>
          <w:tcPr>
            <w:tcW w:w="7384" w:type="dxa"/>
            <w:gridSpan w:val="5"/>
            <w:tcBorders>
              <w:bottom w:val="single" w:color="auto" w:sz="4" w:space="0"/>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u w:val="none" w:color="auto"/>
              </w:rPr>
              <w:t>应有明确的绩效目标（总体目标和年度目标）、可量化的标准（如</w:t>
            </w:r>
            <w:r>
              <w:rPr>
                <w:rFonts w:hint="default" w:ascii="Times New Roman" w:hAnsi="Times New Roman" w:eastAsia="仿宋_GB2312" w:cs="Times New Roman"/>
                <w:color w:val="auto"/>
                <w:sz w:val="28"/>
                <w:szCs w:val="28"/>
                <w:u w:val="none" w:color="auto"/>
                <w:lang w:eastAsia="zh-CN"/>
              </w:rPr>
              <w:t>开展活动</w:t>
            </w:r>
            <w:r>
              <w:rPr>
                <w:rFonts w:hint="default" w:ascii="Times New Roman" w:hAnsi="Times New Roman" w:eastAsia="仿宋_GB2312" w:cs="Times New Roman"/>
                <w:color w:val="auto"/>
                <w:sz w:val="28"/>
                <w:szCs w:val="28"/>
                <w:u w:val="none" w:color="auto"/>
              </w:rPr>
              <w:t>、</w:t>
            </w:r>
            <w:r>
              <w:rPr>
                <w:rFonts w:hint="eastAsia" w:ascii="Times New Roman" w:hAnsi="Times New Roman" w:eastAsia="仿宋_GB2312" w:cs="Times New Roman"/>
                <w:color w:val="auto"/>
                <w:sz w:val="28"/>
                <w:szCs w:val="28"/>
                <w:u w:val="none" w:color="auto"/>
                <w:lang w:val="en-US" w:eastAsia="zh-CN"/>
              </w:rPr>
              <w:t>场</w:t>
            </w:r>
            <w:r>
              <w:rPr>
                <w:rFonts w:hint="default" w:ascii="Times New Roman" w:hAnsi="Times New Roman" w:eastAsia="仿宋_GB2312" w:cs="Times New Roman"/>
                <w:color w:val="auto"/>
                <w:sz w:val="28"/>
                <w:szCs w:val="28"/>
                <w:u w:val="none" w:color="auto"/>
              </w:rPr>
              <w:t>次和人数等），以及相应的效益指标等。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1" w:hRule="atLeast"/>
          <w:jc w:val="center"/>
        </w:trPr>
        <w:tc>
          <w:tcPr>
            <w:tcW w:w="1778"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c>
          <w:tcPr>
            <w:tcW w:w="1088" w:type="dxa"/>
            <w:tcBorders>
              <w:bottom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w:t>
            </w:r>
            <w:r>
              <w:rPr>
                <w:rFonts w:hint="eastAsia" w:ascii="Times New Roman" w:hAnsi="Times New Roman" w:eastAsia="仿宋_GB2312" w:cs="Times New Roman"/>
                <w:color w:val="auto"/>
                <w:sz w:val="28"/>
                <w:szCs w:val="28"/>
                <w:lang w:val="en-US" w:eastAsia="zh-CN"/>
              </w:rPr>
              <w:t>XX</w:t>
            </w:r>
            <w:r>
              <w:rPr>
                <w:rFonts w:hint="default" w:ascii="Times New Roman" w:hAnsi="Times New Roman" w:eastAsia="仿宋_GB2312" w:cs="Times New Roman"/>
                <w:color w:val="auto"/>
                <w:sz w:val="28"/>
                <w:szCs w:val="28"/>
              </w:rPr>
              <w:t>年</w:t>
            </w:r>
          </w:p>
        </w:tc>
        <w:tc>
          <w:tcPr>
            <w:tcW w:w="7384" w:type="dxa"/>
            <w:gridSpan w:val="5"/>
            <w:tcBorders>
              <w:bottom w:val="single" w:color="auto" w:sz="4" w:space="0"/>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1" w:hRule="atLeast"/>
          <w:jc w:val="center"/>
        </w:trPr>
        <w:tc>
          <w:tcPr>
            <w:tcW w:w="1778" w:type="dxa"/>
            <w:vMerge w:val="continue"/>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rPr>
            </w:pPr>
          </w:p>
        </w:tc>
        <w:tc>
          <w:tcPr>
            <w:tcW w:w="1088" w:type="dxa"/>
            <w:tcBorders>
              <w:bottom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20</w:t>
            </w:r>
            <w:r>
              <w:rPr>
                <w:rFonts w:hint="eastAsia" w:ascii="Times New Roman" w:hAnsi="Times New Roman" w:eastAsia="仿宋_GB2312" w:cs="Times New Roman"/>
                <w:color w:val="auto"/>
                <w:sz w:val="28"/>
                <w:szCs w:val="28"/>
                <w:lang w:val="en-US" w:eastAsia="zh-CN"/>
              </w:rPr>
              <w:t>XX</w:t>
            </w:r>
            <w:r>
              <w:rPr>
                <w:rFonts w:hint="default" w:ascii="Times New Roman" w:hAnsi="Times New Roman" w:eastAsia="仿宋_GB2312" w:cs="Times New Roman"/>
                <w:color w:val="auto"/>
                <w:sz w:val="28"/>
                <w:szCs w:val="28"/>
              </w:rPr>
              <w:t>年</w:t>
            </w:r>
          </w:p>
        </w:tc>
        <w:tc>
          <w:tcPr>
            <w:tcW w:w="7384" w:type="dxa"/>
            <w:gridSpan w:val="5"/>
            <w:tcBorders>
              <w:bottom w:val="single" w:color="auto" w:sz="4" w:space="0"/>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3" w:hRule="atLeast"/>
          <w:jc w:val="center"/>
        </w:trPr>
        <w:tc>
          <w:tcPr>
            <w:tcW w:w="177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申报单位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承诺</w:t>
            </w:r>
          </w:p>
        </w:tc>
        <w:tc>
          <w:tcPr>
            <w:tcW w:w="8472" w:type="dxa"/>
            <w:gridSpan w:val="6"/>
            <w:tcBorders>
              <w:bottom w:val="single" w:color="auto" w:sz="4" w:space="0"/>
            </w:tcBorders>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adjustRightInd w:val="0"/>
              <w:snapToGrid w:val="0"/>
              <w:spacing w:line="560" w:lineRule="exact"/>
              <w:ind w:firstLine="480" w:firstLineChars="200"/>
              <w:jc w:val="both"/>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我单位承诺：</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480" w:firstLineChars="2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4"/>
                <w:szCs w:val="24"/>
              </w:rPr>
              <w:t>我单位申请作为文化</w:t>
            </w:r>
            <w:r>
              <w:rPr>
                <w:rFonts w:hint="default" w:ascii="Times New Roman" w:hAnsi="Times New Roman" w:eastAsia="仿宋_GB2312" w:cs="Times New Roman"/>
                <w:color w:val="auto"/>
                <w:sz w:val="24"/>
                <w:szCs w:val="24"/>
                <w:lang w:eastAsia="zh-CN"/>
              </w:rPr>
              <w:t>传承</w:t>
            </w:r>
            <w:r>
              <w:rPr>
                <w:rFonts w:hint="eastAsia" w:ascii="Times New Roman" w:hAnsi="Times New Roman" w:eastAsia="仿宋_GB2312" w:cs="Times New Roman"/>
                <w:color w:val="auto"/>
                <w:sz w:val="24"/>
                <w:szCs w:val="24"/>
                <w:lang w:val="en-US" w:eastAsia="zh-CN"/>
              </w:rPr>
              <w:t>研学</w:t>
            </w:r>
            <w:r>
              <w:rPr>
                <w:rFonts w:hint="default" w:ascii="Times New Roman" w:hAnsi="Times New Roman" w:eastAsia="仿宋_GB2312" w:cs="Times New Roman"/>
                <w:color w:val="auto"/>
                <w:sz w:val="24"/>
                <w:szCs w:val="24"/>
                <w:lang w:eastAsia="zh-CN"/>
              </w:rPr>
              <w:t>基地</w:t>
            </w:r>
            <w:r>
              <w:rPr>
                <w:rFonts w:hint="default" w:ascii="Times New Roman" w:hAnsi="Times New Roman" w:eastAsia="仿宋_GB2312" w:cs="Times New Roman"/>
                <w:color w:val="auto"/>
                <w:sz w:val="24"/>
                <w:szCs w:val="24"/>
              </w:rPr>
              <w:t>，承诺如实提供所有申报材料，自愿根据有关法律法规的规定承担单位职责，自愿接受文化</w:t>
            </w:r>
            <w:r>
              <w:rPr>
                <w:rFonts w:hint="default" w:ascii="Times New Roman" w:hAnsi="Times New Roman" w:eastAsia="仿宋_GB2312" w:cs="Times New Roman"/>
                <w:color w:val="auto"/>
                <w:sz w:val="24"/>
                <w:szCs w:val="24"/>
                <w:lang w:eastAsia="zh-CN"/>
              </w:rPr>
              <w:t>行政主管</w:t>
            </w:r>
            <w:r>
              <w:rPr>
                <w:rFonts w:hint="default" w:ascii="Times New Roman" w:hAnsi="Times New Roman" w:eastAsia="仿宋_GB2312" w:cs="Times New Roman"/>
                <w:color w:val="auto"/>
                <w:sz w:val="24"/>
                <w:szCs w:val="24"/>
              </w:rPr>
              <w:t>部门的</w:t>
            </w:r>
            <w:r>
              <w:rPr>
                <w:rFonts w:hint="default" w:ascii="Times New Roman" w:hAnsi="Times New Roman" w:eastAsia="仿宋_GB2312" w:cs="Times New Roman"/>
                <w:color w:val="auto"/>
                <w:sz w:val="24"/>
                <w:szCs w:val="24"/>
                <w:lang w:eastAsia="zh-CN"/>
              </w:rPr>
              <w:t>相关业务</w:t>
            </w:r>
            <w:r>
              <w:rPr>
                <w:rFonts w:hint="default" w:ascii="Times New Roman" w:hAnsi="Times New Roman" w:eastAsia="仿宋_GB2312" w:cs="Times New Roman"/>
                <w:color w:val="auto"/>
                <w:sz w:val="24"/>
                <w:szCs w:val="24"/>
              </w:rPr>
              <w:t>管理监督</w:t>
            </w:r>
            <w:r>
              <w:rPr>
                <w:rFonts w:hint="default" w:ascii="Times New Roman" w:hAnsi="Times New Roman" w:eastAsia="仿宋_GB2312" w:cs="Times New Roman"/>
                <w:color w:val="auto"/>
                <w:sz w:val="24"/>
                <w:szCs w:val="24"/>
                <w:lang w:eastAsia="zh-CN"/>
              </w:rPr>
              <w:t>和</w:t>
            </w:r>
            <w:r>
              <w:rPr>
                <w:rFonts w:hint="default" w:ascii="Times New Roman" w:hAnsi="Times New Roman" w:eastAsia="仿宋_GB2312" w:cs="Times New Roman"/>
                <w:color w:val="auto"/>
                <w:sz w:val="24"/>
                <w:szCs w:val="24"/>
              </w:rPr>
              <w:t>定期报告履责情况。</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5880" w:firstLineChars="21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（公章）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5880" w:firstLineChars="21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1778" w:type="dxa"/>
            <w:tcBorders>
              <w:bottom w:val="single" w:color="auto" w:sz="4" w:space="0"/>
            </w:tcBorders>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pacing w:val="-20"/>
                <w:sz w:val="28"/>
                <w:szCs w:val="28"/>
              </w:rPr>
            </w:pPr>
            <w:r>
              <w:rPr>
                <w:rFonts w:hint="eastAsia" w:ascii="Times New Roman" w:hAnsi="Times New Roman" w:eastAsia="仿宋_GB2312" w:cs="Times New Roman"/>
                <w:color w:val="auto"/>
                <w:spacing w:val="-20"/>
                <w:sz w:val="28"/>
                <w:szCs w:val="28"/>
                <w:lang w:val="en-US" w:eastAsia="zh-CN"/>
              </w:rPr>
              <w:t>县（区）级</w:t>
            </w:r>
            <w:r>
              <w:rPr>
                <w:rFonts w:hint="default" w:ascii="Times New Roman" w:hAnsi="Times New Roman" w:eastAsia="仿宋_GB2312" w:cs="Times New Roman"/>
                <w:color w:val="auto"/>
                <w:spacing w:val="-20"/>
                <w:sz w:val="28"/>
                <w:szCs w:val="28"/>
              </w:rPr>
              <w:t>文化行政</w:t>
            </w:r>
            <w:r>
              <w:rPr>
                <w:rFonts w:hint="default" w:ascii="Times New Roman" w:hAnsi="Times New Roman" w:eastAsia="仿宋_GB2312" w:cs="Times New Roman"/>
                <w:color w:val="auto"/>
                <w:spacing w:val="-20"/>
                <w:sz w:val="28"/>
                <w:szCs w:val="28"/>
                <w:lang w:eastAsia="zh-CN"/>
              </w:rPr>
              <w:t>主管</w:t>
            </w:r>
            <w:r>
              <w:rPr>
                <w:rFonts w:hint="default" w:ascii="Times New Roman" w:hAnsi="Times New Roman" w:eastAsia="仿宋_GB2312" w:cs="Times New Roman"/>
                <w:color w:val="auto"/>
                <w:spacing w:val="-20"/>
                <w:sz w:val="28"/>
                <w:szCs w:val="28"/>
              </w:rPr>
              <w:t>部门推荐意见</w:t>
            </w:r>
          </w:p>
        </w:tc>
        <w:tc>
          <w:tcPr>
            <w:tcW w:w="8472" w:type="dxa"/>
            <w:gridSpan w:val="6"/>
            <w:tcBorders>
              <w:bottom w:val="single" w:color="auto" w:sz="4" w:space="0"/>
            </w:tcBorders>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5880" w:firstLineChars="21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（公章）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5880" w:firstLineChars="21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8" w:hRule="atLeast"/>
          <w:jc w:val="center"/>
        </w:trPr>
        <w:tc>
          <w:tcPr>
            <w:tcW w:w="177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pacing w:val="-20"/>
                <w:sz w:val="28"/>
                <w:szCs w:val="28"/>
              </w:rPr>
            </w:pPr>
            <w:r>
              <w:rPr>
                <w:rFonts w:hint="default" w:ascii="Times New Roman" w:hAnsi="Times New Roman" w:eastAsia="仿宋_GB2312" w:cs="Times New Roman"/>
                <w:color w:val="auto"/>
                <w:spacing w:val="-20"/>
                <w:sz w:val="28"/>
                <w:szCs w:val="28"/>
              </w:rPr>
              <w:t>市级专家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pacing w:val="-20"/>
                <w:sz w:val="28"/>
                <w:szCs w:val="28"/>
              </w:rPr>
            </w:pPr>
            <w:r>
              <w:rPr>
                <w:rFonts w:hint="default" w:ascii="Times New Roman" w:hAnsi="Times New Roman" w:eastAsia="仿宋_GB2312" w:cs="Times New Roman"/>
                <w:color w:val="auto"/>
                <w:spacing w:val="-20"/>
                <w:sz w:val="28"/>
                <w:szCs w:val="28"/>
                <w:lang w:eastAsia="zh-CN"/>
              </w:rPr>
              <w:t>评审</w:t>
            </w:r>
            <w:r>
              <w:rPr>
                <w:rFonts w:hint="default" w:ascii="Times New Roman" w:hAnsi="Times New Roman" w:eastAsia="仿宋_GB2312" w:cs="Times New Roman"/>
                <w:color w:val="auto"/>
                <w:spacing w:val="-20"/>
                <w:sz w:val="28"/>
                <w:szCs w:val="28"/>
              </w:rPr>
              <w:t>意见</w:t>
            </w:r>
          </w:p>
        </w:tc>
        <w:tc>
          <w:tcPr>
            <w:tcW w:w="8472" w:type="dxa"/>
            <w:gridSpan w:val="6"/>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right="72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专家组意见：</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right="360"/>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right="720"/>
              <w:jc w:val="both"/>
              <w:textAlignment w:val="auto"/>
              <w:rPr>
                <w:rFonts w:hint="default" w:ascii="Times New Roman" w:hAnsi="Times New Roman" w:eastAsia="仿宋_GB2312" w:cs="Times New Roman"/>
                <w:color w:val="auto"/>
                <w:sz w:val="28"/>
                <w:szCs w:val="28"/>
                <w:lang w:val="en-US" w:eastAsia="zh-C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right="72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专家签名：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right="360"/>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right="36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年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5" w:hRule="atLeast"/>
          <w:jc w:val="center"/>
        </w:trPr>
        <w:tc>
          <w:tcPr>
            <w:tcW w:w="177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pacing w:val="-20"/>
                <w:sz w:val="28"/>
                <w:szCs w:val="28"/>
                <w:lang w:eastAsia="zh-CN"/>
              </w:rPr>
            </w:pPr>
            <w:r>
              <w:rPr>
                <w:rFonts w:hint="default" w:ascii="Times New Roman" w:hAnsi="Times New Roman" w:eastAsia="仿宋_GB2312" w:cs="Times New Roman"/>
                <w:color w:val="auto"/>
                <w:spacing w:val="-20"/>
                <w:sz w:val="28"/>
                <w:szCs w:val="28"/>
              </w:rPr>
              <w:t>市文</w:t>
            </w:r>
            <w:r>
              <w:rPr>
                <w:rFonts w:hint="default" w:ascii="Times New Roman" w:hAnsi="Times New Roman" w:eastAsia="仿宋_GB2312" w:cs="Times New Roman"/>
                <w:color w:val="auto"/>
                <w:spacing w:val="-20"/>
                <w:sz w:val="28"/>
                <w:szCs w:val="28"/>
                <w:lang w:eastAsia="zh-CN"/>
              </w:rPr>
              <w:t>化行政</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pacing w:val="-20"/>
                <w:sz w:val="28"/>
                <w:szCs w:val="28"/>
              </w:rPr>
            </w:pPr>
            <w:r>
              <w:rPr>
                <w:rFonts w:hint="default" w:ascii="Times New Roman" w:hAnsi="Times New Roman" w:eastAsia="仿宋_GB2312" w:cs="Times New Roman"/>
                <w:color w:val="auto"/>
                <w:spacing w:val="-20"/>
                <w:sz w:val="28"/>
                <w:szCs w:val="28"/>
                <w:lang w:eastAsia="zh-CN"/>
              </w:rPr>
              <w:t>主管部门</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pacing w:val="-20"/>
                <w:sz w:val="28"/>
                <w:szCs w:val="28"/>
              </w:rPr>
            </w:pPr>
            <w:r>
              <w:rPr>
                <w:rFonts w:hint="default" w:ascii="Times New Roman" w:hAnsi="Times New Roman" w:eastAsia="仿宋_GB2312" w:cs="Times New Roman"/>
                <w:color w:val="auto"/>
                <w:spacing w:val="-20"/>
                <w:sz w:val="28"/>
                <w:szCs w:val="28"/>
                <w:lang w:eastAsia="zh-CN"/>
              </w:rPr>
              <w:t>审议</w:t>
            </w:r>
            <w:r>
              <w:rPr>
                <w:rFonts w:hint="default" w:ascii="Times New Roman" w:hAnsi="Times New Roman" w:eastAsia="仿宋_GB2312" w:cs="Times New Roman"/>
                <w:color w:val="auto"/>
                <w:spacing w:val="-20"/>
                <w:sz w:val="28"/>
                <w:szCs w:val="28"/>
              </w:rPr>
              <w:t>意见</w:t>
            </w:r>
          </w:p>
        </w:tc>
        <w:tc>
          <w:tcPr>
            <w:tcW w:w="8472" w:type="dxa"/>
            <w:gridSpan w:val="6"/>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28"/>
                <w:szCs w:val="28"/>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4480" w:firstLineChars="16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（公章）</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5600" w:firstLineChars="20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atLeast"/>
          <w:jc w:val="center"/>
        </w:trPr>
        <w:tc>
          <w:tcPr>
            <w:tcW w:w="1778"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pacing w:val="-20"/>
                <w:sz w:val="28"/>
                <w:szCs w:val="28"/>
              </w:rPr>
            </w:pPr>
            <w:r>
              <w:rPr>
                <w:rFonts w:hint="default" w:ascii="Times New Roman" w:hAnsi="Times New Roman" w:eastAsia="仿宋_GB2312" w:cs="Times New Roman"/>
                <w:color w:val="auto"/>
                <w:spacing w:val="-20"/>
                <w:sz w:val="28"/>
                <w:szCs w:val="28"/>
              </w:rPr>
              <w:t>备注</w:t>
            </w:r>
          </w:p>
        </w:tc>
        <w:tc>
          <w:tcPr>
            <w:tcW w:w="8472" w:type="dxa"/>
            <w:gridSpan w:val="6"/>
            <w:noWrap w:val="0"/>
            <w:vAlign w:val="top"/>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4628" w:leftChars="2204"/>
              <w:jc w:val="both"/>
              <w:textAlignment w:val="auto"/>
              <w:rPr>
                <w:rFonts w:hint="default" w:ascii="Times New Roman" w:hAnsi="Times New Roman" w:eastAsia="仿宋_GB2312" w:cs="Times New Roman"/>
                <w:color w:val="auto"/>
                <w:sz w:val="28"/>
                <w:szCs w:val="28"/>
              </w:rPr>
            </w:pPr>
          </w:p>
        </w:tc>
      </w:tr>
    </w:tbl>
    <w:p>
      <w:pPr>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line="560" w:lineRule="exact"/>
        <w:jc w:val="both"/>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jc w:val="both"/>
        <w:rPr>
          <w:rFonts w:hint="eastAsia"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jc w:val="both"/>
        <w:rPr>
          <w:rFonts w:hint="eastAsia"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jc w:val="both"/>
        <w:rPr>
          <w:rFonts w:hint="eastAsia" w:ascii="仿宋_GB2312" w:hAnsi="仿宋_GB2312" w:eastAsia="仿宋_GB2312" w:cs="仿宋_GB2312"/>
          <w:color w:val="000000" w:themeColor="text1"/>
          <w:sz w:val="32"/>
          <w:szCs w:val="32"/>
          <w14:textFill>
            <w14:solidFill>
              <w14:schemeClr w14:val="tx1"/>
            </w14:solidFill>
          </w14:textFill>
        </w:rPr>
      </w:pPr>
    </w:p>
    <w:p>
      <w:pPr>
        <w:pStyle w:val="3"/>
        <w:keepNext w:val="0"/>
        <w:keepLines w:val="0"/>
        <w:pageBreakBefore w:val="0"/>
        <w:pBdr>
          <w:top w:val="none" w:color="auto" w:sz="0" w:space="0"/>
          <w:left w:val="none" w:color="auto" w:sz="0" w:space="0"/>
          <w:bottom w:val="none" w:color="auto" w:sz="0" w:space="0"/>
          <w:right w:val="none" w:color="auto" w:sz="0" w:space="0"/>
          <w:between w:val="none" w:color="auto" w:sz="0" w:space="0"/>
        </w:pBdr>
        <w:wordWrap/>
        <w:overflowPunct/>
        <w:topLinePunct w:val="0"/>
        <w:bidi w:val="0"/>
        <w:spacing w:beforeLines="0" w:afterLines="0" w:line="560" w:lineRule="exact"/>
        <w:jc w:val="both"/>
        <w:rPr>
          <w:rFonts w:hint="eastAsia" w:ascii="仿宋_GB2312" w:hAnsi="仿宋_GB2312" w:eastAsia="仿宋_GB2312" w:cs="仿宋_GB2312"/>
          <w:color w:val="000000" w:themeColor="text1"/>
          <w:sz w:val="32"/>
          <w:szCs w:val="32"/>
          <w14:textFill>
            <w14:solidFill>
              <w14:schemeClr w14:val="tx1"/>
            </w14:solidFill>
          </w14:textFill>
        </w:rPr>
      </w:pPr>
    </w:p>
    <w:sectPr>
      <w:footerReference r:id="rId5" w:type="default"/>
      <w:pgSz w:w="11906" w:h="16838"/>
      <w:pgMar w:top="2098" w:right="1474" w:bottom="1984" w:left="1587" w:header="851" w:footer="1587"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41ABBB-ED5D-475B-A272-6F6BCF7564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3" w:csb1="00000000"/>
    <w:embedRegular r:id="rId2" w:fontKey="{2DA174C1-1469-44DF-99BC-333A3916CB7E}"/>
  </w:font>
  <w:font w:name="方正仿宋_GB2312">
    <w:panose1 w:val="02000000000000000000"/>
    <w:charset w:val="86"/>
    <w:family w:val="auto"/>
    <w:pitch w:val="default"/>
    <w:sig w:usb0="A00002BF" w:usb1="184F6CFA" w:usb2="00000012" w:usb3="00000000" w:csb0="00040001" w:csb1="00000000"/>
    <w:embedRegular r:id="rId3" w:fontKey="{5A7B4051-9CB5-4DC8-B924-9F5746437493}"/>
  </w:font>
  <w:font w:name="仿宋_GB2312">
    <w:panose1 w:val="02010609030101010101"/>
    <w:charset w:val="86"/>
    <w:family w:val="auto"/>
    <w:pitch w:val="default"/>
    <w:sig w:usb0="00000001" w:usb1="080E0000" w:usb2="00000000" w:usb3="00000000" w:csb0="00040000" w:csb1="00000000"/>
    <w:embedRegular r:id="rId4" w:fontKey="{2FFAD94A-F9D8-4F0D-8114-91F22CFEEE4E}"/>
  </w:font>
  <w:font w:name="楷体">
    <w:panose1 w:val="02010609060101010101"/>
    <w:charset w:val="86"/>
    <w:family w:val="auto"/>
    <w:pitch w:val="default"/>
    <w:sig w:usb0="800002BF" w:usb1="38CF7CFA" w:usb2="00000016" w:usb3="00000000" w:csb0="00040001" w:csb1="00000000"/>
    <w:embedRegular r:id="rId5" w:fontKey="{77EF2B3F-1AF0-4A7C-99DC-2FA690A874EA}"/>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D8415"/>
    <w:multiLevelType w:val="singleLevel"/>
    <w:tmpl w:val="8AED84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MWY5ZTVjZjE2ZGU5YzI4MzRlM2QzMjlhODhmZWQifQ=="/>
    <w:docVar w:name="KSO_WPS_MARK_KEY" w:val="df6a3bdc-afdb-46d5-99ec-e5f8026fe00b"/>
  </w:docVars>
  <w:rsids>
    <w:rsidRoot w:val="00000000"/>
    <w:rsid w:val="006F7CD6"/>
    <w:rsid w:val="022C1A0A"/>
    <w:rsid w:val="03FB7837"/>
    <w:rsid w:val="046B560F"/>
    <w:rsid w:val="04B045BD"/>
    <w:rsid w:val="054D733B"/>
    <w:rsid w:val="07D05C2B"/>
    <w:rsid w:val="08964B56"/>
    <w:rsid w:val="0BE01BDD"/>
    <w:rsid w:val="0CF111DC"/>
    <w:rsid w:val="10B50492"/>
    <w:rsid w:val="10E24DDC"/>
    <w:rsid w:val="17F673BF"/>
    <w:rsid w:val="18181A07"/>
    <w:rsid w:val="185A28AF"/>
    <w:rsid w:val="18BF3C55"/>
    <w:rsid w:val="21221225"/>
    <w:rsid w:val="2208666C"/>
    <w:rsid w:val="23887A65"/>
    <w:rsid w:val="247B3BCE"/>
    <w:rsid w:val="24CC64F2"/>
    <w:rsid w:val="25BF5294"/>
    <w:rsid w:val="26FC3622"/>
    <w:rsid w:val="28EB582E"/>
    <w:rsid w:val="2A4C3B87"/>
    <w:rsid w:val="2A8632C6"/>
    <w:rsid w:val="2CFD191E"/>
    <w:rsid w:val="2D0A4439"/>
    <w:rsid w:val="2EA12BB0"/>
    <w:rsid w:val="31861CE8"/>
    <w:rsid w:val="31FB58A6"/>
    <w:rsid w:val="33CD5020"/>
    <w:rsid w:val="36C53FE5"/>
    <w:rsid w:val="38BB6177"/>
    <w:rsid w:val="39D215E2"/>
    <w:rsid w:val="3AAD5BAB"/>
    <w:rsid w:val="3B8A6C36"/>
    <w:rsid w:val="3D2E2FD3"/>
    <w:rsid w:val="3E445D8B"/>
    <w:rsid w:val="40790DDC"/>
    <w:rsid w:val="40D50C75"/>
    <w:rsid w:val="42497F67"/>
    <w:rsid w:val="428E3E58"/>
    <w:rsid w:val="44305883"/>
    <w:rsid w:val="47EC17C9"/>
    <w:rsid w:val="52067C23"/>
    <w:rsid w:val="545A7EFA"/>
    <w:rsid w:val="5511569F"/>
    <w:rsid w:val="55D84A93"/>
    <w:rsid w:val="58E3133A"/>
    <w:rsid w:val="5B8D4F11"/>
    <w:rsid w:val="5C317ECA"/>
    <w:rsid w:val="5C642116"/>
    <w:rsid w:val="5D9500AD"/>
    <w:rsid w:val="5E99045D"/>
    <w:rsid w:val="5F3062DF"/>
    <w:rsid w:val="5F965736"/>
    <w:rsid w:val="5FEA0B84"/>
    <w:rsid w:val="6028345A"/>
    <w:rsid w:val="60365B77"/>
    <w:rsid w:val="610D0C72"/>
    <w:rsid w:val="615C160D"/>
    <w:rsid w:val="627D734B"/>
    <w:rsid w:val="636A2882"/>
    <w:rsid w:val="645962D8"/>
    <w:rsid w:val="689306AB"/>
    <w:rsid w:val="694F7C6C"/>
    <w:rsid w:val="6A0E36C1"/>
    <w:rsid w:val="6BE02E3B"/>
    <w:rsid w:val="7053007F"/>
    <w:rsid w:val="713E488C"/>
    <w:rsid w:val="74844CAB"/>
    <w:rsid w:val="76FD0D45"/>
    <w:rsid w:val="7CCC3693"/>
    <w:rsid w:val="B7B78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unhideWhenUsed/>
    <w:qFormat/>
    <w:uiPriority w:val="0"/>
    <w:pPr>
      <w:spacing w:beforeLines="0" w:afterLines="0"/>
      <w:ind w:firstLine="420"/>
    </w:pPr>
    <w:rPr>
      <w:rFonts w:hint="default" w:ascii="Calibri" w:hAnsi="Calibri" w:eastAsia="宋体" w:cs="Times New Roman"/>
      <w:sz w:val="21"/>
      <w:szCs w:val="24"/>
    </w:rPr>
  </w:style>
  <w:style w:type="paragraph" w:styleId="4">
    <w:name w:val="Body Text"/>
    <w:basedOn w:val="1"/>
    <w:autoRedefine/>
    <w:semiHidden/>
    <w:qFormat/>
    <w:uiPriority w:val="0"/>
    <w:rPr>
      <w:rFonts w:ascii="仿宋" w:hAnsi="仿宋" w:eastAsia="仿宋" w:cs="仿宋"/>
      <w:sz w:val="37"/>
      <w:szCs w:val="37"/>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4129</Words>
  <Characters>4171</Characters>
  <Lines>0</Lines>
  <Paragraphs>0</Paragraphs>
  <TotalTime>17</TotalTime>
  <ScaleCrop>false</ScaleCrop>
  <LinksUpToDate>false</LinksUpToDate>
  <CharactersWithSpaces>4242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2024-10-28T11:42:00Z</dcterms:created>
  <dc:creator>Lenovo</dc:creator>
  <cp:lastModifiedBy>尧慧</cp:lastModifiedBy>
  <dcterms:modified xsi:type="dcterms:W3CDTF">2025-01-14T03:21:14Z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86430F303F364ABB8800AC4A7D39BEF3_13</vt:lpwstr>
  </property>
  <property fmtid="{D5CDD505-2E9C-101B-9397-08002B2CF9AE}" pid="4" name="KSOTemplateDocerSaveRecord">
    <vt:lpwstr>eyJoZGlkIjoiZTc4YTBhZmVjYWJmYjgyYWUyMGJiMDc4YmMwMzdkOTgiLCJ1c2VySWQiOiI3NDY2MzMyMzcifQ==</vt:lpwstr>
  </property>
</Properties>
</file>