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79EED">
      <w:pPr>
        <w:jc w:val="center"/>
      </w:pPr>
    </w:p>
    <w:p w14:paraId="57EC1C25">
      <w:pPr>
        <w:jc w:val="center"/>
      </w:pPr>
    </w:p>
    <w:p w14:paraId="4760D424">
      <w:pPr>
        <w:jc w:val="center"/>
      </w:pPr>
    </w:p>
    <w:p w14:paraId="585F458C">
      <w:pPr>
        <w:jc w:val="center"/>
      </w:pPr>
    </w:p>
    <w:p w14:paraId="1931CC42">
      <w:pPr>
        <w:jc w:val="center"/>
      </w:pPr>
    </w:p>
    <w:p w14:paraId="51A854A2">
      <w:pPr>
        <w:jc w:val="center"/>
      </w:pPr>
    </w:p>
    <w:p w14:paraId="5DFC6E10">
      <w:pPr>
        <w:jc w:val="center"/>
      </w:pPr>
    </w:p>
    <w:p w14:paraId="06998EC3">
      <w:pPr>
        <w:jc w:val="center"/>
      </w:pPr>
    </w:p>
    <w:p w14:paraId="3AF22A54">
      <w:pPr>
        <w:jc w:val="center"/>
      </w:pPr>
    </w:p>
    <w:p w14:paraId="3C837E95">
      <w:pPr>
        <w:jc w:val="center"/>
      </w:pPr>
    </w:p>
    <w:p w14:paraId="6CBD7074">
      <w:pPr>
        <w:jc w:val="center"/>
      </w:pPr>
    </w:p>
    <w:p w14:paraId="6778A0A4">
      <w:pPr>
        <w:jc w:val="center"/>
      </w:pPr>
    </w:p>
    <w:p w14:paraId="7E4B68F2">
      <w:pPr>
        <w:jc w:val="center"/>
      </w:pPr>
    </w:p>
    <w:p w14:paraId="5D151973">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2018 年度湛江市国土资源局预算公开</w:t>
      </w:r>
    </w:p>
    <w:p w14:paraId="2159F769">
      <w:pPr>
        <w:jc w:val="center"/>
        <w:rPr>
          <w:rFonts w:ascii="仿宋_GB2312" w:hAnsi="仿宋_GB2312" w:eastAsia="仿宋_GB2312" w:cs="仿宋_GB2312"/>
          <w:b/>
          <w:bCs/>
          <w:sz w:val="44"/>
          <w:szCs w:val="44"/>
        </w:rPr>
      </w:pPr>
    </w:p>
    <w:p w14:paraId="1AF241DB">
      <w:pPr>
        <w:jc w:val="center"/>
        <w:rPr>
          <w:rFonts w:ascii="仿宋_GB2312" w:hAnsi="仿宋_GB2312" w:eastAsia="仿宋_GB2312" w:cs="仿宋_GB2312"/>
          <w:b/>
          <w:bCs/>
          <w:sz w:val="44"/>
          <w:szCs w:val="44"/>
        </w:rPr>
      </w:pPr>
    </w:p>
    <w:p w14:paraId="63A3A985">
      <w:pPr>
        <w:jc w:val="center"/>
        <w:rPr>
          <w:rFonts w:ascii="仿宋_GB2312" w:hAnsi="仿宋_GB2312" w:eastAsia="仿宋_GB2312" w:cs="仿宋_GB2312"/>
          <w:b/>
          <w:bCs/>
          <w:sz w:val="44"/>
          <w:szCs w:val="44"/>
        </w:rPr>
      </w:pPr>
    </w:p>
    <w:p w14:paraId="38F501EC">
      <w:pPr>
        <w:jc w:val="center"/>
        <w:rPr>
          <w:rFonts w:ascii="仿宋_GB2312" w:hAnsi="仿宋_GB2312" w:eastAsia="仿宋_GB2312" w:cs="仿宋_GB2312"/>
          <w:b/>
          <w:bCs/>
          <w:sz w:val="44"/>
          <w:szCs w:val="44"/>
        </w:rPr>
      </w:pPr>
    </w:p>
    <w:p w14:paraId="120D3724">
      <w:pPr>
        <w:jc w:val="center"/>
        <w:rPr>
          <w:rFonts w:ascii="仿宋_GB2312" w:hAnsi="仿宋_GB2312" w:eastAsia="仿宋_GB2312" w:cs="仿宋_GB2312"/>
          <w:b/>
          <w:bCs/>
          <w:sz w:val="44"/>
          <w:szCs w:val="44"/>
        </w:rPr>
      </w:pPr>
    </w:p>
    <w:p w14:paraId="2420929A">
      <w:pPr>
        <w:jc w:val="center"/>
        <w:rPr>
          <w:rFonts w:ascii="仿宋_GB2312" w:hAnsi="仿宋_GB2312" w:eastAsia="仿宋_GB2312" w:cs="仿宋_GB2312"/>
          <w:b/>
          <w:bCs/>
          <w:sz w:val="44"/>
          <w:szCs w:val="44"/>
        </w:rPr>
      </w:pPr>
    </w:p>
    <w:p w14:paraId="3E1E59F9">
      <w:pPr>
        <w:jc w:val="center"/>
        <w:rPr>
          <w:rFonts w:ascii="仿宋_GB2312" w:hAnsi="仿宋_GB2312" w:eastAsia="仿宋_GB2312" w:cs="仿宋_GB2312"/>
          <w:b/>
          <w:bCs/>
          <w:sz w:val="44"/>
          <w:szCs w:val="44"/>
        </w:rPr>
      </w:pPr>
    </w:p>
    <w:p w14:paraId="7526EAB0">
      <w:pPr>
        <w:jc w:val="center"/>
        <w:rPr>
          <w:rFonts w:ascii="仿宋_GB2312" w:hAnsi="仿宋_GB2312" w:eastAsia="仿宋_GB2312" w:cs="仿宋_GB2312"/>
          <w:b/>
          <w:bCs/>
          <w:sz w:val="44"/>
          <w:szCs w:val="44"/>
        </w:rPr>
      </w:pPr>
    </w:p>
    <w:p w14:paraId="63DE1CB8">
      <w:pPr>
        <w:autoSpaceDE w:val="0"/>
        <w:autoSpaceDN w:val="0"/>
        <w:adjustRightInd w:val="0"/>
        <w:spacing w:line="240" w:lineRule="auto"/>
        <w:jc w:val="center"/>
        <w:rPr>
          <w:rFonts w:ascii="黑体" w:eastAsia="黑体" w:cs="黑体"/>
          <w:kern w:val="0"/>
          <w:sz w:val="52"/>
          <w:szCs w:val="52"/>
        </w:rPr>
      </w:pPr>
    </w:p>
    <w:p w14:paraId="6F553100">
      <w:pPr>
        <w:autoSpaceDE w:val="0"/>
        <w:autoSpaceDN w:val="0"/>
        <w:adjustRightInd w:val="0"/>
        <w:spacing w:line="240" w:lineRule="auto"/>
        <w:jc w:val="center"/>
        <w:rPr>
          <w:rFonts w:ascii="黑体" w:eastAsia="黑体" w:cs="黑体"/>
          <w:kern w:val="0"/>
          <w:sz w:val="52"/>
          <w:szCs w:val="52"/>
        </w:rPr>
      </w:pPr>
      <w:r>
        <w:rPr>
          <w:rFonts w:hint="eastAsia" w:ascii="黑体" w:eastAsia="黑体" w:cs="黑体"/>
          <w:kern w:val="0"/>
          <w:sz w:val="52"/>
          <w:szCs w:val="52"/>
        </w:rPr>
        <w:t>目录</w:t>
      </w:r>
    </w:p>
    <w:p w14:paraId="597C088E">
      <w:pPr>
        <w:autoSpaceDE w:val="0"/>
        <w:autoSpaceDN w:val="0"/>
        <w:adjustRightInd w:val="0"/>
        <w:spacing w:line="240" w:lineRule="auto"/>
        <w:jc w:val="center"/>
        <w:rPr>
          <w:rFonts w:ascii="黑体" w:eastAsia="黑体" w:cs="黑体"/>
          <w:kern w:val="0"/>
          <w:sz w:val="52"/>
          <w:szCs w:val="52"/>
        </w:rPr>
      </w:pPr>
    </w:p>
    <w:p w14:paraId="729FC445">
      <w:pPr>
        <w:autoSpaceDE w:val="0"/>
        <w:autoSpaceDN w:val="0"/>
        <w:adjustRightInd w:val="0"/>
        <w:spacing w:line="240" w:lineRule="auto"/>
        <w:jc w:val="left"/>
        <w:rPr>
          <w:rFonts w:ascii="黑体" w:eastAsia="黑体" w:cs="黑体"/>
          <w:kern w:val="0"/>
          <w:sz w:val="32"/>
          <w:szCs w:val="32"/>
        </w:rPr>
      </w:pPr>
      <w:r>
        <w:rPr>
          <w:rFonts w:hint="eastAsia" w:ascii="黑体" w:eastAsia="黑体" w:cs="黑体"/>
          <w:kern w:val="0"/>
          <w:sz w:val="32"/>
          <w:szCs w:val="32"/>
        </w:rPr>
        <w:t>第一部分</w:t>
      </w:r>
      <w:r>
        <w:rPr>
          <w:rFonts w:hint="eastAsia" w:ascii="仿宋_GB2312" w:hAnsi="仿宋_GB2312" w:eastAsia="仿宋_GB2312" w:cs="仿宋_GB2312"/>
          <w:sz w:val="32"/>
          <w:szCs w:val="32"/>
        </w:rPr>
        <w:t>2018 年</w:t>
      </w:r>
      <w:r>
        <w:rPr>
          <w:rFonts w:hint="eastAsia" w:ascii="黑体" w:eastAsia="黑体" w:cs="黑体"/>
          <w:kern w:val="0"/>
          <w:sz w:val="32"/>
          <w:szCs w:val="32"/>
        </w:rPr>
        <w:t>湛江市国土资源局</w:t>
      </w:r>
      <w:r>
        <w:rPr>
          <w:rFonts w:hint="eastAsia" w:ascii="仿宋_GB2312" w:hAnsi="仿宋_GB2312" w:eastAsia="仿宋_GB2312" w:cs="仿宋_GB2312"/>
          <w:sz w:val="32"/>
          <w:szCs w:val="32"/>
        </w:rPr>
        <w:t>部门预算基本情况说明</w:t>
      </w:r>
    </w:p>
    <w:p w14:paraId="5F4B334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一、部门基本情况</w:t>
      </w:r>
    </w:p>
    <w:p w14:paraId="05104C1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二、收入预算说明</w:t>
      </w:r>
    </w:p>
    <w:p w14:paraId="7DEEA31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三、支出预算说明</w:t>
      </w:r>
    </w:p>
    <w:p w14:paraId="44EB118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四、"三公"经费说明</w:t>
      </w:r>
    </w:p>
    <w:p w14:paraId="1C8AA79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五、其他需要说明的情况</w:t>
      </w:r>
    </w:p>
    <w:p w14:paraId="551A159F">
      <w:pPr>
        <w:rPr>
          <w:rFonts w:ascii="仿宋_GB2312" w:hAnsi="仿宋_GB2312" w:eastAsia="仿宋_GB2312" w:cs="仿宋_GB2312"/>
          <w:sz w:val="32"/>
          <w:szCs w:val="32"/>
        </w:rPr>
      </w:pPr>
    </w:p>
    <w:p w14:paraId="5E75E521">
      <w:pPr>
        <w:autoSpaceDE w:val="0"/>
        <w:autoSpaceDN w:val="0"/>
        <w:adjustRightInd w:val="0"/>
        <w:spacing w:line="240" w:lineRule="auto"/>
        <w:jc w:val="left"/>
        <w:rPr>
          <w:rFonts w:ascii="黑体" w:eastAsia="黑体" w:cs="黑体"/>
          <w:kern w:val="0"/>
          <w:sz w:val="32"/>
          <w:szCs w:val="32"/>
        </w:rPr>
      </w:pPr>
      <w:r>
        <w:rPr>
          <w:rFonts w:hint="eastAsia" w:ascii="黑体" w:eastAsia="黑体" w:cs="黑体"/>
          <w:kern w:val="0"/>
          <w:sz w:val="32"/>
          <w:szCs w:val="32"/>
        </w:rPr>
        <w:t>第二部分</w:t>
      </w:r>
      <w:r>
        <w:rPr>
          <w:rFonts w:hint="eastAsia" w:ascii="仿宋_GB2312" w:hAnsi="仿宋_GB2312" w:eastAsia="仿宋_GB2312" w:cs="仿宋_GB2312"/>
          <w:sz w:val="32"/>
          <w:szCs w:val="32"/>
        </w:rPr>
        <w:t>2018 年</w:t>
      </w:r>
      <w:r>
        <w:rPr>
          <w:rFonts w:hint="eastAsia" w:ascii="黑体" w:eastAsia="黑体" w:cs="黑体"/>
          <w:kern w:val="0"/>
          <w:sz w:val="32"/>
          <w:szCs w:val="32"/>
        </w:rPr>
        <w:t>湛江市国土资源局2018年度部门预算表</w:t>
      </w:r>
    </w:p>
    <w:p w14:paraId="5D82A1B1">
      <w:pPr>
        <w:pStyle w:val="12"/>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一、2018年财政拨款收支总表</w:t>
      </w:r>
    </w:p>
    <w:p w14:paraId="0F5FF510">
      <w:pPr>
        <w:pStyle w:val="12"/>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二、2018年一般公共预算支出表</w:t>
      </w:r>
    </w:p>
    <w:p w14:paraId="2DF5164F">
      <w:pPr>
        <w:pStyle w:val="12"/>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三、2018年一般公共预算基本支出表（部门经济分类）</w:t>
      </w:r>
    </w:p>
    <w:p w14:paraId="1D94C5F9">
      <w:pPr>
        <w:pStyle w:val="12"/>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四、2018年一般公共预算基本支出表（政府经济分类）</w:t>
      </w:r>
    </w:p>
    <w:p w14:paraId="31BF595A">
      <w:pPr>
        <w:pStyle w:val="12"/>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五、2018年一般公共预算“三公”经费支出表</w:t>
      </w:r>
    </w:p>
    <w:p w14:paraId="7CF99340">
      <w:pPr>
        <w:pStyle w:val="12"/>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六、2018年政府性基金预算支出表</w:t>
      </w:r>
    </w:p>
    <w:p w14:paraId="4C5F2F3B">
      <w:pPr>
        <w:pStyle w:val="12"/>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七、2018年部门收支总表</w:t>
      </w:r>
    </w:p>
    <w:p w14:paraId="4AB74918">
      <w:pPr>
        <w:pStyle w:val="12"/>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八、2018年部门收入表</w:t>
      </w:r>
    </w:p>
    <w:p w14:paraId="5A327095">
      <w:pPr>
        <w:pStyle w:val="12"/>
        <w:snapToGrid w:val="0"/>
        <w:spacing w:line="600" w:lineRule="exact"/>
        <w:ind w:firstLine="640"/>
        <w:rPr>
          <w:rFonts w:ascii="仿宋_GB2312" w:eastAsia="仿宋_GB2312"/>
        </w:rPr>
      </w:pPr>
      <w:r>
        <w:rPr>
          <w:rFonts w:hint="eastAsia" w:ascii="仿宋_GB2312" w:hAnsi="仿宋_GB2312" w:eastAsia="仿宋_GB2312" w:cs="仿宋_GB2312"/>
        </w:rPr>
        <w:t>九、2018年部门支出表</w:t>
      </w:r>
    </w:p>
    <w:p w14:paraId="45C70BF1">
      <w:pPr>
        <w:rPr>
          <w:rFonts w:ascii="黑体" w:eastAsia="黑体" w:cs="黑体"/>
          <w:kern w:val="0"/>
          <w:sz w:val="32"/>
          <w:szCs w:val="32"/>
        </w:rPr>
      </w:pPr>
    </w:p>
    <w:p w14:paraId="6ADF212D">
      <w:pPr>
        <w:rPr>
          <w:rFonts w:ascii="黑体" w:eastAsia="黑体" w:cs="黑体"/>
          <w:kern w:val="0"/>
          <w:sz w:val="32"/>
          <w:szCs w:val="32"/>
        </w:rPr>
      </w:pPr>
    </w:p>
    <w:p w14:paraId="6D19EA37">
      <w:pPr>
        <w:rPr>
          <w:rFonts w:ascii="黑体" w:eastAsia="黑体" w:cs="黑体"/>
          <w:kern w:val="0"/>
          <w:sz w:val="32"/>
          <w:szCs w:val="32"/>
        </w:rPr>
      </w:pPr>
    </w:p>
    <w:p w14:paraId="25D93BA5">
      <w:pPr>
        <w:rPr>
          <w:rFonts w:ascii="黑体" w:eastAsia="黑体" w:cs="黑体"/>
          <w:kern w:val="0"/>
          <w:sz w:val="32"/>
          <w:szCs w:val="32"/>
        </w:rPr>
      </w:pPr>
    </w:p>
    <w:p w14:paraId="2E77529C">
      <w:pPr>
        <w:autoSpaceDE w:val="0"/>
        <w:autoSpaceDN w:val="0"/>
        <w:adjustRightInd w:val="0"/>
        <w:spacing w:line="240" w:lineRule="auto"/>
        <w:jc w:val="center"/>
        <w:rPr>
          <w:rFonts w:ascii="黑体" w:hAnsi="黑体" w:eastAsia="黑体" w:cs="仿宋_GB2312"/>
          <w:sz w:val="36"/>
          <w:szCs w:val="36"/>
        </w:rPr>
      </w:pPr>
      <w:r>
        <w:rPr>
          <w:rFonts w:hint="eastAsia" w:ascii="黑体" w:hAnsi="黑体" w:eastAsia="黑体" w:cs="黑体"/>
          <w:kern w:val="0"/>
          <w:sz w:val="36"/>
          <w:szCs w:val="36"/>
        </w:rPr>
        <w:t xml:space="preserve">第一部分  </w:t>
      </w:r>
      <w:r>
        <w:rPr>
          <w:rFonts w:hint="eastAsia" w:ascii="黑体" w:hAnsi="黑体" w:eastAsia="黑体" w:cs="仿宋_GB2312"/>
          <w:sz w:val="36"/>
          <w:szCs w:val="36"/>
        </w:rPr>
        <w:t>2018年</w:t>
      </w:r>
      <w:r>
        <w:rPr>
          <w:rFonts w:hint="eastAsia" w:ascii="黑体" w:hAnsi="黑体" w:eastAsia="黑体" w:cs="黑体"/>
          <w:kern w:val="0"/>
          <w:sz w:val="36"/>
          <w:szCs w:val="36"/>
        </w:rPr>
        <w:t>湛江市国土资源局</w:t>
      </w:r>
      <w:r>
        <w:rPr>
          <w:rFonts w:hint="eastAsia" w:ascii="黑体" w:hAnsi="黑体" w:eastAsia="黑体" w:cs="仿宋_GB2312"/>
          <w:sz w:val="36"/>
          <w:szCs w:val="36"/>
        </w:rPr>
        <w:t>部门预算</w:t>
      </w:r>
    </w:p>
    <w:p w14:paraId="0A3A6A6E">
      <w:pPr>
        <w:autoSpaceDE w:val="0"/>
        <w:autoSpaceDN w:val="0"/>
        <w:adjustRightInd w:val="0"/>
        <w:spacing w:line="240" w:lineRule="auto"/>
        <w:jc w:val="center"/>
        <w:rPr>
          <w:rFonts w:ascii="黑体" w:hAnsi="黑体" w:eastAsia="黑体" w:cs="黑体"/>
          <w:kern w:val="0"/>
          <w:sz w:val="36"/>
          <w:szCs w:val="36"/>
        </w:rPr>
      </w:pPr>
      <w:r>
        <w:rPr>
          <w:rFonts w:hint="eastAsia" w:ascii="黑体" w:hAnsi="黑体" w:eastAsia="黑体" w:cs="仿宋_GB2312"/>
          <w:sz w:val="36"/>
          <w:szCs w:val="36"/>
        </w:rPr>
        <w:t>基本情况说明</w:t>
      </w:r>
    </w:p>
    <w:p w14:paraId="43B64703">
      <w:pPr>
        <w:jc w:val="center"/>
        <w:rPr>
          <w:rFonts w:ascii="仿宋" w:hAnsi="仿宋" w:eastAsia="仿宋"/>
        </w:rPr>
      </w:pPr>
    </w:p>
    <w:p w14:paraId="7250067D">
      <w:pPr>
        <w:jc w:val="center"/>
        <w:rPr>
          <w:rFonts w:ascii="仿宋" w:hAnsi="仿宋" w:eastAsia="仿宋"/>
        </w:rPr>
      </w:pPr>
    </w:p>
    <w:p w14:paraId="381E762A">
      <w:pPr>
        <w:rPr>
          <w:rFonts w:ascii="仿宋_GB2312" w:hAnsi="仿宋_GB2312" w:eastAsia="仿宋_GB2312" w:cs="仿宋_GB2312"/>
          <w:sz w:val="32"/>
          <w:szCs w:val="32"/>
        </w:rPr>
      </w:pPr>
      <w:r>
        <w:rPr>
          <w:rFonts w:hint="eastAsia" w:ascii="仿宋_GB2312" w:hAnsi="仿宋_GB2312" w:eastAsia="仿宋_GB2312" w:cs="仿宋_GB2312"/>
          <w:sz w:val="32"/>
          <w:szCs w:val="32"/>
        </w:rPr>
        <w:t>一、部门基本情况</w:t>
      </w:r>
    </w:p>
    <w:p w14:paraId="3C8720CA">
      <w:pPr>
        <w:ind w:firstLine="640" w:firstLineChars="200"/>
        <w:rPr>
          <w:rFonts w:ascii="仿宋" w:hAnsi="仿宋" w:eastAsia="仿宋" w:cs="宋体"/>
          <w:kern w:val="0"/>
          <w:sz w:val="32"/>
          <w:szCs w:val="32"/>
        </w:rPr>
      </w:pPr>
      <w:r>
        <w:rPr>
          <w:rFonts w:hint="eastAsia" w:ascii="仿宋_GB2312" w:hAnsi="仿宋_GB2312" w:eastAsia="仿宋_GB2312" w:cs="仿宋_GB2312"/>
          <w:sz w:val="32"/>
          <w:szCs w:val="32"/>
        </w:rPr>
        <w:t>(一)部门机构设置、职能:</w:t>
      </w:r>
      <w:r>
        <w:rPr>
          <w:rFonts w:hint="eastAsia" w:ascii="仿宋" w:hAnsi="仿宋" w:eastAsia="仿宋" w:cs="仿宋_GB2312"/>
          <w:sz w:val="32"/>
          <w:szCs w:val="32"/>
        </w:rPr>
        <w:t>湛江市</w:t>
      </w:r>
      <w:r>
        <w:rPr>
          <w:rFonts w:hint="eastAsia" w:ascii="仿宋" w:hAnsi="仿宋" w:eastAsia="仿宋"/>
          <w:sz w:val="32"/>
          <w:szCs w:val="32"/>
        </w:rPr>
        <w:t>国土资源局是根据广东省机构编制委员会《关于印发湛江市人民政府机构改革方案的通知》（粤机编〔2009〕18号）精神设立，为市人民政府工作部门。内设12个科室：办公室、宣教法规科、土地利用与耕地保护科、土地利用管理科、不动产登记局（地籍管理科）、地质矿产管理局、测绘地理信息科、人事科、财务科、旧城改造管理科、行政审批科、执法监察支队；六个分局：赤坎分局、霞山分局、麻章分局、坡头分局、奋勇高新区分局、南三分局；10个国土所：</w:t>
      </w:r>
      <w:r>
        <w:rPr>
          <w:rFonts w:hint="eastAsia" w:ascii="仿宋" w:hAnsi="仿宋" w:eastAsia="仿宋" w:cs="仿宋_GB2312"/>
          <w:kern w:val="0"/>
          <w:sz w:val="32"/>
          <w:szCs w:val="32"/>
        </w:rPr>
        <w:t>霞山城区国土所、赤坎城区国土所、坡头国土所、坡头城区国土所、龙头国土所、官渡国土所、乾塘国土所、太平国土所、湖光国土所、麻章国土所；1个参公管理事业单位：</w:t>
      </w:r>
      <w:r>
        <w:rPr>
          <w:rFonts w:hint="eastAsia" w:ascii="仿宋" w:hAnsi="仿宋" w:eastAsia="仿宋" w:cs="宋体"/>
          <w:kern w:val="0"/>
          <w:sz w:val="32"/>
          <w:szCs w:val="32"/>
        </w:rPr>
        <w:t>湛江市不动产登记中心；2个纳入财政预算的事业单位：湛江市不动产档案信息管理中心与湛江市矿业与地质环境监测中心。</w:t>
      </w:r>
    </w:p>
    <w:p w14:paraId="00422726">
      <w:pPr>
        <w:ind w:firstLine="640" w:firstLineChars="200"/>
        <w:rPr>
          <w:rFonts w:ascii="仿宋" w:hAnsi="仿宋" w:eastAsia="仿宋"/>
          <w:sz w:val="32"/>
          <w:szCs w:val="32"/>
        </w:rPr>
      </w:pPr>
      <w:r>
        <w:rPr>
          <w:rFonts w:hint="eastAsia" w:ascii="仿宋_GB2312" w:hAnsi="仿宋_GB2312" w:eastAsia="仿宋_GB2312" w:cs="仿宋_GB2312"/>
          <w:sz w:val="32"/>
          <w:szCs w:val="32"/>
        </w:rPr>
        <w:t>主要职责：</w:t>
      </w:r>
      <w:r>
        <w:rPr>
          <w:rFonts w:hint="eastAsia" w:ascii="仿宋" w:hAnsi="仿宋" w:eastAsia="仿宋"/>
          <w:sz w:val="32"/>
          <w:szCs w:val="32"/>
        </w:rPr>
        <w:t>一、贯彻执行国家、省、市有关土地、矿产资源、测绘管理的方针政策和法律法规，组织起草有关规范性文件和政策并组织实施。负责有关行政处罚的听证、行政复议和协助做好行政诉讼工作；二、承担保护与合理利用土地、矿产资源的责任；三、承担规范国土资源管理秩序的责任；四、承担耕地保护的责任。五、负责组织开展节约集约利用土地工作；六、组织实施地籍管理办法和技术标准组织土地资源调查、地籍调查、土地统计和动态监测工作组织土地确权、城乡地籍管理、土地定级、土地登记发证等管理工作；七、对土地使用权出让、租赁、转让、交易和政府收购等进行管理和监督检查，指导农村集体建设用地使用权流转管理，承担报国务院、省人民政府、市人民政府审批的各类用地的审查、报批工作；八、负责矿产资源勘查、开发管理工作；九、负责地质环境保护和地质灾害防治工作。十、负责基础测绘和测绘市场管理工作；十一、负责下一级国土资源主管部门领导干部双重管理主管方的工作；</w:t>
      </w:r>
    </w:p>
    <w:p w14:paraId="5F8BBA4E">
      <w:pPr>
        <w:rPr>
          <w:rFonts w:ascii="仿宋" w:hAnsi="仿宋" w:eastAsia="仿宋"/>
          <w:sz w:val="32"/>
          <w:szCs w:val="32"/>
        </w:rPr>
      </w:pPr>
      <w:r>
        <w:rPr>
          <w:rFonts w:hint="eastAsia" w:ascii="仿宋" w:hAnsi="仿宋" w:eastAsia="仿宋"/>
          <w:sz w:val="32"/>
          <w:szCs w:val="32"/>
        </w:rPr>
        <w:t>十二、委托管理市土地储备管理中心工作；十三、承办市人民政府和省国土资源厅交办的其他事项。</w:t>
      </w:r>
    </w:p>
    <w:p w14:paraId="4874CB5D">
      <w:pPr>
        <w:ind w:firstLine="640" w:firstLineChars="200"/>
        <w:rPr>
          <w:rFonts w:ascii="仿宋" w:hAnsi="仿宋" w:eastAsia="仿宋"/>
          <w:sz w:val="30"/>
          <w:szCs w:val="30"/>
        </w:rPr>
      </w:pPr>
      <w:r>
        <w:rPr>
          <w:rFonts w:hint="eastAsia" w:ascii="仿宋" w:hAnsi="仿宋" w:eastAsia="仿宋"/>
          <w:sz w:val="32"/>
          <w:szCs w:val="32"/>
        </w:rPr>
        <w:t>另外增加不动产登记中心职责：贯彻执行不动产登记法律法规，承担市辖区土地、房屋、林地、草原（含牧草地）、农村土地承包经营权、海域使用权和无居民海岛使用权、水域及滩涂等不动产统一登记的受理、审核、登簿等工作；收集、整理、共享、汇交各类不动产登记资料并归档管理；承担不动产登记信息管理基础平台建设和管理维护工作；参与不动产登记局开展不动产确权和权属争议调处工作；参与不动产登记局规范和监管不动产登记中介组织及行为；承办市国土资源局及不动产登记局交办的其他工作。</w:t>
      </w:r>
    </w:p>
    <w:p w14:paraId="45236A5B">
      <w:pPr>
        <w:ind w:firstLine="640" w:firstLineChars="200"/>
        <w:rPr>
          <w:rFonts w:ascii="黑体" w:hAnsi="黑体" w:eastAsia="黑体"/>
          <w:sz w:val="32"/>
          <w:szCs w:val="32"/>
        </w:rPr>
      </w:pPr>
      <w:r>
        <w:rPr>
          <w:rFonts w:hint="eastAsia" w:ascii="黑体" w:hAnsi="黑体" w:eastAsia="黑体" w:cs="黑体"/>
          <w:kern w:val="0"/>
          <w:sz w:val="32"/>
          <w:szCs w:val="32"/>
        </w:rPr>
        <w:t>（</w:t>
      </w:r>
      <w:r>
        <w:rPr>
          <w:rFonts w:hint="eastAsia" w:ascii="仿宋_GB2312" w:hAnsi="仿宋_GB2312" w:eastAsia="仿宋_GB2312" w:cs="仿宋_GB2312"/>
          <w:sz w:val="32"/>
          <w:szCs w:val="32"/>
        </w:rPr>
        <w:t>二）人员构成</w:t>
      </w:r>
      <w:r>
        <w:rPr>
          <w:rFonts w:hint="eastAsia" w:ascii="黑体" w:hAnsi="黑体" w:eastAsia="黑体" w:cs="黑体"/>
          <w:kern w:val="0"/>
          <w:sz w:val="32"/>
          <w:szCs w:val="32"/>
        </w:rPr>
        <w:t>：</w:t>
      </w:r>
    </w:p>
    <w:p w14:paraId="1411673F">
      <w:pPr>
        <w:ind w:firstLine="640" w:firstLineChars="200"/>
        <w:rPr>
          <w:rFonts w:ascii="仿宋" w:hAnsi="仿宋" w:eastAsia="仿宋" w:cs="宋体"/>
          <w:kern w:val="0"/>
          <w:sz w:val="32"/>
          <w:szCs w:val="32"/>
        </w:rPr>
      </w:pPr>
      <w:r>
        <w:rPr>
          <w:rFonts w:hint="eastAsia" w:ascii="仿宋" w:hAnsi="仿宋" w:eastAsia="仿宋" w:cs="仿宋_GB2312"/>
          <w:kern w:val="0"/>
          <w:sz w:val="32"/>
          <w:szCs w:val="32"/>
        </w:rPr>
        <w:t>湛江市国土资源局2018年预算</w:t>
      </w:r>
      <w:r>
        <w:rPr>
          <w:rFonts w:hint="eastAsia" w:ascii="仿宋" w:hAnsi="仿宋" w:eastAsia="仿宋"/>
          <w:sz w:val="32"/>
          <w:szCs w:val="32"/>
        </w:rPr>
        <w:t>局本部设</w:t>
      </w:r>
      <w:r>
        <w:rPr>
          <w:rFonts w:ascii="仿宋" w:hAnsi="仿宋" w:eastAsia="仿宋"/>
          <w:sz w:val="32"/>
          <w:szCs w:val="32"/>
        </w:rPr>
        <w:t>1</w:t>
      </w:r>
      <w:r>
        <w:rPr>
          <w:rFonts w:hint="eastAsia" w:ascii="仿宋" w:hAnsi="仿宋" w:eastAsia="仿宋"/>
          <w:sz w:val="32"/>
          <w:szCs w:val="32"/>
        </w:rPr>
        <w:t>2个内设机构，机关行政编制</w:t>
      </w:r>
      <w:r>
        <w:rPr>
          <w:rFonts w:ascii="仿宋" w:hAnsi="仿宋" w:eastAsia="仿宋"/>
          <w:sz w:val="32"/>
          <w:szCs w:val="32"/>
        </w:rPr>
        <w:t>44</w:t>
      </w:r>
      <w:r>
        <w:rPr>
          <w:rFonts w:hint="eastAsia" w:ascii="仿宋" w:hAnsi="仿宋" w:eastAsia="仿宋"/>
          <w:sz w:val="32"/>
          <w:szCs w:val="32"/>
        </w:rPr>
        <w:t>名，行政执法专项编制</w:t>
      </w:r>
      <w:r>
        <w:rPr>
          <w:rFonts w:ascii="仿宋" w:hAnsi="仿宋" w:eastAsia="仿宋"/>
          <w:sz w:val="32"/>
          <w:szCs w:val="32"/>
        </w:rPr>
        <w:t>5</w:t>
      </w:r>
      <w:r>
        <w:rPr>
          <w:rFonts w:hint="eastAsia" w:ascii="仿宋" w:hAnsi="仿宋" w:eastAsia="仿宋"/>
          <w:sz w:val="32"/>
          <w:szCs w:val="32"/>
        </w:rPr>
        <w:t>名，工勤编制6名，其中：局长</w:t>
      </w:r>
      <w:r>
        <w:rPr>
          <w:rFonts w:ascii="仿宋" w:hAnsi="仿宋" w:eastAsia="仿宋"/>
          <w:sz w:val="32"/>
          <w:szCs w:val="32"/>
        </w:rPr>
        <w:t>1</w:t>
      </w:r>
      <w:r>
        <w:rPr>
          <w:rFonts w:hint="eastAsia" w:ascii="仿宋" w:hAnsi="仿宋" w:eastAsia="仿宋"/>
          <w:sz w:val="32"/>
          <w:szCs w:val="32"/>
        </w:rPr>
        <w:t>名、副局长</w:t>
      </w:r>
      <w:r>
        <w:rPr>
          <w:rFonts w:ascii="仿宋" w:hAnsi="仿宋" w:eastAsia="仿宋"/>
          <w:sz w:val="32"/>
          <w:szCs w:val="32"/>
        </w:rPr>
        <w:t>4</w:t>
      </w:r>
      <w:r>
        <w:rPr>
          <w:rFonts w:hint="eastAsia" w:ascii="仿宋" w:hAnsi="仿宋" w:eastAsia="仿宋"/>
          <w:sz w:val="32"/>
          <w:szCs w:val="32"/>
        </w:rPr>
        <w:t>名，科级领导职数</w:t>
      </w:r>
      <w:r>
        <w:rPr>
          <w:rFonts w:ascii="仿宋" w:hAnsi="仿宋" w:eastAsia="仿宋"/>
          <w:sz w:val="32"/>
          <w:szCs w:val="32"/>
        </w:rPr>
        <w:t>16</w:t>
      </w:r>
      <w:r>
        <w:rPr>
          <w:rFonts w:hint="eastAsia" w:ascii="仿宋" w:hAnsi="仿宋" w:eastAsia="仿宋"/>
          <w:sz w:val="32"/>
          <w:szCs w:val="32"/>
        </w:rPr>
        <w:t>名（不含执法监察支队）；后勤服务人员数</w:t>
      </w:r>
      <w:r>
        <w:rPr>
          <w:rFonts w:ascii="仿宋" w:hAnsi="仿宋" w:eastAsia="仿宋"/>
          <w:sz w:val="32"/>
          <w:szCs w:val="32"/>
        </w:rPr>
        <w:t>6</w:t>
      </w:r>
      <w:r>
        <w:rPr>
          <w:rFonts w:hint="eastAsia" w:ascii="仿宋" w:hAnsi="仿宋" w:eastAsia="仿宋"/>
          <w:sz w:val="32"/>
          <w:szCs w:val="32"/>
        </w:rPr>
        <w:t>名；市国土资源局执法监察支队行政执法专项编制</w:t>
      </w:r>
      <w:r>
        <w:rPr>
          <w:rFonts w:ascii="仿宋" w:hAnsi="仿宋" w:eastAsia="仿宋"/>
          <w:sz w:val="32"/>
          <w:szCs w:val="32"/>
        </w:rPr>
        <w:t>35</w:t>
      </w:r>
      <w:r>
        <w:rPr>
          <w:rFonts w:hint="eastAsia" w:ascii="仿宋" w:hAnsi="仿宋" w:eastAsia="仿宋"/>
          <w:sz w:val="32"/>
          <w:szCs w:val="32"/>
        </w:rPr>
        <w:t>名，其中：支队长</w:t>
      </w:r>
      <w:r>
        <w:rPr>
          <w:rFonts w:ascii="仿宋" w:hAnsi="仿宋" w:eastAsia="仿宋"/>
          <w:sz w:val="32"/>
          <w:szCs w:val="32"/>
        </w:rPr>
        <w:t>1</w:t>
      </w:r>
      <w:r>
        <w:rPr>
          <w:rFonts w:hint="eastAsia" w:ascii="仿宋" w:hAnsi="仿宋" w:eastAsia="仿宋"/>
          <w:sz w:val="32"/>
          <w:szCs w:val="32"/>
        </w:rPr>
        <w:t>名（由副处级领导干部担任）、副支队长</w:t>
      </w:r>
      <w:r>
        <w:rPr>
          <w:rFonts w:ascii="仿宋" w:hAnsi="仿宋" w:eastAsia="仿宋"/>
          <w:sz w:val="32"/>
          <w:szCs w:val="32"/>
        </w:rPr>
        <w:t>3</w:t>
      </w:r>
      <w:r>
        <w:rPr>
          <w:rFonts w:hint="eastAsia" w:ascii="仿宋" w:hAnsi="仿宋" w:eastAsia="仿宋"/>
          <w:sz w:val="32"/>
          <w:szCs w:val="32"/>
        </w:rPr>
        <w:t>名；另有派出机构</w:t>
      </w:r>
      <w:r>
        <w:rPr>
          <w:rFonts w:ascii="仿宋" w:hAnsi="仿宋" w:eastAsia="仿宋"/>
          <w:sz w:val="32"/>
          <w:szCs w:val="32"/>
        </w:rPr>
        <w:t>6</w:t>
      </w:r>
      <w:r>
        <w:rPr>
          <w:rFonts w:hint="eastAsia" w:ascii="仿宋" w:hAnsi="仿宋" w:eastAsia="仿宋"/>
          <w:sz w:val="32"/>
          <w:szCs w:val="32"/>
        </w:rPr>
        <w:t>个分局、</w:t>
      </w:r>
      <w:r>
        <w:rPr>
          <w:rFonts w:ascii="仿宋" w:hAnsi="仿宋" w:eastAsia="仿宋"/>
          <w:sz w:val="32"/>
          <w:szCs w:val="32"/>
        </w:rPr>
        <w:t>1</w:t>
      </w:r>
      <w:r>
        <w:rPr>
          <w:rFonts w:hint="eastAsia" w:ascii="仿宋" w:hAnsi="仿宋" w:eastAsia="仿宋"/>
          <w:sz w:val="32"/>
          <w:szCs w:val="32"/>
        </w:rPr>
        <w:t>0个国土所：人员事业编制51名（含后勤服务人员数7名），国土所行政执法专项编制</w:t>
      </w:r>
      <w:r>
        <w:rPr>
          <w:rFonts w:ascii="仿宋" w:hAnsi="仿宋" w:eastAsia="仿宋"/>
          <w:sz w:val="32"/>
          <w:szCs w:val="32"/>
        </w:rPr>
        <w:t>5</w:t>
      </w:r>
      <w:r>
        <w:rPr>
          <w:rFonts w:hint="eastAsia" w:ascii="仿宋" w:hAnsi="仿宋" w:eastAsia="仿宋"/>
          <w:sz w:val="32"/>
          <w:szCs w:val="32"/>
        </w:rPr>
        <w:t>0名（含</w:t>
      </w:r>
      <w:r>
        <w:rPr>
          <w:rFonts w:ascii="仿宋" w:hAnsi="仿宋" w:eastAsia="仿宋"/>
          <w:sz w:val="32"/>
          <w:szCs w:val="32"/>
        </w:rPr>
        <w:t>6</w:t>
      </w:r>
      <w:r>
        <w:rPr>
          <w:rFonts w:hint="eastAsia" w:ascii="仿宋" w:hAnsi="仿宋" w:eastAsia="仿宋"/>
          <w:sz w:val="32"/>
          <w:szCs w:val="32"/>
        </w:rPr>
        <w:t>后勤服务人员数</w:t>
      </w:r>
      <w:r>
        <w:rPr>
          <w:rFonts w:ascii="仿宋" w:hAnsi="仿宋" w:eastAsia="仿宋"/>
          <w:sz w:val="32"/>
          <w:szCs w:val="32"/>
        </w:rPr>
        <w:t>6</w:t>
      </w:r>
      <w:r>
        <w:rPr>
          <w:rFonts w:hint="eastAsia" w:ascii="仿宋" w:hAnsi="仿宋" w:eastAsia="仿宋"/>
          <w:sz w:val="32"/>
          <w:szCs w:val="32"/>
        </w:rPr>
        <w:t>名）；不动产登记中心编制14人；</w:t>
      </w:r>
      <w:r>
        <w:rPr>
          <w:rFonts w:hint="eastAsia" w:ascii="仿宋" w:hAnsi="仿宋" w:eastAsia="仿宋" w:cs="仿宋_GB2312"/>
          <w:kern w:val="0"/>
          <w:sz w:val="32"/>
          <w:szCs w:val="32"/>
        </w:rPr>
        <w:t>2018年预算实有在职人员169人、退休人员87人</w:t>
      </w:r>
      <w:r>
        <w:rPr>
          <w:rFonts w:hint="eastAsia" w:ascii="仿宋" w:hAnsi="仿宋" w:eastAsia="仿宋"/>
          <w:sz w:val="32"/>
          <w:szCs w:val="32"/>
        </w:rPr>
        <w:t>。另外，</w:t>
      </w:r>
      <w:r>
        <w:rPr>
          <w:rFonts w:hint="eastAsia" w:ascii="仿宋" w:hAnsi="仿宋" w:eastAsia="仿宋" w:cs="宋体"/>
          <w:kern w:val="0"/>
          <w:sz w:val="32"/>
          <w:szCs w:val="32"/>
        </w:rPr>
        <w:t>湛江市不动产档案信息管理中心编制10人，实有7人，退休1人；湛江市矿业与地质环境监测中心编制10人，实有9人。</w:t>
      </w:r>
    </w:p>
    <w:p w14:paraId="29CB9787">
      <w:pPr>
        <w:widowControl/>
        <w:spacing w:line="240" w:lineRule="auto"/>
        <w:ind w:left="640"/>
        <w:rPr>
          <w:rFonts w:ascii="仿宋_GB2312" w:hAnsi="仿宋_GB2312" w:eastAsia="仿宋_GB2312" w:cs="仿宋_GB2312"/>
          <w:b/>
          <w:sz w:val="32"/>
          <w:szCs w:val="32"/>
        </w:rPr>
      </w:pPr>
      <w:r>
        <w:rPr>
          <w:rFonts w:hint="eastAsia" w:ascii="仿宋_GB2312" w:hAnsi="仿宋_GB2312" w:eastAsia="仿宋_GB2312" w:cs="仿宋_GB2312"/>
          <w:sz w:val="32"/>
          <w:szCs w:val="32"/>
        </w:rPr>
        <w:t>（三）主要工作任务：</w:t>
      </w:r>
    </w:p>
    <w:p w14:paraId="10EB2538">
      <w:pPr>
        <w:ind w:firstLine="640" w:firstLineChars="200"/>
        <w:rPr>
          <w:rFonts w:ascii="仿宋" w:hAnsi="仿宋" w:eastAsia="仿宋"/>
          <w:color w:val="000000"/>
          <w:sz w:val="32"/>
          <w:szCs w:val="32"/>
        </w:rPr>
      </w:pPr>
      <w:r>
        <w:rPr>
          <w:rFonts w:hint="eastAsia" w:ascii="仿宋" w:hAnsi="仿宋" w:eastAsia="仿宋" w:cs="仿宋_GB2312"/>
          <w:kern w:val="0"/>
          <w:sz w:val="32"/>
          <w:szCs w:val="32"/>
        </w:rPr>
        <w:t>湛江市国土资源局2018年主要工作计划：</w:t>
      </w:r>
      <w:r>
        <w:rPr>
          <w:rFonts w:hint="eastAsia" w:ascii="仿宋" w:hAnsi="仿宋" w:eastAsia="仿宋"/>
          <w:color w:val="000000"/>
          <w:sz w:val="32"/>
          <w:szCs w:val="32"/>
        </w:rPr>
        <w:t>（一）抓好土地供应。2018年拟供应土地46宗，面积约4400.99亩，预计供地收入约514018万元。其中经营性用地约1880亩，预计收入475530万元；工业用地约1007.8亩，预计收入20873万元；其他用地约1513.19亩，预计收入17615万元。</w:t>
      </w:r>
    </w:p>
    <w:p w14:paraId="54AB2075">
      <w:pPr>
        <w:ind w:firstLine="640" w:firstLineChars="200"/>
        <w:rPr>
          <w:rFonts w:ascii="仿宋" w:hAnsi="仿宋" w:eastAsia="仿宋"/>
          <w:color w:val="000000"/>
          <w:sz w:val="32"/>
          <w:szCs w:val="32"/>
        </w:rPr>
      </w:pPr>
      <w:r>
        <w:rPr>
          <w:rFonts w:hint="eastAsia" w:ascii="仿宋" w:hAnsi="仿宋" w:eastAsia="仿宋"/>
          <w:color w:val="000000"/>
          <w:sz w:val="32"/>
          <w:szCs w:val="32"/>
        </w:rPr>
        <w:t>（二）抓好土地收储。</w:t>
      </w:r>
      <w:r>
        <w:rPr>
          <w:rFonts w:ascii="仿宋" w:hAnsi="仿宋" w:eastAsia="仿宋"/>
          <w:color w:val="000000"/>
          <w:sz w:val="32"/>
          <w:szCs w:val="32"/>
        </w:rPr>
        <w:t>2018</w:t>
      </w:r>
      <w:r>
        <w:rPr>
          <w:rFonts w:hint="eastAsia" w:ascii="仿宋" w:hAnsi="仿宋" w:eastAsia="仿宋"/>
          <w:color w:val="000000"/>
          <w:sz w:val="32"/>
          <w:szCs w:val="32"/>
        </w:rPr>
        <w:t>年计划收储土地4623.39亩，其中收储新增建设用地18宗，面积3491.39亩，存量土地11宗，面积1032亩，零星土地及闲置土地100亩。</w:t>
      </w:r>
    </w:p>
    <w:p w14:paraId="103579B0">
      <w:pPr>
        <w:ind w:firstLine="640" w:firstLineChars="200"/>
        <w:rPr>
          <w:rFonts w:ascii="仿宋" w:hAnsi="仿宋" w:eastAsia="仿宋"/>
          <w:color w:val="000000"/>
          <w:sz w:val="32"/>
          <w:szCs w:val="32"/>
        </w:rPr>
      </w:pPr>
      <w:r>
        <w:rPr>
          <w:rFonts w:hint="eastAsia" w:ascii="仿宋" w:hAnsi="仿宋" w:eastAsia="仿宋"/>
          <w:color w:val="000000"/>
          <w:sz w:val="32"/>
          <w:szCs w:val="32"/>
        </w:rPr>
        <w:t>（三）抓好用地报批工作。加大力度保障重点项目用地，完成玉湛高速约10728亩、湛江大道约3100亩、西城快线约670亩、湛江铁路西站客运综合交通枢纽约370亩、湛高速公路云浮至湛江段吴川支线约3400亩的征地报批工作。加强指导督促湛江国际机场项目、合湛铁路、茂湛公路等建设项目征地报批前期工作。</w:t>
      </w:r>
    </w:p>
    <w:p w14:paraId="093EA64F">
      <w:pPr>
        <w:ind w:firstLine="640" w:firstLineChars="200"/>
        <w:rPr>
          <w:rFonts w:ascii="仿宋" w:hAnsi="仿宋" w:eastAsia="仿宋"/>
          <w:color w:val="000000"/>
          <w:sz w:val="32"/>
          <w:szCs w:val="32"/>
        </w:rPr>
      </w:pPr>
      <w:r>
        <w:rPr>
          <w:rFonts w:hint="eastAsia" w:ascii="仿宋" w:hAnsi="仿宋" w:eastAsia="仿宋"/>
          <w:color w:val="000000"/>
          <w:sz w:val="32"/>
          <w:szCs w:val="32"/>
        </w:rPr>
        <w:t>（四）抓好</w:t>
      </w:r>
      <w:r>
        <w:rPr>
          <w:rFonts w:ascii="仿宋" w:hAnsi="仿宋" w:eastAsia="仿宋"/>
          <w:color w:val="000000"/>
          <w:sz w:val="32"/>
          <w:szCs w:val="32"/>
        </w:rPr>
        <w:t>垦造水田工作</w:t>
      </w:r>
      <w:r>
        <w:rPr>
          <w:rFonts w:hint="eastAsia" w:ascii="仿宋" w:hAnsi="仿宋" w:eastAsia="仿宋"/>
          <w:color w:val="000000"/>
          <w:sz w:val="32"/>
          <w:szCs w:val="32"/>
        </w:rPr>
        <w:t>。开展2018年度2.45万亩垦造水田工作，其中抓紧尽快完成2017年承诺兑现7318亩垦造水田任务。</w:t>
      </w:r>
    </w:p>
    <w:p w14:paraId="38719259">
      <w:pPr>
        <w:ind w:firstLine="640" w:firstLineChars="200"/>
        <w:rPr>
          <w:rFonts w:ascii="仿宋" w:hAnsi="仿宋" w:eastAsia="仿宋"/>
          <w:color w:val="000000"/>
          <w:sz w:val="32"/>
          <w:szCs w:val="32"/>
        </w:rPr>
      </w:pPr>
      <w:r>
        <w:rPr>
          <w:rFonts w:hint="eastAsia" w:ascii="仿宋" w:hAnsi="仿宋" w:eastAsia="仿宋"/>
          <w:color w:val="000000"/>
          <w:sz w:val="32"/>
          <w:szCs w:val="32"/>
        </w:rPr>
        <w:t>（五）抓好</w:t>
      </w:r>
      <w:r>
        <w:rPr>
          <w:rFonts w:ascii="仿宋" w:hAnsi="仿宋" w:eastAsia="仿宋"/>
          <w:color w:val="000000"/>
          <w:sz w:val="32"/>
          <w:szCs w:val="32"/>
        </w:rPr>
        <w:t>高标准基本农田建设</w:t>
      </w:r>
      <w:r>
        <w:rPr>
          <w:rFonts w:hint="eastAsia" w:ascii="仿宋" w:hAnsi="仿宋" w:eastAsia="仿宋"/>
          <w:color w:val="000000"/>
          <w:sz w:val="32"/>
          <w:szCs w:val="32"/>
        </w:rPr>
        <w:t>。</w:t>
      </w:r>
      <w:r>
        <w:rPr>
          <w:rFonts w:ascii="仿宋" w:hAnsi="仿宋" w:eastAsia="仿宋"/>
          <w:color w:val="000000"/>
          <w:sz w:val="32"/>
          <w:szCs w:val="32"/>
        </w:rPr>
        <w:t>2016年度高标准</w:t>
      </w:r>
      <w:r>
        <w:rPr>
          <w:rFonts w:hint="eastAsia" w:ascii="仿宋" w:hAnsi="仿宋" w:eastAsia="仿宋"/>
          <w:color w:val="000000"/>
          <w:sz w:val="32"/>
          <w:szCs w:val="32"/>
        </w:rPr>
        <w:t>农田</w:t>
      </w:r>
      <w:r>
        <w:rPr>
          <w:rFonts w:ascii="仿宋" w:hAnsi="仿宋" w:eastAsia="仿宋"/>
          <w:color w:val="000000"/>
          <w:sz w:val="32"/>
          <w:szCs w:val="32"/>
        </w:rPr>
        <w:t>建设任务55个项目31.38万亩，已全部完成规划设计与预算批复工作，</w:t>
      </w:r>
      <w:r>
        <w:rPr>
          <w:rFonts w:hint="eastAsia" w:ascii="仿宋" w:hAnsi="仿宋" w:eastAsia="仿宋"/>
          <w:color w:val="000000"/>
          <w:sz w:val="32"/>
          <w:szCs w:val="32"/>
        </w:rPr>
        <w:t>部分已经开工，在2018年底完成验收。</w:t>
      </w:r>
      <w:r>
        <w:rPr>
          <w:rFonts w:ascii="仿宋" w:hAnsi="仿宋" w:eastAsia="仿宋"/>
          <w:color w:val="000000"/>
          <w:sz w:val="32"/>
          <w:szCs w:val="32"/>
        </w:rPr>
        <w:t>2017年度</w:t>
      </w:r>
      <w:r>
        <w:rPr>
          <w:rFonts w:hint="eastAsia" w:ascii="仿宋" w:hAnsi="仿宋" w:eastAsia="仿宋"/>
          <w:color w:val="000000"/>
          <w:sz w:val="32"/>
          <w:szCs w:val="32"/>
        </w:rPr>
        <w:t>20.13万亩</w:t>
      </w:r>
      <w:r>
        <w:rPr>
          <w:rFonts w:ascii="仿宋" w:hAnsi="仿宋" w:eastAsia="仿宋"/>
          <w:color w:val="000000"/>
          <w:sz w:val="32"/>
          <w:szCs w:val="32"/>
        </w:rPr>
        <w:t>高标准</w:t>
      </w:r>
      <w:r>
        <w:rPr>
          <w:rFonts w:hint="eastAsia" w:ascii="仿宋" w:hAnsi="仿宋" w:eastAsia="仿宋"/>
          <w:color w:val="000000"/>
          <w:sz w:val="32"/>
          <w:szCs w:val="32"/>
        </w:rPr>
        <w:t>农田</w:t>
      </w:r>
      <w:r>
        <w:rPr>
          <w:rFonts w:ascii="仿宋" w:hAnsi="仿宋" w:eastAsia="仿宋"/>
          <w:color w:val="000000"/>
          <w:sz w:val="32"/>
          <w:szCs w:val="32"/>
        </w:rPr>
        <w:t>建设</w:t>
      </w:r>
      <w:r>
        <w:rPr>
          <w:rFonts w:hint="eastAsia" w:ascii="仿宋" w:hAnsi="仿宋" w:eastAsia="仿宋"/>
          <w:color w:val="000000"/>
          <w:sz w:val="32"/>
          <w:szCs w:val="32"/>
        </w:rPr>
        <w:t>任务已分解下达至各县（市、区）。目前正在招投标，2018年全面开工，并于2019年3月完工。</w:t>
      </w:r>
    </w:p>
    <w:p w14:paraId="4BF08962">
      <w:pPr>
        <w:ind w:firstLine="640" w:firstLineChars="200"/>
        <w:rPr>
          <w:rFonts w:ascii="仿宋" w:hAnsi="仿宋" w:eastAsia="仿宋"/>
          <w:color w:val="000000"/>
          <w:sz w:val="32"/>
          <w:szCs w:val="32"/>
        </w:rPr>
      </w:pPr>
      <w:r>
        <w:rPr>
          <w:rFonts w:hint="eastAsia" w:ascii="仿宋" w:hAnsi="仿宋" w:eastAsia="仿宋"/>
          <w:color w:val="000000"/>
          <w:sz w:val="32"/>
          <w:szCs w:val="32"/>
        </w:rPr>
        <w:t>（六）抓好闲置土地清理处置工作。积极推进1999年以来全市范围内已供但未动工开发建设的闲置土地清理处置工作。分门别类，逐宗研究拟定处置方案，由各县（市、区）政府（管委会）会同有关部门按照制定的处置方案，在</w:t>
      </w:r>
      <w:r>
        <w:rPr>
          <w:rFonts w:ascii="仿宋" w:hAnsi="仿宋" w:eastAsia="仿宋"/>
          <w:color w:val="000000"/>
          <w:sz w:val="32"/>
          <w:szCs w:val="32"/>
        </w:rPr>
        <w:t>2018</w:t>
      </w:r>
      <w:r>
        <w:rPr>
          <w:rFonts w:hint="eastAsia" w:ascii="仿宋" w:hAnsi="仿宋" w:eastAsia="仿宋"/>
          <w:color w:val="000000"/>
          <w:sz w:val="32"/>
          <w:szCs w:val="32"/>
        </w:rPr>
        <w:t>年</w:t>
      </w:r>
      <w:r>
        <w:rPr>
          <w:rFonts w:ascii="仿宋" w:hAnsi="仿宋" w:eastAsia="仿宋"/>
          <w:color w:val="000000"/>
          <w:sz w:val="32"/>
          <w:szCs w:val="32"/>
        </w:rPr>
        <w:t>7</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日前处置到位。</w:t>
      </w:r>
    </w:p>
    <w:p w14:paraId="70FC6642">
      <w:pPr>
        <w:ind w:firstLine="640" w:firstLineChars="200"/>
        <w:rPr>
          <w:rFonts w:ascii="仿宋" w:hAnsi="仿宋" w:eastAsia="仿宋"/>
          <w:color w:val="000000"/>
          <w:sz w:val="32"/>
          <w:szCs w:val="32"/>
        </w:rPr>
      </w:pPr>
      <w:r>
        <w:rPr>
          <w:rFonts w:hint="eastAsia" w:ascii="仿宋" w:hAnsi="仿宋" w:eastAsia="仿宋"/>
          <w:color w:val="000000"/>
          <w:sz w:val="32"/>
          <w:szCs w:val="32"/>
        </w:rPr>
        <w:t>（七）抓好</w:t>
      </w:r>
      <w:r>
        <w:rPr>
          <w:rFonts w:ascii="仿宋" w:hAnsi="仿宋" w:eastAsia="仿宋"/>
          <w:color w:val="000000"/>
          <w:sz w:val="32"/>
          <w:szCs w:val="32"/>
        </w:rPr>
        <w:t>2017</w:t>
      </w:r>
      <w:r>
        <w:rPr>
          <w:rFonts w:hint="eastAsia" w:ascii="仿宋" w:hAnsi="仿宋" w:eastAsia="仿宋"/>
          <w:color w:val="000000"/>
          <w:sz w:val="32"/>
          <w:szCs w:val="32"/>
        </w:rPr>
        <w:t>年度土地矿产卫片执法检查工作。采取督导检查、警示约谈、挂牌督办等措施，确保</w:t>
      </w:r>
      <w:r>
        <w:rPr>
          <w:rFonts w:ascii="仿宋" w:hAnsi="仿宋" w:eastAsia="仿宋"/>
          <w:color w:val="000000"/>
          <w:sz w:val="32"/>
          <w:szCs w:val="32"/>
        </w:rPr>
        <w:t>2018</w:t>
      </w:r>
      <w:r>
        <w:rPr>
          <w:rFonts w:hint="eastAsia" w:ascii="仿宋" w:hAnsi="仿宋" w:eastAsia="仿宋"/>
          <w:color w:val="000000"/>
          <w:sz w:val="32"/>
          <w:szCs w:val="32"/>
        </w:rPr>
        <w:t>年</w:t>
      </w:r>
      <w:r>
        <w:rPr>
          <w:rFonts w:ascii="仿宋" w:hAnsi="仿宋" w:eastAsia="仿宋"/>
          <w:color w:val="000000"/>
          <w:sz w:val="32"/>
          <w:szCs w:val="32"/>
        </w:rPr>
        <w:t>4</w:t>
      </w:r>
      <w:r>
        <w:rPr>
          <w:rFonts w:hint="eastAsia" w:ascii="仿宋" w:hAnsi="仿宋" w:eastAsia="仿宋"/>
          <w:color w:val="000000"/>
          <w:sz w:val="32"/>
          <w:szCs w:val="32"/>
        </w:rPr>
        <w:t>月底前完成各项整改任务。</w:t>
      </w:r>
    </w:p>
    <w:p w14:paraId="5132861D">
      <w:pPr>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八）抓好“三旧”改造工作。一是按时保质完成改造任务。2017年省下达任务为全市新增实施面积1740亩，完成改造面积1100亩。目前我市已完成新增实施面积1196.04亩，改造面积617.77亩。进一步抓好倒逼机制，严格目标责任考核，确保在2018年3月31日前高质量完成“三旧”改造任务。二是推进重点项目建设。其中，旧大天然片区改造项目用地总面积约688.62亩。目前已明确华润（集团）有限公司作为投资主体的前期规划、方案、安置补偿等前期工作。我局继续配合协调赤坎区政府、区“三旧”办，做好该项目单元规划和土地改造方案的编制工作。南海西部湛江矿区改造项目总用地面积2839亩，目前拟定拆迁补偿初定方案及开发实施初步计划，并于2017年11月17日组织将该项目首期317.59亩的土地作为增补图斑上报省国土资源厅标图建库。我局将积极对接，精心指导该项目单元规划和土地改造方案的编制工作。 </w:t>
      </w:r>
    </w:p>
    <w:p w14:paraId="22CAB2AE">
      <w:pPr>
        <w:ind w:firstLine="640" w:firstLineChars="200"/>
        <w:rPr>
          <w:rFonts w:ascii="仿宋" w:hAnsi="仿宋" w:eastAsia="仿宋"/>
          <w:color w:val="000000"/>
          <w:sz w:val="32"/>
          <w:szCs w:val="32"/>
        </w:rPr>
      </w:pPr>
      <w:r>
        <w:rPr>
          <w:rFonts w:hint="eastAsia" w:ascii="仿宋" w:hAnsi="仿宋" w:eastAsia="仿宋"/>
          <w:color w:val="000000"/>
          <w:sz w:val="32"/>
          <w:szCs w:val="32"/>
        </w:rPr>
        <w:t>（九）抓好实行政审批委托制改革工作。加强对受托单位的指导、培训和服务，制定具体的业务指导手册，落实专人跟进，抓好传帮带，确保下级部门可以接得住、办得好。加强建立事中事后监管制度体系，做到全面监管。</w:t>
      </w:r>
    </w:p>
    <w:p w14:paraId="1900F6AC">
      <w:pPr>
        <w:ind w:firstLine="640" w:firstLineChars="200"/>
        <w:rPr>
          <w:rFonts w:ascii="仿宋" w:hAnsi="仿宋" w:eastAsia="仿宋"/>
          <w:color w:val="000000"/>
          <w:sz w:val="32"/>
          <w:szCs w:val="32"/>
        </w:rPr>
      </w:pPr>
      <w:r>
        <w:rPr>
          <w:rFonts w:hint="eastAsia" w:ascii="仿宋" w:hAnsi="仿宋" w:eastAsia="仿宋"/>
          <w:color w:val="000000"/>
          <w:sz w:val="32"/>
          <w:szCs w:val="32"/>
        </w:rPr>
        <w:t>（十）抓好不动产登记工作。一是开展第三次全国土地调查工作。2018年上半年完成工作经费申请、成立市级领导机构和资料梳理摸查工作，下半年启动城市、建制镇建设用地地类打开工作。二是加快推进数据整合工作。</w:t>
      </w:r>
      <w:r>
        <w:rPr>
          <w:rFonts w:ascii="仿宋" w:hAnsi="仿宋" w:eastAsia="仿宋"/>
          <w:color w:val="000000"/>
          <w:sz w:val="32"/>
          <w:szCs w:val="32"/>
        </w:rPr>
        <w:t>完成</w:t>
      </w:r>
      <w:r>
        <w:rPr>
          <w:rFonts w:hint="eastAsia" w:ascii="仿宋" w:hAnsi="仿宋" w:eastAsia="仿宋"/>
          <w:color w:val="000000"/>
          <w:sz w:val="32"/>
          <w:szCs w:val="32"/>
        </w:rPr>
        <w:t>房屋存量</w:t>
      </w:r>
      <w:r>
        <w:rPr>
          <w:rFonts w:ascii="仿宋" w:hAnsi="仿宋" w:eastAsia="仿宋"/>
          <w:color w:val="000000"/>
          <w:sz w:val="32"/>
          <w:szCs w:val="32"/>
        </w:rPr>
        <w:t>数据整理和汇交任务</w:t>
      </w:r>
      <w:r>
        <w:rPr>
          <w:rFonts w:hint="eastAsia" w:ascii="仿宋" w:hAnsi="仿宋" w:eastAsia="仿宋"/>
          <w:color w:val="000000"/>
          <w:sz w:val="32"/>
          <w:szCs w:val="32"/>
        </w:rPr>
        <w:t>，并同步</w:t>
      </w:r>
      <w:r>
        <w:rPr>
          <w:rFonts w:ascii="仿宋" w:hAnsi="仿宋" w:eastAsia="仿宋"/>
          <w:color w:val="000000"/>
          <w:sz w:val="32"/>
          <w:szCs w:val="32"/>
        </w:rPr>
        <w:t>完成</w:t>
      </w:r>
      <w:r>
        <w:rPr>
          <w:rFonts w:hint="eastAsia" w:ascii="仿宋" w:hAnsi="仿宋" w:eastAsia="仿宋"/>
          <w:color w:val="000000"/>
          <w:sz w:val="32"/>
          <w:szCs w:val="32"/>
        </w:rPr>
        <w:t>土地</w:t>
      </w:r>
      <w:r>
        <w:rPr>
          <w:rFonts w:ascii="仿宋" w:hAnsi="仿宋" w:eastAsia="仿宋"/>
          <w:color w:val="000000"/>
          <w:sz w:val="32"/>
          <w:szCs w:val="32"/>
        </w:rPr>
        <w:t>剩余</w:t>
      </w:r>
      <w:r>
        <w:rPr>
          <w:rFonts w:hint="eastAsia" w:ascii="仿宋" w:hAnsi="仿宋" w:eastAsia="仿宋"/>
          <w:color w:val="000000"/>
          <w:sz w:val="32"/>
          <w:szCs w:val="32"/>
        </w:rPr>
        <w:t>2万卷</w:t>
      </w:r>
      <w:r>
        <w:rPr>
          <w:rFonts w:ascii="仿宋" w:hAnsi="仿宋" w:eastAsia="仿宋"/>
          <w:color w:val="000000"/>
          <w:sz w:val="32"/>
          <w:szCs w:val="32"/>
        </w:rPr>
        <w:t>纸质档案、坡头与麻章纸质档案</w:t>
      </w:r>
      <w:r>
        <w:rPr>
          <w:rFonts w:hint="eastAsia" w:ascii="仿宋" w:hAnsi="仿宋" w:eastAsia="仿宋"/>
          <w:color w:val="000000"/>
          <w:sz w:val="32"/>
          <w:szCs w:val="32"/>
        </w:rPr>
        <w:t>扫描</w:t>
      </w:r>
      <w:r>
        <w:rPr>
          <w:rFonts w:ascii="仿宋" w:hAnsi="仿宋" w:eastAsia="仿宋"/>
          <w:color w:val="000000"/>
          <w:sz w:val="32"/>
          <w:szCs w:val="32"/>
        </w:rPr>
        <w:t>整理工作；完成林权、海洋数据的迁移、整理与汇交工作。</w:t>
      </w:r>
      <w:r>
        <w:rPr>
          <w:rFonts w:hint="eastAsia" w:ascii="仿宋" w:hAnsi="仿宋" w:eastAsia="仿宋"/>
          <w:color w:val="000000"/>
          <w:sz w:val="32"/>
          <w:szCs w:val="32"/>
        </w:rPr>
        <w:t>三是2018年7月31日前完成农村地籍调查工作。四是出台解决历史遗留问题政策。现已形成《</w:t>
      </w:r>
      <w:r>
        <w:rPr>
          <w:rFonts w:ascii="仿宋" w:hAnsi="仿宋" w:eastAsia="仿宋"/>
          <w:color w:val="000000"/>
          <w:sz w:val="32"/>
          <w:szCs w:val="32"/>
        </w:rPr>
        <w:t>关于解决当前不动产统一登记若干问题</w:t>
      </w:r>
      <w:r>
        <w:rPr>
          <w:rFonts w:hint="eastAsia" w:ascii="仿宋" w:hAnsi="仿宋" w:eastAsia="仿宋"/>
          <w:color w:val="000000"/>
          <w:sz w:val="32"/>
          <w:szCs w:val="32"/>
        </w:rPr>
        <w:t>》的初稿，包括“</w:t>
      </w:r>
      <w:r>
        <w:rPr>
          <w:rFonts w:ascii="仿宋" w:hAnsi="仿宋" w:eastAsia="仿宋"/>
          <w:color w:val="000000"/>
          <w:sz w:val="32"/>
          <w:szCs w:val="32"/>
        </w:rPr>
        <w:t>关于房产宗地涉及划拨土地转让补交出让金的问题</w:t>
      </w:r>
      <w:r>
        <w:rPr>
          <w:rFonts w:hint="eastAsia" w:ascii="仿宋" w:hAnsi="仿宋" w:eastAsia="仿宋"/>
          <w:color w:val="000000"/>
          <w:sz w:val="32"/>
          <w:szCs w:val="32"/>
        </w:rPr>
        <w:t>”等10个问题，争取在2018年2月15日前以市政府名义出台实施，妥善处理好历史遗留问题。</w:t>
      </w:r>
    </w:p>
    <w:p w14:paraId="738B9807">
      <w:pPr>
        <w:widowControl/>
        <w:spacing w:line="240" w:lineRule="auto"/>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二、收入预算说明</w:t>
      </w:r>
    </w:p>
    <w:p w14:paraId="139199A5">
      <w:pPr>
        <w:autoSpaceDE w:val="0"/>
        <w:autoSpaceDN w:val="0"/>
        <w:adjustRightInd w:val="0"/>
        <w:spacing w:line="24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湛江市国土资源局2018年度总收入预算7705.59万元，比2017年预算数增加1774.19</w:t>
      </w:r>
      <w:r>
        <w:rPr>
          <w:rFonts w:ascii="仿宋" w:hAnsi="仿宋" w:eastAsia="仿宋" w:cs="仿宋"/>
          <w:kern w:val="0"/>
          <w:sz w:val="32"/>
          <w:szCs w:val="32"/>
        </w:rPr>
        <w:t xml:space="preserve"> </w:t>
      </w:r>
      <w:r>
        <w:rPr>
          <w:rFonts w:hint="eastAsia" w:ascii="仿宋" w:hAnsi="仿宋" w:eastAsia="仿宋" w:cs="仿宋"/>
          <w:kern w:val="0"/>
          <w:sz w:val="32"/>
          <w:szCs w:val="32"/>
        </w:rPr>
        <w:t>万元，增长29.91</w:t>
      </w:r>
      <w:r>
        <w:rPr>
          <w:rFonts w:ascii="仿宋" w:hAnsi="仿宋" w:eastAsia="仿宋" w:cs="仿宋"/>
          <w:kern w:val="0"/>
          <w:sz w:val="32"/>
          <w:szCs w:val="32"/>
        </w:rPr>
        <w:t>%</w:t>
      </w:r>
      <w:r>
        <w:rPr>
          <w:rFonts w:hint="eastAsia" w:ascii="仿宋" w:hAnsi="仿宋" w:eastAsia="仿宋" w:cs="仿宋"/>
          <w:kern w:val="0"/>
          <w:sz w:val="32"/>
          <w:szCs w:val="32"/>
        </w:rPr>
        <w:t>，主要为在职人员增加以及津补贴标准提高以及退休人员增加以及退休费标准提高，相应增加支出。</w:t>
      </w:r>
    </w:p>
    <w:p w14:paraId="64A1B5F1">
      <w:pPr>
        <w:autoSpaceDE w:val="0"/>
        <w:autoSpaceDN w:val="0"/>
        <w:adjustRightInd w:val="0"/>
        <w:spacing w:line="24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其中：一般公共预算安排拨款3861.59</w:t>
      </w:r>
      <w:r>
        <w:rPr>
          <w:rFonts w:ascii="仿宋" w:hAnsi="仿宋" w:eastAsia="仿宋" w:cs="仿宋"/>
          <w:kern w:val="0"/>
          <w:sz w:val="32"/>
          <w:szCs w:val="32"/>
        </w:rPr>
        <w:t xml:space="preserve"> </w:t>
      </w:r>
      <w:r>
        <w:rPr>
          <w:rFonts w:hint="eastAsia" w:ascii="仿宋" w:hAnsi="仿宋" w:eastAsia="仿宋" w:cs="仿宋"/>
          <w:kern w:val="0"/>
          <w:sz w:val="32"/>
          <w:szCs w:val="32"/>
        </w:rPr>
        <w:t>万元，占总收入50.11%，基金预算拨款3844万元，占总收入49.89%，无其他收入和其他拨款。预算拨款具体构成：基本支出3185.59万元，占总支出41.34%（包括工资福利支出2245.15万元，占基本支出的70.48%；商品和服务支出347.67万元，占基本支出的10.91%；对个人和家庭的补助支出592.77万元，占基本支出的18.61%。）；项目支出4520万元，占总支出58.66%。</w:t>
      </w:r>
    </w:p>
    <w:p w14:paraId="01106C0A">
      <w:pPr>
        <w:autoSpaceDE w:val="0"/>
        <w:autoSpaceDN w:val="0"/>
        <w:adjustRightInd w:val="0"/>
        <w:spacing w:line="240" w:lineRule="auto"/>
        <w:rPr>
          <w:rFonts w:ascii="仿宋" w:hAnsi="仿宋" w:eastAsia="仿宋" w:cs="仿宋"/>
          <w:kern w:val="0"/>
          <w:sz w:val="32"/>
          <w:szCs w:val="32"/>
        </w:rPr>
      </w:pPr>
      <w:r>
        <w:rPr>
          <w:rFonts w:ascii="仿宋" w:hAnsi="仿宋" w:eastAsia="仿宋" w:cs="仿宋"/>
          <w:kern w:val="0"/>
          <w:sz w:val="32"/>
          <w:szCs w:val="32"/>
        </w:rPr>
        <w:drawing>
          <wp:inline distT="0" distB="0" distL="0" distR="0">
            <wp:extent cx="5276850" cy="3381375"/>
            <wp:effectExtent l="0" t="0" r="0"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B467E66">
      <w:pPr>
        <w:widowControl/>
        <w:spacing w:line="24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三、支出预算说明</w:t>
      </w:r>
    </w:p>
    <w:p w14:paraId="1D028CFE">
      <w:pPr>
        <w:autoSpaceDE w:val="0"/>
        <w:autoSpaceDN w:val="0"/>
        <w:adjustRightInd w:val="0"/>
        <w:spacing w:line="24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湛江市国土资源局2018年度总支出预算7705.59万元，比2017年预算数增加1774.19</w:t>
      </w:r>
      <w:r>
        <w:rPr>
          <w:rFonts w:ascii="仿宋" w:hAnsi="仿宋" w:eastAsia="仿宋" w:cs="仿宋"/>
          <w:kern w:val="0"/>
          <w:sz w:val="32"/>
          <w:szCs w:val="32"/>
        </w:rPr>
        <w:t xml:space="preserve"> </w:t>
      </w:r>
      <w:r>
        <w:rPr>
          <w:rFonts w:hint="eastAsia" w:ascii="仿宋" w:hAnsi="仿宋" w:eastAsia="仿宋" w:cs="仿宋"/>
          <w:kern w:val="0"/>
          <w:sz w:val="32"/>
          <w:szCs w:val="32"/>
        </w:rPr>
        <w:t>万元，增长29.91</w:t>
      </w:r>
      <w:r>
        <w:rPr>
          <w:rFonts w:ascii="仿宋" w:hAnsi="仿宋" w:eastAsia="仿宋" w:cs="仿宋"/>
          <w:kern w:val="0"/>
          <w:sz w:val="32"/>
          <w:szCs w:val="32"/>
        </w:rPr>
        <w:t>%</w:t>
      </w:r>
      <w:r>
        <w:rPr>
          <w:rFonts w:hint="eastAsia" w:ascii="仿宋" w:hAnsi="仿宋" w:eastAsia="仿宋" w:cs="仿宋"/>
          <w:kern w:val="0"/>
          <w:sz w:val="32"/>
          <w:szCs w:val="32"/>
        </w:rPr>
        <w:t>。其中：基本支出3185.59万元（包括工资福利支出2245.15万元，比2017年预算数增加651.86</w:t>
      </w:r>
      <w:r>
        <w:rPr>
          <w:rFonts w:ascii="仿宋" w:hAnsi="仿宋" w:eastAsia="仿宋" w:cs="仿宋"/>
          <w:kern w:val="0"/>
          <w:sz w:val="32"/>
          <w:szCs w:val="32"/>
        </w:rPr>
        <w:t xml:space="preserve"> </w:t>
      </w:r>
      <w:r>
        <w:rPr>
          <w:rFonts w:hint="eastAsia" w:ascii="仿宋" w:hAnsi="仿宋" w:eastAsia="仿宋" w:cs="仿宋"/>
          <w:kern w:val="0"/>
          <w:sz w:val="32"/>
          <w:szCs w:val="32"/>
        </w:rPr>
        <w:t>万元，增长40.91</w:t>
      </w:r>
      <w:r>
        <w:rPr>
          <w:rFonts w:ascii="仿宋" w:hAnsi="仿宋" w:eastAsia="仿宋" w:cs="仿宋"/>
          <w:kern w:val="0"/>
          <w:sz w:val="32"/>
          <w:szCs w:val="32"/>
        </w:rPr>
        <w:t>%</w:t>
      </w:r>
      <w:r>
        <w:rPr>
          <w:rFonts w:hint="eastAsia" w:ascii="仿宋" w:hAnsi="仿宋" w:eastAsia="仿宋" w:cs="仿宋"/>
          <w:kern w:val="0"/>
          <w:sz w:val="32"/>
          <w:szCs w:val="32"/>
        </w:rPr>
        <w:t>，主要为在职人员增加以及津补贴标准提高，相应增加支出；商品和服务支出347.67万元，比2017年预算数增加6.13</w:t>
      </w:r>
      <w:r>
        <w:rPr>
          <w:rFonts w:ascii="仿宋" w:hAnsi="仿宋" w:eastAsia="仿宋" w:cs="仿宋"/>
          <w:kern w:val="0"/>
          <w:sz w:val="32"/>
          <w:szCs w:val="32"/>
        </w:rPr>
        <w:t xml:space="preserve"> </w:t>
      </w:r>
      <w:r>
        <w:rPr>
          <w:rFonts w:hint="eastAsia" w:ascii="仿宋" w:hAnsi="仿宋" w:eastAsia="仿宋" w:cs="仿宋"/>
          <w:kern w:val="0"/>
          <w:sz w:val="32"/>
          <w:szCs w:val="32"/>
        </w:rPr>
        <w:t>万元，增长1.8</w:t>
      </w:r>
      <w:r>
        <w:rPr>
          <w:rFonts w:ascii="仿宋" w:hAnsi="仿宋" w:eastAsia="仿宋" w:cs="仿宋"/>
          <w:kern w:val="0"/>
          <w:sz w:val="32"/>
          <w:szCs w:val="32"/>
        </w:rPr>
        <w:t>%</w:t>
      </w:r>
      <w:r>
        <w:rPr>
          <w:rFonts w:hint="eastAsia" w:ascii="仿宋" w:hAnsi="仿宋" w:eastAsia="仿宋" w:cs="仿宋"/>
          <w:kern w:val="0"/>
          <w:sz w:val="32"/>
          <w:szCs w:val="32"/>
        </w:rPr>
        <w:t>，主要为在职人员增加相应增加支出；对个人和家庭的补助支出592.77万元，比2017年预算数减少448.3万元，减少43.06</w:t>
      </w:r>
      <w:r>
        <w:rPr>
          <w:rFonts w:ascii="仿宋" w:hAnsi="仿宋" w:eastAsia="仿宋" w:cs="仿宋"/>
          <w:kern w:val="0"/>
          <w:sz w:val="32"/>
          <w:szCs w:val="32"/>
        </w:rPr>
        <w:t>%</w:t>
      </w:r>
      <w:r>
        <w:rPr>
          <w:rFonts w:hint="eastAsia" w:ascii="仿宋" w:hAnsi="仿宋" w:eastAsia="仿宋" w:cs="仿宋"/>
          <w:kern w:val="0"/>
          <w:sz w:val="32"/>
          <w:szCs w:val="32"/>
        </w:rPr>
        <w:t>，主要是由于2017年补发退休人员的退休费和一次性发放退休人员住房补贴；），项目支出4520万元，比2017年预算数增加1564.5</w:t>
      </w:r>
      <w:r>
        <w:rPr>
          <w:rFonts w:ascii="仿宋" w:hAnsi="仿宋" w:eastAsia="仿宋" w:cs="仿宋"/>
          <w:kern w:val="0"/>
          <w:sz w:val="32"/>
          <w:szCs w:val="32"/>
        </w:rPr>
        <w:t xml:space="preserve"> </w:t>
      </w:r>
      <w:r>
        <w:rPr>
          <w:rFonts w:hint="eastAsia" w:ascii="仿宋" w:hAnsi="仿宋" w:eastAsia="仿宋" w:cs="仿宋"/>
          <w:kern w:val="0"/>
          <w:sz w:val="32"/>
          <w:szCs w:val="32"/>
        </w:rPr>
        <w:t>万元，增长52.94</w:t>
      </w:r>
      <w:r>
        <w:rPr>
          <w:rFonts w:ascii="仿宋" w:hAnsi="仿宋" w:eastAsia="仿宋" w:cs="仿宋"/>
          <w:kern w:val="0"/>
          <w:sz w:val="32"/>
          <w:szCs w:val="32"/>
        </w:rPr>
        <w:t>%</w:t>
      </w:r>
      <w:r>
        <w:rPr>
          <w:rFonts w:hint="eastAsia" w:ascii="仿宋" w:hAnsi="仿宋" w:eastAsia="仿宋" w:cs="仿宋"/>
          <w:kern w:val="0"/>
          <w:sz w:val="32"/>
          <w:szCs w:val="32"/>
        </w:rPr>
        <w:t>，主要为项目增加相应增加支出；</w:t>
      </w:r>
      <w:r>
        <w:rPr>
          <w:rFonts w:ascii="仿宋" w:hAnsi="仿宋" w:eastAsia="仿宋" w:cs="仿宋"/>
          <w:kern w:val="0"/>
          <w:sz w:val="32"/>
          <w:szCs w:val="32"/>
        </w:rPr>
        <w:t xml:space="preserve"> </w:t>
      </w:r>
    </w:p>
    <w:p w14:paraId="7B4FC137">
      <w:pPr>
        <w:autoSpaceDE w:val="0"/>
        <w:autoSpaceDN w:val="0"/>
        <w:adjustRightInd w:val="0"/>
        <w:spacing w:line="240" w:lineRule="auto"/>
        <w:ind w:firstLine="640" w:firstLineChars="200"/>
        <w:jc w:val="left"/>
        <w:rPr>
          <w:rFonts w:ascii="仿宋" w:hAnsi="仿宋" w:eastAsia="仿宋" w:cs="仿宋"/>
          <w:kern w:val="0"/>
          <w:sz w:val="32"/>
          <w:szCs w:val="32"/>
        </w:rPr>
      </w:pPr>
      <w:r>
        <w:rPr>
          <w:rFonts w:ascii="仿宋" w:hAnsi="仿宋" w:eastAsia="仿宋" w:cs="仿宋"/>
          <w:kern w:val="0"/>
          <w:sz w:val="32"/>
          <w:szCs w:val="32"/>
        </w:rPr>
        <w:drawing>
          <wp:inline distT="0" distB="0" distL="0" distR="0">
            <wp:extent cx="5276850" cy="4019550"/>
            <wp:effectExtent l="19050" t="0" r="19050"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9F8678A">
      <w:pPr>
        <w:autoSpaceDE w:val="0"/>
        <w:autoSpaceDN w:val="0"/>
        <w:adjustRightInd w:val="0"/>
        <w:spacing w:line="24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按项目支出分类，2018年预算拨款构成：</w:t>
      </w:r>
    </w:p>
    <w:p w14:paraId="0C73C21A">
      <w:pPr>
        <w:autoSpaceDE w:val="0"/>
        <w:autoSpaceDN w:val="0"/>
        <w:adjustRightInd w:val="0"/>
        <w:spacing w:line="240" w:lineRule="auto"/>
        <w:ind w:firstLine="640" w:firstLineChars="200"/>
        <w:jc w:val="left"/>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国土海洋气象等支出6644.85万元：主要用于国土部门机关及所属单位保障机构正常运转、开展国土行政管理活动所发生的基本支出和项目支出，比</w:t>
      </w:r>
      <w:r>
        <w:rPr>
          <w:rFonts w:ascii="仿宋" w:hAnsi="仿宋" w:eastAsia="仿宋" w:cs="仿宋"/>
          <w:kern w:val="0"/>
          <w:sz w:val="32"/>
          <w:szCs w:val="32"/>
        </w:rPr>
        <w:t>201</w:t>
      </w:r>
      <w:r>
        <w:rPr>
          <w:rFonts w:hint="eastAsia" w:ascii="仿宋" w:hAnsi="仿宋" w:eastAsia="仿宋" w:cs="仿宋"/>
          <w:kern w:val="0"/>
          <w:sz w:val="32"/>
          <w:szCs w:val="32"/>
        </w:rPr>
        <w:t>7</w:t>
      </w:r>
      <w:r>
        <w:rPr>
          <w:rFonts w:ascii="仿宋" w:hAnsi="仿宋" w:eastAsia="仿宋" w:cs="仿宋"/>
          <w:kern w:val="0"/>
          <w:sz w:val="32"/>
          <w:szCs w:val="32"/>
        </w:rPr>
        <w:t xml:space="preserve"> </w:t>
      </w:r>
      <w:r>
        <w:rPr>
          <w:rFonts w:hint="eastAsia" w:ascii="仿宋" w:hAnsi="仿宋" w:eastAsia="仿宋" w:cs="仿宋"/>
          <w:kern w:val="0"/>
          <w:sz w:val="32"/>
          <w:szCs w:val="32"/>
        </w:rPr>
        <w:t>年预算数增加1594.56</w:t>
      </w:r>
      <w:r>
        <w:rPr>
          <w:rFonts w:ascii="仿宋" w:hAnsi="仿宋" w:eastAsia="仿宋" w:cs="仿宋"/>
          <w:kern w:val="0"/>
          <w:sz w:val="32"/>
          <w:szCs w:val="32"/>
        </w:rPr>
        <w:t xml:space="preserve"> </w:t>
      </w:r>
      <w:r>
        <w:rPr>
          <w:rFonts w:hint="eastAsia" w:ascii="仿宋" w:hAnsi="仿宋" w:eastAsia="仿宋" w:cs="仿宋"/>
          <w:kern w:val="0"/>
          <w:sz w:val="32"/>
          <w:szCs w:val="32"/>
        </w:rPr>
        <w:t>万元，增长31.57</w:t>
      </w:r>
      <w:r>
        <w:rPr>
          <w:rFonts w:ascii="仿宋" w:hAnsi="仿宋" w:eastAsia="仿宋" w:cs="仿宋"/>
          <w:kern w:val="0"/>
          <w:sz w:val="32"/>
          <w:szCs w:val="32"/>
        </w:rPr>
        <w:t>%</w:t>
      </w:r>
      <w:r>
        <w:rPr>
          <w:rFonts w:hint="eastAsia" w:ascii="仿宋" w:hAnsi="仿宋" w:eastAsia="仿宋" w:cs="仿宋"/>
          <w:kern w:val="0"/>
          <w:sz w:val="32"/>
          <w:szCs w:val="32"/>
        </w:rPr>
        <w:t>，主要为人员增加以及津补贴标准提高和项目增加，相应增加支出。</w:t>
      </w:r>
    </w:p>
    <w:p w14:paraId="57D4EC8B">
      <w:pPr>
        <w:autoSpaceDE w:val="0"/>
        <w:autoSpaceDN w:val="0"/>
        <w:adjustRightInd w:val="0"/>
        <w:spacing w:line="24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w:t>
      </w:r>
      <w:r>
        <w:rPr>
          <w:rFonts w:ascii="仿宋" w:hAnsi="仿宋" w:eastAsia="仿宋" w:cs="仿宋"/>
          <w:kern w:val="0"/>
          <w:sz w:val="32"/>
          <w:szCs w:val="32"/>
        </w:rPr>
        <w:t>.</w:t>
      </w:r>
      <w:r>
        <w:rPr>
          <w:rFonts w:hint="eastAsia" w:ascii="仿宋" w:hAnsi="仿宋" w:eastAsia="仿宋" w:cs="仿宋"/>
          <w:kern w:val="0"/>
          <w:sz w:val="32"/>
          <w:szCs w:val="32"/>
        </w:rPr>
        <w:t>社会保障和就业支出710.45万元：主要用于国土部门机关及所属事业单位离退休人员经费支出，比2</w:t>
      </w:r>
      <w:r>
        <w:rPr>
          <w:rFonts w:ascii="仿宋" w:hAnsi="仿宋" w:eastAsia="仿宋" w:cs="仿宋"/>
          <w:kern w:val="0"/>
          <w:sz w:val="32"/>
          <w:szCs w:val="32"/>
        </w:rPr>
        <w:t>01</w:t>
      </w:r>
      <w:r>
        <w:rPr>
          <w:rFonts w:hint="eastAsia" w:ascii="仿宋" w:hAnsi="仿宋" w:eastAsia="仿宋" w:cs="仿宋"/>
          <w:kern w:val="0"/>
          <w:sz w:val="32"/>
          <w:szCs w:val="32"/>
        </w:rPr>
        <w:t>7年预算数增加68.19万元，增长10.62</w:t>
      </w:r>
      <w:r>
        <w:rPr>
          <w:rFonts w:ascii="仿宋" w:hAnsi="仿宋" w:eastAsia="仿宋" w:cs="仿宋"/>
          <w:kern w:val="0"/>
          <w:sz w:val="32"/>
          <w:szCs w:val="32"/>
        </w:rPr>
        <w:t>%</w:t>
      </w:r>
      <w:r>
        <w:rPr>
          <w:rFonts w:hint="eastAsia" w:ascii="仿宋" w:hAnsi="仿宋" w:eastAsia="仿宋" w:cs="仿宋"/>
          <w:kern w:val="0"/>
          <w:sz w:val="32"/>
          <w:szCs w:val="32"/>
        </w:rPr>
        <w:t>，主要为退休人员增加以及退休费标准提高，相应增加支出。</w:t>
      </w:r>
    </w:p>
    <w:p w14:paraId="711BCA80">
      <w:pPr>
        <w:autoSpaceDE w:val="0"/>
        <w:autoSpaceDN w:val="0"/>
        <w:adjustRightInd w:val="0"/>
        <w:spacing w:line="24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3.医疗卫生与计划生育支出61.13万元：主要用于国土部门机关及所属事业单位离退休人员医疗费支出，比2</w:t>
      </w:r>
      <w:r>
        <w:rPr>
          <w:rFonts w:ascii="仿宋" w:hAnsi="仿宋" w:eastAsia="仿宋" w:cs="仿宋"/>
          <w:kern w:val="0"/>
          <w:sz w:val="32"/>
          <w:szCs w:val="32"/>
        </w:rPr>
        <w:t>01</w:t>
      </w:r>
      <w:r>
        <w:rPr>
          <w:rFonts w:hint="eastAsia" w:ascii="仿宋" w:hAnsi="仿宋" w:eastAsia="仿宋" w:cs="仿宋"/>
          <w:kern w:val="0"/>
          <w:sz w:val="32"/>
          <w:szCs w:val="32"/>
        </w:rPr>
        <w:t>7年预算数增加1.1万元，增长1.83</w:t>
      </w:r>
      <w:r>
        <w:rPr>
          <w:rFonts w:ascii="仿宋" w:hAnsi="仿宋" w:eastAsia="仿宋" w:cs="仿宋"/>
          <w:kern w:val="0"/>
          <w:sz w:val="32"/>
          <w:szCs w:val="32"/>
        </w:rPr>
        <w:t>%</w:t>
      </w:r>
      <w:r>
        <w:rPr>
          <w:rFonts w:hint="eastAsia" w:ascii="仿宋" w:hAnsi="仿宋" w:eastAsia="仿宋" w:cs="仿宋"/>
          <w:kern w:val="0"/>
          <w:sz w:val="32"/>
          <w:szCs w:val="32"/>
        </w:rPr>
        <w:t>，主要为人员增加相应增加支出。</w:t>
      </w:r>
    </w:p>
    <w:p w14:paraId="239B23CA">
      <w:pPr>
        <w:autoSpaceDE w:val="0"/>
        <w:autoSpaceDN w:val="0"/>
        <w:adjustRightInd w:val="0"/>
        <w:spacing w:line="24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4.城乡社区支出100万元：主要用于国土部门城乡管理事务方面的支出， 2</w:t>
      </w:r>
      <w:r>
        <w:rPr>
          <w:rFonts w:ascii="仿宋" w:hAnsi="仿宋" w:eastAsia="仿宋" w:cs="仿宋"/>
          <w:kern w:val="0"/>
          <w:sz w:val="32"/>
          <w:szCs w:val="32"/>
        </w:rPr>
        <w:t>01</w:t>
      </w:r>
      <w:r>
        <w:rPr>
          <w:rFonts w:hint="eastAsia" w:ascii="仿宋" w:hAnsi="仿宋" w:eastAsia="仿宋" w:cs="仿宋"/>
          <w:kern w:val="0"/>
          <w:sz w:val="32"/>
          <w:szCs w:val="32"/>
        </w:rPr>
        <w:t>7</w:t>
      </w:r>
      <w:r>
        <w:rPr>
          <w:rFonts w:ascii="仿宋" w:hAnsi="仿宋" w:eastAsia="仿宋" w:cs="仿宋"/>
          <w:kern w:val="0"/>
          <w:sz w:val="32"/>
          <w:szCs w:val="32"/>
        </w:rPr>
        <w:t xml:space="preserve"> </w:t>
      </w:r>
      <w:r>
        <w:rPr>
          <w:rFonts w:hint="eastAsia" w:ascii="仿宋" w:hAnsi="仿宋" w:eastAsia="仿宋" w:cs="仿宋"/>
          <w:kern w:val="0"/>
          <w:sz w:val="32"/>
          <w:szCs w:val="32"/>
        </w:rPr>
        <w:t>年没有该项预算数。</w:t>
      </w:r>
    </w:p>
    <w:p w14:paraId="77F83B1C">
      <w:pPr>
        <w:autoSpaceDE w:val="0"/>
        <w:autoSpaceDN w:val="0"/>
        <w:adjustRightInd w:val="0"/>
        <w:spacing w:line="24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w:t>
      </w:r>
      <w:r>
        <w:rPr>
          <w:rFonts w:ascii="仿宋" w:hAnsi="仿宋" w:eastAsia="仿宋" w:cs="仿宋"/>
          <w:kern w:val="0"/>
          <w:sz w:val="32"/>
          <w:szCs w:val="32"/>
        </w:rPr>
        <w:t>.</w:t>
      </w:r>
      <w:r>
        <w:rPr>
          <w:rFonts w:hint="eastAsia" w:ascii="仿宋" w:hAnsi="仿宋" w:eastAsia="仿宋" w:cs="仿宋"/>
          <w:kern w:val="0"/>
          <w:sz w:val="32"/>
          <w:szCs w:val="32"/>
        </w:rPr>
        <w:t>住房保障支出支出189.16</w:t>
      </w:r>
      <w:r>
        <w:rPr>
          <w:rFonts w:ascii="仿宋" w:hAnsi="仿宋" w:eastAsia="仿宋" w:cs="仿宋"/>
          <w:kern w:val="0"/>
          <w:sz w:val="32"/>
          <w:szCs w:val="32"/>
        </w:rPr>
        <w:t xml:space="preserve"> </w:t>
      </w:r>
      <w:r>
        <w:rPr>
          <w:rFonts w:hint="eastAsia" w:ascii="仿宋" w:hAnsi="仿宋" w:eastAsia="仿宋" w:cs="仿宋"/>
          <w:kern w:val="0"/>
          <w:sz w:val="32"/>
          <w:szCs w:val="32"/>
        </w:rPr>
        <w:t>万元：主要用于国土部门机关及所属事业单位按照国家规定的统一标准为职工缴纳住房公积金，向职工发放住房补贴、住房改革补贴的支出，比</w:t>
      </w:r>
      <w:r>
        <w:rPr>
          <w:rFonts w:ascii="仿宋" w:hAnsi="仿宋" w:eastAsia="仿宋" w:cs="仿宋"/>
          <w:kern w:val="0"/>
          <w:sz w:val="32"/>
          <w:szCs w:val="32"/>
        </w:rPr>
        <w:t>201</w:t>
      </w:r>
      <w:r>
        <w:rPr>
          <w:rFonts w:hint="eastAsia" w:ascii="仿宋" w:hAnsi="仿宋" w:eastAsia="仿宋" w:cs="仿宋"/>
          <w:kern w:val="0"/>
          <w:sz w:val="32"/>
          <w:szCs w:val="32"/>
        </w:rPr>
        <w:t>7</w:t>
      </w:r>
      <w:r>
        <w:rPr>
          <w:rFonts w:ascii="仿宋" w:hAnsi="仿宋" w:eastAsia="仿宋" w:cs="仿宋"/>
          <w:kern w:val="0"/>
          <w:sz w:val="32"/>
          <w:szCs w:val="32"/>
        </w:rPr>
        <w:t xml:space="preserve"> </w:t>
      </w:r>
      <w:r>
        <w:rPr>
          <w:rFonts w:hint="eastAsia" w:ascii="仿宋" w:hAnsi="仿宋" w:eastAsia="仿宋" w:cs="仿宋"/>
          <w:kern w:val="0"/>
          <w:sz w:val="32"/>
          <w:szCs w:val="32"/>
        </w:rPr>
        <w:t>年预算数增加10.34万元，增长5.78</w:t>
      </w:r>
      <w:r>
        <w:rPr>
          <w:rFonts w:ascii="仿宋" w:hAnsi="仿宋" w:eastAsia="仿宋" w:cs="仿宋"/>
          <w:kern w:val="0"/>
          <w:sz w:val="32"/>
          <w:szCs w:val="32"/>
        </w:rPr>
        <w:t>%</w:t>
      </w:r>
      <w:r>
        <w:rPr>
          <w:rFonts w:hint="eastAsia" w:ascii="仿宋" w:hAnsi="仿宋" w:eastAsia="仿宋" w:cs="仿宋"/>
          <w:kern w:val="0"/>
          <w:sz w:val="32"/>
          <w:szCs w:val="32"/>
        </w:rPr>
        <w:t>。主要是人员增加及补贴标准提高相应增加支出。</w:t>
      </w:r>
      <w:r>
        <w:rPr>
          <w:rFonts w:hint="eastAsia" w:ascii="仿宋" w:hAnsi="仿宋" w:eastAsia="仿宋" w:cs="仿宋"/>
          <w:kern w:val="0"/>
          <w:sz w:val="32"/>
          <w:szCs w:val="32"/>
        </w:rPr>
        <w:drawing>
          <wp:inline distT="0" distB="0" distL="0" distR="0">
            <wp:extent cx="5429250" cy="4295775"/>
            <wp:effectExtent l="19050" t="0" r="19050" b="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EFD02D4">
      <w:pPr>
        <w:pStyle w:val="2"/>
        <w:jc w:val="left"/>
        <w:rPr>
          <w:rFonts w:ascii="黑体" w:hAnsi="黑体"/>
          <w:sz w:val="32"/>
          <w:szCs w:val="32"/>
        </w:rPr>
      </w:pPr>
      <w:r>
        <w:rPr>
          <w:rFonts w:hint="eastAsia" w:ascii="黑体" w:hAnsi="黑体" w:cs="仿宋"/>
          <w:kern w:val="0"/>
          <w:sz w:val="32"/>
          <w:szCs w:val="32"/>
        </w:rPr>
        <w:t>四、</w:t>
      </w:r>
      <w:r>
        <w:rPr>
          <w:rFonts w:ascii="黑体" w:hAnsi="黑体"/>
          <w:sz w:val="32"/>
          <w:szCs w:val="32"/>
        </w:rPr>
        <w:t>“三公”经费预算</w:t>
      </w:r>
      <w:r>
        <w:rPr>
          <w:rFonts w:hint="eastAsia" w:ascii="黑体" w:hAnsi="黑体"/>
          <w:sz w:val="32"/>
          <w:szCs w:val="32"/>
        </w:rPr>
        <w:t>说明</w:t>
      </w:r>
    </w:p>
    <w:p w14:paraId="6D2D1F27">
      <w:pPr>
        <w:keepNext/>
        <w:ind w:firstLine="645"/>
        <w:jc w:val="left"/>
        <w:rPr>
          <w:rFonts w:ascii="仿宋" w:hAnsi="仿宋" w:eastAsia="仿宋"/>
          <w:sz w:val="32"/>
          <w:szCs w:val="32"/>
        </w:rPr>
      </w:pPr>
      <w:r>
        <w:rPr>
          <w:rFonts w:hint="eastAsia" w:ascii="仿宋" w:hAnsi="仿宋" w:eastAsia="仿宋"/>
          <w:sz w:val="32"/>
          <w:szCs w:val="32"/>
        </w:rPr>
        <w:t xml:space="preserve">2018年一般公共预算“三公”经费支出86.22万元，比2017年减少52.08万元，减少37.66%。包括因公出国（境）费用0万元，与2017年持平；公务接待费12万元，比2017年增加6.1万元，增长103.39%，主要是2017年预算批复偏低，本部门的接待任务相对较高相应增加的；公务用车运行维护费74.22万元，比2017年减少58.18万元，减少43.94%，主要是公车改革减少车辆相应减少支出。   </w:t>
      </w:r>
      <w:r>
        <w:rPr>
          <w:rFonts w:ascii="仿宋" w:hAnsi="仿宋" w:eastAsia="仿宋"/>
          <w:sz w:val="32"/>
          <w:szCs w:val="32"/>
        </w:rPr>
        <w:drawing>
          <wp:inline distT="0" distB="0" distL="0" distR="0">
            <wp:extent cx="4962525" cy="3743325"/>
            <wp:effectExtent l="0" t="0" r="0" b="0"/>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966884">
      <w:pPr>
        <w:rPr>
          <w:rFonts w:ascii="仿宋_GB2312" w:hAnsi="仿宋_GB2312" w:eastAsia="仿宋_GB2312" w:cs="仿宋_GB2312"/>
          <w:sz w:val="32"/>
          <w:szCs w:val="32"/>
        </w:rPr>
      </w:pPr>
      <w:r>
        <w:rPr>
          <w:rFonts w:hint="eastAsia" w:ascii="仿宋_GB2312" w:hAnsi="仿宋_GB2312" w:eastAsia="仿宋_GB2312" w:cs="仿宋_GB2312"/>
          <w:sz w:val="32"/>
          <w:szCs w:val="32"/>
        </w:rPr>
        <w:t>五、其他需要说明的情况</w:t>
      </w:r>
    </w:p>
    <w:p w14:paraId="3C0C9DBC">
      <w:pPr>
        <w:ind w:firstLine="640" w:firstLineChars="200"/>
        <w:rPr>
          <w:rFonts w:ascii="仿宋" w:hAnsi="仿宋" w:eastAsia="仿宋" w:cs="仿宋_GB2312"/>
          <w:sz w:val="32"/>
          <w:szCs w:val="32"/>
        </w:rPr>
      </w:pPr>
      <w:r>
        <w:rPr>
          <w:rFonts w:hint="eastAsia" w:ascii="仿宋" w:hAnsi="仿宋" w:eastAsia="仿宋" w:cs="仿宋_GB2312"/>
          <w:sz w:val="32"/>
          <w:szCs w:val="32"/>
        </w:rPr>
        <w:t>（一）机关运行经费情况</w:t>
      </w:r>
    </w:p>
    <w:p w14:paraId="1E992BAB">
      <w:pPr>
        <w:ind w:firstLine="640" w:firstLineChars="200"/>
        <w:rPr>
          <w:rFonts w:ascii="仿宋" w:hAnsi="仿宋" w:eastAsia="仿宋" w:cs="仿宋_GB2312"/>
          <w:sz w:val="32"/>
          <w:szCs w:val="32"/>
        </w:rPr>
      </w:pPr>
      <w:r>
        <w:rPr>
          <w:rFonts w:hint="eastAsia" w:ascii="仿宋" w:hAnsi="仿宋" w:eastAsia="仿宋" w:cs="仿宋_GB2312"/>
          <w:sz w:val="32"/>
          <w:szCs w:val="32"/>
        </w:rPr>
        <w:t>机关运行经费一般公共预算347.67万元，包括办公费    162.65万元、邮电费30.08万元、差旅费1万元、日常维修费2万元、培训费1万元、劳务费1万元、办公用房水费1.5万元、电费26万元、公务用车运行维护费30.4万元、其他交通费89.04万元、其他商品和服务支出3万元。</w:t>
      </w:r>
    </w:p>
    <w:p w14:paraId="7AD0018F">
      <w:pPr>
        <w:ind w:firstLine="640" w:firstLineChars="200"/>
        <w:rPr>
          <w:rFonts w:ascii="仿宋" w:hAnsi="仿宋" w:eastAsia="仿宋" w:cs="仿宋_GB2312"/>
          <w:sz w:val="32"/>
          <w:szCs w:val="32"/>
        </w:rPr>
      </w:pPr>
      <w:r>
        <w:rPr>
          <w:rFonts w:hint="eastAsia" w:ascii="仿宋" w:hAnsi="仿宋" w:eastAsia="仿宋" w:cs="仿宋_GB2312"/>
          <w:sz w:val="32"/>
          <w:szCs w:val="32"/>
        </w:rPr>
        <w:t>（二）政府采购安排情况</w:t>
      </w:r>
    </w:p>
    <w:p w14:paraId="722C8BA4">
      <w:pPr>
        <w:ind w:firstLine="640" w:firstLineChars="200"/>
        <w:rPr>
          <w:rFonts w:ascii="仿宋" w:hAnsi="仿宋" w:eastAsia="仿宋" w:cs="仿宋_GB2312"/>
          <w:sz w:val="32"/>
          <w:szCs w:val="32"/>
        </w:rPr>
      </w:pPr>
      <w:r>
        <w:rPr>
          <w:rFonts w:hint="eastAsia" w:ascii="仿宋" w:hAnsi="仿宋" w:eastAsia="仿宋" w:cs="仿宋_GB2312"/>
          <w:sz w:val="32"/>
          <w:szCs w:val="32"/>
        </w:rPr>
        <w:t>政府采购预算1245.65万元，包括通用设备采购预算  120.05万元; 印刷采购预算75万元;图书、档案采购预算98.1万元;办公用具采购预算12.97万元;办公消耗用品采购预算151.71万元;其他货物采购预算39.5万元;装修工程采购预算285.3万元;服务类采购预算463.02万元，其中信息技术服务10万元、维修和保养服务70.22万元、其他服务382.8万元。</w:t>
      </w:r>
    </w:p>
    <w:p w14:paraId="725CFE2C">
      <w:pPr>
        <w:widowControl/>
        <w:numPr>
          <w:ilvl w:val="0"/>
          <w:numId w:val="1"/>
        </w:numPr>
        <w:spacing w:line="24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国有资产占有使用情况</w:t>
      </w:r>
    </w:p>
    <w:p w14:paraId="35FBC70A">
      <w:pPr>
        <w:ind w:firstLine="640" w:firstLineChars="200"/>
        <w:rPr>
          <w:rFonts w:ascii="仿宋" w:hAnsi="仿宋" w:eastAsia="仿宋" w:cs="仿宋_GB2312"/>
          <w:sz w:val="32"/>
          <w:szCs w:val="32"/>
        </w:rPr>
      </w:pPr>
      <w:r>
        <w:rPr>
          <w:rFonts w:hint="eastAsia" w:ascii="仿宋" w:hAnsi="仿宋" w:eastAsia="仿宋" w:cs="仿宋_GB2312"/>
          <w:sz w:val="32"/>
          <w:szCs w:val="32"/>
        </w:rPr>
        <w:t>截至2017年12月31日，本局所属各预算单位共有车辆14辆，其中，一般公务用车13辆、其他用车1辆。单位价值50万元以上通用设备4台（套），单位价值100万元以上专用设备1台（套）。</w:t>
      </w:r>
    </w:p>
    <w:p w14:paraId="3907F5A4">
      <w:pPr>
        <w:ind w:firstLine="640" w:firstLineChars="200"/>
        <w:rPr>
          <w:rFonts w:ascii="仿宋" w:hAnsi="仿宋" w:eastAsia="仿宋" w:cs="仿宋_GB2312"/>
          <w:sz w:val="32"/>
          <w:szCs w:val="32"/>
        </w:rPr>
      </w:pPr>
      <w:r>
        <w:rPr>
          <w:rFonts w:hint="eastAsia" w:ascii="仿宋" w:hAnsi="仿宋" w:eastAsia="仿宋" w:cs="仿宋_GB2312"/>
          <w:sz w:val="32"/>
          <w:szCs w:val="32"/>
        </w:rPr>
        <w:t>2018年部门预算安排购置单位价值4万元以上通用设备   1台（套），单位价值1万元以上专用设备3台（套）。</w:t>
      </w:r>
    </w:p>
    <w:p w14:paraId="68250E0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（四）重点项目预算绩效目标设置情况</w:t>
      </w:r>
    </w:p>
    <w:p w14:paraId="60618C76">
      <w:pPr>
        <w:ind w:firstLine="630"/>
        <w:jc w:val="left"/>
        <w:rPr>
          <w:rFonts w:hint="eastAsia" w:ascii="仿宋" w:hAnsi="仿宋" w:eastAsia="仿宋" w:cs="Times New Roman"/>
          <w:sz w:val="32"/>
        </w:rPr>
      </w:pPr>
      <w:r>
        <w:rPr>
          <w:rFonts w:hint="eastAsia" w:ascii="仿宋" w:hAnsi="仿宋" w:eastAsia="仿宋" w:cs="Times New Roman"/>
          <w:sz w:val="32"/>
        </w:rPr>
        <w:t>2018 年财政部门项目绩效目标实现全覆盖，涉及政府性基金当年拨款2455万元。包括国家2000大地坐标系转换项目300万元、湛江市辖区农村与城镇地籍调查经费1300万元、不动产登记信息管理基础平台建设及数据整理700万元、地质环境监测预警系统建设经费155万元。</w:t>
      </w:r>
    </w:p>
    <w:tbl>
      <w:tblPr>
        <w:tblStyle w:val="6"/>
        <w:tblW w:w="8690" w:type="dxa"/>
        <w:tblInd w:w="93" w:type="dxa"/>
        <w:tblLayout w:type="fixed"/>
        <w:tblCellMar>
          <w:top w:w="0" w:type="dxa"/>
          <w:left w:w="108" w:type="dxa"/>
          <w:bottom w:w="0" w:type="dxa"/>
          <w:right w:w="108" w:type="dxa"/>
        </w:tblCellMar>
      </w:tblPr>
      <w:tblGrid>
        <w:gridCol w:w="2142"/>
        <w:gridCol w:w="992"/>
        <w:gridCol w:w="850"/>
        <w:gridCol w:w="936"/>
        <w:gridCol w:w="907"/>
        <w:gridCol w:w="709"/>
        <w:gridCol w:w="709"/>
        <w:gridCol w:w="306"/>
        <w:gridCol w:w="488"/>
        <w:gridCol w:w="651"/>
      </w:tblGrid>
      <w:tr w14:paraId="65F276FC">
        <w:tblPrEx>
          <w:tblCellMar>
            <w:top w:w="0" w:type="dxa"/>
            <w:left w:w="108" w:type="dxa"/>
            <w:bottom w:w="0" w:type="dxa"/>
            <w:right w:w="108" w:type="dxa"/>
          </w:tblCellMar>
        </w:tblPrEx>
        <w:trPr>
          <w:trHeight w:val="720" w:hRule="atLeast"/>
        </w:trPr>
        <w:tc>
          <w:tcPr>
            <w:tcW w:w="8690" w:type="dxa"/>
            <w:gridSpan w:val="10"/>
            <w:tcBorders>
              <w:top w:val="nil"/>
              <w:left w:val="nil"/>
              <w:bottom w:val="nil"/>
              <w:right w:val="nil"/>
            </w:tcBorders>
            <w:shd w:val="clear" w:color="auto" w:fill="auto"/>
            <w:vAlign w:val="center"/>
          </w:tcPr>
          <w:p w14:paraId="4C69B483">
            <w:pPr>
              <w:widowControl/>
              <w:spacing w:line="240" w:lineRule="auto"/>
              <w:rPr>
                <w:rFonts w:ascii="宋体" w:hAnsi="宋体" w:eastAsia="宋体" w:cs="宋体"/>
                <w:b/>
                <w:bCs/>
                <w:kern w:val="0"/>
                <w:sz w:val="32"/>
                <w:szCs w:val="32"/>
              </w:rPr>
            </w:pPr>
            <w:r>
              <w:rPr>
                <w:rFonts w:hint="eastAsia" w:ascii="宋体" w:hAnsi="宋体" w:eastAsia="宋体" w:cs="宋体"/>
                <w:b/>
                <w:bCs/>
                <w:kern w:val="0"/>
                <w:sz w:val="32"/>
                <w:szCs w:val="32"/>
              </w:rPr>
              <w:t xml:space="preserve">    2018年湛江市国土资源局项目支出预算表</w:t>
            </w:r>
          </w:p>
        </w:tc>
      </w:tr>
      <w:tr w14:paraId="34B6E1EC">
        <w:tblPrEx>
          <w:tblCellMar>
            <w:top w:w="0" w:type="dxa"/>
            <w:left w:w="108" w:type="dxa"/>
            <w:bottom w:w="0" w:type="dxa"/>
            <w:right w:w="108" w:type="dxa"/>
          </w:tblCellMar>
        </w:tblPrEx>
        <w:trPr>
          <w:trHeight w:val="345" w:hRule="atLeast"/>
        </w:trPr>
        <w:tc>
          <w:tcPr>
            <w:tcW w:w="3984" w:type="dxa"/>
            <w:gridSpan w:val="3"/>
            <w:tcBorders>
              <w:top w:val="nil"/>
              <w:left w:val="nil"/>
              <w:bottom w:val="single" w:color="auto" w:sz="4" w:space="0"/>
              <w:right w:val="nil"/>
            </w:tcBorders>
            <w:shd w:val="clear" w:color="auto" w:fill="auto"/>
            <w:vAlign w:val="center"/>
          </w:tcPr>
          <w:p w14:paraId="7C22BA55">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部门名称：湛江市国土资源局</w:t>
            </w:r>
          </w:p>
        </w:tc>
        <w:tc>
          <w:tcPr>
            <w:tcW w:w="936" w:type="dxa"/>
            <w:tcBorders>
              <w:top w:val="nil"/>
              <w:left w:val="nil"/>
              <w:bottom w:val="nil"/>
              <w:right w:val="nil"/>
            </w:tcBorders>
            <w:shd w:val="clear" w:color="auto" w:fill="auto"/>
            <w:vAlign w:val="center"/>
          </w:tcPr>
          <w:p w14:paraId="061DE639">
            <w:pPr>
              <w:widowControl/>
              <w:spacing w:line="240" w:lineRule="auto"/>
              <w:jc w:val="left"/>
              <w:rPr>
                <w:rFonts w:ascii="宋体" w:hAnsi="宋体" w:eastAsia="宋体" w:cs="宋体"/>
                <w:kern w:val="0"/>
                <w:sz w:val="20"/>
                <w:szCs w:val="20"/>
              </w:rPr>
            </w:pPr>
          </w:p>
        </w:tc>
        <w:tc>
          <w:tcPr>
            <w:tcW w:w="907" w:type="dxa"/>
            <w:tcBorders>
              <w:top w:val="nil"/>
              <w:left w:val="nil"/>
              <w:bottom w:val="nil"/>
              <w:right w:val="nil"/>
            </w:tcBorders>
            <w:shd w:val="clear" w:color="auto" w:fill="auto"/>
            <w:vAlign w:val="center"/>
          </w:tcPr>
          <w:p w14:paraId="7DF47DF3">
            <w:pPr>
              <w:widowControl/>
              <w:spacing w:line="240" w:lineRule="auto"/>
              <w:jc w:val="left"/>
              <w:rPr>
                <w:rFonts w:ascii="宋体" w:hAnsi="宋体" w:eastAsia="宋体" w:cs="宋体"/>
                <w:kern w:val="0"/>
                <w:sz w:val="20"/>
                <w:szCs w:val="20"/>
              </w:rPr>
            </w:pPr>
          </w:p>
        </w:tc>
        <w:tc>
          <w:tcPr>
            <w:tcW w:w="709" w:type="dxa"/>
            <w:tcBorders>
              <w:top w:val="nil"/>
              <w:left w:val="nil"/>
              <w:bottom w:val="nil"/>
              <w:right w:val="nil"/>
            </w:tcBorders>
            <w:shd w:val="clear" w:color="auto" w:fill="auto"/>
            <w:vAlign w:val="center"/>
          </w:tcPr>
          <w:p w14:paraId="06DD94C6">
            <w:pPr>
              <w:widowControl/>
              <w:spacing w:line="240" w:lineRule="auto"/>
              <w:jc w:val="left"/>
              <w:rPr>
                <w:rFonts w:ascii="宋体" w:hAnsi="宋体" w:eastAsia="宋体" w:cs="宋体"/>
                <w:kern w:val="0"/>
                <w:sz w:val="20"/>
                <w:szCs w:val="20"/>
              </w:rPr>
            </w:pPr>
          </w:p>
        </w:tc>
        <w:tc>
          <w:tcPr>
            <w:tcW w:w="1015" w:type="dxa"/>
            <w:gridSpan w:val="2"/>
            <w:tcBorders>
              <w:top w:val="nil"/>
              <w:left w:val="nil"/>
              <w:bottom w:val="nil"/>
              <w:right w:val="nil"/>
            </w:tcBorders>
            <w:shd w:val="clear" w:color="auto" w:fill="auto"/>
            <w:vAlign w:val="center"/>
          </w:tcPr>
          <w:p w14:paraId="63E392CB">
            <w:pPr>
              <w:widowControl/>
              <w:spacing w:line="240" w:lineRule="auto"/>
              <w:jc w:val="left"/>
              <w:rPr>
                <w:rFonts w:ascii="宋体" w:hAnsi="宋体" w:eastAsia="宋体" w:cs="宋体"/>
                <w:kern w:val="0"/>
                <w:sz w:val="20"/>
                <w:szCs w:val="20"/>
              </w:rPr>
            </w:pPr>
          </w:p>
        </w:tc>
        <w:tc>
          <w:tcPr>
            <w:tcW w:w="1139" w:type="dxa"/>
            <w:gridSpan w:val="2"/>
            <w:tcBorders>
              <w:top w:val="nil"/>
              <w:left w:val="nil"/>
              <w:bottom w:val="single" w:color="auto" w:sz="4" w:space="0"/>
              <w:right w:val="nil"/>
            </w:tcBorders>
            <w:shd w:val="clear" w:color="auto" w:fill="auto"/>
            <w:vAlign w:val="center"/>
          </w:tcPr>
          <w:p w14:paraId="3AC6031C">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单位:万元</w:t>
            </w:r>
          </w:p>
        </w:tc>
      </w:tr>
      <w:tr w14:paraId="39D5475F">
        <w:tblPrEx>
          <w:tblCellMar>
            <w:top w:w="0" w:type="dxa"/>
            <w:left w:w="108" w:type="dxa"/>
            <w:bottom w:w="0" w:type="dxa"/>
            <w:right w:w="108" w:type="dxa"/>
          </w:tblCellMar>
        </w:tblPrEx>
        <w:trPr>
          <w:trHeight w:val="350" w:hRule="atLeast"/>
        </w:trPr>
        <w:tc>
          <w:tcPr>
            <w:tcW w:w="2142" w:type="dxa"/>
            <w:vMerge w:val="restart"/>
            <w:tcBorders>
              <w:top w:val="nil"/>
              <w:left w:val="single" w:color="auto" w:sz="4" w:space="0"/>
              <w:bottom w:val="single" w:color="auto" w:sz="4" w:space="0"/>
              <w:right w:val="single" w:color="auto" w:sz="4" w:space="0"/>
            </w:tcBorders>
            <w:shd w:val="clear" w:color="auto" w:fill="auto"/>
            <w:vAlign w:val="center"/>
          </w:tcPr>
          <w:p w14:paraId="6EEFFE8E">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支出项目类别（资金使用单位）</w:t>
            </w:r>
          </w:p>
        </w:tc>
        <w:tc>
          <w:tcPr>
            <w:tcW w:w="992" w:type="dxa"/>
            <w:vMerge w:val="restart"/>
            <w:tcBorders>
              <w:top w:val="nil"/>
              <w:left w:val="single" w:color="auto" w:sz="4" w:space="0"/>
              <w:bottom w:val="single" w:color="auto" w:sz="4" w:space="0"/>
              <w:right w:val="nil"/>
            </w:tcBorders>
            <w:shd w:val="clear" w:color="auto" w:fill="auto"/>
            <w:vAlign w:val="center"/>
          </w:tcPr>
          <w:p w14:paraId="0F7F2675">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14:paraId="13CE65B9">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一般公共预算拨款</w:t>
            </w:r>
          </w:p>
        </w:tc>
        <w:tc>
          <w:tcPr>
            <w:tcW w:w="9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9FB5A5">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基金预算拨款</w:t>
            </w:r>
          </w:p>
        </w:tc>
        <w:tc>
          <w:tcPr>
            <w:tcW w:w="9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664B1C">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国有资本经营预算拨款</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4EB863">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财政专户拨款</w:t>
            </w:r>
          </w:p>
        </w:tc>
        <w:tc>
          <w:tcPr>
            <w:tcW w:w="2154" w:type="dxa"/>
            <w:gridSpan w:val="4"/>
            <w:tcBorders>
              <w:top w:val="single" w:color="auto" w:sz="4" w:space="0"/>
              <w:left w:val="nil"/>
              <w:bottom w:val="single" w:color="auto" w:sz="4" w:space="0"/>
              <w:right w:val="single" w:color="auto" w:sz="4" w:space="0"/>
            </w:tcBorders>
            <w:shd w:val="clear" w:color="auto" w:fill="auto"/>
            <w:vAlign w:val="center"/>
          </w:tcPr>
          <w:p w14:paraId="2B187593">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其他资金</w:t>
            </w:r>
          </w:p>
        </w:tc>
      </w:tr>
      <w:tr w14:paraId="66C4ED20">
        <w:tblPrEx>
          <w:tblCellMar>
            <w:top w:w="0" w:type="dxa"/>
            <w:left w:w="108" w:type="dxa"/>
            <w:bottom w:w="0" w:type="dxa"/>
            <w:right w:w="108" w:type="dxa"/>
          </w:tblCellMar>
        </w:tblPrEx>
        <w:trPr>
          <w:trHeight w:val="709" w:hRule="atLeast"/>
        </w:trPr>
        <w:tc>
          <w:tcPr>
            <w:tcW w:w="2142" w:type="dxa"/>
            <w:vMerge w:val="continue"/>
            <w:tcBorders>
              <w:top w:val="nil"/>
              <w:left w:val="single" w:color="auto" w:sz="4" w:space="0"/>
              <w:bottom w:val="single" w:color="auto" w:sz="4" w:space="0"/>
              <w:right w:val="single" w:color="auto" w:sz="4" w:space="0"/>
            </w:tcBorders>
            <w:vAlign w:val="center"/>
          </w:tcPr>
          <w:p w14:paraId="388C3F22">
            <w:pPr>
              <w:widowControl/>
              <w:spacing w:line="240" w:lineRule="auto"/>
              <w:jc w:val="left"/>
              <w:rPr>
                <w:rFonts w:ascii="宋体" w:hAnsi="宋体" w:eastAsia="宋体" w:cs="宋体"/>
                <w:kern w:val="0"/>
                <w:sz w:val="18"/>
                <w:szCs w:val="18"/>
              </w:rPr>
            </w:pPr>
          </w:p>
        </w:tc>
        <w:tc>
          <w:tcPr>
            <w:tcW w:w="992" w:type="dxa"/>
            <w:vMerge w:val="continue"/>
            <w:tcBorders>
              <w:top w:val="nil"/>
              <w:left w:val="single" w:color="auto" w:sz="4" w:space="0"/>
              <w:bottom w:val="single" w:color="auto" w:sz="4" w:space="0"/>
              <w:right w:val="nil"/>
            </w:tcBorders>
            <w:vAlign w:val="center"/>
          </w:tcPr>
          <w:p w14:paraId="5BA58177">
            <w:pPr>
              <w:widowControl/>
              <w:spacing w:line="240" w:lineRule="auto"/>
              <w:jc w:val="left"/>
              <w:rPr>
                <w:rFonts w:ascii="宋体" w:hAnsi="宋体" w:eastAsia="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14:paraId="5B712B35">
            <w:pPr>
              <w:widowControl/>
              <w:spacing w:line="240" w:lineRule="auto"/>
              <w:jc w:val="left"/>
              <w:rPr>
                <w:rFonts w:ascii="宋体" w:hAnsi="宋体" w:eastAsia="宋体" w:cs="宋体"/>
                <w:kern w:val="0"/>
                <w:sz w:val="18"/>
                <w:szCs w:val="18"/>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14:paraId="01B8D88F">
            <w:pPr>
              <w:widowControl/>
              <w:spacing w:line="240" w:lineRule="auto"/>
              <w:jc w:val="left"/>
              <w:rPr>
                <w:rFonts w:ascii="宋体" w:hAnsi="宋体" w:eastAsia="宋体" w:cs="宋体"/>
                <w:kern w:val="0"/>
                <w:sz w:val="18"/>
                <w:szCs w:val="18"/>
              </w:rPr>
            </w:pPr>
          </w:p>
        </w:tc>
        <w:tc>
          <w:tcPr>
            <w:tcW w:w="907" w:type="dxa"/>
            <w:vMerge w:val="continue"/>
            <w:tcBorders>
              <w:top w:val="single" w:color="auto" w:sz="4" w:space="0"/>
              <w:left w:val="single" w:color="auto" w:sz="4" w:space="0"/>
              <w:bottom w:val="single" w:color="auto" w:sz="4" w:space="0"/>
              <w:right w:val="single" w:color="auto" w:sz="4" w:space="0"/>
            </w:tcBorders>
            <w:vAlign w:val="center"/>
          </w:tcPr>
          <w:p w14:paraId="1F641EC5">
            <w:pPr>
              <w:widowControl/>
              <w:spacing w:line="240" w:lineRule="auto"/>
              <w:jc w:val="left"/>
              <w:rPr>
                <w:rFonts w:ascii="宋体" w:hAnsi="宋体" w:eastAsia="宋体" w:cs="宋体"/>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03C739C">
            <w:pPr>
              <w:widowControl/>
              <w:spacing w:line="240" w:lineRule="auto"/>
              <w:jc w:val="left"/>
              <w:rPr>
                <w:rFonts w:ascii="宋体" w:hAnsi="宋体" w:eastAsia="宋体" w:cs="宋体"/>
                <w:kern w:val="0"/>
                <w:sz w:val="18"/>
                <w:szCs w:val="18"/>
              </w:rPr>
            </w:pPr>
          </w:p>
        </w:tc>
        <w:tc>
          <w:tcPr>
            <w:tcW w:w="709" w:type="dxa"/>
            <w:tcBorders>
              <w:top w:val="nil"/>
              <w:left w:val="nil"/>
              <w:bottom w:val="single" w:color="auto" w:sz="4" w:space="0"/>
              <w:right w:val="single" w:color="auto" w:sz="4" w:space="0"/>
            </w:tcBorders>
            <w:shd w:val="clear" w:color="auto" w:fill="auto"/>
            <w:vAlign w:val="center"/>
          </w:tcPr>
          <w:p w14:paraId="29ECDBD1">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事业收入</w:t>
            </w:r>
          </w:p>
        </w:tc>
        <w:tc>
          <w:tcPr>
            <w:tcW w:w="794" w:type="dxa"/>
            <w:gridSpan w:val="2"/>
            <w:tcBorders>
              <w:top w:val="nil"/>
              <w:left w:val="nil"/>
              <w:bottom w:val="single" w:color="auto" w:sz="4" w:space="0"/>
              <w:right w:val="single" w:color="auto" w:sz="4" w:space="0"/>
            </w:tcBorders>
            <w:shd w:val="clear" w:color="auto" w:fill="auto"/>
            <w:vAlign w:val="center"/>
          </w:tcPr>
          <w:p w14:paraId="2D5DD678">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事业单位经营收入</w:t>
            </w:r>
          </w:p>
        </w:tc>
        <w:tc>
          <w:tcPr>
            <w:tcW w:w="651" w:type="dxa"/>
            <w:tcBorders>
              <w:top w:val="nil"/>
              <w:left w:val="nil"/>
              <w:bottom w:val="single" w:color="auto" w:sz="4" w:space="0"/>
              <w:right w:val="single" w:color="auto" w:sz="4" w:space="0"/>
            </w:tcBorders>
            <w:shd w:val="clear" w:color="auto" w:fill="auto"/>
            <w:vAlign w:val="center"/>
          </w:tcPr>
          <w:p w14:paraId="2190E477">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其他收入</w:t>
            </w:r>
          </w:p>
        </w:tc>
      </w:tr>
      <w:tr w14:paraId="08652A6B">
        <w:tblPrEx>
          <w:tblCellMar>
            <w:top w:w="0" w:type="dxa"/>
            <w:left w:w="108" w:type="dxa"/>
            <w:bottom w:w="0" w:type="dxa"/>
            <w:right w:w="108" w:type="dxa"/>
          </w:tblCellMar>
        </w:tblPrEx>
        <w:trPr>
          <w:trHeight w:val="540" w:hRule="atLeast"/>
        </w:trPr>
        <w:tc>
          <w:tcPr>
            <w:tcW w:w="2142" w:type="dxa"/>
            <w:tcBorders>
              <w:top w:val="single" w:color="auto" w:sz="4" w:space="0"/>
              <w:left w:val="single" w:color="auto" w:sz="4" w:space="0"/>
              <w:bottom w:val="single" w:color="auto" w:sz="4" w:space="0"/>
              <w:right w:val="nil"/>
            </w:tcBorders>
            <w:shd w:val="clear" w:color="auto" w:fill="auto"/>
            <w:vAlign w:val="center"/>
          </w:tcPr>
          <w:p w14:paraId="2352A453">
            <w:pPr>
              <w:widowControl/>
              <w:spacing w:line="240" w:lineRule="auto"/>
              <w:jc w:val="left"/>
              <w:rPr>
                <w:rFonts w:ascii="宋体" w:hAnsi="宋体" w:eastAsia="宋体" w:cs="宋体"/>
                <w:kern w:val="0"/>
                <w:sz w:val="22"/>
              </w:rPr>
            </w:pPr>
            <w:r>
              <w:rPr>
                <w:rFonts w:hint="eastAsia" w:ascii="宋体" w:hAnsi="宋体" w:eastAsia="宋体" w:cs="宋体"/>
                <w:kern w:val="0"/>
                <w:sz w:val="22"/>
              </w:rPr>
              <w:t>合计</w:t>
            </w:r>
          </w:p>
        </w:tc>
        <w:tc>
          <w:tcPr>
            <w:tcW w:w="992" w:type="dxa"/>
            <w:tcBorders>
              <w:top w:val="single" w:color="auto" w:sz="4" w:space="0"/>
              <w:left w:val="single" w:color="auto" w:sz="4" w:space="0"/>
              <w:bottom w:val="single" w:color="auto" w:sz="4" w:space="0"/>
              <w:right w:val="nil"/>
            </w:tcBorders>
            <w:shd w:val="clear" w:color="auto" w:fill="auto"/>
            <w:vAlign w:val="center"/>
          </w:tcPr>
          <w:p w14:paraId="03E7564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4,520.00</w:t>
            </w:r>
          </w:p>
        </w:tc>
        <w:tc>
          <w:tcPr>
            <w:tcW w:w="850" w:type="dxa"/>
            <w:tcBorders>
              <w:top w:val="nil"/>
              <w:left w:val="single" w:color="auto" w:sz="4" w:space="0"/>
              <w:bottom w:val="single" w:color="auto" w:sz="4" w:space="0"/>
              <w:right w:val="single" w:color="auto" w:sz="4" w:space="0"/>
            </w:tcBorders>
            <w:shd w:val="clear" w:color="auto" w:fill="auto"/>
            <w:vAlign w:val="center"/>
          </w:tcPr>
          <w:p w14:paraId="3F3E344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676.00</w:t>
            </w:r>
          </w:p>
        </w:tc>
        <w:tc>
          <w:tcPr>
            <w:tcW w:w="936" w:type="dxa"/>
            <w:tcBorders>
              <w:top w:val="nil"/>
              <w:left w:val="nil"/>
              <w:bottom w:val="single" w:color="auto" w:sz="4" w:space="0"/>
              <w:right w:val="single" w:color="auto" w:sz="4" w:space="0"/>
            </w:tcBorders>
            <w:shd w:val="clear" w:color="auto" w:fill="auto"/>
            <w:vAlign w:val="center"/>
          </w:tcPr>
          <w:p w14:paraId="28F7256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3,844.00</w:t>
            </w:r>
          </w:p>
        </w:tc>
        <w:tc>
          <w:tcPr>
            <w:tcW w:w="907" w:type="dxa"/>
            <w:tcBorders>
              <w:top w:val="single" w:color="auto" w:sz="4" w:space="0"/>
              <w:left w:val="nil"/>
              <w:bottom w:val="single" w:color="auto" w:sz="4" w:space="0"/>
              <w:right w:val="nil"/>
            </w:tcBorders>
            <w:shd w:val="clear" w:color="auto" w:fill="auto"/>
            <w:vAlign w:val="center"/>
          </w:tcPr>
          <w:p w14:paraId="3D33EF9F">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single" w:color="auto" w:sz="4" w:space="0"/>
              <w:left w:val="single" w:color="auto" w:sz="4" w:space="0"/>
              <w:bottom w:val="single" w:color="auto" w:sz="4" w:space="0"/>
              <w:right w:val="nil"/>
            </w:tcBorders>
            <w:shd w:val="clear" w:color="auto" w:fill="auto"/>
            <w:vAlign w:val="center"/>
          </w:tcPr>
          <w:p w14:paraId="55D664F7">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single" w:color="auto" w:sz="4" w:space="0"/>
              <w:left w:val="single" w:color="auto" w:sz="4" w:space="0"/>
              <w:bottom w:val="single" w:color="auto" w:sz="4" w:space="0"/>
              <w:right w:val="nil"/>
            </w:tcBorders>
            <w:shd w:val="clear" w:color="auto" w:fill="auto"/>
            <w:vAlign w:val="center"/>
          </w:tcPr>
          <w:p w14:paraId="32CBB46F">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gridSpan w:val="2"/>
            <w:tcBorders>
              <w:top w:val="single" w:color="auto" w:sz="4" w:space="0"/>
              <w:left w:val="single" w:color="auto" w:sz="4" w:space="0"/>
              <w:bottom w:val="single" w:color="auto" w:sz="4" w:space="0"/>
              <w:right w:val="nil"/>
            </w:tcBorders>
            <w:shd w:val="clear" w:color="auto" w:fill="auto"/>
            <w:vAlign w:val="center"/>
          </w:tcPr>
          <w:p w14:paraId="014D05A5">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33EB3207">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r>
      <w:tr w14:paraId="60E271A3">
        <w:tblPrEx>
          <w:tblCellMar>
            <w:top w:w="0" w:type="dxa"/>
            <w:left w:w="108" w:type="dxa"/>
            <w:bottom w:w="0" w:type="dxa"/>
            <w:right w:w="108" w:type="dxa"/>
          </w:tblCellMar>
        </w:tblPrEx>
        <w:trPr>
          <w:trHeight w:val="475" w:hRule="atLeast"/>
        </w:trPr>
        <w:tc>
          <w:tcPr>
            <w:tcW w:w="2142" w:type="dxa"/>
            <w:tcBorders>
              <w:top w:val="nil"/>
              <w:left w:val="single" w:color="auto" w:sz="4" w:space="0"/>
              <w:bottom w:val="single" w:color="auto" w:sz="4" w:space="0"/>
              <w:right w:val="nil"/>
            </w:tcBorders>
            <w:shd w:val="clear" w:color="auto" w:fill="auto"/>
            <w:vAlign w:val="center"/>
          </w:tcPr>
          <w:p w14:paraId="1DF4EE8F">
            <w:pPr>
              <w:widowControl/>
              <w:spacing w:line="240" w:lineRule="auto"/>
              <w:jc w:val="left"/>
              <w:rPr>
                <w:rFonts w:ascii="宋体" w:hAnsi="宋体" w:eastAsia="宋体" w:cs="宋体"/>
                <w:kern w:val="0"/>
                <w:sz w:val="16"/>
                <w:szCs w:val="16"/>
              </w:rPr>
            </w:pPr>
            <w:r>
              <w:rPr>
                <w:rFonts w:hint="eastAsia" w:ascii="宋体" w:hAnsi="宋体" w:eastAsia="宋体" w:cs="宋体"/>
                <w:kern w:val="0"/>
                <w:sz w:val="16"/>
                <w:szCs w:val="16"/>
              </w:rPr>
              <w:t>湛江市不动产档案信息管理中心</w:t>
            </w:r>
          </w:p>
        </w:tc>
        <w:tc>
          <w:tcPr>
            <w:tcW w:w="992" w:type="dxa"/>
            <w:tcBorders>
              <w:top w:val="nil"/>
              <w:left w:val="single" w:color="auto" w:sz="4" w:space="0"/>
              <w:bottom w:val="single" w:color="auto" w:sz="4" w:space="0"/>
              <w:right w:val="nil"/>
            </w:tcBorders>
            <w:shd w:val="clear" w:color="auto" w:fill="auto"/>
            <w:vAlign w:val="center"/>
          </w:tcPr>
          <w:p w14:paraId="58584C5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200.00</w:t>
            </w:r>
          </w:p>
        </w:tc>
        <w:tc>
          <w:tcPr>
            <w:tcW w:w="850" w:type="dxa"/>
            <w:tcBorders>
              <w:top w:val="nil"/>
              <w:left w:val="single" w:color="auto" w:sz="4" w:space="0"/>
              <w:bottom w:val="single" w:color="auto" w:sz="4" w:space="0"/>
              <w:right w:val="single" w:color="auto" w:sz="4" w:space="0"/>
            </w:tcBorders>
            <w:shd w:val="clear" w:color="auto" w:fill="auto"/>
            <w:vAlign w:val="center"/>
          </w:tcPr>
          <w:p w14:paraId="3F3E099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200.00</w:t>
            </w:r>
          </w:p>
        </w:tc>
        <w:tc>
          <w:tcPr>
            <w:tcW w:w="936" w:type="dxa"/>
            <w:tcBorders>
              <w:top w:val="nil"/>
              <w:left w:val="nil"/>
              <w:bottom w:val="single" w:color="auto" w:sz="4" w:space="0"/>
              <w:right w:val="single" w:color="auto" w:sz="4" w:space="0"/>
            </w:tcBorders>
            <w:shd w:val="clear" w:color="auto" w:fill="auto"/>
            <w:vAlign w:val="center"/>
          </w:tcPr>
          <w:p w14:paraId="1706BA0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7" w:type="dxa"/>
            <w:tcBorders>
              <w:top w:val="nil"/>
              <w:left w:val="nil"/>
              <w:bottom w:val="single" w:color="auto" w:sz="4" w:space="0"/>
              <w:right w:val="nil"/>
            </w:tcBorders>
            <w:shd w:val="clear" w:color="auto" w:fill="auto"/>
            <w:vAlign w:val="center"/>
          </w:tcPr>
          <w:p w14:paraId="75AAD9DC">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51A3EC12">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6AB97845">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gridSpan w:val="2"/>
            <w:tcBorders>
              <w:top w:val="nil"/>
              <w:left w:val="single" w:color="auto" w:sz="4" w:space="0"/>
              <w:bottom w:val="single" w:color="auto" w:sz="4" w:space="0"/>
              <w:right w:val="nil"/>
            </w:tcBorders>
            <w:shd w:val="clear" w:color="auto" w:fill="auto"/>
            <w:vAlign w:val="center"/>
          </w:tcPr>
          <w:p w14:paraId="4E38FDD7">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1" w:type="dxa"/>
            <w:tcBorders>
              <w:top w:val="nil"/>
              <w:left w:val="single" w:color="auto" w:sz="4" w:space="0"/>
              <w:bottom w:val="single" w:color="auto" w:sz="4" w:space="0"/>
              <w:right w:val="single" w:color="auto" w:sz="4" w:space="0"/>
            </w:tcBorders>
            <w:shd w:val="clear" w:color="auto" w:fill="auto"/>
            <w:vAlign w:val="center"/>
          </w:tcPr>
          <w:p w14:paraId="5E111309">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r>
      <w:tr w14:paraId="768051EF">
        <w:tblPrEx>
          <w:tblCellMar>
            <w:top w:w="0" w:type="dxa"/>
            <w:left w:w="108" w:type="dxa"/>
            <w:bottom w:w="0" w:type="dxa"/>
            <w:right w:w="108" w:type="dxa"/>
          </w:tblCellMar>
        </w:tblPrEx>
        <w:trPr>
          <w:trHeight w:val="257" w:hRule="atLeast"/>
        </w:trPr>
        <w:tc>
          <w:tcPr>
            <w:tcW w:w="2142" w:type="dxa"/>
            <w:tcBorders>
              <w:top w:val="nil"/>
              <w:left w:val="single" w:color="auto" w:sz="4" w:space="0"/>
              <w:bottom w:val="single" w:color="auto" w:sz="4" w:space="0"/>
              <w:right w:val="nil"/>
            </w:tcBorders>
            <w:shd w:val="clear" w:color="auto" w:fill="auto"/>
            <w:vAlign w:val="center"/>
          </w:tcPr>
          <w:p w14:paraId="491350D2">
            <w:pPr>
              <w:widowControl/>
              <w:spacing w:line="240" w:lineRule="auto"/>
              <w:jc w:val="left"/>
              <w:rPr>
                <w:rFonts w:ascii="宋体" w:hAnsi="宋体" w:eastAsia="宋体" w:cs="宋体"/>
                <w:kern w:val="0"/>
                <w:sz w:val="16"/>
                <w:szCs w:val="16"/>
              </w:rPr>
            </w:pPr>
            <w:r>
              <w:rPr>
                <w:rFonts w:hint="eastAsia" w:ascii="宋体" w:hAnsi="宋体" w:eastAsia="宋体" w:cs="宋体"/>
                <w:kern w:val="0"/>
                <w:sz w:val="16"/>
                <w:szCs w:val="16"/>
              </w:rPr>
              <w:t xml:space="preserve">  办公经费</w:t>
            </w:r>
          </w:p>
        </w:tc>
        <w:tc>
          <w:tcPr>
            <w:tcW w:w="992" w:type="dxa"/>
            <w:tcBorders>
              <w:top w:val="nil"/>
              <w:left w:val="single" w:color="auto" w:sz="4" w:space="0"/>
              <w:bottom w:val="single" w:color="auto" w:sz="4" w:space="0"/>
              <w:right w:val="nil"/>
            </w:tcBorders>
            <w:shd w:val="clear" w:color="auto" w:fill="auto"/>
            <w:vAlign w:val="center"/>
          </w:tcPr>
          <w:p w14:paraId="2DD8BBA4">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200.00</w:t>
            </w:r>
          </w:p>
        </w:tc>
        <w:tc>
          <w:tcPr>
            <w:tcW w:w="850" w:type="dxa"/>
            <w:tcBorders>
              <w:top w:val="nil"/>
              <w:left w:val="single" w:color="auto" w:sz="4" w:space="0"/>
              <w:bottom w:val="single" w:color="auto" w:sz="4" w:space="0"/>
              <w:right w:val="single" w:color="auto" w:sz="4" w:space="0"/>
            </w:tcBorders>
            <w:shd w:val="clear" w:color="auto" w:fill="auto"/>
            <w:vAlign w:val="center"/>
          </w:tcPr>
          <w:p w14:paraId="2CF45D1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200.00</w:t>
            </w:r>
          </w:p>
        </w:tc>
        <w:tc>
          <w:tcPr>
            <w:tcW w:w="936" w:type="dxa"/>
            <w:tcBorders>
              <w:top w:val="nil"/>
              <w:left w:val="nil"/>
              <w:bottom w:val="single" w:color="auto" w:sz="4" w:space="0"/>
              <w:right w:val="single" w:color="auto" w:sz="4" w:space="0"/>
            </w:tcBorders>
            <w:shd w:val="clear" w:color="auto" w:fill="auto"/>
            <w:vAlign w:val="center"/>
          </w:tcPr>
          <w:p w14:paraId="578BC9F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7" w:type="dxa"/>
            <w:tcBorders>
              <w:top w:val="nil"/>
              <w:left w:val="nil"/>
              <w:bottom w:val="single" w:color="auto" w:sz="4" w:space="0"/>
              <w:right w:val="nil"/>
            </w:tcBorders>
            <w:shd w:val="clear" w:color="auto" w:fill="auto"/>
            <w:vAlign w:val="center"/>
          </w:tcPr>
          <w:p w14:paraId="760BDF5C">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3EA5B212">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2B3BDA57">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gridSpan w:val="2"/>
            <w:tcBorders>
              <w:top w:val="nil"/>
              <w:left w:val="single" w:color="auto" w:sz="4" w:space="0"/>
              <w:bottom w:val="single" w:color="auto" w:sz="4" w:space="0"/>
              <w:right w:val="nil"/>
            </w:tcBorders>
            <w:shd w:val="clear" w:color="auto" w:fill="auto"/>
            <w:vAlign w:val="center"/>
          </w:tcPr>
          <w:p w14:paraId="3F9C9168">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1" w:type="dxa"/>
            <w:tcBorders>
              <w:top w:val="nil"/>
              <w:left w:val="single" w:color="auto" w:sz="4" w:space="0"/>
              <w:bottom w:val="single" w:color="auto" w:sz="4" w:space="0"/>
              <w:right w:val="single" w:color="auto" w:sz="4" w:space="0"/>
            </w:tcBorders>
            <w:shd w:val="clear" w:color="auto" w:fill="auto"/>
            <w:vAlign w:val="center"/>
          </w:tcPr>
          <w:p w14:paraId="56A4FA09">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r>
      <w:tr w14:paraId="5549D131">
        <w:tblPrEx>
          <w:tblCellMar>
            <w:top w:w="0" w:type="dxa"/>
            <w:left w:w="108" w:type="dxa"/>
            <w:bottom w:w="0" w:type="dxa"/>
            <w:right w:w="108" w:type="dxa"/>
          </w:tblCellMar>
        </w:tblPrEx>
        <w:trPr>
          <w:trHeight w:val="379" w:hRule="atLeast"/>
        </w:trPr>
        <w:tc>
          <w:tcPr>
            <w:tcW w:w="2142" w:type="dxa"/>
            <w:tcBorders>
              <w:top w:val="nil"/>
              <w:left w:val="single" w:color="auto" w:sz="4" w:space="0"/>
              <w:bottom w:val="single" w:color="auto" w:sz="4" w:space="0"/>
              <w:right w:val="nil"/>
            </w:tcBorders>
            <w:shd w:val="clear" w:color="auto" w:fill="auto"/>
            <w:vAlign w:val="center"/>
          </w:tcPr>
          <w:p w14:paraId="29A8AE26">
            <w:pPr>
              <w:widowControl/>
              <w:spacing w:line="240" w:lineRule="auto"/>
              <w:jc w:val="left"/>
              <w:rPr>
                <w:rFonts w:ascii="宋体" w:hAnsi="宋体" w:eastAsia="宋体" w:cs="宋体"/>
                <w:kern w:val="0"/>
                <w:sz w:val="16"/>
                <w:szCs w:val="16"/>
              </w:rPr>
            </w:pPr>
            <w:r>
              <w:rPr>
                <w:rFonts w:hint="eastAsia" w:ascii="宋体" w:hAnsi="宋体" w:eastAsia="宋体" w:cs="宋体"/>
                <w:kern w:val="0"/>
                <w:sz w:val="16"/>
                <w:szCs w:val="16"/>
              </w:rPr>
              <w:t>湛江市国土资源局本级</w:t>
            </w:r>
          </w:p>
        </w:tc>
        <w:tc>
          <w:tcPr>
            <w:tcW w:w="992" w:type="dxa"/>
            <w:tcBorders>
              <w:top w:val="nil"/>
              <w:left w:val="single" w:color="auto" w:sz="4" w:space="0"/>
              <w:bottom w:val="single" w:color="auto" w:sz="4" w:space="0"/>
              <w:right w:val="nil"/>
            </w:tcBorders>
            <w:shd w:val="clear" w:color="auto" w:fill="auto"/>
            <w:vAlign w:val="center"/>
          </w:tcPr>
          <w:p w14:paraId="5CFA08E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4,320.00</w:t>
            </w:r>
          </w:p>
        </w:tc>
        <w:tc>
          <w:tcPr>
            <w:tcW w:w="850" w:type="dxa"/>
            <w:tcBorders>
              <w:top w:val="nil"/>
              <w:left w:val="single" w:color="auto" w:sz="4" w:space="0"/>
              <w:bottom w:val="single" w:color="auto" w:sz="4" w:space="0"/>
              <w:right w:val="single" w:color="auto" w:sz="4" w:space="0"/>
            </w:tcBorders>
            <w:shd w:val="clear" w:color="auto" w:fill="auto"/>
            <w:vAlign w:val="center"/>
          </w:tcPr>
          <w:p w14:paraId="452B134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476.00</w:t>
            </w:r>
          </w:p>
        </w:tc>
        <w:tc>
          <w:tcPr>
            <w:tcW w:w="936" w:type="dxa"/>
            <w:tcBorders>
              <w:top w:val="nil"/>
              <w:left w:val="nil"/>
              <w:bottom w:val="single" w:color="auto" w:sz="4" w:space="0"/>
              <w:right w:val="single" w:color="auto" w:sz="4" w:space="0"/>
            </w:tcBorders>
            <w:shd w:val="clear" w:color="auto" w:fill="auto"/>
            <w:vAlign w:val="center"/>
          </w:tcPr>
          <w:p w14:paraId="02F3DDE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3,844.00</w:t>
            </w:r>
          </w:p>
        </w:tc>
        <w:tc>
          <w:tcPr>
            <w:tcW w:w="907" w:type="dxa"/>
            <w:tcBorders>
              <w:top w:val="nil"/>
              <w:left w:val="nil"/>
              <w:bottom w:val="single" w:color="auto" w:sz="4" w:space="0"/>
              <w:right w:val="nil"/>
            </w:tcBorders>
            <w:shd w:val="clear" w:color="auto" w:fill="auto"/>
            <w:vAlign w:val="center"/>
          </w:tcPr>
          <w:p w14:paraId="0E2C55BF">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4A3FFAFD">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2638CB12">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gridSpan w:val="2"/>
            <w:tcBorders>
              <w:top w:val="nil"/>
              <w:left w:val="single" w:color="auto" w:sz="4" w:space="0"/>
              <w:bottom w:val="single" w:color="auto" w:sz="4" w:space="0"/>
              <w:right w:val="nil"/>
            </w:tcBorders>
            <w:shd w:val="clear" w:color="auto" w:fill="auto"/>
            <w:vAlign w:val="center"/>
          </w:tcPr>
          <w:p w14:paraId="541A68B6">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1" w:type="dxa"/>
            <w:tcBorders>
              <w:top w:val="nil"/>
              <w:left w:val="single" w:color="auto" w:sz="4" w:space="0"/>
              <w:bottom w:val="single" w:color="auto" w:sz="4" w:space="0"/>
              <w:right w:val="single" w:color="auto" w:sz="4" w:space="0"/>
            </w:tcBorders>
            <w:shd w:val="clear" w:color="auto" w:fill="auto"/>
            <w:vAlign w:val="center"/>
          </w:tcPr>
          <w:p w14:paraId="0325A44D">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r>
      <w:tr w14:paraId="27579D61">
        <w:tblPrEx>
          <w:tblCellMar>
            <w:top w:w="0" w:type="dxa"/>
            <w:left w:w="108" w:type="dxa"/>
            <w:bottom w:w="0" w:type="dxa"/>
            <w:right w:w="108" w:type="dxa"/>
          </w:tblCellMar>
        </w:tblPrEx>
        <w:trPr>
          <w:trHeight w:val="540" w:hRule="atLeast"/>
        </w:trPr>
        <w:tc>
          <w:tcPr>
            <w:tcW w:w="2142" w:type="dxa"/>
            <w:tcBorders>
              <w:top w:val="nil"/>
              <w:left w:val="single" w:color="auto" w:sz="4" w:space="0"/>
              <w:bottom w:val="single" w:color="auto" w:sz="4" w:space="0"/>
              <w:right w:val="nil"/>
            </w:tcBorders>
            <w:shd w:val="clear" w:color="auto" w:fill="auto"/>
            <w:vAlign w:val="center"/>
          </w:tcPr>
          <w:p w14:paraId="2461BCB6">
            <w:pPr>
              <w:widowControl/>
              <w:spacing w:line="240" w:lineRule="auto"/>
              <w:jc w:val="left"/>
              <w:rPr>
                <w:rFonts w:ascii="宋体" w:hAnsi="宋体" w:eastAsia="宋体" w:cs="宋体"/>
                <w:kern w:val="0"/>
                <w:sz w:val="16"/>
                <w:szCs w:val="16"/>
              </w:rPr>
            </w:pPr>
            <w:r>
              <w:rPr>
                <w:rFonts w:hint="eastAsia" w:ascii="宋体" w:hAnsi="宋体" w:eastAsia="宋体" w:cs="宋体"/>
                <w:kern w:val="0"/>
                <w:sz w:val="16"/>
                <w:szCs w:val="16"/>
              </w:rPr>
              <w:t>行政复议、诉讼、听证工作经费</w:t>
            </w:r>
          </w:p>
        </w:tc>
        <w:tc>
          <w:tcPr>
            <w:tcW w:w="992" w:type="dxa"/>
            <w:tcBorders>
              <w:top w:val="nil"/>
              <w:left w:val="single" w:color="auto" w:sz="4" w:space="0"/>
              <w:bottom w:val="single" w:color="auto" w:sz="4" w:space="0"/>
              <w:right w:val="nil"/>
            </w:tcBorders>
            <w:shd w:val="clear" w:color="auto" w:fill="auto"/>
            <w:vAlign w:val="center"/>
          </w:tcPr>
          <w:p w14:paraId="417EA50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19.00</w:t>
            </w:r>
          </w:p>
        </w:tc>
        <w:tc>
          <w:tcPr>
            <w:tcW w:w="850" w:type="dxa"/>
            <w:tcBorders>
              <w:top w:val="nil"/>
              <w:left w:val="single" w:color="auto" w:sz="4" w:space="0"/>
              <w:bottom w:val="single" w:color="auto" w:sz="4" w:space="0"/>
              <w:right w:val="single" w:color="auto" w:sz="4" w:space="0"/>
            </w:tcBorders>
            <w:shd w:val="clear" w:color="auto" w:fill="auto"/>
            <w:vAlign w:val="center"/>
          </w:tcPr>
          <w:p w14:paraId="3231161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19.00</w:t>
            </w:r>
          </w:p>
        </w:tc>
        <w:tc>
          <w:tcPr>
            <w:tcW w:w="936" w:type="dxa"/>
            <w:tcBorders>
              <w:top w:val="nil"/>
              <w:left w:val="nil"/>
              <w:bottom w:val="single" w:color="auto" w:sz="4" w:space="0"/>
              <w:right w:val="single" w:color="auto" w:sz="4" w:space="0"/>
            </w:tcBorders>
            <w:shd w:val="clear" w:color="auto" w:fill="auto"/>
            <w:vAlign w:val="center"/>
          </w:tcPr>
          <w:p w14:paraId="464D6B4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7" w:type="dxa"/>
            <w:tcBorders>
              <w:top w:val="nil"/>
              <w:left w:val="nil"/>
              <w:bottom w:val="single" w:color="auto" w:sz="4" w:space="0"/>
              <w:right w:val="nil"/>
            </w:tcBorders>
            <w:shd w:val="clear" w:color="auto" w:fill="auto"/>
            <w:vAlign w:val="center"/>
          </w:tcPr>
          <w:p w14:paraId="09B9E3E3">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18E4448A">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0C33330F">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gridSpan w:val="2"/>
            <w:tcBorders>
              <w:top w:val="nil"/>
              <w:left w:val="single" w:color="auto" w:sz="4" w:space="0"/>
              <w:bottom w:val="single" w:color="auto" w:sz="4" w:space="0"/>
              <w:right w:val="nil"/>
            </w:tcBorders>
            <w:shd w:val="clear" w:color="auto" w:fill="auto"/>
            <w:vAlign w:val="center"/>
          </w:tcPr>
          <w:p w14:paraId="5D8DAF69">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1" w:type="dxa"/>
            <w:tcBorders>
              <w:top w:val="nil"/>
              <w:left w:val="single" w:color="auto" w:sz="4" w:space="0"/>
              <w:bottom w:val="single" w:color="auto" w:sz="4" w:space="0"/>
              <w:right w:val="single" w:color="auto" w:sz="4" w:space="0"/>
            </w:tcBorders>
            <w:shd w:val="clear" w:color="auto" w:fill="auto"/>
            <w:vAlign w:val="center"/>
          </w:tcPr>
          <w:p w14:paraId="4C2885BC">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r>
      <w:tr w14:paraId="7F93A5E0">
        <w:tblPrEx>
          <w:tblCellMar>
            <w:top w:w="0" w:type="dxa"/>
            <w:left w:w="108" w:type="dxa"/>
            <w:bottom w:w="0" w:type="dxa"/>
            <w:right w:w="108" w:type="dxa"/>
          </w:tblCellMar>
        </w:tblPrEx>
        <w:trPr>
          <w:trHeight w:val="540" w:hRule="atLeast"/>
        </w:trPr>
        <w:tc>
          <w:tcPr>
            <w:tcW w:w="2142" w:type="dxa"/>
            <w:tcBorders>
              <w:top w:val="nil"/>
              <w:left w:val="single" w:color="auto" w:sz="4" w:space="0"/>
              <w:bottom w:val="single" w:color="auto" w:sz="4" w:space="0"/>
              <w:right w:val="nil"/>
            </w:tcBorders>
            <w:shd w:val="clear" w:color="auto" w:fill="auto"/>
            <w:vAlign w:val="center"/>
          </w:tcPr>
          <w:p w14:paraId="506A64AF">
            <w:pPr>
              <w:widowControl/>
              <w:spacing w:line="240" w:lineRule="auto"/>
              <w:jc w:val="left"/>
              <w:rPr>
                <w:rFonts w:ascii="宋体" w:hAnsi="宋体" w:eastAsia="宋体" w:cs="宋体"/>
                <w:kern w:val="0"/>
                <w:sz w:val="16"/>
                <w:szCs w:val="16"/>
              </w:rPr>
            </w:pPr>
            <w:r>
              <w:rPr>
                <w:rFonts w:hint="eastAsia" w:ascii="宋体" w:hAnsi="宋体" w:eastAsia="宋体" w:cs="宋体"/>
                <w:kern w:val="0"/>
                <w:sz w:val="16"/>
                <w:szCs w:val="16"/>
              </w:rPr>
              <w:t>市国土局地质环境监测预警系统建设经费</w:t>
            </w:r>
          </w:p>
        </w:tc>
        <w:tc>
          <w:tcPr>
            <w:tcW w:w="992" w:type="dxa"/>
            <w:tcBorders>
              <w:top w:val="nil"/>
              <w:left w:val="single" w:color="auto" w:sz="4" w:space="0"/>
              <w:bottom w:val="single" w:color="auto" w:sz="4" w:space="0"/>
              <w:right w:val="nil"/>
            </w:tcBorders>
            <w:shd w:val="clear" w:color="auto" w:fill="auto"/>
            <w:vAlign w:val="center"/>
          </w:tcPr>
          <w:p w14:paraId="3DB6B6F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155.00</w:t>
            </w:r>
          </w:p>
        </w:tc>
        <w:tc>
          <w:tcPr>
            <w:tcW w:w="850" w:type="dxa"/>
            <w:tcBorders>
              <w:top w:val="nil"/>
              <w:left w:val="single" w:color="auto" w:sz="4" w:space="0"/>
              <w:bottom w:val="single" w:color="auto" w:sz="4" w:space="0"/>
              <w:right w:val="single" w:color="auto" w:sz="4" w:space="0"/>
            </w:tcBorders>
            <w:shd w:val="clear" w:color="auto" w:fill="auto"/>
            <w:vAlign w:val="center"/>
          </w:tcPr>
          <w:p w14:paraId="53E17C0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6" w:type="dxa"/>
            <w:tcBorders>
              <w:top w:val="nil"/>
              <w:left w:val="nil"/>
              <w:bottom w:val="single" w:color="auto" w:sz="4" w:space="0"/>
              <w:right w:val="single" w:color="auto" w:sz="4" w:space="0"/>
            </w:tcBorders>
            <w:shd w:val="clear" w:color="auto" w:fill="auto"/>
            <w:vAlign w:val="center"/>
          </w:tcPr>
          <w:p w14:paraId="623240E4">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155.00</w:t>
            </w:r>
          </w:p>
        </w:tc>
        <w:tc>
          <w:tcPr>
            <w:tcW w:w="907" w:type="dxa"/>
            <w:tcBorders>
              <w:top w:val="nil"/>
              <w:left w:val="nil"/>
              <w:bottom w:val="single" w:color="auto" w:sz="4" w:space="0"/>
              <w:right w:val="nil"/>
            </w:tcBorders>
            <w:shd w:val="clear" w:color="auto" w:fill="auto"/>
            <w:vAlign w:val="center"/>
          </w:tcPr>
          <w:p w14:paraId="2C8E9371">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3D78DD21">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1FC05BFB">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gridSpan w:val="2"/>
            <w:tcBorders>
              <w:top w:val="nil"/>
              <w:left w:val="single" w:color="auto" w:sz="4" w:space="0"/>
              <w:bottom w:val="single" w:color="auto" w:sz="4" w:space="0"/>
              <w:right w:val="nil"/>
            </w:tcBorders>
            <w:shd w:val="clear" w:color="auto" w:fill="auto"/>
            <w:vAlign w:val="center"/>
          </w:tcPr>
          <w:p w14:paraId="2D796101">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1" w:type="dxa"/>
            <w:tcBorders>
              <w:top w:val="nil"/>
              <w:left w:val="single" w:color="auto" w:sz="4" w:space="0"/>
              <w:bottom w:val="single" w:color="auto" w:sz="4" w:space="0"/>
              <w:right w:val="single" w:color="auto" w:sz="4" w:space="0"/>
            </w:tcBorders>
            <w:shd w:val="clear" w:color="auto" w:fill="auto"/>
            <w:vAlign w:val="center"/>
          </w:tcPr>
          <w:p w14:paraId="29598322">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r>
      <w:tr w14:paraId="3328C6DA">
        <w:tblPrEx>
          <w:tblCellMar>
            <w:top w:w="0" w:type="dxa"/>
            <w:left w:w="108" w:type="dxa"/>
            <w:bottom w:w="0" w:type="dxa"/>
            <w:right w:w="108" w:type="dxa"/>
          </w:tblCellMar>
        </w:tblPrEx>
        <w:trPr>
          <w:trHeight w:val="540" w:hRule="atLeast"/>
        </w:trPr>
        <w:tc>
          <w:tcPr>
            <w:tcW w:w="2142" w:type="dxa"/>
            <w:tcBorders>
              <w:top w:val="nil"/>
              <w:left w:val="single" w:color="auto" w:sz="4" w:space="0"/>
              <w:bottom w:val="single" w:color="auto" w:sz="4" w:space="0"/>
              <w:right w:val="nil"/>
            </w:tcBorders>
            <w:shd w:val="clear" w:color="auto" w:fill="auto"/>
            <w:vAlign w:val="center"/>
          </w:tcPr>
          <w:p w14:paraId="698F332C">
            <w:pPr>
              <w:widowControl/>
              <w:spacing w:line="240" w:lineRule="auto"/>
              <w:jc w:val="left"/>
              <w:rPr>
                <w:rFonts w:ascii="宋体" w:hAnsi="宋体" w:eastAsia="宋体" w:cs="宋体"/>
                <w:kern w:val="0"/>
                <w:sz w:val="16"/>
                <w:szCs w:val="16"/>
              </w:rPr>
            </w:pPr>
            <w:r>
              <w:rPr>
                <w:rFonts w:hint="eastAsia" w:ascii="宋体" w:hAnsi="宋体" w:eastAsia="宋体" w:cs="宋体"/>
                <w:kern w:val="0"/>
                <w:sz w:val="16"/>
                <w:szCs w:val="16"/>
              </w:rPr>
              <w:t xml:space="preserve"> 印制《湛江市工作用图》地图册经费</w:t>
            </w:r>
          </w:p>
        </w:tc>
        <w:tc>
          <w:tcPr>
            <w:tcW w:w="992" w:type="dxa"/>
            <w:tcBorders>
              <w:top w:val="nil"/>
              <w:left w:val="single" w:color="auto" w:sz="4" w:space="0"/>
              <w:bottom w:val="single" w:color="auto" w:sz="4" w:space="0"/>
              <w:right w:val="nil"/>
            </w:tcBorders>
            <w:shd w:val="clear" w:color="auto" w:fill="auto"/>
            <w:vAlign w:val="center"/>
          </w:tcPr>
          <w:p w14:paraId="7382A55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15.00</w:t>
            </w:r>
          </w:p>
        </w:tc>
        <w:tc>
          <w:tcPr>
            <w:tcW w:w="850" w:type="dxa"/>
            <w:tcBorders>
              <w:top w:val="nil"/>
              <w:left w:val="single" w:color="auto" w:sz="4" w:space="0"/>
              <w:bottom w:val="single" w:color="auto" w:sz="4" w:space="0"/>
              <w:right w:val="single" w:color="auto" w:sz="4" w:space="0"/>
            </w:tcBorders>
            <w:shd w:val="clear" w:color="auto" w:fill="auto"/>
            <w:vAlign w:val="center"/>
          </w:tcPr>
          <w:p w14:paraId="6FA7FC3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15.00</w:t>
            </w:r>
          </w:p>
        </w:tc>
        <w:tc>
          <w:tcPr>
            <w:tcW w:w="936" w:type="dxa"/>
            <w:tcBorders>
              <w:top w:val="nil"/>
              <w:left w:val="nil"/>
              <w:bottom w:val="single" w:color="auto" w:sz="4" w:space="0"/>
              <w:right w:val="single" w:color="auto" w:sz="4" w:space="0"/>
            </w:tcBorders>
            <w:shd w:val="clear" w:color="auto" w:fill="auto"/>
            <w:vAlign w:val="center"/>
          </w:tcPr>
          <w:p w14:paraId="3762015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7" w:type="dxa"/>
            <w:tcBorders>
              <w:top w:val="nil"/>
              <w:left w:val="nil"/>
              <w:bottom w:val="single" w:color="auto" w:sz="4" w:space="0"/>
              <w:right w:val="nil"/>
            </w:tcBorders>
            <w:shd w:val="clear" w:color="auto" w:fill="auto"/>
            <w:vAlign w:val="center"/>
          </w:tcPr>
          <w:p w14:paraId="112A8CA4">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10B9081A">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4B8A3E45">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gridSpan w:val="2"/>
            <w:tcBorders>
              <w:top w:val="nil"/>
              <w:left w:val="single" w:color="auto" w:sz="4" w:space="0"/>
              <w:bottom w:val="single" w:color="auto" w:sz="4" w:space="0"/>
              <w:right w:val="nil"/>
            </w:tcBorders>
            <w:shd w:val="clear" w:color="auto" w:fill="auto"/>
            <w:vAlign w:val="center"/>
          </w:tcPr>
          <w:p w14:paraId="39DBBE1F">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1" w:type="dxa"/>
            <w:tcBorders>
              <w:top w:val="nil"/>
              <w:left w:val="single" w:color="auto" w:sz="4" w:space="0"/>
              <w:bottom w:val="single" w:color="auto" w:sz="4" w:space="0"/>
              <w:right w:val="single" w:color="auto" w:sz="4" w:space="0"/>
            </w:tcBorders>
            <w:shd w:val="clear" w:color="auto" w:fill="auto"/>
            <w:vAlign w:val="center"/>
          </w:tcPr>
          <w:p w14:paraId="68AB3EF1">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r>
      <w:tr w14:paraId="500F6A15">
        <w:tblPrEx>
          <w:tblCellMar>
            <w:top w:w="0" w:type="dxa"/>
            <w:left w:w="108" w:type="dxa"/>
            <w:bottom w:w="0" w:type="dxa"/>
            <w:right w:w="108" w:type="dxa"/>
          </w:tblCellMar>
        </w:tblPrEx>
        <w:trPr>
          <w:trHeight w:val="540" w:hRule="atLeast"/>
        </w:trPr>
        <w:tc>
          <w:tcPr>
            <w:tcW w:w="2142" w:type="dxa"/>
            <w:tcBorders>
              <w:top w:val="nil"/>
              <w:left w:val="single" w:color="auto" w:sz="4" w:space="0"/>
              <w:bottom w:val="single" w:color="auto" w:sz="4" w:space="0"/>
              <w:right w:val="nil"/>
            </w:tcBorders>
            <w:shd w:val="clear" w:color="auto" w:fill="auto"/>
            <w:vAlign w:val="center"/>
          </w:tcPr>
          <w:p w14:paraId="47FDD4F9">
            <w:pPr>
              <w:widowControl/>
              <w:spacing w:line="240" w:lineRule="auto"/>
              <w:jc w:val="left"/>
              <w:rPr>
                <w:rFonts w:ascii="宋体" w:hAnsi="宋体" w:eastAsia="宋体" w:cs="宋体"/>
                <w:kern w:val="0"/>
                <w:sz w:val="16"/>
                <w:szCs w:val="16"/>
              </w:rPr>
            </w:pPr>
            <w:r>
              <w:rPr>
                <w:rFonts w:hint="eastAsia" w:ascii="宋体" w:hAnsi="宋体" w:eastAsia="宋体" w:cs="宋体"/>
                <w:kern w:val="0"/>
                <w:sz w:val="16"/>
                <w:szCs w:val="16"/>
              </w:rPr>
              <w:t xml:space="preserve">  国土资源信访信息系统建设项目经费</w:t>
            </w:r>
          </w:p>
        </w:tc>
        <w:tc>
          <w:tcPr>
            <w:tcW w:w="992" w:type="dxa"/>
            <w:tcBorders>
              <w:top w:val="nil"/>
              <w:left w:val="single" w:color="auto" w:sz="4" w:space="0"/>
              <w:bottom w:val="single" w:color="auto" w:sz="4" w:space="0"/>
              <w:right w:val="nil"/>
            </w:tcBorders>
            <w:shd w:val="clear" w:color="auto" w:fill="auto"/>
            <w:vAlign w:val="center"/>
          </w:tcPr>
          <w:p w14:paraId="5ADA204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23.00</w:t>
            </w:r>
          </w:p>
        </w:tc>
        <w:tc>
          <w:tcPr>
            <w:tcW w:w="850" w:type="dxa"/>
            <w:tcBorders>
              <w:top w:val="nil"/>
              <w:left w:val="single" w:color="auto" w:sz="4" w:space="0"/>
              <w:bottom w:val="single" w:color="auto" w:sz="4" w:space="0"/>
              <w:right w:val="single" w:color="auto" w:sz="4" w:space="0"/>
            </w:tcBorders>
            <w:shd w:val="clear" w:color="auto" w:fill="auto"/>
            <w:vAlign w:val="center"/>
          </w:tcPr>
          <w:p w14:paraId="5407435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23.00</w:t>
            </w:r>
          </w:p>
        </w:tc>
        <w:tc>
          <w:tcPr>
            <w:tcW w:w="936" w:type="dxa"/>
            <w:tcBorders>
              <w:top w:val="nil"/>
              <w:left w:val="nil"/>
              <w:bottom w:val="single" w:color="auto" w:sz="4" w:space="0"/>
              <w:right w:val="single" w:color="auto" w:sz="4" w:space="0"/>
            </w:tcBorders>
            <w:shd w:val="clear" w:color="auto" w:fill="auto"/>
            <w:vAlign w:val="center"/>
          </w:tcPr>
          <w:p w14:paraId="0148A39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7" w:type="dxa"/>
            <w:tcBorders>
              <w:top w:val="nil"/>
              <w:left w:val="nil"/>
              <w:bottom w:val="single" w:color="auto" w:sz="4" w:space="0"/>
              <w:right w:val="nil"/>
            </w:tcBorders>
            <w:shd w:val="clear" w:color="auto" w:fill="auto"/>
            <w:vAlign w:val="center"/>
          </w:tcPr>
          <w:p w14:paraId="58FD9D3F">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20E6186A">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486010D3">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gridSpan w:val="2"/>
            <w:tcBorders>
              <w:top w:val="nil"/>
              <w:left w:val="single" w:color="auto" w:sz="4" w:space="0"/>
              <w:bottom w:val="single" w:color="auto" w:sz="4" w:space="0"/>
              <w:right w:val="nil"/>
            </w:tcBorders>
            <w:shd w:val="clear" w:color="auto" w:fill="auto"/>
            <w:vAlign w:val="center"/>
          </w:tcPr>
          <w:p w14:paraId="45ED14EE">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1" w:type="dxa"/>
            <w:tcBorders>
              <w:top w:val="nil"/>
              <w:left w:val="single" w:color="auto" w:sz="4" w:space="0"/>
              <w:bottom w:val="single" w:color="auto" w:sz="4" w:space="0"/>
              <w:right w:val="single" w:color="auto" w:sz="4" w:space="0"/>
            </w:tcBorders>
            <w:shd w:val="clear" w:color="auto" w:fill="auto"/>
            <w:vAlign w:val="center"/>
          </w:tcPr>
          <w:p w14:paraId="130B4FC7">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r>
      <w:tr w14:paraId="7AE0D895">
        <w:tblPrEx>
          <w:tblCellMar>
            <w:top w:w="0" w:type="dxa"/>
            <w:left w:w="108" w:type="dxa"/>
            <w:bottom w:w="0" w:type="dxa"/>
            <w:right w:w="108" w:type="dxa"/>
          </w:tblCellMar>
        </w:tblPrEx>
        <w:trPr>
          <w:trHeight w:val="370" w:hRule="atLeast"/>
        </w:trPr>
        <w:tc>
          <w:tcPr>
            <w:tcW w:w="2142" w:type="dxa"/>
            <w:tcBorders>
              <w:top w:val="nil"/>
              <w:left w:val="single" w:color="auto" w:sz="4" w:space="0"/>
              <w:bottom w:val="single" w:color="auto" w:sz="4" w:space="0"/>
              <w:right w:val="nil"/>
            </w:tcBorders>
            <w:shd w:val="clear" w:color="auto" w:fill="auto"/>
            <w:vAlign w:val="center"/>
          </w:tcPr>
          <w:p w14:paraId="22DECB32">
            <w:pPr>
              <w:widowControl/>
              <w:spacing w:line="240" w:lineRule="auto"/>
              <w:jc w:val="left"/>
              <w:rPr>
                <w:rFonts w:ascii="宋体" w:hAnsi="宋体" w:eastAsia="宋体" w:cs="宋体"/>
                <w:kern w:val="0"/>
                <w:sz w:val="16"/>
                <w:szCs w:val="16"/>
              </w:rPr>
            </w:pPr>
            <w:r>
              <w:rPr>
                <w:rFonts w:hint="eastAsia" w:ascii="宋体" w:hAnsi="宋体" w:eastAsia="宋体" w:cs="宋体"/>
                <w:kern w:val="0"/>
                <w:sz w:val="16"/>
                <w:szCs w:val="16"/>
              </w:rPr>
              <w:t xml:space="preserve"> 国土经费</w:t>
            </w:r>
          </w:p>
        </w:tc>
        <w:tc>
          <w:tcPr>
            <w:tcW w:w="992" w:type="dxa"/>
            <w:tcBorders>
              <w:top w:val="nil"/>
              <w:left w:val="single" w:color="auto" w:sz="4" w:space="0"/>
              <w:bottom w:val="single" w:color="auto" w:sz="4" w:space="0"/>
              <w:right w:val="nil"/>
            </w:tcBorders>
            <w:shd w:val="clear" w:color="auto" w:fill="auto"/>
            <w:vAlign w:val="center"/>
          </w:tcPr>
          <w:p w14:paraId="65DEF9B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600.00</w:t>
            </w:r>
          </w:p>
        </w:tc>
        <w:tc>
          <w:tcPr>
            <w:tcW w:w="850" w:type="dxa"/>
            <w:tcBorders>
              <w:top w:val="nil"/>
              <w:left w:val="single" w:color="auto" w:sz="4" w:space="0"/>
              <w:bottom w:val="single" w:color="auto" w:sz="4" w:space="0"/>
              <w:right w:val="single" w:color="auto" w:sz="4" w:space="0"/>
            </w:tcBorders>
            <w:shd w:val="clear" w:color="auto" w:fill="auto"/>
            <w:vAlign w:val="center"/>
          </w:tcPr>
          <w:p w14:paraId="1EDDEF6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6" w:type="dxa"/>
            <w:tcBorders>
              <w:top w:val="nil"/>
              <w:left w:val="nil"/>
              <w:bottom w:val="single" w:color="auto" w:sz="4" w:space="0"/>
              <w:right w:val="single" w:color="auto" w:sz="4" w:space="0"/>
            </w:tcBorders>
            <w:shd w:val="clear" w:color="auto" w:fill="auto"/>
            <w:vAlign w:val="center"/>
          </w:tcPr>
          <w:p w14:paraId="130A5874">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600.00</w:t>
            </w:r>
          </w:p>
        </w:tc>
        <w:tc>
          <w:tcPr>
            <w:tcW w:w="907" w:type="dxa"/>
            <w:tcBorders>
              <w:top w:val="nil"/>
              <w:left w:val="nil"/>
              <w:bottom w:val="single" w:color="auto" w:sz="4" w:space="0"/>
              <w:right w:val="nil"/>
            </w:tcBorders>
            <w:shd w:val="clear" w:color="auto" w:fill="auto"/>
            <w:vAlign w:val="center"/>
          </w:tcPr>
          <w:p w14:paraId="161B1F0A">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79372391">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69FA0375">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gridSpan w:val="2"/>
            <w:tcBorders>
              <w:top w:val="nil"/>
              <w:left w:val="single" w:color="auto" w:sz="4" w:space="0"/>
              <w:bottom w:val="single" w:color="auto" w:sz="4" w:space="0"/>
              <w:right w:val="nil"/>
            </w:tcBorders>
            <w:shd w:val="clear" w:color="auto" w:fill="auto"/>
            <w:vAlign w:val="center"/>
          </w:tcPr>
          <w:p w14:paraId="2F3316A9">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1" w:type="dxa"/>
            <w:tcBorders>
              <w:top w:val="nil"/>
              <w:left w:val="single" w:color="auto" w:sz="4" w:space="0"/>
              <w:bottom w:val="single" w:color="auto" w:sz="4" w:space="0"/>
              <w:right w:val="single" w:color="auto" w:sz="4" w:space="0"/>
            </w:tcBorders>
            <w:shd w:val="clear" w:color="auto" w:fill="auto"/>
            <w:vAlign w:val="center"/>
          </w:tcPr>
          <w:p w14:paraId="37E37C6C">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r>
      <w:tr w14:paraId="088DB61F">
        <w:tblPrEx>
          <w:tblCellMar>
            <w:top w:w="0" w:type="dxa"/>
            <w:left w:w="108" w:type="dxa"/>
            <w:bottom w:w="0" w:type="dxa"/>
            <w:right w:w="108" w:type="dxa"/>
          </w:tblCellMar>
        </w:tblPrEx>
        <w:trPr>
          <w:trHeight w:val="540" w:hRule="atLeast"/>
        </w:trPr>
        <w:tc>
          <w:tcPr>
            <w:tcW w:w="2142" w:type="dxa"/>
            <w:tcBorders>
              <w:top w:val="nil"/>
              <w:left w:val="single" w:color="auto" w:sz="4" w:space="0"/>
              <w:bottom w:val="single" w:color="auto" w:sz="4" w:space="0"/>
              <w:right w:val="nil"/>
            </w:tcBorders>
            <w:shd w:val="clear" w:color="auto" w:fill="auto"/>
            <w:vAlign w:val="center"/>
          </w:tcPr>
          <w:p w14:paraId="4C3C5A67">
            <w:pPr>
              <w:widowControl/>
              <w:spacing w:line="240" w:lineRule="auto"/>
              <w:jc w:val="left"/>
              <w:rPr>
                <w:rFonts w:ascii="宋体" w:hAnsi="宋体" w:eastAsia="宋体" w:cs="宋体"/>
                <w:kern w:val="0"/>
                <w:sz w:val="16"/>
                <w:szCs w:val="16"/>
              </w:rPr>
            </w:pPr>
            <w:r>
              <w:rPr>
                <w:rFonts w:hint="eastAsia" w:ascii="宋体" w:hAnsi="宋体" w:eastAsia="宋体" w:cs="宋体"/>
                <w:kern w:val="0"/>
                <w:sz w:val="16"/>
                <w:szCs w:val="16"/>
              </w:rPr>
              <w:t>市国土局国家2000大地坐标系转换项目</w:t>
            </w:r>
          </w:p>
        </w:tc>
        <w:tc>
          <w:tcPr>
            <w:tcW w:w="992" w:type="dxa"/>
            <w:tcBorders>
              <w:top w:val="nil"/>
              <w:left w:val="single" w:color="auto" w:sz="4" w:space="0"/>
              <w:bottom w:val="single" w:color="auto" w:sz="4" w:space="0"/>
              <w:right w:val="nil"/>
            </w:tcBorders>
            <w:shd w:val="clear" w:color="auto" w:fill="auto"/>
            <w:vAlign w:val="center"/>
          </w:tcPr>
          <w:p w14:paraId="483A86A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300.00</w:t>
            </w:r>
          </w:p>
        </w:tc>
        <w:tc>
          <w:tcPr>
            <w:tcW w:w="850" w:type="dxa"/>
            <w:tcBorders>
              <w:top w:val="nil"/>
              <w:left w:val="single" w:color="auto" w:sz="4" w:space="0"/>
              <w:bottom w:val="single" w:color="auto" w:sz="4" w:space="0"/>
              <w:right w:val="single" w:color="auto" w:sz="4" w:space="0"/>
            </w:tcBorders>
            <w:shd w:val="clear" w:color="auto" w:fill="auto"/>
            <w:vAlign w:val="center"/>
          </w:tcPr>
          <w:p w14:paraId="063CF94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6" w:type="dxa"/>
            <w:tcBorders>
              <w:top w:val="nil"/>
              <w:left w:val="nil"/>
              <w:bottom w:val="single" w:color="auto" w:sz="4" w:space="0"/>
              <w:right w:val="single" w:color="auto" w:sz="4" w:space="0"/>
            </w:tcBorders>
            <w:shd w:val="clear" w:color="auto" w:fill="auto"/>
            <w:vAlign w:val="center"/>
          </w:tcPr>
          <w:p w14:paraId="6F8C337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300.00</w:t>
            </w:r>
          </w:p>
        </w:tc>
        <w:tc>
          <w:tcPr>
            <w:tcW w:w="907" w:type="dxa"/>
            <w:tcBorders>
              <w:top w:val="nil"/>
              <w:left w:val="nil"/>
              <w:bottom w:val="single" w:color="auto" w:sz="4" w:space="0"/>
              <w:right w:val="nil"/>
            </w:tcBorders>
            <w:shd w:val="clear" w:color="auto" w:fill="auto"/>
            <w:vAlign w:val="center"/>
          </w:tcPr>
          <w:p w14:paraId="72B63C63">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0EB3FBE4">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30597BE5">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gridSpan w:val="2"/>
            <w:tcBorders>
              <w:top w:val="nil"/>
              <w:left w:val="single" w:color="auto" w:sz="4" w:space="0"/>
              <w:bottom w:val="single" w:color="auto" w:sz="4" w:space="0"/>
              <w:right w:val="nil"/>
            </w:tcBorders>
            <w:shd w:val="clear" w:color="auto" w:fill="auto"/>
            <w:vAlign w:val="center"/>
          </w:tcPr>
          <w:p w14:paraId="32FE1C95">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1" w:type="dxa"/>
            <w:tcBorders>
              <w:top w:val="nil"/>
              <w:left w:val="single" w:color="auto" w:sz="4" w:space="0"/>
              <w:bottom w:val="single" w:color="auto" w:sz="4" w:space="0"/>
              <w:right w:val="single" w:color="auto" w:sz="4" w:space="0"/>
            </w:tcBorders>
            <w:shd w:val="clear" w:color="auto" w:fill="auto"/>
            <w:vAlign w:val="center"/>
          </w:tcPr>
          <w:p w14:paraId="32774022">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r>
      <w:tr w14:paraId="2C150DBE">
        <w:tblPrEx>
          <w:tblCellMar>
            <w:top w:w="0" w:type="dxa"/>
            <w:left w:w="108" w:type="dxa"/>
            <w:bottom w:w="0" w:type="dxa"/>
            <w:right w:w="108" w:type="dxa"/>
          </w:tblCellMar>
        </w:tblPrEx>
        <w:trPr>
          <w:trHeight w:val="540" w:hRule="atLeast"/>
        </w:trPr>
        <w:tc>
          <w:tcPr>
            <w:tcW w:w="2142" w:type="dxa"/>
            <w:tcBorders>
              <w:top w:val="nil"/>
              <w:left w:val="single" w:color="auto" w:sz="4" w:space="0"/>
              <w:bottom w:val="single" w:color="auto" w:sz="4" w:space="0"/>
              <w:right w:val="nil"/>
            </w:tcBorders>
            <w:shd w:val="clear" w:color="auto" w:fill="auto"/>
            <w:vAlign w:val="center"/>
          </w:tcPr>
          <w:p w14:paraId="70F30D6A">
            <w:pPr>
              <w:widowControl/>
              <w:spacing w:line="240" w:lineRule="auto"/>
              <w:jc w:val="left"/>
              <w:rPr>
                <w:rFonts w:ascii="宋体" w:hAnsi="宋体" w:eastAsia="宋体" w:cs="宋体"/>
                <w:kern w:val="0"/>
                <w:sz w:val="16"/>
                <w:szCs w:val="16"/>
              </w:rPr>
            </w:pPr>
            <w:r>
              <w:rPr>
                <w:rFonts w:hint="eastAsia" w:ascii="宋体" w:hAnsi="宋体" w:eastAsia="宋体" w:cs="宋体"/>
                <w:kern w:val="0"/>
                <w:sz w:val="16"/>
                <w:szCs w:val="16"/>
              </w:rPr>
              <w:t>湛江市公共服务项目用地基准地价评估工作经费</w:t>
            </w:r>
          </w:p>
        </w:tc>
        <w:tc>
          <w:tcPr>
            <w:tcW w:w="992" w:type="dxa"/>
            <w:tcBorders>
              <w:top w:val="nil"/>
              <w:left w:val="single" w:color="auto" w:sz="4" w:space="0"/>
              <w:bottom w:val="single" w:color="auto" w:sz="4" w:space="0"/>
              <w:right w:val="nil"/>
            </w:tcBorders>
            <w:shd w:val="clear" w:color="auto" w:fill="auto"/>
            <w:vAlign w:val="center"/>
          </w:tcPr>
          <w:p w14:paraId="58D4B89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27.00</w:t>
            </w:r>
          </w:p>
        </w:tc>
        <w:tc>
          <w:tcPr>
            <w:tcW w:w="850" w:type="dxa"/>
            <w:tcBorders>
              <w:top w:val="nil"/>
              <w:left w:val="single" w:color="auto" w:sz="4" w:space="0"/>
              <w:bottom w:val="single" w:color="auto" w:sz="4" w:space="0"/>
              <w:right w:val="single" w:color="auto" w:sz="4" w:space="0"/>
            </w:tcBorders>
            <w:shd w:val="clear" w:color="auto" w:fill="auto"/>
            <w:vAlign w:val="center"/>
          </w:tcPr>
          <w:p w14:paraId="3484688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6" w:type="dxa"/>
            <w:tcBorders>
              <w:top w:val="nil"/>
              <w:left w:val="nil"/>
              <w:bottom w:val="single" w:color="auto" w:sz="4" w:space="0"/>
              <w:right w:val="single" w:color="auto" w:sz="4" w:space="0"/>
            </w:tcBorders>
            <w:shd w:val="clear" w:color="auto" w:fill="auto"/>
            <w:vAlign w:val="center"/>
          </w:tcPr>
          <w:p w14:paraId="7DCDE50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27.00</w:t>
            </w:r>
          </w:p>
        </w:tc>
        <w:tc>
          <w:tcPr>
            <w:tcW w:w="907" w:type="dxa"/>
            <w:tcBorders>
              <w:top w:val="nil"/>
              <w:left w:val="nil"/>
              <w:bottom w:val="single" w:color="auto" w:sz="4" w:space="0"/>
              <w:right w:val="nil"/>
            </w:tcBorders>
            <w:shd w:val="clear" w:color="auto" w:fill="auto"/>
            <w:vAlign w:val="center"/>
          </w:tcPr>
          <w:p w14:paraId="23DBB790">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4F84BA2B">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4E858481">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gridSpan w:val="2"/>
            <w:tcBorders>
              <w:top w:val="nil"/>
              <w:left w:val="single" w:color="auto" w:sz="4" w:space="0"/>
              <w:bottom w:val="single" w:color="auto" w:sz="4" w:space="0"/>
              <w:right w:val="nil"/>
            </w:tcBorders>
            <w:shd w:val="clear" w:color="auto" w:fill="auto"/>
            <w:vAlign w:val="center"/>
          </w:tcPr>
          <w:p w14:paraId="40E91554">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1" w:type="dxa"/>
            <w:tcBorders>
              <w:top w:val="nil"/>
              <w:left w:val="single" w:color="auto" w:sz="4" w:space="0"/>
              <w:bottom w:val="single" w:color="auto" w:sz="4" w:space="0"/>
              <w:right w:val="single" w:color="auto" w:sz="4" w:space="0"/>
            </w:tcBorders>
            <w:shd w:val="clear" w:color="auto" w:fill="auto"/>
            <w:vAlign w:val="center"/>
          </w:tcPr>
          <w:p w14:paraId="591C1158">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r>
      <w:tr w14:paraId="11A48982">
        <w:tblPrEx>
          <w:tblCellMar>
            <w:top w:w="0" w:type="dxa"/>
            <w:left w:w="108" w:type="dxa"/>
            <w:bottom w:w="0" w:type="dxa"/>
            <w:right w:w="108" w:type="dxa"/>
          </w:tblCellMar>
        </w:tblPrEx>
        <w:trPr>
          <w:trHeight w:val="540" w:hRule="atLeast"/>
        </w:trPr>
        <w:tc>
          <w:tcPr>
            <w:tcW w:w="2142" w:type="dxa"/>
            <w:tcBorders>
              <w:top w:val="nil"/>
              <w:left w:val="single" w:color="auto" w:sz="4" w:space="0"/>
              <w:bottom w:val="single" w:color="auto" w:sz="4" w:space="0"/>
              <w:right w:val="nil"/>
            </w:tcBorders>
            <w:shd w:val="clear" w:color="auto" w:fill="auto"/>
            <w:vAlign w:val="center"/>
          </w:tcPr>
          <w:p w14:paraId="788E63DA">
            <w:pPr>
              <w:widowControl/>
              <w:spacing w:line="240" w:lineRule="auto"/>
              <w:jc w:val="left"/>
              <w:rPr>
                <w:rFonts w:ascii="宋体" w:hAnsi="宋体" w:eastAsia="宋体" w:cs="宋体"/>
                <w:kern w:val="0"/>
                <w:sz w:val="16"/>
                <w:szCs w:val="16"/>
              </w:rPr>
            </w:pPr>
            <w:r>
              <w:rPr>
                <w:rFonts w:hint="eastAsia" w:ascii="宋体" w:hAnsi="宋体" w:eastAsia="宋体" w:cs="宋体"/>
                <w:kern w:val="0"/>
                <w:sz w:val="16"/>
                <w:szCs w:val="16"/>
              </w:rPr>
              <w:t>2017年度矿山储量年报核查</w:t>
            </w:r>
          </w:p>
        </w:tc>
        <w:tc>
          <w:tcPr>
            <w:tcW w:w="992" w:type="dxa"/>
            <w:tcBorders>
              <w:top w:val="nil"/>
              <w:left w:val="single" w:color="auto" w:sz="4" w:space="0"/>
              <w:bottom w:val="single" w:color="auto" w:sz="4" w:space="0"/>
              <w:right w:val="nil"/>
            </w:tcBorders>
            <w:shd w:val="clear" w:color="auto" w:fill="auto"/>
            <w:vAlign w:val="center"/>
          </w:tcPr>
          <w:p w14:paraId="6F83795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9.00</w:t>
            </w:r>
          </w:p>
        </w:tc>
        <w:tc>
          <w:tcPr>
            <w:tcW w:w="850" w:type="dxa"/>
            <w:tcBorders>
              <w:top w:val="nil"/>
              <w:left w:val="single" w:color="auto" w:sz="4" w:space="0"/>
              <w:bottom w:val="single" w:color="auto" w:sz="4" w:space="0"/>
              <w:right w:val="single" w:color="auto" w:sz="4" w:space="0"/>
            </w:tcBorders>
            <w:shd w:val="clear" w:color="auto" w:fill="auto"/>
            <w:vAlign w:val="center"/>
          </w:tcPr>
          <w:p w14:paraId="67C07FA9">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9.00</w:t>
            </w:r>
          </w:p>
        </w:tc>
        <w:tc>
          <w:tcPr>
            <w:tcW w:w="936" w:type="dxa"/>
            <w:tcBorders>
              <w:top w:val="nil"/>
              <w:left w:val="nil"/>
              <w:bottom w:val="single" w:color="auto" w:sz="4" w:space="0"/>
              <w:right w:val="single" w:color="auto" w:sz="4" w:space="0"/>
            </w:tcBorders>
            <w:shd w:val="clear" w:color="auto" w:fill="auto"/>
            <w:vAlign w:val="center"/>
          </w:tcPr>
          <w:p w14:paraId="34B4F3D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7" w:type="dxa"/>
            <w:tcBorders>
              <w:top w:val="nil"/>
              <w:left w:val="nil"/>
              <w:bottom w:val="single" w:color="auto" w:sz="4" w:space="0"/>
              <w:right w:val="nil"/>
            </w:tcBorders>
            <w:shd w:val="clear" w:color="auto" w:fill="auto"/>
            <w:vAlign w:val="center"/>
          </w:tcPr>
          <w:p w14:paraId="59B1F7BC">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6F911ECC">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446120CC">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gridSpan w:val="2"/>
            <w:tcBorders>
              <w:top w:val="nil"/>
              <w:left w:val="single" w:color="auto" w:sz="4" w:space="0"/>
              <w:bottom w:val="single" w:color="auto" w:sz="4" w:space="0"/>
              <w:right w:val="nil"/>
            </w:tcBorders>
            <w:shd w:val="clear" w:color="auto" w:fill="auto"/>
            <w:vAlign w:val="center"/>
          </w:tcPr>
          <w:p w14:paraId="1D494FD2">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1" w:type="dxa"/>
            <w:tcBorders>
              <w:top w:val="nil"/>
              <w:left w:val="single" w:color="auto" w:sz="4" w:space="0"/>
              <w:bottom w:val="single" w:color="auto" w:sz="4" w:space="0"/>
              <w:right w:val="single" w:color="auto" w:sz="4" w:space="0"/>
            </w:tcBorders>
            <w:shd w:val="clear" w:color="auto" w:fill="auto"/>
            <w:vAlign w:val="center"/>
          </w:tcPr>
          <w:p w14:paraId="44A4AC93">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r>
      <w:tr w14:paraId="21C7010E">
        <w:tblPrEx>
          <w:tblCellMar>
            <w:top w:w="0" w:type="dxa"/>
            <w:left w:w="108" w:type="dxa"/>
            <w:bottom w:w="0" w:type="dxa"/>
            <w:right w:w="108" w:type="dxa"/>
          </w:tblCellMar>
        </w:tblPrEx>
        <w:trPr>
          <w:trHeight w:val="540" w:hRule="atLeast"/>
        </w:trPr>
        <w:tc>
          <w:tcPr>
            <w:tcW w:w="2142" w:type="dxa"/>
            <w:tcBorders>
              <w:top w:val="nil"/>
              <w:left w:val="single" w:color="auto" w:sz="4" w:space="0"/>
              <w:bottom w:val="single" w:color="auto" w:sz="4" w:space="0"/>
              <w:right w:val="nil"/>
            </w:tcBorders>
            <w:shd w:val="clear" w:color="auto" w:fill="auto"/>
            <w:vAlign w:val="center"/>
          </w:tcPr>
          <w:p w14:paraId="25FA8352">
            <w:pPr>
              <w:widowControl/>
              <w:spacing w:line="240" w:lineRule="auto"/>
              <w:jc w:val="left"/>
              <w:rPr>
                <w:rFonts w:ascii="宋体" w:hAnsi="宋体" w:eastAsia="宋体" w:cs="宋体"/>
                <w:kern w:val="0"/>
                <w:sz w:val="16"/>
                <w:szCs w:val="16"/>
              </w:rPr>
            </w:pPr>
            <w:r>
              <w:rPr>
                <w:rFonts w:hint="eastAsia" w:ascii="宋体" w:hAnsi="宋体" w:eastAsia="宋体" w:cs="宋体"/>
                <w:kern w:val="0"/>
                <w:sz w:val="16"/>
                <w:szCs w:val="16"/>
              </w:rPr>
              <w:t xml:space="preserve"> 湛江市辖区2016、2017年度耕地质量等别年度更新评价</w:t>
            </w:r>
          </w:p>
        </w:tc>
        <w:tc>
          <w:tcPr>
            <w:tcW w:w="992" w:type="dxa"/>
            <w:tcBorders>
              <w:top w:val="nil"/>
              <w:left w:val="single" w:color="auto" w:sz="4" w:space="0"/>
              <w:bottom w:val="single" w:color="auto" w:sz="4" w:space="0"/>
              <w:right w:val="nil"/>
            </w:tcBorders>
            <w:shd w:val="clear" w:color="auto" w:fill="auto"/>
            <w:vAlign w:val="center"/>
          </w:tcPr>
          <w:p w14:paraId="3445429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12.00</w:t>
            </w:r>
          </w:p>
        </w:tc>
        <w:tc>
          <w:tcPr>
            <w:tcW w:w="850" w:type="dxa"/>
            <w:tcBorders>
              <w:top w:val="nil"/>
              <w:left w:val="single" w:color="auto" w:sz="4" w:space="0"/>
              <w:bottom w:val="single" w:color="auto" w:sz="4" w:space="0"/>
              <w:right w:val="single" w:color="auto" w:sz="4" w:space="0"/>
            </w:tcBorders>
            <w:shd w:val="clear" w:color="auto" w:fill="auto"/>
            <w:vAlign w:val="center"/>
          </w:tcPr>
          <w:p w14:paraId="7B17A11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6" w:type="dxa"/>
            <w:tcBorders>
              <w:top w:val="nil"/>
              <w:left w:val="nil"/>
              <w:bottom w:val="single" w:color="auto" w:sz="4" w:space="0"/>
              <w:right w:val="single" w:color="auto" w:sz="4" w:space="0"/>
            </w:tcBorders>
            <w:shd w:val="clear" w:color="auto" w:fill="auto"/>
            <w:vAlign w:val="center"/>
          </w:tcPr>
          <w:p w14:paraId="6A9BC06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12.00</w:t>
            </w:r>
          </w:p>
        </w:tc>
        <w:tc>
          <w:tcPr>
            <w:tcW w:w="907" w:type="dxa"/>
            <w:tcBorders>
              <w:top w:val="nil"/>
              <w:left w:val="nil"/>
              <w:bottom w:val="single" w:color="auto" w:sz="4" w:space="0"/>
              <w:right w:val="nil"/>
            </w:tcBorders>
            <w:shd w:val="clear" w:color="auto" w:fill="auto"/>
            <w:vAlign w:val="center"/>
          </w:tcPr>
          <w:p w14:paraId="2FFE9D88">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3EF8DBB7">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2DE53EE5">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gridSpan w:val="2"/>
            <w:tcBorders>
              <w:top w:val="nil"/>
              <w:left w:val="single" w:color="auto" w:sz="4" w:space="0"/>
              <w:bottom w:val="single" w:color="auto" w:sz="4" w:space="0"/>
              <w:right w:val="nil"/>
            </w:tcBorders>
            <w:shd w:val="clear" w:color="auto" w:fill="auto"/>
            <w:vAlign w:val="center"/>
          </w:tcPr>
          <w:p w14:paraId="12EC98B5">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1" w:type="dxa"/>
            <w:tcBorders>
              <w:top w:val="nil"/>
              <w:left w:val="single" w:color="auto" w:sz="4" w:space="0"/>
              <w:bottom w:val="single" w:color="auto" w:sz="4" w:space="0"/>
              <w:right w:val="single" w:color="auto" w:sz="4" w:space="0"/>
            </w:tcBorders>
            <w:shd w:val="clear" w:color="auto" w:fill="auto"/>
            <w:vAlign w:val="center"/>
          </w:tcPr>
          <w:p w14:paraId="4757F794">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r>
      <w:tr w14:paraId="279478A6">
        <w:tblPrEx>
          <w:tblCellMar>
            <w:top w:w="0" w:type="dxa"/>
            <w:left w:w="108" w:type="dxa"/>
            <w:bottom w:w="0" w:type="dxa"/>
            <w:right w:w="108" w:type="dxa"/>
          </w:tblCellMar>
        </w:tblPrEx>
        <w:trPr>
          <w:trHeight w:val="353" w:hRule="atLeast"/>
        </w:trPr>
        <w:tc>
          <w:tcPr>
            <w:tcW w:w="2142" w:type="dxa"/>
            <w:tcBorders>
              <w:top w:val="nil"/>
              <w:left w:val="single" w:color="auto" w:sz="4" w:space="0"/>
              <w:bottom w:val="single" w:color="auto" w:sz="4" w:space="0"/>
              <w:right w:val="nil"/>
            </w:tcBorders>
            <w:shd w:val="clear" w:color="auto" w:fill="auto"/>
            <w:vAlign w:val="center"/>
          </w:tcPr>
          <w:p w14:paraId="597FD772">
            <w:pPr>
              <w:widowControl/>
              <w:spacing w:line="240" w:lineRule="auto"/>
              <w:jc w:val="left"/>
              <w:rPr>
                <w:rFonts w:ascii="宋体" w:hAnsi="宋体" w:eastAsia="宋体" w:cs="宋体"/>
                <w:kern w:val="0"/>
                <w:sz w:val="16"/>
                <w:szCs w:val="16"/>
              </w:rPr>
            </w:pPr>
            <w:r>
              <w:rPr>
                <w:rFonts w:hint="eastAsia" w:ascii="宋体" w:hAnsi="宋体" w:eastAsia="宋体" w:cs="宋体"/>
                <w:kern w:val="0"/>
                <w:sz w:val="16"/>
                <w:szCs w:val="16"/>
              </w:rPr>
              <w:t>不动产登记经费</w:t>
            </w:r>
          </w:p>
        </w:tc>
        <w:tc>
          <w:tcPr>
            <w:tcW w:w="992" w:type="dxa"/>
            <w:tcBorders>
              <w:top w:val="nil"/>
              <w:left w:val="single" w:color="auto" w:sz="4" w:space="0"/>
              <w:bottom w:val="single" w:color="auto" w:sz="4" w:space="0"/>
              <w:right w:val="nil"/>
            </w:tcBorders>
            <w:shd w:val="clear" w:color="auto" w:fill="auto"/>
            <w:vAlign w:val="center"/>
          </w:tcPr>
          <w:p w14:paraId="3D733F3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800.00</w:t>
            </w:r>
          </w:p>
        </w:tc>
        <w:tc>
          <w:tcPr>
            <w:tcW w:w="850" w:type="dxa"/>
            <w:tcBorders>
              <w:top w:val="nil"/>
              <w:left w:val="single" w:color="auto" w:sz="4" w:space="0"/>
              <w:bottom w:val="single" w:color="auto" w:sz="4" w:space="0"/>
              <w:right w:val="single" w:color="auto" w:sz="4" w:space="0"/>
            </w:tcBorders>
            <w:shd w:val="clear" w:color="auto" w:fill="auto"/>
            <w:vAlign w:val="center"/>
          </w:tcPr>
          <w:p w14:paraId="5299B8C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400.00</w:t>
            </w:r>
          </w:p>
        </w:tc>
        <w:tc>
          <w:tcPr>
            <w:tcW w:w="936" w:type="dxa"/>
            <w:tcBorders>
              <w:top w:val="nil"/>
              <w:left w:val="nil"/>
              <w:bottom w:val="single" w:color="auto" w:sz="4" w:space="0"/>
              <w:right w:val="single" w:color="auto" w:sz="4" w:space="0"/>
            </w:tcBorders>
            <w:shd w:val="clear" w:color="auto" w:fill="auto"/>
            <w:vAlign w:val="center"/>
          </w:tcPr>
          <w:p w14:paraId="7031E17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400.00</w:t>
            </w:r>
          </w:p>
        </w:tc>
        <w:tc>
          <w:tcPr>
            <w:tcW w:w="907" w:type="dxa"/>
            <w:tcBorders>
              <w:top w:val="nil"/>
              <w:left w:val="nil"/>
              <w:bottom w:val="single" w:color="auto" w:sz="4" w:space="0"/>
              <w:right w:val="nil"/>
            </w:tcBorders>
            <w:shd w:val="clear" w:color="auto" w:fill="auto"/>
            <w:vAlign w:val="center"/>
          </w:tcPr>
          <w:p w14:paraId="69F0B172">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3E724F3C">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4AB56B06">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gridSpan w:val="2"/>
            <w:tcBorders>
              <w:top w:val="nil"/>
              <w:left w:val="single" w:color="auto" w:sz="4" w:space="0"/>
              <w:bottom w:val="single" w:color="auto" w:sz="4" w:space="0"/>
              <w:right w:val="nil"/>
            </w:tcBorders>
            <w:shd w:val="clear" w:color="auto" w:fill="auto"/>
            <w:vAlign w:val="center"/>
          </w:tcPr>
          <w:p w14:paraId="3E50F093">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1" w:type="dxa"/>
            <w:tcBorders>
              <w:top w:val="nil"/>
              <w:left w:val="single" w:color="auto" w:sz="4" w:space="0"/>
              <w:bottom w:val="single" w:color="auto" w:sz="4" w:space="0"/>
              <w:right w:val="single" w:color="auto" w:sz="4" w:space="0"/>
            </w:tcBorders>
            <w:shd w:val="clear" w:color="auto" w:fill="auto"/>
            <w:vAlign w:val="center"/>
          </w:tcPr>
          <w:p w14:paraId="24119F92">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r>
      <w:tr w14:paraId="41AD59A3">
        <w:tblPrEx>
          <w:tblCellMar>
            <w:top w:w="0" w:type="dxa"/>
            <w:left w:w="108" w:type="dxa"/>
            <w:bottom w:w="0" w:type="dxa"/>
            <w:right w:w="108" w:type="dxa"/>
          </w:tblCellMar>
        </w:tblPrEx>
        <w:trPr>
          <w:trHeight w:val="503" w:hRule="atLeast"/>
        </w:trPr>
        <w:tc>
          <w:tcPr>
            <w:tcW w:w="2142" w:type="dxa"/>
            <w:tcBorders>
              <w:top w:val="nil"/>
              <w:left w:val="single" w:color="auto" w:sz="4" w:space="0"/>
              <w:bottom w:val="single" w:color="auto" w:sz="4" w:space="0"/>
              <w:right w:val="nil"/>
            </w:tcBorders>
            <w:shd w:val="clear" w:color="auto" w:fill="auto"/>
            <w:vAlign w:val="center"/>
          </w:tcPr>
          <w:p w14:paraId="57EC34B5">
            <w:pPr>
              <w:widowControl/>
              <w:spacing w:line="240" w:lineRule="auto"/>
              <w:jc w:val="left"/>
              <w:rPr>
                <w:rFonts w:ascii="宋体" w:hAnsi="宋体" w:eastAsia="宋体" w:cs="宋体"/>
                <w:kern w:val="0"/>
                <w:sz w:val="16"/>
                <w:szCs w:val="16"/>
              </w:rPr>
            </w:pPr>
            <w:r>
              <w:rPr>
                <w:rFonts w:hint="eastAsia" w:ascii="宋体" w:hAnsi="宋体" w:eastAsia="宋体" w:cs="宋体"/>
                <w:kern w:val="0"/>
                <w:sz w:val="16"/>
                <w:szCs w:val="16"/>
              </w:rPr>
              <w:t>土地矿产卫片执法经费</w:t>
            </w:r>
          </w:p>
        </w:tc>
        <w:tc>
          <w:tcPr>
            <w:tcW w:w="992" w:type="dxa"/>
            <w:tcBorders>
              <w:top w:val="nil"/>
              <w:left w:val="single" w:color="auto" w:sz="4" w:space="0"/>
              <w:bottom w:val="single" w:color="auto" w:sz="4" w:space="0"/>
              <w:right w:val="nil"/>
            </w:tcBorders>
            <w:shd w:val="clear" w:color="auto" w:fill="auto"/>
            <w:vAlign w:val="center"/>
          </w:tcPr>
          <w:p w14:paraId="51808ED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100.00</w:t>
            </w:r>
          </w:p>
        </w:tc>
        <w:tc>
          <w:tcPr>
            <w:tcW w:w="850" w:type="dxa"/>
            <w:tcBorders>
              <w:top w:val="nil"/>
              <w:left w:val="single" w:color="auto" w:sz="4" w:space="0"/>
              <w:bottom w:val="single" w:color="auto" w:sz="4" w:space="0"/>
              <w:right w:val="single" w:color="auto" w:sz="4" w:space="0"/>
            </w:tcBorders>
            <w:shd w:val="clear" w:color="auto" w:fill="auto"/>
            <w:vAlign w:val="center"/>
          </w:tcPr>
          <w:p w14:paraId="567E6B2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6" w:type="dxa"/>
            <w:tcBorders>
              <w:top w:val="nil"/>
              <w:left w:val="nil"/>
              <w:bottom w:val="single" w:color="auto" w:sz="4" w:space="0"/>
              <w:right w:val="single" w:color="auto" w:sz="4" w:space="0"/>
            </w:tcBorders>
            <w:shd w:val="clear" w:color="auto" w:fill="auto"/>
            <w:vAlign w:val="center"/>
          </w:tcPr>
          <w:p w14:paraId="2A20C65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100.00</w:t>
            </w:r>
          </w:p>
        </w:tc>
        <w:tc>
          <w:tcPr>
            <w:tcW w:w="907" w:type="dxa"/>
            <w:tcBorders>
              <w:top w:val="nil"/>
              <w:left w:val="nil"/>
              <w:bottom w:val="single" w:color="auto" w:sz="4" w:space="0"/>
              <w:right w:val="nil"/>
            </w:tcBorders>
            <w:shd w:val="clear" w:color="auto" w:fill="auto"/>
            <w:vAlign w:val="center"/>
          </w:tcPr>
          <w:p w14:paraId="5506F437">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42C8ACD8">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02423DAD">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gridSpan w:val="2"/>
            <w:tcBorders>
              <w:top w:val="nil"/>
              <w:left w:val="single" w:color="auto" w:sz="4" w:space="0"/>
              <w:bottom w:val="single" w:color="auto" w:sz="4" w:space="0"/>
              <w:right w:val="nil"/>
            </w:tcBorders>
            <w:shd w:val="clear" w:color="auto" w:fill="auto"/>
            <w:vAlign w:val="center"/>
          </w:tcPr>
          <w:p w14:paraId="4AAAD5D9">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1" w:type="dxa"/>
            <w:tcBorders>
              <w:top w:val="nil"/>
              <w:left w:val="single" w:color="auto" w:sz="4" w:space="0"/>
              <w:bottom w:val="single" w:color="auto" w:sz="4" w:space="0"/>
              <w:right w:val="single" w:color="auto" w:sz="4" w:space="0"/>
            </w:tcBorders>
            <w:shd w:val="clear" w:color="auto" w:fill="auto"/>
            <w:vAlign w:val="center"/>
          </w:tcPr>
          <w:p w14:paraId="626DDD29">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r>
      <w:tr w14:paraId="671FE878">
        <w:tblPrEx>
          <w:tblCellMar>
            <w:top w:w="0" w:type="dxa"/>
            <w:left w:w="108" w:type="dxa"/>
            <w:bottom w:w="0" w:type="dxa"/>
            <w:right w:w="108" w:type="dxa"/>
          </w:tblCellMar>
        </w:tblPrEx>
        <w:trPr>
          <w:trHeight w:val="690" w:hRule="atLeast"/>
        </w:trPr>
        <w:tc>
          <w:tcPr>
            <w:tcW w:w="2142" w:type="dxa"/>
            <w:tcBorders>
              <w:top w:val="nil"/>
              <w:left w:val="single" w:color="auto" w:sz="4" w:space="0"/>
              <w:bottom w:val="single" w:color="auto" w:sz="4" w:space="0"/>
              <w:right w:val="nil"/>
            </w:tcBorders>
            <w:shd w:val="clear" w:color="auto" w:fill="auto"/>
            <w:vAlign w:val="center"/>
          </w:tcPr>
          <w:p w14:paraId="488FE909">
            <w:pPr>
              <w:widowControl/>
              <w:spacing w:line="240" w:lineRule="auto"/>
              <w:jc w:val="left"/>
              <w:rPr>
                <w:rFonts w:ascii="宋体" w:hAnsi="宋体" w:eastAsia="宋体" w:cs="宋体"/>
                <w:kern w:val="0"/>
                <w:sz w:val="16"/>
                <w:szCs w:val="16"/>
              </w:rPr>
            </w:pPr>
            <w:r>
              <w:rPr>
                <w:rFonts w:hint="eastAsia" w:ascii="宋体" w:hAnsi="宋体" w:eastAsia="宋体" w:cs="宋体"/>
                <w:kern w:val="0"/>
                <w:sz w:val="16"/>
                <w:szCs w:val="16"/>
              </w:rPr>
              <w:t>不动产登记信息管理基础平台建设及数据整理</w:t>
            </w:r>
          </w:p>
        </w:tc>
        <w:tc>
          <w:tcPr>
            <w:tcW w:w="992" w:type="dxa"/>
            <w:tcBorders>
              <w:top w:val="nil"/>
              <w:left w:val="single" w:color="auto" w:sz="4" w:space="0"/>
              <w:bottom w:val="single" w:color="auto" w:sz="4" w:space="0"/>
              <w:right w:val="nil"/>
            </w:tcBorders>
            <w:shd w:val="clear" w:color="auto" w:fill="auto"/>
            <w:vAlign w:val="center"/>
          </w:tcPr>
          <w:p w14:paraId="147C0DB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700.00</w:t>
            </w:r>
          </w:p>
        </w:tc>
        <w:tc>
          <w:tcPr>
            <w:tcW w:w="850" w:type="dxa"/>
            <w:tcBorders>
              <w:top w:val="nil"/>
              <w:left w:val="single" w:color="auto" w:sz="4" w:space="0"/>
              <w:bottom w:val="single" w:color="auto" w:sz="4" w:space="0"/>
              <w:right w:val="single" w:color="auto" w:sz="4" w:space="0"/>
            </w:tcBorders>
            <w:shd w:val="clear" w:color="auto" w:fill="auto"/>
            <w:vAlign w:val="center"/>
          </w:tcPr>
          <w:p w14:paraId="5A2433C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6" w:type="dxa"/>
            <w:tcBorders>
              <w:top w:val="nil"/>
              <w:left w:val="nil"/>
              <w:bottom w:val="single" w:color="auto" w:sz="4" w:space="0"/>
              <w:right w:val="single" w:color="auto" w:sz="4" w:space="0"/>
            </w:tcBorders>
            <w:shd w:val="clear" w:color="auto" w:fill="auto"/>
            <w:vAlign w:val="center"/>
          </w:tcPr>
          <w:p w14:paraId="2B9C7F8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700.00</w:t>
            </w:r>
          </w:p>
        </w:tc>
        <w:tc>
          <w:tcPr>
            <w:tcW w:w="907" w:type="dxa"/>
            <w:tcBorders>
              <w:top w:val="nil"/>
              <w:left w:val="nil"/>
              <w:bottom w:val="single" w:color="auto" w:sz="4" w:space="0"/>
              <w:right w:val="nil"/>
            </w:tcBorders>
            <w:shd w:val="clear" w:color="auto" w:fill="auto"/>
            <w:vAlign w:val="center"/>
          </w:tcPr>
          <w:p w14:paraId="2A47B319">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655CC197">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7EC2B7EA">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gridSpan w:val="2"/>
            <w:tcBorders>
              <w:top w:val="nil"/>
              <w:left w:val="single" w:color="auto" w:sz="4" w:space="0"/>
              <w:bottom w:val="single" w:color="auto" w:sz="4" w:space="0"/>
              <w:right w:val="nil"/>
            </w:tcBorders>
            <w:shd w:val="clear" w:color="auto" w:fill="auto"/>
            <w:vAlign w:val="center"/>
          </w:tcPr>
          <w:p w14:paraId="6A7A1BB1">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1" w:type="dxa"/>
            <w:tcBorders>
              <w:top w:val="nil"/>
              <w:left w:val="single" w:color="auto" w:sz="4" w:space="0"/>
              <w:bottom w:val="single" w:color="auto" w:sz="4" w:space="0"/>
              <w:right w:val="single" w:color="auto" w:sz="4" w:space="0"/>
            </w:tcBorders>
            <w:shd w:val="clear" w:color="auto" w:fill="auto"/>
            <w:vAlign w:val="center"/>
          </w:tcPr>
          <w:p w14:paraId="2ECA39C5">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r>
      <w:tr w14:paraId="3E509585">
        <w:tblPrEx>
          <w:tblCellMar>
            <w:top w:w="0" w:type="dxa"/>
            <w:left w:w="108" w:type="dxa"/>
            <w:bottom w:w="0" w:type="dxa"/>
            <w:right w:w="108" w:type="dxa"/>
          </w:tblCellMar>
        </w:tblPrEx>
        <w:trPr>
          <w:trHeight w:val="485" w:hRule="atLeast"/>
        </w:trPr>
        <w:tc>
          <w:tcPr>
            <w:tcW w:w="2142" w:type="dxa"/>
            <w:tcBorders>
              <w:top w:val="nil"/>
              <w:left w:val="single" w:color="auto" w:sz="4" w:space="0"/>
              <w:bottom w:val="single" w:color="auto" w:sz="4" w:space="0"/>
              <w:right w:val="nil"/>
            </w:tcBorders>
            <w:shd w:val="clear" w:color="auto" w:fill="auto"/>
            <w:vAlign w:val="center"/>
          </w:tcPr>
          <w:p w14:paraId="0C23D74A">
            <w:pPr>
              <w:widowControl/>
              <w:spacing w:line="240" w:lineRule="auto"/>
              <w:jc w:val="left"/>
              <w:rPr>
                <w:rFonts w:ascii="宋体" w:hAnsi="宋体" w:eastAsia="宋体" w:cs="宋体"/>
                <w:kern w:val="0"/>
                <w:sz w:val="16"/>
                <w:szCs w:val="16"/>
              </w:rPr>
            </w:pPr>
            <w:r>
              <w:rPr>
                <w:rFonts w:hint="eastAsia" w:ascii="宋体" w:hAnsi="宋体" w:eastAsia="宋体" w:cs="宋体"/>
                <w:kern w:val="0"/>
                <w:sz w:val="16"/>
                <w:szCs w:val="16"/>
              </w:rPr>
              <w:t>土地矿产卫片测量经费</w:t>
            </w:r>
          </w:p>
        </w:tc>
        <w:tc>
          <w:tcPr>
            <w:tcW w:w="992" w:type="dxa"/>
            <w:tcBorders>
              <w:top w:val="nil"/>
              <w:left w:val="single" w:color="auto" w:sz="4" w:space="0"/>
              <w:bottom w:val="single" w:color="auto" w:sz="4" w:space="0"/>
              <w:right w:val="nil"/>
            </w:tcBorders>
            <w:shd w:val="clear" w:color="auto" w:fill="auto"/>
            <w:vAlign w:val="center"/>
          </w:tcPr>
          <w:p w14:paraId="39BC9E9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100.00</w:t>
            </w:r>
          </w:p>
        </w:tc>
        <w:tc>
          <w:tcPr>
            <w:tcW w:w="850" w:type="dxa"/>
            <w:tcBorders>
              <w:top w:val="nil"/>
              <w:left w:val="single" w:color="auto" w:sz="4" w:space="0"/>
              <w:bottom w:val="single" w:color="auto" w:sz="4" w:space="0"/>
              <w:right w:val="single" w:color="auto" w:sz="4" w:space="0"/>
            </w:tcBorders>
            <w:shd w:val="clear" w:color="auto" w:fill="auto"/>
            <w:vAlign w:val="center"/>
          </w:tcPr>
          <w:p w14:paraId="5067041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6" w:type="dxa"/>
            <w:tcBorders>
              <w:top w:val="nil"/>
              <w:left w:val="nil"/>
              <w:bottom w:val="single" w:color="auto" w:sz="4" w:space="0"/>
              <w:right w:val="single" w:color="auto" w:sz="4" w:space="0"/>
            </w:tcBorders>
            <w:shd w:val="clear" w:color="auto" w:fill="auto"/>
            <w:vAlign w:val="center"/>
          </w:tcPr>
          <w:p w14:paraId="2609658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100.00</w:t>
            </w:r>
          </w:p>
        </w:tc>
        <w:tc>
          <w:tcPr>
            <w:tcW w:w="907" w:type="dxa"/>
            <w:tcBorders>
              <w:top w:val="nil"/>
              <w:left w:val="nil"/>
              <w:bottom w:val="single" w:color="auto" w:sz="4" w:space="0"/>
              <w:right w:val="nil"/>
            </w:tcBorders>
            <w:shd w:val="clear" w:color="auto" w:fill="auto"/>
            <w:vAlign w:val="center"/>
          </w:tcPr>
          <w:p w14:paraId="2011890E">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4C3D622E">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3B8F5EE7">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gridSpan w:val="2"/>
            <w:tcBorders>
              <w:top w:val="nil"/>
              <w:left w:val="single" w:color="auto" w:sz="4" w:space="0"/>
              <w:bottom w:val="single" w:color="auto" w:sz="4" w:space="0"/>
              <w:right w:val="nil"/>
            </w:tcBorders>
            <w:shd w:val="clear" w:color="auto" w:fill="auto"/>
            <w:vAlign w:val="center"/>
          </w:tcPr>
          <w:p w14:paraId="283BA4A2">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1" w:type="dxa"/>
            <w:tcBorders>
              <w:top w:val="nil"/>
              <w:left w:val="single" w:color="auto" w:sz="4" w:space="0"/>
              <w:bottom w:val="single" w:color="auto" w:sz="4" w:space="0"/>
              <w:right w:val="single" w:color="auto" w:sz="4" w:space="0"/>
            </w:tcBorders>
            <w:shd w:val="clear" w:color="auto" w:fill="auto"/>
            <w:vAlign w:val="center"/>
          </w:tcPr>
          <w:p w14:paraId="19F2C934">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r>
      <w:tr w14:paraId="01C01B2F">
        <w:tblPrEx>
          <w:tblCellMar>
            <w:top w:w="0" w:type="dxa"/>
            <w:left w:w="108" w:type="dxa"/>
            <w:bottom w:w="0" w:type="dxa"/>
            <w:right w:w="108" w:type="dxa"/>
          </w:tblCellMar>
        </w:tblPrEx>
        <w:trPr>
          <w:trHeight w:val="855" w:hRule="atLeast"/>
        </w:trPr>
        <w:tc>
          <w:tcPr>
            <w:tcW w:w="2142" w:type="dxa"/>
            <w:tcBorders>
              <w:top w:val="nil"/>
              <w:left w:val="single" w:color="auto" w:sz="4" w:space="0"/>
              <w:bottom w:val="single" w:color="auto" w:sz="4" w:space="0"/>
              <w:right w:val="nil"/>
            </w:tcBorders>
            <w:shd w:val="clear" w:color="auto" w:fill="auto"/>
            <w:vAlign w:val="center"/>
          </w:tcPr>
          <w:p w14:paraId="221A064F">
            <w:pPr>
              <w:widowControl/>
              <w:spacing w:line="240" w:lineRule="auto"/>
              <w:jc w:val="left"/>
              <w:rPr>
                <w:rFonts w:ascii="宋体" w:hAnsi="宋体" w:eastAsia="宋体" w:cs="宋体"/>
                <w:kern w:val="0"/>
                <w:sz w:val="16"/>
                <w:szCs w:val="16"/>
              </w:rPr>
            </w:pPr>
            <w:r>
              <w:rPr>
                <w:rFonts w:hint="eastAsia" w:ascii="宋体" w:hAnsi="宋体" w:eastAsia="宋体" w:cs="宋体"/>
                <w:kern w:val="0"/>
                <w:sz w:val="16"/>
                <w:szCs w:val="16"/>
              </w:rPr>
              <w:t>湛江市区国有农用地用地基准地价项目工作经费</w:t>
            </w:r>
          </w:p>
        </w:tc>
        <w:tc>
          <w:tcPr>
            <w:tcW w:w="992" w:type="dxa"/>
            <w:tcBorders>
              <w:top w:val="nil"/>
              <w:left w:val="single" w:color="auto" w:sz="4" w:space="0"/>
              <w:bottom w:val="single" w:color="auto" w:sz="4" w:space="0"/>
              <w:right w:val="nil"/>
            </w:tcBorders>
            <w:shd w:val="clear" w:color="auto" w:fill="auto"/>
            <w:vAlign w:val="center"/>
          </w:tcPr>
          <w:p w14:paraId="0F63C66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50.00</w:t>
            </w:r>
          </w:p>
        </w:tc>
        <w:tc>
          <w:tcPr>
            <w:tcW w:w="850" w:type="dxa"/>
            <w:tcBorders>
              <w:top w:val="nil"/>
              <w:left w:val="single" w:color="auto" w:sz="4" w:space="0"/>
              <w:bottom w:val="single" w:color="auto" w:sz="4" w:space="0"/>
              <w:right w:val="single" w:color="auto" w:sz="4" w:space="0"/>
            </w:tcBorders>
            <w:shd w:val="clear" w:color="auto" w:fill="auto"/>
            <w:vAlign w:val="center"/>
          </w:tcPr>
          <w:p w14:paraId="110904A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6" w:type="dxa"/>
            <w:tcBorders>
              <w:top w:val="nil"/>
              <w:left w:val="nil"/>
              <w:bottom w:val="single" w:color="auto" w:sz="4" w:space="0"/>
              <w:right w:val="single" w:color="auto" w:sz="4" w:space="0"/>
            </w:tcBorders>
            <w:shd w:val="clear" w:color="auto" w:fill="auto"/>
            <w:vAlign w:val="center"/>
          </w:tcPr>
          <w:p w14:paraId="216ACA6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50.00</w:t>
            </w:r>
          </w:p>
        </w:tc>
        <w:tc>
          <w:tcPr>
            <w:tcW w:w="907" w:type="dxa"/>
            <w:tcBorders>
              <w:top w:val="nil"/>
              <w:left w:val="nil"/>
              <w:bottom w:val="single" w:color="auto" w:sz="4" w:space="0"/>
              <w:right w:val="nil"/>
            </w:tcBorders>
            <w:shd w:val="clear" w:color="auto" w:fill="auto"/>
            <w:vAlign w:val="center"/>
          </w:tcPr>
          <w:p w14:paraId="04AFDF4B">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69EF5225">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2CF6801D">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gridSpan w:val="2"/>
            <w:tcBorders>
              <w:top w:val="nil"/>
              <w:left w:val="single" w:color="auto" w:sz="4" w:space="0"/>
              <w:bottom w:val="single" w:color="auto" w:sz="4" w:space="0"/>
              <w:right w:val="nil"/>
            </w:tcBorders>
            <w:shd w:val="clear" w:color="auto" w:fill="auto"/>
            <w:vAlign w:val="center"/>
          </w:tcPr>
          <w:p w14:paraId="567C4E05">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1" w:type="dxa"/>
            <w:tcBorders>
              <w:top w:val="nil"/>
              <w:left w:val="single" w:color="auto" w:sz="4" w:space="0"/>
              <w:bottom w:val="single" w:color="auto" w:sz="4" w:space="0"/>
              <w:right w:val="single" w:color="auto" w:sz="4" w:space="0"/>
            </w:tcBorders>
            <w:shd w:val="clear" w:color="auto" w:fill="auto"/>
            <w:vAlign w:val="center"/>
          </w:tcPr>
          <w:p w14:paraId="098B5405">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r>
      <w:tr w14:paraId="75B1643E">
        <w:tblPrEx>
          <w:tblCellMar>
            <w:top w:w="0" w:type="dxa"/>
            <w:left w:w="108" w:type="dxa"/>
            <w:bottom w:w="0" w:type="dxa"/>
            <w:right w:w="108" w:type="dxa"/>
          </w:tblCellMar>
        </w:tblPrEx>
        <w:trPr>
          <w:trHeight w:val="541" w:hRule="atLeast"/>
        </w:trPr>
        <w:tc>
          <w:tcPr>
            <w:tcW w:w="2142" w:type="dxa"/>
            <w:tcBorders>
              <w:top w:val="nil"/>
              <w:left w:val="single" w:color="auto" w:sz="4" w:space="0"/>
              <w:bottom w:val="single" w:color="auto" w:sz="4" w:space="0"/>
              <w:right w:val="nil"/>
            </w:tcBorders>
            <w:shd w:val="clear" w:color="auto" w:fill="auto"/>
            <w:vAlign w:val="center"/>
          </w:tcPr>
          <w:p w14:paraId="2C05E585">
            <w:pPr>
              <w:widowControl/>
              <w:spacing w:line="240" w:lineRule="auto"/>
              <w:jc w:val="left"/>
              <w:rPr>
                <w:rFonts w:ascii="宋体" w:hAnsi="宋体" w:eastAsia="宋体" w:cs="宋体"/>
                <w:kern w:val="0"/>
                <w:sz w:val="16"/>
                <w:szCs w:val="16"/>
              </w:rPr>
            </w:pPr>
            <w:r>
              <w:rPr>
                <w:rFonts w:hint="eastAsia" w:ascii="宋体" w:hAnsi="宋体" w:eastAsia="宋体" w:cs="宋体"/>
                <w:kern w:val="0"/>
                <w:sz w:val="16"/>
                <w:szCs w:val="16"/>
              </w:rPr>
              <w:t>湛江市辖区农村与城镇地籍调查经费</w:t>
            </w:r>
          </w:p>
        </w:tc>
        <w:tc>
          <w:tcPr>
            <w:tcW w:w="992" w:type="dxa"/>
            <w:tcBorders>
              <w:top w:val="nil"/>
              <w:left w:val="single" w:color="auto" w:sz="4" w:space="0"/>
              <w:bottom w:val="single" w:color="auto" w:sz="4" w:space="0"/>
              <w:right w:val="nil"/>
            </w:tcBorders>
            <w:shd w:val="clear" w:color="auto" w:fill="auto"/>
            <w:vAlign w:val="center"/>
          </w:tcPr>
          <w:p w14:paraId="1BF3402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1,300.00</w:t>
            </w:r>
          </w:p>
        </w:tc>
        <w:tc>
          <w:tcPr>
            <w:tcW w:w="850" w:type="dxa"/>
            <w:tcBorders>
              <w:top w:val="nil"/>
              <w:left w:val="single" w:color="auto" w:sz="4" w:space="0"/>
              <w:bottom w:val="single" w:color="auto" w:sz="4" w:space="0"/>
              <w:right w:val="single" w:color="auto" w:sz="4" w:space="0"/>
            </w:tcBorders>
            <w:shd w:val="clear" w:color="auto" w:fill="auto"/>
            <w:vAlign w:val="center"/>
          </w:tcPr>
          <w:p w14:paraId="4338593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6" w:type="dxa"/>
            <w:tcBorders>
              <w:top w:val="nil"/>
              <w:left w:val="nil"/>
              <w:bottom w:val="single" w:color="auto" w:sz="4" w:space="0"/>
              <w:right w:val="single" w:color="auto" w:sz="4" w:space="0"/>
            </w:tcBorders>
            <w:shd w:val="clear" w:color="auto" w:fill="auto"/>
            <w:vAlign w:val="center"/>
          </w:tcPr>
          <w:p w14:paraId="6C5F124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1,300.00</w:t>
            </w:r>
          </w:p>
        </w:tc>
        <w:tc>
          <w:tcPr>
            <w:tcW w:w="907" w:type="dxa"/>
            <w:tcBorders>
              <w:top w:val="nil"/>
              <w:left w:val="nil"/>
              <w:bottom w:val="single" w:color="auto" w:sz="4" w:space="0"/>
              <w:right w:val="nil"/>
            </w:tcBorders>
            <w:shd w:val="clear" w:color="auto" w:fill="auto"/>
            <w:vAlign w:val="center"/>
          </w:tcPr>
          <w:p w14:paraId="2EC20986">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6D332C18">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36868903">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gridSpan w:val="2"/>
            <w:tcBorders>
              <w:top w:val="nil"/>
              <w:left w:val="single" w:color="auto" w:sz="4" w:space="0"/>
              <w:bottom w:val="single" w:color="auto" w:sz="4" w:space="0"/>
              <w:right w:val="nil"/>
            </w:tcBorders>
            <w:shd w:val="clear" w:color="auto" w:fill="auto"/>
            <w:vAlign w:val="center"/>
          </w:tcPr>
          <w:p w14:paraId="1C45F57A">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1" w:type="dxa"/>
            <w:tcBorders>
              <w:top w:val="nil"/>
              <w:left w:val="single" w:color="auto" w:sz="4" w:space="0"/>
              <w:bottom w:val="single" w:color="auto" w:sz="4" w:space="0"/>
              <w:right w:val="single" w:color="auto" w:sz="4" w:space="0"/>
            </w:tcBorders>
            <w:shd w:val="clear" w:color="auto" w:fill="auto"/>
            <w:vAlign w:val="center"/>
          </w:tcPr>
          <w:p w14:paraId="774454F1">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r>
      <w:tr w14:paraId="4F3FD044">
        <w:tblPrEx>
          <w:tblCellMar>
            <w:top w:w="0" w:type="dxa"/>
            <w:left w:w="108" w:type="dxa"/>
            <w:bottom w:w="0" w:type="dxa"/>
            <w:right w:w="108" w:type="dxa"/>
          </w:tblCellMar>
        </w:tblPrEx>
        <w:trPr>
          <w:trHeight w:val="389" w:hRule="atLeast"/>
        </w:trPr>
        <w:tc>
          <w:tcPr>
            <w:tcW w:w="2142" w:type="dxa"/>
            <w:tcBorders>
              <w:top w:val="nil"/>
              <w:left w:val="single" w:color="auto" w:sz="4" w:space="0"/>
              <w:bottom w:val="single" w:color="auto" w:sz="4" w:space="0"/>
              <w:right w:val="nil"/>
            </w:tcBorders>
            <w:shd w:val="clear" w:color="auto" w:fill="auto"/>
            <w:vAlign w:val="center"/>
          </w:tcPr>
          <w:p w14:paraId="62ED0D8C">
            <w:pPr>
              <w:widowControl/>
              <w:spacing w:line="240" w:lineRule="auto"/>
              <w:jc w:val="left"/>
              <w:rPr>
                <w:rFonts w:ascii="宋体" w:hAnsi="宋体" w:eastAsia="宋体" w:cs="宋体"/>
                <w:kern w:val="0"/>
                <w:sz w:val="16"/>
                <w:szCs w:val="16"/>
              </w:rPr>
            </w:pPr>
            <w:r>
              <w:rPr>
                <w:rFonts w:hint="eastAsia" w:ascii="宋体" w:hAnsi="宋体" w:eastAsia="宋体" w:cs="宋体"/>
                <w:kern w:val="0"/>
                <w:sz w:val="16"/>
                <w:szCs w:val="16"/>
              </w:rPr>
              <w:t>年度土地变更调查经费</w:t>
            </w:r>
          </w:p>
        </w:tc>
        <w:tc>
          <w:tcPr>
            <w:tcW w:w="992" w:type="dxa"/>
            <w:tcBorders>
              <w:top w:val="nil"/>
              <w:left w:val="single" w:color="auto" w:sz="4" w:space="0"/>
              <w:bottom w:val="single" w:color="auto" w:sz="4" w:space="0"/>
              <w:right w:val="nil"/>
            </w:tcBorders>
            <w:shd w:val="clear" w:color="auto" w:fill="auto"/>
            <w:vAlign w:val="center"/>
          </w:tcPr>
          <w:p w14:paraId="4A53EBD9">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10.00</w:t>
            </w:r>
          </w:p>
        </w:tc>
        <w:tc>
          <w:tcPr>
            <w:tcW w:w="850" w:type="dxa"/>
            <w:tcBorders>
              <w:top w:val="nil"/>
              <w:left w:val="single" w:color="auto" w:sz="4" w:space="0"/>
              <w:bottom w:val="single" w:color="auto" w:sz="4" w:space="0"/>
              <w:right w:val="single" w:color="auto" w:sz="4" w:space="0"/>
            </w:tcBorders>
            <w:shd w:val="clear" w:color="auto" w:fill="auto"/>
            <w:vAlign w:val="center"/>
          </w:tcPr>
          <w:p w14:paraId="2C3F39F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10.00</w:t>
            </w:r>
          </w:p>
        </w:tc>
        <w:tc>
          <w:tcPr>
            <w:tcW w:w="936" w:type="dxa"/>
            <w:tcBorders>
              <w:top w:val="nil"/>
              <w:left w:val="nil"/>
              <w:bottom w:val="single" w:color="auto" w:sz="4" w:space="0"/>
              <w:right w:val="single" w:color="auto" w:sz="4" w:space="0"/>
            </w:tcBorders>
            <w:shd w:val="clear" w:color="auto" w:fill="auto"/>
            <w:vAlign w:val="center"/>
          </w:tcPr>
          <w:p w14:paraId="4018A19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7" w:type="dxa"/>
            <w:tcBorders>
              <w:top w:val="nil"/>
              <w:left w:val="nil"/>
              <w:bottom w:val="single" w:color="auto" w:sz="4" w:space="0"/>
              <w:right w:val="nil"/>
            </w:tcBorders>
            <w:shd w:val="clear" w:color="auto" w:fill="auto"/>
            <w:vAlign w:val="center"/>
          </w:tcPr>
          <w:p w14:paraId="2C5E46D9">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2AE6D532">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6FD0F334">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gridSpan w:val="2"/>
            <w:tcBorders>
              <w:top w:val="nil"/>
              <w:left w:val="single" w:color="auto" w:sz="4" w:space="0"/>
              <w:bottom w:val="single" w:color="auto" w:sz="4" w:space="0"/>
              <w:right w:val="nil"/>
            </w:tcBorders>
            <w:shd w:val="clear" w:color="auto" w:fill="auto"/>
            <w:vAlign w:val="center"/>
          </w:tcPr>
          <w:p w14:paraId="4BF8868B">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1" w:type="dxa"/>
            <w:tcBorders>
              <w:top w:val="nil"/>
              <w:left w:val="single" w:color="auto" w:sz="4" w:space="0"/>
              <w:bottom w:val="single" w:color="auto" w:sz="4" w:space="0"/>
              <w:right w:val="single" w:color="auto" w:sz="4" w:space="0"/>
            </w:tcBorders>
            <w:shd w:val="clear" w:color="auto" w:fill="auto"/>
            <w:vAlign w:val="center"/>
          </w:tcPr>
          <w:p w14:paraId="3CF80A74">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r>
      <w:tr w14:paraId="3F51216A">
        <w:tblPrEx>
          <w:tblCellMar>
            <w:top w:w="0" w:type="dxa"/>
            <w:left w:w="108" w:type="dxa"/>
            <w:bottom w:w="0" w:type="dxa"/>
            <w:right w:w="108" w:type="dxa"/>
          </w:tblCellMar>
        </w:tblPrEx>
        <w:trPr>
          <w:trHeight w:val="469" w:hRule="atLeast"/>
        </w:trPr>
        <w:tc>
          <w:tcPr>
            <w:tcW w:w="2142" w:type="dxa"/>
            <w:tcBorders>
              <w:top w:val="nil"/>
              <w:left w:val="single" w:color="auto" w:sz="4" w:space="0"/>
              <w:bottom w:val="single" w:color="auto" w:sz="4" w:space="0"/>
              <w:right w:val="nil"/>
            </w:tcBorders>
            <w:shd w:val="clear" w:color="auto" w:fill="auto"/>
            <w:vAlign w:val="center"/>
          </w:tcPr>
          <w:p w14:paraId="7F357F9D">
            <w:pPr>
              <w:widowControl/>
              <w:spacing w:line="240" w:lineRule="auto"/>
              <w:jc w:val="left"/>
              <w:rPr>
                <w:rFonts w:ascii="宋体" w:hAnsi="宋体" w:eastAsia="宋体" w:cs="宋体"/>
                <w:kern w:val="0"/>
                <w:sz w:val="16"/>
                <w:szCs w:val="16"/>
              </w:rPr>
            </w:pPr>
            <w:r>
              <w:rPr>
                <w:rFonts w:hint="eastAsia" w:ascii="宋体" w:hAnsi="宋体" w:eastAsia="宋体" w:cs="宋体"/>
                <w:kern w:val="0"/>
                <w:sz w:val="16"/>
                <w:szCs w:val="16"/>
              </w:rPr>
              <w:t>2017年度整治违法违规用地专项行动经费</w:t>
            </w:r>
          </w:p>
        </w:tc>
        <w:tc>
          <w:tcPr>
            <w:tcW w:w="992" w:type="dxa"/>
            <w:tcBorders>
              <w:top w:val="nil"/>
              <w:left w:val="single" w:color="auto" w:sz="4" w:space="0"/>
              <w:bottom w:val="single" w:color="auto" w:sz="4" w:space="0"/>
              <w:right w:val="nil"/>
            </w:tcBorders>
            <w:shd w:val="clear" w:color="auto" w:fill="auto"/>
            <w:vAlign w:val="center"/>
          </w:tcPr>
          <w:p w14:paraId="220E467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100.00</w:t>
            </w:r>
          </w:p>
        </w:tc>
        <w:tc>
          <w:tcPr>
            <w:tcW w:w="850" w:type="dxa"/>
            <w:tcBorders>
              <w:top w:val="nil"/>
              <w:left w:val="single" w:color="auto" w:sz="4" w:space="0"/>
              <w:bottom w:val="single" w:color="auto" w:sz="4" w:space="0"/>
              <w:right w:val="single" w:color="auto" w:sz="4" w:space="0"/>
            </w:tcBorders>
            <w:shd w:val="clear" w:color="auto" w:fill="auto"/>
            <w:vAlign w:val="center"/>
          </w:tcPr>
          <w:p w14:paraId="52DB96F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6" w:type="dxa"/>
            <w:tcBorders>
              <w:top w:val="nil"/>
              <w:left w:val="nil"/>
              <w:bottom w:val="single" w:color="auto" w:sz="4" w:space="0"/>
              <w:right w:val="single" w:color="auto" w:sz="4" w:space="0"/>
            </w:tcBorders>
            <w:shd w:val="clear" w:color="auto" w:fill="auto"/>
            <w:vAlign w:val="center"/>
          </w:tcPr>
          <w:p w14:paraId="52A2D83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100.00</w:t>
            </w:r>
          </w:p>
        </w:tc>
        <w:tc>
          <w:tcPr>
            <w:tcW w:w="907" w:type="dxa"/>
            <w:tcBorders>
              <w:top w:val="nil"/>
              <w:left w:val="nil"/>
              <w:bottom w:val="single" w:color="auto" w:sz="4" w:space="0"/>
              <w:right w:val="nil"/>
            </w:tcBorders>
            <w:shd w:val="clear" w:color="auto" w:fill="auto"/>
            <w:vAlign w:val="center"/>
          </w:tcPr>
          <w:p w14:paraId="07E52399">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12FBC0DF">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single" w:color="auto" w:sz="4" w:space="0"/>
              <w:bottom w:val="single" w:color="auto" w:sz="4" w:space="0"/>
              <w:right w:val="nil"/>
            </w:tcBorders>
            <w:shd w:val="clear" w:color="auto" w:fill="auto"/>
            <w:vAlign w:val="center"/>
          </w:tcPr>
          <w:p w14:paraId="1E7BFA0D">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4" w:type="dxa"/>
            <w:gridSpan w:val="2"/>
            <w:tcBorders>
              <w:top w:val="nil"/>
              <w:left w:val="single" w:color="auto" w:sz="4" w:space="0"/>
              <w:bottom w:val="single" w:color="auto" w:sz="4" w:space="0"/>
              <w:right w:val="nil"/>
            </w:tcBorders>
            <w:shd w:val="clear" w:color="auto" w:fill="auto"/>
            <w:vAlign w:val="center"/>
          </w:tcPr>
          <w:p w14:paraId="6031CFC1">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1" w:type="dxa"/>
            <w:tcBorders>
              <w:top w:val="nil"/>
              <w:left w:val="single" w:color="auto" w:sz="4" w:space="0"/>
              <w:bottom w:val="single" w:color="auto" w:sz="4" w:space="0"/>
              <w:right w:val="single" w:color="auto" w:sz="4" w:space="0"/>
            </w:tcBorders>
            <w:shd w:val="clear" w:color="auto" w:fill="auto"/>
            <w:vAlign w:val="center"/>
          </w:tcPr>
          <w:p w14:paraId="16C8912C">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r>
    </w:tbl>
    <w:p w14:paraId="5071E5FE">
      <w:pPr>
        <w:autoSpaceDE w:val="0"/>
        <w:autoSpaceDN w:val="0"/>
        <w:adjustRightInd w:val="0"/>
        <w:spacing w:line="240" w:lineRule="auto"/>
        <w:rPr>
          <w:rFonts w:hint="eastAsia" w:ascii="仿宋" w:hAnsi="仿宋" w:eastAsia="仿宋" w:cs="宋体"/>
          <w:b/>
          <w:kern w:val="0"/>
          <w:sz w:val="36"/>
          <w:szCs w:val="36"/>
        </w:rPr>
      </w:pPr>
    </w:p>
    <w:p w14:paraId="6C4299F0">
      <w:pPr>
        <w:autoSpaceDE w:val="0"/>
        <w:autoSpaceDN w:val="0"/>
        <w:adjustRightInd w:val="0"/>
        <w:spacing w:line="240" w:lineRule="auto"/>
        <w:rPr>
          <w:rFonts w:ascii="仿宋" w:hAnsi="仿宋" w:eastAsia="仿宋" w:cs="宋体"/>
          <w:b/>
          <w:kern w:val="0"/>
          <w:sz w:val="36"/>
          <w:szCs w:val="36"/>
        </w:rPr>
      </w:pPr>
      <w:r>
        <w:rPr>
          <w:rFonts w:hint="eastAsia" w:ascii="仿宋" w:hAnsi="仿宋" w:eastAsia="仿宋" w:cs="宋体"/>
          <w:b/>
          <w:kern w:val="0"/>
          <w:sz w:val="36"/>
          <w:szCs w:val="36"/>
        </w:rPr>
        <w:t>（五）专业名词解释</w:t>
      </w:r>
    </w:p>
    <w:p w14:paraId="75D4C504">
      <w:pPr>
        <w:autoSpaceDE w:val="0"/>
        <w:autoSpaceDN w:val="0"/>
        <w:adjustRightInd w:val="0"/>
        <w:spacing w:line="240" w:lineRule="auto"/>
        <w:jc w:val="left"/>
        <w:rPr>
          <w:rFonts w:ascii="仿宋" w:hAnsi="仿宋" w:eastAsia="仿宋" w:cs="黑体"/>
          <w:b/>
          <w:kern w:val="0"/>
          <w:sz w:val="32"/>
          <w:szCs w:val="32"/>
        </w:rPr>
      </w:pPr>
      <w:r>
        <w:rPr>
          <w:rFonts w:hint="eastAsia" w:ascii="仿宋" w:hAnsi="仿宋" w:eastAsia="仿宋" w:cs="黑体"/>
          <w:b/>
          <w:kern w:val="0"/>
          <w:sz w:val="32"/>
          <w:szCs w:val="32"/>
        </w:rPr>
        <w:t>一、收入科目</w:t>
      </w:r>
    </w:p>
    <w:p w14:paraId="52ED4753">
      <w:pPr>
        <w:autoSpaceDE w:val="0"/>
        <w:autoSpaceDN w:val="0"/>
        <w:adjustRightInd w:val="0"/>
        <w:spacing w:line="240" w:lineRule="auto"/>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（一）一般公共预算拨款收入：</w:t>
      </w:r>
      <w:r>
        <w:rPr>
          <w:rFonts w:hint="eastAsia" w:ascii="仿宋" w:hAnsi="仿宋" w:eastAsia="仿宋" w:cs="仿宋"/>
          <w:kern w:val="0"/>
          <w:sz w:val="32"/>
          <w:szCs w:val="32"/>
        </w:rPr>
        <w:t>指地方财政当年拨付的一般公共预算资金。</w:t>
      </w:r>
    </w:p>
    <w:p w14:paraId="5A16DC13">
      <w:pPr>
        <w:autoSpaceDE w:val="0"/>
        <w:autoSpaceDN w:val="0"/>
        <w:adjustRightInd w:val="0"/>
        <w:spacing w:line="240" w:lineRule="auto"/>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（二）基金预算拨款收入：</w:t>
      </w:r>
      <w:r>
        <w:rPr>
          <w:rFonts w:hint="eastAsia" w:ascii="仿宋" w:hAnsi="仿宋" w:eastAsia="仿宋" w:cs="仿宋"/>
          <w:kern w:val="0"/>
          <w:sz w:val="32"/>
          <w:szCs w:val="32"/>
        </w:rPr>
        <w:t>指地方财政当年拨付经国务院或财政部批准，向公民、法人和其他组织征收的政府性基金，以及参照政府基金管理或纳入基金预算、具有特定用途的财政资金收入。</w:t>
      </w:r>
    </w:p>
    <w:p w14:paraId="3B97A041">
      <w:pPr>
        <w:autoSpaceDE w:val="0"/>
        <w:autoSpaceDN w:val="0"/>
        <w:adjustRightInd w:val="0"/>
        <w:spacing w:line="240" w:lineRule="auto"/>
        <w:jc w:val="left"/>
        <w:rPr>
          <w:rFonts w:ascii="仿宋" w:hAnsi="仿宋" w:eastAsia="仿宋" w:cs="黑体"/>
          <w:b/>
          <w:kern w:val="0"/>
          <w:sz w:val="32"/>
          <w:szCs w:val="32"/>
        </w:rPr>
      </w:pPr>
      <w:r>
        <w:rPr>
          <w:rFonts w:hint="eastAsia" w:ascii="仿宋" w:hAnsi="仿宋" w:eastAsia="仿宋" w:cs="黑体"/>
          <w:b/>
          <w:kern w:val="0"/>
          <w:sz w:val="32"/>
          <w:szCs w:val="32"/>
        </w:rPr>
        <w:t>二、支出科目</w:t>
      </w:r>
    </w:p>
    <w:p w14:paraId="06E3DD13">
      <w:pPr>
        <w:autoSpaceDE w:val="0"/>
        <w:autoSpaceDN w:val="0"/>
        <w:adjustRightInd w:val="0"/>
        <w:spacing w:line="240" w:lineRule="auto"/>
        <w:ind w:firstLine="645"/>
        <w:jc w:val="left"/>
        <w:rPr>
          <w:rFonts w:ascii="仿宋" w:hAnsi="仿宋" w:eastAsia="仿宋" w:cs="黑体"/>
          <w:b/>
          <w:kern w:val="0"/>
          <w:sz w:val="32"/>
          <w:szCs w:val="32"/>
        </w:rPr>
      </w:pPr>
      <w:r>
        <w:rPr>
          <w:rFonts w:hint="eastAsia" w:ascii="仿宋" w:hAnsi="仿宋" w:eastAsia="仿宋" w:cs="黑体"/>
          <w:b/>
          <w:kern w:val="0"/>
          <w:sz w:val="32"/>
          <w:szCs w:val="32"/>
        </w:rPr>
        <w:t>1、按支出经济分类科目分：</w:t>
      </w:r>
    </w:p>
    <w:p w14:paraId="3C1E61B3">
      <w:pPr>
        <w:autoSpaceDE w:val="0"/>
        <w:autoSpaceDN w:val="0"/>
        <w:adjustRightInd w:val="0"/>
        <w:spacing w:line="240" w:lineRule="auto"/>
        <w:ind w:firstLine="645"/>
        <w:jc w:val="left"/>
        <w:rPr>
          <w:rFonts w:ascii="仿宋" w:hAnsi="仿宋" w:eastAsia="仿宋" w:cs="黑体"/>
          <w:kern w:val="0"/>
          <w:sz w:val="32"/>
          <w:szCs w:val="32"/>
        </w:rPr>
      </w:pPr>
      <w:r>
        <w:rPr>
          <w:rFonts w:hint="eastAsia" w:ascii="仿宋" w:hAnsi="仿宋" w:eastAsia="仿宋" w:cs="黑体"/>
          <w:b/>
          <w:kern w:val="0"/>
          <w:sz w:val="32"/>
          <w:szCs w:val="32"/>
        </w:rPr>
        <w:t>（一）工资福利支出：</w:t>
      </w:r>
      <w:r>
        <w:rPr>
          <w:rFonts w:hint="eastAsia" w:ascii="仿宋" w:hAnsi="仿宋" w:eastAsia="仿宋" w:cs="黑体"/>
          <w:kern w:val="0"/>
          <w:sz w:val="32"/>
          <w:szCs w:val="32"/>
        </w:rPr>
        <w:t>反映单位开支的在职职工和编制外长期聘用人员的各类劳动报酬，以及为上述人员缴纳的各项社会保险费等。</w:t>
      </w:r>
    </w:p>
    <w:p w14:paraId="4BDBB45C">
      <w:pPr>
        <w:autoSpaceDE w:val="0"/>
        <w:autoSpaceDN w:val="0"/>
        <w:adjustRightInd w:val="0"/>
        <w:spacing w:line="240" w:lineRule="auto"/>
        <w:ind w:firstLine="630" w:firstLineChars="196"/>
        <w:jc w:val="left"/>
        <w:rPr>
          <w:rFonts w:ascii="仿宋" w:hAnsi="仿宋" w:eastAsia="仿宋" w:cs="黑体"/>
          <w:b/>
          <w:kern w:val="0"/>
          <w:sz w:val="32"/>
          <w:szCs w:val="32"/>
        </w:rPr>
      </w:pPr>
      <w:r>
        <w:rPr>
          <w:rFonts w:hint="eastAsia" w:ascii="仿宋" w:hAnsi="仿宋" w:eastAsia="仿宋" w:cs="黑体"/>
          <w:b/>
          <w:kern w:val="0"/>
          <w:sz w:val="32"/>
          <w:szCs w:val="32"/>
        </w:rPr>
        <w:t>（二）商品和服务支出：</w:t>
      </w:r>
      <w:r>
        <w:rPr>
          <w:rFonts w:ascii="仿宋" w:hAnsi="仿宋" w:eastAsia="仿宋" w:cs="黑体"/>
          <w:b/>
          <w:kern w:val="0"/>
          <w:sz w:val="32"/>
          <w:szCs w:val="32"/>
        </w:rPr>
        <w:t xml:space="preserve"> </w:t>
      </w:r>
      <w:r>
        <w:rPr>
          <w:rFonts w:hint="eastAsia" w:ascii="仿宋" w:hAnsi="仿宋" w:eastAsia="仿宋" w:cs="仿宋"/>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 w:hAnsi="仿宋" w:eastAsia="仿宋" w:cs="仿宋"/>
          <w:kern w:val="0"/>
          <w:sz w:val="30"/>
          <w:szCs w:val="30"/>
        </w:rPr>
        <w:t>。</w:t>
      </w:r>
    </w:p>
    <w:p w14:paraId="46A52428">
      <w:pPr>
        <w:autoSpaceDE w:val="0"/>
        <w:autoSpaceDN w:val="0"/>
        <w:adjustRightInd w:val="0"/>
        <w:spacing w:line="240" w:lineRule="auto"/>
        <w:ind w:firstLine="630" w:firstLineChars="196"/>
        <w:jc w:val="left"/>
        <w:rPr>
          <w:rFonts w:ascii="仿宋" w:hAnsi="仿宋" w:eastAsia="仿宋" w:cs="黑体"/>
          <w:kern w:val="0"/>
          <w:sz w:val="32"/>
          <w:szCs w:val="32"/>
        </w:rPr>
      </w:pPr>
      <w:r>
        <w:rPr>
          <w:rFonts w:hint="eastAsia" w:ascii="仿宋" w:hAnsi="仿宋" w:eastAsia="仿宋" w:cs="黑体"/>
          <w:b/>
          <w:kern w:val="0"/>
          <w:sz w:val="32"/>
          <w:szCs w:val="32"/>
        </w:rPr>
        <w:t>（三）对个人和家庭的补助支出：</w:t>
      </w:r>
      <w:r>
        <w:rPr>
          <w:rFonts w:hint="eastAsia" w:ascii="仿宋" w:hAnsi="仿宋" w:eastAsia="仿宋" w:cs="黑体"/>
          <w:kern w:val="0"/>
          <w:sz w:val="32"/>
          <w:szCs w:val="32"/>
        </w:rPr>
        <w:t>反映单位用于个人和家庭的补助支出，包括离退休费、退职（役）费、抚恤金、生活补助、医疗费、住房公积金、购房补贴以及其他对个人和家庭的补助支出等。</w:t>
      </w:r>
    </w:p>
    <w:p w14:paraId="03319B30">
      <w:pPr>
        <w:autoSpaceDE w:val="0"/>
        <w:autoSpaceDN w:val="0"/>
        <w:adjustRightInd w:val="0"/>
        <w:spacing w:line="240" w:lineRule="auto"/>
        <w:ind w:firstLine="645"/>
        <w:jc w:val="left"/>
        <w:rPr>
          <w:rFonts w:ascii="仿宋" w:hAnsi="仿宋" w:eastAsia="仿宋" w:cs="黑体"/>
          <w:kern w:val="0"/>
          <w:sz w:val="32"/>
          <w:szCs w:val="32"/>
        </w:rPr>
      </w:pPr>
      <w:r>
        <w:rPr>
          <w:rFonts w:hint="eastAsia" w:ascii="仿宋" w:hAnsi="仿宋" w:eastAsia="仿宋" w:cs="黑体"/>
          <w:b/>
          <w:kern w:val="0"/>
          <w:sz w:val="32"/>
          <w:szCs w:val="32"/>
        </w:rPr>
        <w:t>（四）其他资本性支出：</w:t>
      </w:r>
      <w:r>
        <w:rPr>
          <w:rFonts w:hint="eastAsia" w:ascii="仿宋" w:hAnsi="仿宋" w:eastAsia="仿宋" w:cs="黑体"/>
          <w:kern w:val="0"/>
          <w:sz w:val="32"/>
          <w:szCs w:val="32"/>
        </w:rPr>
        <w:t>反映单位用于购置固定资产、战略性和应急性储备、土地和无形资产</w:t>
      </w:r>
      <w:bookmarkStart w:id="3" w:name="_GoBack"/>
      <w:bookmarkEnd w:id="3"/>
      <w:r>
        <w:rPr>
          <w:rFonts w:hint="eastAsia" w:ascii="仿宋" w:hAnsi="仿宋" w:eastAsia="仿宋" w:cs="黑体"/>
          <w:kern w:val="0"/>
          <w:sz w:val="32"/>
          <w:szCs w:val="32"/>
        </w:rPr>
        <w:t>以及购建基础设施、大型修缮和信息网络方面的支出。</w:t>
      </w:r>
    </w:p>
    <w:p w14:paraId="53BCC0F4">
      <w:pPr>
        <w:autoSpaceDE w:val="0"/>
        <w:autoSpaceDN w:val="0"/>
        <w:adjustRightInd w:val="0"/>
        <w:spacing w:line="240" w:lineRule="auto"/>
        <w:ind w:firstLine="645"/>
        <w:jc w:val="left"/>
        <w:rPr>
          <w:rFonts w:ascii="仿宋" w:hAnsi="仿宋" w:eastAsia="仿宋" w:cs="黑体"/>
          <w:kern w:val="0"/>
          <w:sz w:val="32"/>
          <w:szCs w:val="32"/>
        </w:rPr>
      </w:pPr>
      <w:r>
        <w:rPr>
          <w:rFonts w:hint="eastAsia" w:ascii="仿宋" w:hAnsi="仿宋" w:eastAsia="仿宋"/>
          <w:b/>
          <w:color w:val="2F2F2F"/>
          <w:sz w:val="32"/>
          <w:szCs w:val="32"/>
        </w:rPr>
        <w:t>项目支出：</w:t>
      </w:r>
      <w:r>
        <w:rPr>
          <w:rFonts w:hint="eastAsia" w:ascii="仿宋" w:hAnsi="仿宋" w:eastAsia="仿宋"/>
          <w:color w:val="2F2F2F"/>
          <w:sz w:val="32"/>
          <w:szCs w:val="32"/>
        </w:rPr>
        <w:t>指在基本支出之外为完成特定行政任务和事业发展目标所发生的支出。</w:t>
      </w:r>
    </w:p>
    <w:p w14:paraId="57061F96">
      <w:pPr>
        <w:autoSpaceDE w:val="0"/>
        <w:autoSpaceDN w:val="0"/>
        <w:adjustRightInd w:val="0"/>
        <w:spacing w:line="240" w:lineRule="auto"/>
        <w:ind w:firstLine="645"/>
        <w:jc w:val="left"/>
        <w:rPr>
          <w:rFonts w:ascii="仿宋" w:hAnsi="仿宋" w:eastAsia="仿宋" w:cs="黑体"/>
          <w:b/>
          <w:kern w:val="0"/>
          <w:sz w:val="32"/>
          <w:szCs w:val="32"/>
        </w:rPr>
      </w:pPr>
      <w:r>
        <w:rPr>
          <w:rFonts w:hint="eastAsia" w:ascii="仿宋" w:hAnsi="仿宋" w:eastAsia="仿宋" w:cs="黑体"/>
          <w:b/>
          <w:kern w:val="0"/>
          <w:sz w:val="32"/>
          <w:szCs w:val="32"/>
        </w:rPr>
        <w:t>2、按功能科目支出分类</w:t>
      </w:r>
    </w:p>
    <w:p w14:paraId="5A9E7592">
      <w:pPr>
        <w:autoSpaceDE w:val="0"/>
        <w:autoSpaceDN w:val="0"/>
        <w:adjustRightInd w:val="0"/>
        <w:spacing w:line="240" w:lineRule="auto"/>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（一）国土海洋气象等支出（项）：</w:t>
      </w:r>
      <w:r>
        <w:rPr>
          <w:rFonts w:hint="eastAsia" w:ascii="仿宋" w:hAnsi="仿宋" w:eastAsia="仿宋" w:cs="仿宋"/>
          <w:kern w:val="0"/>
          <w:sz w:val="32"/>
          <w:szCs w:val="32"/>
        </w:rPr>
        <w:t>指国土部门未单独设项级科目的基本支出及其他项目支出。</w:t>
      </w:r>
    </w:p>
    <w:p w14:paraId="46069C79">
      <w:pPr>
        <w:autoSpaceDE w:val="0"/>
        <w:autoSpaceDN w:val="0"/>
        <w:adjustRightInd w:val="0"/>
        <w:spacing w:line="240" w:lineRule="auto"/>
        <w:jc w:val="left"/>
        <w:rPr>
          <w:rFonts w:ascii="仿宋" w:hAnsi="仿宋" w:eastAsia="仿宋" w:cs="仿宋"/>
          <w:kern w:val="0"/>
          <w:sz w:val="32"/>
          <w:szCs w:val="32"/>
        </w:rPr>
      </w:pPr>
      <w:r>
        <w:rPr>
          <w:rFonts w:hint="eastAsia" w:ascii="仿宋" w:hAnsi="仿宋" w:eastAsia="仿宋" w:cs="仿宋"/>
          <w:kern w:val="0"/>
          <w:sz w:val="32"/>
          <w:szCs w:val="32"/>
        </w:rPr>
        <w:t>行政运行（项）：指国土部门（包括实行公务员管理的事业单位）的基本支出。</w:t>
      </w:r>
    </w:p>
    <w:p w14:paraId="36911A49">
      <w:pPr>
        <w:autoSpaceDE w:val="0"/>
        <w:autoSpaceDN w:val="0"/>
        <w:adjustRightInd w:val="0"/>
        <w:spacing w:line="240" w:lineRule="auto"/>
        <w:jc w:val="left"/>
        <w:rPr>
          <w:rFonts w:ascii="仿宋" w:hAnsi="仿宋" w:eastAsia="仿宋" w:cs="仿宋"/>
          <w:kern w:val="0"/>
          <w:sz w:val="32"/>
          <w:szCs w:val="32"/>
        </w:rPr>
      </w:pPr>
      <w:r>
        <w:rPr>
          <w:rFonts w:hint="eastAsia" w:ascii="仿宋" w:hAnsi="仿宋" w:eastAsia="仿宋" w:cs="仿宋"/>
          <w:kern w:val="0"/>
          <w:sz w:val="32"/>
          <w:szCs w:val="32"/>
        </w:rPr>
        <w:t>国土资源规划及管理（项）：指用于国土资源规划、研究、管理的支出。</w:t>
      </w:r>
    </w:p>
    <w:p w14:paraId="17D19F94">
      <w:pPr>
        <w:autoSpaceDE w:val="0"/>
        <w:autoSpaceDN w:val="0"/>
        <w:adjustRightInd w:val="0"/>
        <w:spacing w:line="240" w:lineRule="auto"/>
        <w:jc w:val="left"/>
        <w:rPr>
          <w:rFonts w:ascii="仿宋" w:hAnsi="仿宋" w:eastAsia="仿宋" w:cs="仿宋"/>
          <w:kern w:val="0"/>
          <w:sz w:val="32"/>
          <w:szCs w:val="32"/>
        </w:rPr>
      </w:pPr>
      <w:r>
        <w:rPr>
          <w:rFonts w:hint="eastAsia" w:ascii="仿宋" w:hAnsi="仿宋" w:eastAsia="仿宋" w:cs="仿宋"/>
          <w:kern w:val="0"/>
          <w:sz w:val="32"/>
          <w:szCs w:val="32"/>
        </w:rPr>
        <w:t>土地资源调查（项）：指用于土地资源调查评价、土地利用变更调查、地籍调查等方面的支出。</w:t>
      </w:r>
    </w:p>
    <w:p w14:paraId="3B025C8D">
      <w:pPr>
        <w:autoSpaceDE w:val="0"/>
        <w:autoSpaceDN w:val="0"/>
        <w:adjustRightInd w:val="0"/>
        <w:spacing w:line="240" w:lineRule="auto"/>
        <w:jc w:val="left"/>
        <w:rPr>
          <w:rFonts w:ascii="仿宋" w:hAnsi="仿宋" w:eastAsia="仿宋" w:cs="仿宋"/>
          <w:kern w:val="0"/>
          <w:sz w:val="32"/>
          <w:szCs w:val="32"/>
        </w:rPr>
      </w:pPr>
      <w:r>
        <w:rPr>
          <w:rFonts w:hint="eastAsia" w:ascii="仿宋" w:hAnsi="仿宋" w:eastAsia="仿宋" w:cs="仿宋"/>
          <w:kern w:val="0"/>
          <w:sz w:val="32"/>
          <w:szCs w:val="32"/>
        </w:rPr>
        <w:t>土地资源利用与保护（项）：指用于国土资源部门土地利用监测、耕地保护、土地分等定级、土地评估等方面的支出。</w:t>
      </w:r>
    </w:p>
    <w:p w14:paraId="6D8C7CF1">
      <w:pPr>
        <w:autoSpaceDE w:val="0"/>
        <w:autoSpaceDN w:val="0"/>
        <w:adjustRightInd w:val="0"/>
        <w:spacing w:line="240" w:lineRule="auto"/>
        <w:jc w:val="left"/>
        <w:rPr>
          <w:rFonts w:ascii="仿宋" w:hAnsi="仿宋" w:eastAsia="仿宋" w:cs="仿宋"/>
          <w:kern w:val="0"/>
          <w:sz w:val="32"/>
          <w:szCs w:val="32"/>
        </w:rPr>
      </w:pPr>
      <w:r>
        <w:rPr>
          <w:rFonts w:hint="eastAsia" w:ascii="仿宋" w:hAnsi="仿宋" w:eastAsia="仿宋" w:cs="仿宋"/>
          <w:kern w:val="0"/>
          <w:sz w:val="32"/>
          <w:szCs w:val="32"/>
        </w:rPr>
        <w:t>国土资源行业业务管理（项）：指用于国土资源行业业务管理支出，包括行业标准、规程、规范管理，宣传、内部审计、财务监督，行风建设等方面的支出。</w:t>
      </w:r>
    </w:p>
    <w:p w14:paraId="34F6ECDE">
      <w:pPr>
        <w:autoSpaceDE w:val="0"/>
        <w:autoSpaceDN w:val="0"/>
        <w:adjustRightInd w:val="0"/>
        <w:spacing w:line="240" w:lineRule="auto"/>
        <w:jc w:val="left"/>
        <w:rPr>
          <w:rFonts w:ascii="仿宋" w:hAnsi="仿宋" w:eastAsia="仿宋" w:cs="仿宋"/>
          <w:kern w:val="0"/>
          <w:sz w:val="32"/>
          <w:szCs w:val="32"/>
        </w:rPr>
      </w:pPr>
      <w:r>
        <w:rPr>
          <w:rFonts w:hint="eastAsia" w:ascii="仿宋" w:hAnsi="仿宋" w:eastAsia="仿宋" w:cs="仿宋"/>
          <w:kern w:val="0"/>
          <w:sz w:val="32"/>
          <w:szCs w:val="32"/>
        </w:rPr>
        <w:t>国土资源调查（项）：指用于国土资源调查工作支出。</w:t>
      </w:r>
    </w:p>
    <w:p w14:paraId="4F373756">
      <w:pPr>
        <w:autoSpaceDE w:val="0"/>
        <w:autoSpaceDN w:val="0"/>
        <w:adjustRightInd w:val="0"/>
        <w:spacing w:line="240" w:lineRule="auto"/>
        <w:jc w:val="left"/>
        <w:rPr>
          <w:rFonts w:ascii="仿宋" w:hAnsi="仿宋" w:eastAsia="仿宋" w:cs="仿宋"/>
          <w:kern w:val="0"/>
          <w:sz w:val="32"/>
          <w:szCs w:val="32"/>
        </w:rPr>
      </w:pPr>
      <w:r>
        <w:rPr>
          <w:rFonts w:hint="eastAsia" w:ascii="仿宋" w:hAnsi="仿宋" w:eastAsia="仿宋" w:cs="仿宋"/>
          <w:kern w:val="0"/>
          <w:sz w:val="32"/>
          <w:szCs w:val="32"/>
        </w:rPr>
        <w:t>国土整治（项）：指用于国土资源部门国土整治方面的支出。</w:t>
      </w:r>
    </w:p>
    <w:p w14:paraId="08B98795">
      <w:pPr>
        <w:autoSpaceDE w:val="0"/>
        <w:autoSpaceDN w:val="0"/>
        <w:adjustRightInd w:val="0"/>
        <w:spacing w:line="240" w:lineRule="auto"/>
        <w:jc w:val="left"/>
        <w:rPr>
          <w:rFonts w:ascii="仿宋" w:hAnsi="仿宋" w:eastAsia="仿宋" w:cs="仿宋"/>
          <w:kern w:val="0"/>
          <w:sz w:val="32"/>
          <w:szCs w:val="32"/>
        </w:rPr>
      </w:pPr>
      <w:r>
        <w:rPr>
          <w:rFonts w:hint="eastAsia" w:ascii="仿宋" w:hAnsi="仿宋" w:eastAsia="仿宋" w:cs="仿宋"/>
          <w:kern w:val="0"/>
          <w:sz w:val="32"/>
          <w:szCs w:val="32"/>
        </w:rPr>
        <w:t>地质灾害防治（项）：指用于地质灾害防治项目支出。</w:t>
      </w:r>
    </w:p>
    <w:p w14:paraId="7DB19D21">
      <w:pPr>
        <w:autoSpaceDE w:val="0"/>
        <w:autoSpaceDN w:val="0"/>
        <w:adjustRightInd w:val="0"/>
        <w:spacing w:line="240" w:lineRule="auto"/>
        <w:jc w:val="left"/>
        <w:rPr>
          <w:rFonts w:ascii="仿宋" w:hAnsi="仿宋" w:eastAsia="仿宋" w:cs="仿宋"/>
          <w:kern w:val="0"/>
          <w:sz w:val="32"/>
          <w:szCs w:val="32"/>
        </w:rPr>
      </w:pPr>
      <w:r>
        <w:rPr>
          <w:rFonts w:hint="eastAsia" w:ascii="仿宋" w:hAnsi="仿宋" w:eastAsia="仿宋" w:cs="仿宋"/>
          <w:kern w:val="0"/>
          <w:sz w:val="32"/>
          <w:szCs w:val="32"/>
        </w:rPr>
        <w:t>地质矿产资源利用与保护（项）：指用于国土资源部门地质矿产资源、地质环境、地质遗迹等开发、利用、监测、保护等方面的支出。</w:t>
      </w:r>
    </w:p>
    <w:p w14:paraId="694ED52E">
      <w:pPr>
        <w:autoSpaceDE w:val="0"/>
        <w:autoSpaceDN w:val="0"/>
        <w:adjustRightInd w:val="0"/>
        <w:spacing w:line="240" w:lineRule="auto"/>
        <w:jc w:val="left"/>
        <w:rPr>
          <w:rFonts w:ascii="仿宋" w:hAnsi="仿宋" w:eastAsia="仿宋" w:cs="仿宋"/>
          <w:kern w:val="0"/>
          <w:sz w:val="32"/>
          <w:szCs w:val="32"/>
        </w:rPr>
      </w:pPr>
      <w:r>
        <w:rPr>
          <w:rFonts w:hint="eastAsia" w:ascii="仿宋" w:hAnsi="仿宋" w:eastAsia="仿宋" w:cs="仿宋"/>
          <w:kern w:val="0"/>
          <w:sz w:val="32"/>
          <w:szCs w:val="32"/>
        </w:rPr>
        <w:t>事业运行（项）：指国土部门所属事业单位的基本支出。</w:t>
      </w:r>
    </w:p>
    <w:p w14:paraId="763BEDBC">
      <w:pPr>
        <w:autoSpaceDE w:val="0"/>
        <w:autoSpaceDN w:val="0"/>
        <w:adjustRightInd w:val="0"/>
        <w:spacing w:line="240" w:lineRule="auto"/>
        <w:jc w:val="left"/>
        <w:rPr>
          <w:rFonts w:ascii="仿宋" w:hAnsi="仿宋" w:eastAsia="仿宋" w:cs="仿宋"/>
          <w:kern w:val="0"/>
          <w:sz w:val="32"/>
          <w:szCs w:val="32"/>
        </w:rPr>
      </w:pPr>
      <w:r>
        <w:rPr>
          <w:rFonts w:hint="eastAsia" w:ascii="仿宋" w:hAnsi="仿宋" w:eastAsia="仿宋" w:cs="仿宋"/>
          <w:kern w:val="0"/>
          <w:sz w:val="32"/>
          <w:szCs w:val="32"/>
        </w:rPr>
        <w:t>其他国土资源事务支出（项）：指除上述项目以外用于国土资源事务方面的支出。</w:t>
      </w:r>
    </w:p>
    <w:p w14:paraId="1142A1D6">
      <w:pPr>
        <w:autoSpaceDE w:val="0"/>
        <w:autoSpaceDN w:val="0"/>
        <w:adjustRightInd w:val="0"/>
        <w:spacing w:line="240" w:lineRule="auto"/>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（二）社会保障和就业支出（项）：</w:t>
      </w:r>
      <w:r>
        <w:rPr>
          <w:rFonts w:hint="eastAsia" w:ascii="仿宋" w:hAnsi="仿宋" w:eastAsia="仿宋" w:cs="仿宋"/>
          <w:kern w:val="0"/>
          <w:sz w:val="32"/>
          <w:szCs w:val="32"/>
        </w:rPr>
        <w:t>指国土部门用于归口管理的行政单位（包括实行公务员管理的事业单位）的离退休经费开支及离退休人员管理机构的支出。</w:t>
      </w:r>
    </w:p>
    <w:p w14:paraId="4DBEA19B">
      <w:pPr>
        <w:autoSpaceDE w:val="0"/>
        <w:autoSpaceDN w:val="0"/>
        <w:adjustRightInd w:val="0"/>
        <w:spacing w:line="240" w:lineRule="auto"/>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（三）医疗卫生与计划生育支出（项）：</w:t>
      </w:r>
      <w:r>
        <w:rPr>
          <w:rFonts w:hint="eastAsia" w:ascii="仿宋" w:hAnsi="仿宋" w:eastAsia="仿宋" w:cs="仿宋"/>
          <w:kern w:val="0"/>
          <w:sz w:val="32"/>
          <w:szCs w:val="32"/>
        </w:rPr>
        <w:t>指用于行政事业单位医疗及计划生育方面的支出。</w:t>
      </w:r>
    </w:p>
    <w:p w14:paraId="72F92BFF">
      <w:pPr>
        <w:autoSpaceDE w:val="0"/>
        <w:autoSpaceDN w:val="0"/>
        <w:adjustRightInd w:val="0"/>
        <w:spacing w:line="240" w:lineRule="auto"/>
        <w:jc w:val="left"/>
        <w:rPr>
          <w:rFonts w:ascii="仿宋" w:hAnsi="仿宋" w:eastAsia="仿宋" w:cs="仿宋"/>
          <w:kern w:val="0"/>
          <w:sz w:val="32"/>
          <w:szCs w:val="32"/>
        </w:rPr>
      </w:pPr>
      <w:r>
        <w:rPr>
          <w:rFonts w:hint="eastAsia" w:ascii="仿宋" w:hAnsi="仿宋" w:eastAsia="仿宋" w:cs="仿宋"/>
          <w:kern w:val="0"/>
          <w:sz w:val="32"/>
          <w:szCs w:val="32"/>
        </w:rPr>
        <w:t>行政单位医疗（项）：指用于行政单位基本医疗保险缴费经费，未参加医疗保险的行政单位的公费医疗经费，按国家规定享受离休人员、红军老战士待遇人员的医疗经费支出。</w:t>
      </w:r>
    </w:p>
    <w:p w14:paraId="42A2A60B">
      <w:pPr>
        <w:autoSpaceDE w:val="0"/>
        <w:autoSpaceDN w:val="0"/>
        <w:adjustRightInd w:val="0"/>
        <w:spacing w:line="240" w:lineRule="auto"/>
        <w:jc w:val="left"/>
        <w:rPr>
          <w:rFonts w:ascii="仿宋" w:hAnsi="仿宋" w:eastAsia="仿宋" w:cs="仿宋"/>
          <w:kern w:val="0"/>
          <w:sz w:val="32"/>
          <w:szCs w:val="32"/>
        </w:rPr>
      </w:pPr>
      <w:r>
        <w:rPr>
          <w:rFonts w:hint="eastAsia" w:ascii="仿宋" w:hAnsi="仿宋" w:eastAsia="仿宋" w:cs="仿宋"/>
          <w:kern w:val="0"/>
          <w:sz w:val="32"/>
          <w:szCs w:val="32"/>
        </w:rPr>
        <w:t>公务员医疗补助（项）：指用于财政部门集中安排的公务员医疗补助支出。</w:t>
      </w:r>
    </w:p>
    <w:p w14:paraId="734E9D4D">
      <w:pPr>
        <w:autoSpaceDE w:val="0"/>
        <w:autoSpaceDN w:val="0"/>
        <w:adjustRightInd w:val="0"/>
        <w:spacing w:line="240" w:lineRule="auto"/>
        <w:jc w:val="left"/>
        <w:rPr>
          <w:rFonts w:ascii="仿宋" w:hAnsi="仿宋" w:eastAsia="仿宋" w:cs="仿宋"/>
          <w:kern w:val="0"/>
          <w:sz w:val="32"/>
          <w:szCs w:val="32"/>
        </w:rPr>
      </w:pPr>
      <w:r>
        <w:rPr>
          <w:rFonts w:hint="eastAsia" w:ascii="仿宋" w:hAnsi="仿宋" w:eastAsia="仿宋" w:cs="仿宋"/>
          <w:kern w:val="0"/>
          <w:sz w:val="32"/>
          <w:szCs w:val="32"/>
        </w:rPr>
        <w:t>其他计划生育事务支出（项）：指除计划生育机构和服务以外的其他用于计划生育管理事务方面的支出。</w:t>
      </w:r>
    </w:p>
    <w:p w14:paraId="3DB58F93">
      <w:pPr>
        <w:autoSpaceDE w:val="0"/>
        <w:autoSpaceDN w:val="0"/>
        <w:adjustRightInd w:val="0"/>
        <w:spacing w:line="240" w:lineRule="auto"/>
        <w:ind w:firstLine="645"/>
        <w:jc w:val="left"/>
        <w:rPr>
          <w:rFonts w:ascii="仿宋" w:hAnsi="仿宋" w:eastAsia="仿宋" w:cs="仿宋"/>
          <w:kern w:val="0"/>
          <w:sz w:val="32"/>
          <w:szCs w:val="32"/>
        </w:rPr>
      </w:pPr>
      <w:r>
        <w:rPr>
          <w:rFonts w:hint="eastAsia" w:ascii="仿宋" w:hAnsi="仿宋" w:eastAsia="仿宋" w:cs="仿宋"/>
          <w:b/>
          <w:kern w:val="0"/>
          <w:sz w:val="32"/>
          <w:szCs w:val="32"/>
        </w:rPr>
        <w:t>（四）城乡社区支出</w:t>
      </w:r>
      <w:r>
        <w:rPr>
          <w:rFonts w:ascii="仿宋" w:hAnsi="仿宋" w:eastAsia="仿宋" w:cs="仿宋"/>
          <w:b/>
          <w:kern w:val="0"/>
          <w:sz w:val="32"/>
          <w:szCs w:val="32"/>
        </w:rPr>
        <w:t>（</w:t>
      </w:r>
      <w:r>
        <w:rPr>
          <w:rFonts w:hint="eastAsia" w:ascii="仿宋" w:hAnsi="仿宋" w:eastAsia="仿宋" w:cs="仿宋"/>
          <w:b/>
          <w:kern w:val="0"/>
          <w:sz w:val="32"/>
          <w:szCs w:val="32"/>
        </w:rPr>
        <w:t>项</w:t>
      </w:r>
      <w:r>
        <w:rPr>
          <w:rFonts w:ascii="仿宋" w:hAnsi="仿宋" w:eastAsia="仿宋" w:cs="仿宋"/>
          <w:b/>
          <w:kern w:val="0"/>
          <w:sz w:val="32"/>
          <w:szCs w:val="32"/>
        </w:rPr>
        <w:t>）</w:t>
      </w:r>
      <w:r>
        <w:rPr>
          <w:rFonts w:hint="eastAsia" w:ascii="仿宋" w:hAnsi="仿宋" w:eastAsia="仿宋" w:cs="仿宋"/>
          <w:b/>
          <w:kern w:val="0"/>
          <w:sz w:val="32"/>
          <w:szCs w:val="32"/>
        </w:rPr>
        <w:t>：</w:t>
      </w:r>
      <w:r>
        <w:rPr>
          <w:rFonts w:hint="eastAsia" w:ascii="仿宋" w:hAnsi="仿宋" w:eastAsia="仿宋" w:cs="仿宋"/>
          <w:kern w:val="0"/>
          <w:sz w:val="32"/>
          <w:szCs w:val="32"/>
        </w:rPr>
        <w:t>指用于政府城乡社区事务支出。</w:t>
      </w:r>
    </w:p>
    <w:p w14:paraId="0433F190">
      <w:pPr>
        <w:autoSpaceDE w:val="0"/>
        <w:autoSpaceDN w:val="0"/>
        <w:adjustRightInd w:val="0"/>
        <w:spacing w:line="240" w:lineRule="auto"/>
        <w:jc w:val="left"/>
        <w:rPr>
          <w:rFonts w:ascii="仿宋" w:hAnsi="仿宋" w:eastAsia="仿宋" w:cs="仿宋"/>
          <w:kern w:val="0"/>
          <w:sz w:val="32"/>
          <w:szCs w:val="32"/>
        </w:rPr>
      </w:pPr>
      <w:r>
        <w:rPr>
          <w:rFonts w:hint="eastAsia" w:ascii="仿宋" w:hAnsi="仿宋" w:eastAsia="仿宋" w:cs="仿宋"/>
          <w:kern w:val="0"/>
          <w:sz w:val="32"/>
          <w:szCs w:val="32"/>
        </w:rPr>
        <w:t>国有土地使用权出让收入及对应专项债务收入安排的支出（项）：指用于不含和划转部分的国有土地使用权出让收入及对应专项债务收入安排的支出，属于政府基金安排使用的支出。</w:t>
      </w:r>
    </w:p>
    <w:p w14:paraId="3BF3AF23">
      <w:pPr>
        <w:autoSpaceDE w:val="0"/>
        <w:autoSpaceDN w:val="0"/>
        <w:adjustRightInd w:val="0"/>
        <w:spacing w:line="240" w:lineRule="auto"/>
        <w:jc w:val="left"/>
        <w:rPr>
          <w:rFonts w:ascii="仿宋" w:hAnsi="仿宋" w:eastAsia="仿宋" w:cs="仿宋"/>
          <w:kern w:val="0"/>
          <w:sz w:val="32"/>
          <w:szCs w:val="32"/>
        </w:rPr>
      </w:pPr>
      <w:r>
        <w:rPr>
          <w:rFonts w:hint="eastAsia" w:ascii="仿宋" w:hAnsi="仿宋" w:eastAsia="仿宋" w:cs="仿宋"/>
          <w:kern w:val="0"/>
          <w:sz w:val="32"/>
          <w:szCs w:val="32"/>
        </w:rPr>
        <w:t>城市基础设施配套费及对应专项债务收入安排的支出（项）：指用于城市基础设施配套费及对应专项债务收入安排的支出。</w:t>
      </w:r>
    </w:p>
    <w:p w14:paraId="3726E01D">
      <w:pPr>
        <w:autoSpaceDE w:val="0"/>
        <w:autoSpaceDN w:val="0"/>
        <w:adjustRightInd w:val="0"/>
        <w:spacing w:line="240" w:lineRule="auto"/>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（五）住房保障支出（项）：</w:t>
      </w:r>
      <w:r>
        <w:rPr>
          <w:rFonts w:hint="eastAsia" w:ascii="仿宋" w:hAnsi="仿宋" w:eastAsia="仿宋" w:cs="仿宋"/>
          <w:kern w:val="0"/>
          <w:sz w:val="32"/>
          <w:szCs w:val="32"/>
        </w:rPr>
        <w:t>指国土部门机关及下属单位按照国家政策规定用于住房改革方面的支出。</w:t>
      </w:r>
    </w:p>
    <w:p w14:paraId="05F5BFAB">
      <w:pPr>
        <w:autoSpaceDE w:val="0"/>
        <w:autoSpaceDN w:val="0"/>
        <w:adjustRightInd w:val="0"/>
        <w:spacing w:line="240" w:lineRule="auto"/>
        <w:jc w:val="left"/>
        <w:rPr>
          <w:rFonts w:ascii="仿宋" w:hAnsi="仿宋" w:eastAsia="仿宋" w:cs="仿宋"/>
          <w:kern w:val="0"/>
          <w:sz w:val="32"/>
          <w:szCs w:val="32"/>
        </w:rPr>
      </w:pPr>
      <w:r>
        <w:rPr>
          <w:rFonts w:hint="eastAsia" w:ascii="仿宋" w:hAnsi="仿宋" w:eastAsia="仿宋" w:cs="仿宋"/>
          <w:kern w:val="0"/>
          <w:sz w:val="32"/>
          <w:szCs w:val="32"/>
        </w:rPr>
        <w:t>住房公积金（项）：是按照《住房公积金管理条例》的规定，</w:t>
      </w:r>
    </w:p>
    <w:p w14:paraId="15571837">
      <w:pPr>
        <w:autoSpaceDE w:val="0"/>
        <w:autoSpaceDN w:val="0"/>
        <w:adjustRightInd w:val="0"/>
        <w:spacing w:line="240" w:lineRule="auto"/>
        <w:jc w:val="left"/>
        <w:rPr>
          <w:rFonts w:ascii="仿宋" w:hAnsi="仿宋" w:eastAsia="仿宋" w:cs="仿宋"/>
          <w:kern w:val="0"/>
          <w:sz w:val="32"/>
          <w:szCs w:val="32"/>
        </w:rPr>
      </w:pPr>
      <w:r>
        <w:rPr>
          <w:rFonts w:hint="eastAsia" w:ascii="仿宋" w:hAnsi="仿宋" w:eastAsia="仿宋" w:cs="仿宋"/>
          <w:kern w:val="0"/>
          <w:sz w:val="32"/>
          <w:szCs w:val="32"/>
        </w:rPr>
        <w:t>由单位及其在职职工缴存的长期住房储金。该项政策始于上世纪九十年代中期，在全国机关、企事业单位在职职工中普遍实施，缴存比例最低不低于</w:t>
      </w:r>
      <w:r>
        <w:rPr>
          <w:rFonts w:ascii="仿宋" w:hAnsi="仿宋" w:eastAsia="仿宋" w:cs="仿宋"/>
          <w:kern w:val="0"/>
          <w:sz w:val="32"/>
          <w:szCs w:val="32"/>
        </w:rPr>
        <w:t>5</w:t>
      </w:r>
      <w:r>
        <w:rPr>
          <w:rFonts w:hint="eastAsia" w:ascii="仿宋" w:hAnsi="仿宋" w:eastAsia="仿宋" w:cs="仿宋"/>
          <w:kern w:val="0"/>
          <w:sz w:val="32"/>
          <w:szCs w:val="32"/>
        </w:rPr>
        <w:t>％，最高不超过</w:t>
      </w:r>
      <w:r>
        <w:rPr>
          <w:rFonts w:ascii="仿宋" w:hAnsi="仿宋" w:eastAsia="仿宋" w:cs="仿宋"/>
          <w:kern w:val="0"/>
          <w:sz w:val="32"/>
          <w:szCs w:val="32"/>
        </w:rPr>
        <w:t>12</w:t>
      </w:r>
      <w:r>
        <w:rPr>
          <w:rFonts w:hint="eastAsia" w:ascii="仿宋" w:hAnsi="仿宋" w:eastAsia="仿宋" w:cs="仿宋"/>
          <w:kern w:val="0"/>
          <w:sz w:val="32"/>
          <w:szCs w:val="32"/>
        </w:rPr>
        <w:t>％，缴存基数为职工本人上年工资，目前已实施近</w:t>
      </w:r>
      <w:r>
        <w:rPr>
          <w:rFonts w:ascii="仿宋" w:hAnsi="仿宋" w:eastAsia="仿宋" w:cs="仿宋"/>
          <w:kern w:val="0"/>
          <w:sz w:val="32"/>
          <w:szCs w:val="32"/>
        </w:rPr>
        <w:t xml:space="preserve">20 </w:t>
      </w:r>
      <w:r>
        <w:rPr>
          <w:rFonts w:hint="eastAsia" w:ascii="仿宋" w:hAnsi="仿宋" w:eastAsia="仿宋" w:cs="仿宋"/>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14:paraId="59FDC29E">
      <w:pPr>
        <w:autoSpaceDE w:val="0"/>
        <w:autoSpaceDN w:val="0"/>
        <w:adjustRightInd w:val="0"/>
        <w:spacing w:line="240" w:lineRule="auto"/>
        <w:jc w:val="left"/>
        <w:rPr>
          <w:rFonts w:ascii="仿宋" w:hAnsi="仿宋" w:eastAsia="仿宋" w:cs="仿宋"/>
          <w:kern w:val="0"/>
          <w:sz w:val="32"/>
          <w:szCs w:val="32"/>
        </w:rPr>
      </w:pPr>
      <w:r>
        <w:rPr>
          <w:rFonts w:hint="eastAsia" w:ascii="仿宋" w:hAnsi="仿宋" w:eastAsia="仿宋" w:cs="仿宋"/>
          <w:kern w:val="0"/>
          <w:sz w:val="32"/>
          <w:szCs w:val="32"/>
        </w:rPr>
        <w:t>住房改革补贴（项）：指行政事业单位用财政拨款资金和其他资金等安排的住房改革支出。</w:t>
      </w:r>
    </w:p>
    <w:p w14:paraId="0D1F832B">
      <w:pPr>
        <w:autoSpaceDE w:val="0"/>
        <w:autoSpaceDN w:val="0"/>
        <w:adjustRightInd w:val="0"/>
        <w:spacing w:line="240" w:lineRule="auto"/>
        <w:jc w:val="left"/>
        <w:rPr>
          <w:rFonts w:ascii="仿宋" w:hAnsi="仿宋" w:eastAsia="仿宋" w:cs="黑体"/>
          <w:b/>
          <w:kern w:val="0"/>
          <w:sz w:val="30"/>
          <w:szCs w:val="30"/>
        </w:rPr>
      </w:pPr>
      <w:r>
        <w:rPr>
          <w:rFonts w:hint="eastAsia" w:ascii="仿宋" w:hAnsi="仿宋" w:eastAsia="仿宋" w:cs="仿宋"/>
          <w:b/>
          <w:kern w:val="0"/>
          <w:sz w:val="32"/>
          <w:szCs w:val="32"/>
        </w:rPr>
        <w:t>三、</w:t>
      </w:r>
      <w:r>
        <w:rPr>
          <w:rFonts w:hint="eastAsia" w:ascii="仿宋" w:hAnsi="仿宋" w:eastAsia="仿宋" w:cs="黑体"/>
          <w:b/>
          <w:kern w:val="0"/>
          <w:sz w:val="30"/>
          <w:szCs w:val="30"/>
        </w:rPr>
        <w:t>机关运行经费</w:t>
      </w:r>
    </w:p>
    <w:p w14:paraId="088E358B">
      <w:pPr>
        <w:spacing w:line="288" w:lineRule="auto"/>
        <w:ind w:firstLine="640" w:firstLineChars="200"/>
        <w:outlineLvl w:val="0"/>
        <w:rPr>
          <w:rFonts w:ascii="仿宋" w:hAnsi="仿宋" w:eastAsia="仿宋" w:cs="Vijaya"/>
          <w:sz w:val="32"/>
          <w:szCs w:val="32"/>
        </w:rPr>
      </w:pPr>
      <w:r>
        <w:rPr>
          <w:rFonts w:hint="eastAsia" w:ascii="仿宋" w:hAnsi="仿宋" w:eastAsia="仿宋" w:cs="仿宋"/>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 w:hAnsi="仿宋" w:eastAsia="仿宋" w:cs="Vijaya"/>
          <w:sz w:val="32"/>
          <w:szCs w:val="32"/>
        </w:rPr>
        <w:t>机关运行经费支出口径与部门决算一般公共预算财政拨款基本支出中公用经费之和一致。</w:t>
      </w:r>
    </w:p>
    <w:p w14:paraId="0C781D6C">
      <w:pPr>
        <w:autoSpaceDE w:val="0"/>
        <w:autoSpaceDN w:val="0"/>
        <w:adjustRightInd w:val="0"/>
        <w:spacing w:line="240" w:lineRule="auto"/>
        <w:jc w:val="left"/>
        <w:rPr>
          <w:rFonts w:ascii="仿宋" w:hAnsi="仿宋" w:eastAsia="仿宋" w:cs="黑体"/>
          <w:b/>
          <w:kern w:val="0"/>
          <w:sz w:val="32"/>
          <w:szCs w:val="32"/>
        </w:rPr>
      </w:pPr>
      <w:r>
        <w:rPr>
          <w:rFonts w:hint="eastAsia" w:ascii="仿宋" w:hAnsi="仿宋" w:eastAsia="仿宋" w:cs="黑体"/>
          <w:b/>
          <w:kern w:val="0"/>
          <w:sz w:val="32"/>
          <w:szCs w:val="32"/>
        </w:rPr>
        <w:t xml:space="preserve"> 四、“三公”经费</w:t>
      </w:r>
    </w:p>
    <w:p w14:paraId="0DEBF4B9">
      <w:pPr>
        <w:autoSpaceDE w:val="0"/>
        <w:autoSpaceDN w:val="0"/>
        <w:adjustRightInd w:val="0"/>
        <w:spacing w:line="24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纳入地方财政预算管理的“三公”经费，是指部门用地方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8BC326E">
      <w:pPr>
        <w:rPr>
          <w:rFonts w:ascii="仿宋" w:hAnsi="仿宋" w:eastAsia="仿宋"/>
          <w:sz w:val="32"/>
        </w:rPr>
      </w:pPr>
    </w:p>
    <w:p w14:paraId="0B3B772E">
      <w:pPr>
        <w:rPr>
          <w:rFonts w:ascii="仿宋" w:hAnsi="仿宋" w:eastAsia="仿宋"/>
          <w:sz w:val="32"/>
        </w:rPr>
      </w:pPr>
    </w:p>
    <w:p w14:paraId="645232D1">
      <w:pPr>
        <w:rPr>
          <w:rFonts w:hint="eastAsia" w:ascii="仿宋" w:hAnsi="仿宋" w:eastAsia="仿宋" w:cs="Times New Roman"/>
          <w:sz w:val="32"/>
        </w:rPr>
      </w:pPr>
    </w:p>
    <w:p w14:paraId="56BCAAF4">
      <w:pPr>
        <w:rPr>
          <w:rFonts w:hint="eastAsia" w:ascii="仿宋" w:hAnsi="仿宋" w:eastAsia="仿宋" w:cs="Times New Roman"/>
          <w:sz w:val="32"/>
        </w:rPr>
      </w:pPr>
    </w:p>
    <w:p w14:paraId="75AAEB2E">
      <w:pPr>
        <w:rPr>
          <w:rFonts w:hint="eastAsia" w:ascii="仿宋" w:hAnsi="仿宋" w:eastAsia="仿宋" w:cs="Times New Roman"/>
          <w:sz w:val="32"/>
        </w:rPr>
      </w:pPr>
    </w:p>
    <w:p w14:paraId="699F2717">
      <w:pPr>
        <w:rPr>
          <w:rFonts w:hint="eastAsia" w:ascii="仿宋" w:hAnsi="仿宋" w:eastAsia="仿宋" w:cs="Times New Roman"/>
          <w:sz w:val="32"/>
        </w:rPr>
      </w:pPr>
    </w:p>
    <w:p w14:paraId="7480DB8E">
      <w:pPr>
        <w:rPr>
          <w:rFonts w:hint="eastAsia" w:ascii="仿宋" w:hAnsi="仿宋" w:eastAsia="仿宋" w:cs="Times New Roman"/>
          <w:sz w:val="32"/>
        </w:rPr>
      </w:pPr>
    </w:p>
    <w:p w14:paraId="15205B6B">
      <w:pPr>
        <w:rPr>
          <w:rFonts w:hint="eastAsia" w:ascii="仿宋" w:hAnsi="仿宋" w:eastAsia="仿宋" w:cs="Times New Roman"/>
          <w:sz w:val="32"/>
        </w:rPr>
      </w:pPr>
    </w:p>
    <w:p w14:paraId="56BF5276">
      <w:pPr>
        <w:rPr>
          <w:rFonts w:hint="eastAsia" w:ascii="仿宋" w:hAnsi="仿宋" w:eastAsia="仿宋" w:cs="Times New Roman"/>
          <w:sz w:val="32"/>
        </w:rPr>
      </w:pPr>
    </w:p>
    <w:p w14:paraId="32ECEE2B">
      <w:pPr>
        <w:rPr>
          <w:rFonts w:ascii="仿宋" w:hAnsi="仿宋" w:eastAsia="仿宋" w:cs="Times New Roman"/>
          <w:sz w:val="32"/>
        </w:rPr>
      </w:pPr>
    </w:p>
    <w:p w14:paraId="5186F5EA">
      <w:pPr>
        <w:autoSpaceDE w:val="0"/>
        <w:autoSpaceDN w:val="0"/>
        <w:adjustRightInd w:val="0"/>
        <w:spacing w:line="240" w:lineRule="auto"/>
        <w:jc w:val="center"/>
        <w:rPr>
          <w:rFonts w:ascii="黑体" w:hAnsi="黑体" w:eastAsia="黑体" w:cs="黑体"/>
          <w:kern w:val="0"/>
          <w:sz w:val="36"/>
          <w:szCs w:val="36"/>
        </w:rPr>
      </w:pPr>
      <w:r>
        <w:rPr>
          <w:rFonts w:hint="eastAsia" w:ascii="黑体" w:hAnsi="黑体" w:eastAsia="黑体" w:cs="黑体"/>
          <w:kern w:val="0"/>
          <w:sz w:val="36"/>
          <w:szCs w:val="36"/>
        </w:rPr>
        <w:t>第二部分  湛江市国土资源局2018年度部门预算表</w:t>
      </w:r>
    </w:p>
    <w:p w14:paraId="33CA6945">
      <w:pPr>
        <w:autoSpaceDE w:val="0"/>
        <w:autoSpaceDN w:val="0"/>
        <w:adjustRightInd w:val="0"/>
        <w:spacing w:line="240" w:lineRule="auto"/>
        <w:jc w:val="left"/>
        <w:rPr>
          <w:rFonts w:ascii="仿宋" w:hAnsi="仿宋" w:eastAsia="仿宋" w:cs="仿宋_GB2312"/>
          <w:kern w:val="0"/>
          <w:sz w:val="32"/>
          <w:szCs w:val="32"/>
        </w:rPr>
      </w:pPr>
    </w:p>
    <w:p w14:paraId="17F06F62">
      <w:pPr>
        <w:autoSpaceDE w:val="0"/>
        <w:autoSpaceDN w:val="0"/>
        <w:adjustRightInd w:val="0"/>
        <w:spacing w:line="240" w:lineRule="auto"/>
        <w:jc w:val="left"/>
        <w:rPr>
          <w:rFonts w:ascii="仿宋" w:hAnsi="仿宋" w:eastAsia="仿宋" w:cs="仿宋_GB2312"/>
          <w:kern w:val="0"/>
          <w:sz w:val="32"/>
          <w:szCs w:val="32"/>
        </w:rPr>
      </w:pPr>
    </w:p>
    <w:p w14:paraId="747CFC7A">
      <w:pPr>
        <w:autoSpaceDE w:val="0"/>
        <w:autoSpaceDN w:val="0"/>
        <w:adjustRightInd w:val="0"/>
        <w:spacing w:line="240" w:lineRule="auto"/>
        <w:jc w:val="left"/>
        <w:rPr>
          <w:rFonts w:ascii="仿宋" w:hAnsi="仿宋" w:eastAsia="仿宋" w:cs="仿宋_GB2312"/>
          <w:kern w:val="0"/>
          <w:sz w:val="32"/>
          <w:szCs w:val="32"/>
        </w:rPr>
      </w:pPr>
    </w:p>
    <w:p w14:paraId="459D8563">
      <w:pPr>
        <w:autoSpaceDE w:val="0"/>
        <w:autoSpaceDN w:val="0"/>
        <w:adjustRightInd w:val="0"/>
        <w:spacing w:line="240" w:lineRule="auto"/>
        <w:jc w:val="left"/>
        <w:rPr>
          <w:rFonts w:ascii="仿宋" w:hAnsi="仿宋" w:eastAsia="仿宋" w:cs="仿宋_GB2312"/>
          <w:kern w:val="0"/>
          <w:sz w:val="32"/>
          <w:szCs w:val="32"/>
        </w:rPr>
      </w:pPr>
    </w:p>
    <w:p w14:paraId="127C1971">
      <w:pPr>
        <w:autoSpaceDE w:val="0"/>
        <w:autoSpaceDN w:val="0"/>
        <w:adjustRightInd w:val="0"/>
        <w:spacing w:line="240" w:lineRule="auto"/>
        <w:jc w:val="left"/>
        <w:rPr>
          <w:rFonts w:ascii="仿宋" w:hAnsi="仿宋" w:eastAsia="仿宋" w:cs="仿宋_GB2312"/>
          <w:kern w:val="0"/>
          <w:sz w:val="32"/>
          <w:szCs w:val="32"/>
        </w:rPr>
      </w:pPr>
    </w:p>
    <w:p w14:paraId="1EC9423D">
      <w:pPr>
        <w:autoSpaceDE w:val="0"/>
        <w:autoSpaceDN w:val="0"/>
        <w:adjustRightInd w:val="0"/>
        <w:spacing w:line="240" w:lineRule="auto"/>
        <w:jc w:val="left"/>
        <w:rPr>
          <w:rFonts w:ascii="仿宋" w:hAnsi="仿宋" w:eastAsia="仿宋" w:cs="仿宋_GB2312"/>
          <w:kern w:val="0"/>
          <w:sz w:val="32"/>
          <w:szCs w:val="32"/>
        </w:rPr>
      </w:pPr>
    </w:p>
    <w:p w14:paraId="33BF05D2">
      <w:pPr>
        <w:autoSpaceDE w:val="0"/>
        <w:autoSpaceDN w:val="0"/>
        <w:adjustRightInd w:val="0"/>
        <w:spacing w:line="240" w:lineRule="auto"/>
        <w:jc w:val="left"/>
        <w:rPr>
          <w:rFonts w:ascii="仿宋" w:hAnsi="仿宋" w:eastAsia="仿宋" w:cs="仿宋_GB2312"/>
          <w:kern w:val="0"/>
          <w:sz w:val="32"/>
          <w:szCs w:val="32"/>
        </w:rPr>
      </w:pPr>
    </w:p>
    <w:p w14:paraId="6628531B">
      <w:pPr>
        <w:autoSpaceDE w:val="0"/>
        <w:autoSpaceDN w:val="0"/>
        <w:adjustRightInd w:val="0"/>
        <w:spacing w:line="240" w:lineRule="auto"/>
        <w:jc w:val="left"/>
        <w:rPr>
          <w:rFonts w:ascii="仿宋" w:hAnsi="仿宋" w:eastAsia="仿宋" w:cs="仿宋_GB2312"/>
          <w:kern w:val="0"/>
          <w:sz w:val="32"/>
          <w:szCs w:val="32"/>
        </w:rPr>
      </w:pPr>
    </w:p>
    <w:p w14:paraId="3752475E">
      <w:pPr>
        <w:autoSpaceDE w:val="0"/>
        <w:autoSpaceDN w:val="0"/>
        <w:adjustRightInd w:val="0"/>
        <w:spacing w:line="240" w:lineRule="auto"/>
        <w:jc w:val="left"/>
        <w:rPr>
          <w:rFonts w:ascii="仿宋" w:hAnsi="仿宋" w:eastAsia="仿宋" w:cs="仿宋_GB2312"/>
          <w:kern w:val="0"/>
          <w:sz w:val="32"/>
          <w:szCs w:val="32"/>
        </w:rPr>
      </w:pPr>
    </w:p>
    <w:p w14:paraId="7D9E1058">
      <w:pPr>
        <w:autoSpaceDE w:val="0"/>
        <w:autoSpaceDN w:val="0"/>
        <w:adjustRightInd w:val="0"/>
        <w:spacing w:line="240" w:lineRule="auto"/>
        <w:jc w:val="left"/>
        <w:rPr>
          <w:rFonts w:ascii="仿宋" w:hAnsi="仿宋" w:eastAsia="仿宋" w:cs="仿宋_GB2312"/>
          <w:kern w:val="0"/>
          <w:sz w:val="32"/>
          <w:szCs w:val="32"/>
        </w:rPr>
      </w:pPr>
    </w:p>
    <w:p w14:paraId="3F0E5ECB">
      <w:pPr>
        <w:autoSpaceDE w:val="0"/>
        <w:autoSpaceDN w:val="0"/>
        <w:adjustRightInd w:val="0"/>
        <w:spacing w:line="240" w:lineRule="auto"/>
        <w:jc w:val="left"/>
        <w:rPr>
          <w:rFonts w:ascii="仿宋" w:hAnsi="仿宋" w:eastAsia="仿宋" w:cs="仿宋_GB2312"/>
          <w:kern w:val="0"/>
          <w:sz w:val="32"/>
          <w:szCs w:val="32"/>
        </w:rPr>
      </w:pPr>
    </w:p>
    <w:p w14:paraId="6B5C225B">
      <w:pPr>
        <w:autoSpaceDE w:val="0"/>
        <w:autoSpaceDN w:val="0"/>
        <w:adjustRightInd w:val="0"/>
        <w:spacing w:line="240" w:lineRule="auto"/>
        <w:jc w:val="left"/>
        <w:rPr>
          <w:rFonts w:ascii="仿宋" w:hAnsi="仿宋" w:eastAsia="仿宋" w:cs="仿宋_GB2312"/>
          <w:kern w:val="0"/>
          <w:sz w:val="32"/>
          <w:szCs w:val="32"/>
        </w:rPr>
      </w:pPr>
    </w:p>
    <w:p w14:paraId="2012C605">
      <w:pPr>
        <w:autoSpaceDE w:val="0"/>
        <w:autoSpaceDN w:val="0"/>
        <w:adjustRightInd w:val="0"/>
        <w:spacing w:line="240" w:lineRule="auto"/>
        <w:jc w:val="left"/>
        <w:rPr>
          <w:rFonts w:ascii="仿宋" w:hAnsi="仿宋" w:eastAsia="仿宋" w:cs="仿宋_GB2312"/>
          <w:kern w:val="0"/>
          <w:sz w:val="32"/>
          <w:szCs w:val="32"/>
        </w:rPr>
      </w:pPr>
    </w:p>
    <w:p w14:paraId="4E1FF404">
      <w:pPr>
        <w:autoSpaceDE w:val="0"/>
        <w:autoSpaceDN w:val="0"/>
        <w:adjustRightInd w:val="0"/>
        <w:spacing w:line="240" w:lineRule="auto"/>
        <w:jc w:val="left"/>
        <w:rPr>
          <w:rFonts w:ascii="仿宋" w:hAnsi="仿宋" w:eastAsia="仿宋" w:cs="仿宋_GB2312"/>
          <w:kern w:val="0"/>
          <w:sz w:val="32"/>
          <w:szCs w:val="32"/>
        </w:rPr>
      </w:pPr>
    </w:p>
    <w:p w14:paraId="2669105A">
      <w:pPr>
        <w:autoSpaceDE w:val="0"/>
        <w:autoSpaceDN w:val="0"/>
        <w:adjustRightInd w:val="0"/>
        <w:spacing w:line="240" w:lineRule="auto"/>
        <w:jc w:val="left"/>
        <w:rPr>
          <w:rFonts w:ascii="仿宋" w:hAnsi="仿宋" w:eastAsia="仿宋" w:cs="仿宋_GB2312"/>
          <w:kern w:val="0"/>
          <w:sz w:val="32"/>
          <w:szCs w:val="32"/>
        </w:rPr>
      </w:pPr>
    </w:p>
    <w:p w14:paraId="1B40A072">
      <w:pPr>
        <w:autoSpaceDE w:val="0"/>
        <w:autoSpaceDN w:val="0"/>
        <w:adjustRightInd w:val="0"/>
        <w:spacing w:line="240" w:lineRule="auto"/>
        <w:jc w:val="left"/>
        <w:rPr>
          <w:rFonts w:ascii="仿宋" w:hAnsi="仿宋" w:eastAsia="仿宋" w:cs="仿宋_GB2312"/>
          <w:kern w:val="0"/>
          <w:sz w:val="32"/>
          <w:szCs w:val="32"/>
        </w:rPr>
      </w:pPr>
    </w:p>
    <w:p w14:paraId="2DBA932E">
      <w:pPr>
        <w:autoSpaceDE w:val="0"/>
        <w:autoSpaceDN w:val="0"/>
        <w:adjustRightInd w:val="0"/>
        <w:spacing w:line="240" w:lineRule="auto"/>
        <w:jc w:val="left"/>
        <w:rPr>
          <w:rFonts w:ascii="仿宋" w:hAnsi="仿宋" w:eastAsia="仿宋" w:cs="仿宋_GB2312"/>
          <w:kern w:val="0"/>
          <w:sz w:val="32"/>
          <w:szCs w:val="32"/>
        </w:rPr>
      </w:pPr>
      <w:r>
        <w:rPr>
          <w:rFonts w:ascii="仿宋" w:hAnsi="仿宋" w:eastAsia="仿宋" w:cs="仿宋_GB2312"/>
          <w:kern w:val="0"/>
          <w:sz w:val="32"/>
          <w:szCs w:val="32"/>
        </w:rPr>
        <w:t>表一：</w:t>
      </w:r>
    </w:p>
    <w:p w14:paraId="12A5DD9F">
      <w:pPr>
        <w:autoSpaceDE w:val="0"/>
        <w:autoSpaceDN w:val="0"/>
        <w:adjustRightInd w:val="0"/>
        <w:spacing w:line="240" w:lineRule="auto"/>
        <w:jc w:val="center"/>
        <w:rPr>
          <w:rFonts w:ascii="黑体" w:hAnsi="黑体" w:eastAsia="黑体" w:cs="黑体"/>
          <w:kern w:val="0"/>
          <w:sz w:val="36"/>
          <w:szCs w:val="36"/>
        </w:rPr>
      </w:pPr>
      <w:r>
        <w:rPr>
          <w:rFonts w:ascii="黑体" w:hAnsi="黑体" w:eastAsia="黑体" w:cs="黑体"/>
          <w:kern w:val="0"/>
          <w:sz w:val="36"/>
          <w:szCs w:val="36"/>
        </w:rPr>
        <w:object>
          <v:shape id="_x0000_i1025" o:spt="75" type="#_x0000_t75" style="height:488.25pt;width:450.75pt;" o:ole="t" filled="f" o:preferrelative="t" stroked="f" coordsize="21600,21600">
            <v:path/>
            <v:fill on="f" focussize="0,0"/>
            <v:stroke on="f" joinstyle="miter"/>
            <v:imagedata r:id="rId11" o:title=""/>
            <o:lock v:ext="edit" aspectratio="t"/>
            <w10:wrap type="none"/>
            <w10:anchorlock/>
          </v:shape>
          <o:OLEObject Type="Embed" ProgID="Excel.Sheet.12" ShapeID="_x0000_i1025" DrawAspect="Content" ObjectID="_1468075725" r:id="rId10">
            <o:LockedField>false</o:LockedField>
          </o:OLEObject>
        </w:object>
      </w:r>
    </w:p>
    <w:p w14:paraId="338A2629">
      <w:pPr>
        <w:autoSpaceDE w:val="0"/>
        <w:autoSpaceDN w:val="0"/>
        <w:adjustRightInd w:val="0"/>
        <w:spacing w:line="240" w:lineRule="auto"/>
        <w:jc w:val="center"/>
        <w:rPr>
          <w:rFonts w:ascii="黑体" w:hAnsi="黑体" w:eastAsia="黑体" w:cs="黑体"/>
          <w:kern w:val="0"/>
          <w:sz w:val="36"/>
          <w:szCs w:val="36"/>
        </w:rPr>
      </w:pPr>
    </w:p>
    <w:p w14:paraId="11862B05">
      <w:pPr>
        <w:autoSpaceDE w:val="0"/>
        <w:autoSpaceDN w:val="0"/>
        <w:adjustRightInd w:val="0"/>
        <w:spacing w:line="240" w:lineRule="auto"/>
        <w:jc w:val="center"/>
        <w:rPr>
          <w:rFonts w:ascii="黑体" w:hAnsi="黑体" w:eastAsia="黑体" w:cs="黑体"/>
          <w:kern w:val="0"/>
          <w:sz w:val="36"/>
          <w:szCs w:val="36"/>
        </w:rPr>
      </w:pPr>
    </w:p>
    <w:p w14:paraId="4E6DEF09">
      <w:pPr>
        <w:autoSpaceDE w:val="0"/>
        <w:autoSpaceDN w:val="0"/>
        <w:adjustRightInd w:val="0"/>
        <w:spacing w:line="240" w:lineRule="auto"/>
        <w:jc w:val="center"/>
        <w:rPr>
          <w:rFonts w:ascii="黑体" w:hAnsi="黑体" w:eastAsia="黑体" w:cs="黑体"/>
          <w:kern w:val="0"/>
          <w:sz w:val="36"/>
          <w:szCs w:val="36"/>
        </w:rPr>
      </w:pPr>
    </w:p>
    <w:p w14:paraId="1C5E2BD1">
      <w:pPr>
        <w:autoSpaceDE w:val="0"/>
        <w:autoSpaceDN w:val="0"/>
        <w:adjustRightInd w:val="0"/>
        <w:spacing w:line="240" w:lineRule="auto"/>
        <w:jc w:val="left"/>
        <w:rPr>
          <w:rFonts w:ascii="仿宋" w:hAnsi="仿宋" w:eastAsia="仿宋" w:cs="仿宋_GB2312"/>
          <w:kern w:val="0"/>
          <w:sz w:val="32"/>
          <w:szCs w:val="32"/>
        </w:rPr>
      </w:pPr>
    </w:p>
    <w:p w14:paraId="4BF95CB2">
      <w:pPr>
        <w:autoSpaceDE w:val="0"/>
        <w:autoSpaceDN w:val="0"/>
        <w:adjustRightInd w:val="0"/>
        <w:spacing w:line="240" w:lineRule="auto"/>
        <w:jc w:val="left"/>
        <w:rPr>
          <w:rFonts w:ascii="仿宋" w:hAnsi="仿宋" w:eastAsia="仿宋" w:cs="仿宋_GB2312"/>
          <w:kern w:val="0"/>
          <w:sz w:val="32"/>
          <w:szCs w:val="32"/>
        </w:rPr>
      </w:pPr>
    </w:p>
    <w:p w14:paraId="2833845E">
      <w:pPr>
        <w:autoSpaceDE w:val="0"/>
        <w:autoSpaceDN w:val="0"/>
        <w:adjustRightInd w:val="0"/>
        <w:spacing w:line="240" w:lineRule="auto"/>
        <w:jc w:val="left"/>
        <w:rPr>
          <w:rFonts w:ascii="仿宋" w:hAnsi="仿宋" w:eastAsia="仿宋" w:cs="仿宋_GB2312"/>
          <w:kern w:val="0"/>
          <w:sz w:val="32"/>
          <w:szCs w:val="32"/>
        </w:rPr>
      </w:pPr>
      <w:r>
        <w:rPr>
          <w:rFonts w:ascii="仿宋" w:hAnsi="仿宋" w:eastAsia="仿宋" w:cs="仿宋_GB2312"/>
          <w:kern w:val="0"/>
          <w:sz w:val="32"/>
          <w:szCs w:val="32"/>
        </w:rPr>
        <w:t>表二：</w:t>
      </w:r>
    </w:p>
    <w:p w14:paraId="0EC8F3F2">
      <w:pPr>
        <w:autoSpaceDE w:val="0"/>
        <w:autoSpaceDN w:val="0"/>
        <w:adjustRightInd w:val="0"/>
        <w:spacing w:line="240" w:lineRule="auto"/>
        <w:jc w:val="left"/>
        <w:rPr>
          <w:rFonts w:ascii="仿宋" w:hAnsi="仿宋" w:eastAsia="仿宋" w:cs="仿宋_GB2312"/>
          <w:kern w:val="0"/>
          <w:sz w:val="32"/>
          <w:szCs w:val="32"/>
        </w:rPr>
      </w:pPr>
      <w:r>
        <w:rPr>
          <w:rFonts w:ascii="仿宋" w:hAnsi="仿宋" w:eastAsia="仿宋" w:cs="仿宋_GB2312"/>
          <w:kern w:val="0"/>
          <w:sz w:val="32"/>
          <w:szCs w:val="32"/>
        </w:rPr>
        <w:object>
          <v:shape id="_x0000_i1026" o:spt="75" type="#_x0000_t75" style="height:624.75pt;width:449.25pt;" o:ole="t" filled="f" o:preferrelative="t" stroked="f" coordsize="21600,21600">
            <v:path/>
            <v:fill on="f" focussize="0,0"/>
            <v:stroke on="f" joinstyle="miter"/>
            <v:imagedata r:id="rId13" o:title=""/>
            <o:lock v:ext="edit" aspectratio="t"/>
            <w10:wrap type="none"/>
            <w10:anchorlock/>
          </v:shape>
          <o:OLEObject Type="Embed" ProgID="Excel.Sheet.12" ShapeID="_x0000_i1026" DrawAspect="Content" ObjectID="_1468075726" r:id="rId12">
            <o:LockedField>false</o:LockedField>
          </o:OLEObject>
        </w:object>
      </w:r>
    </w:p>
    <w:p w14:paraId="6349C183">
      <w:pPr>
        <w:autoSpaceDE w:val="0"/>
        <w:autoSpaceDN w:val="0"/>
        <w:adjustRightInd w:val="0"/>
        <w:spacing w:line="240" w:lineRule="auto"/>
        <w:jc w:val="left"/>
        <w:rPr>
          <w:rFonts w:ascii="仿宋" w:hAnsi="仿宋" w:eastAsia="仿宋" w:cs="仿宋_GB2312"/>
          <w:kern w:val="0"/>
          <w:sz w:val="32"/>
          <w:szCs w:val="32"/>
        </w:rPr>
      </w:pPr>
    </w:p>
    <w:p w14:paraId="5FBF8A60">
      <w:pPr>
        <w:autoSpaceDE w:val="0"/>
        <w:autoSpaceDN w:val="0"/>
        <w:adjustRightInd w:val="0"/>
        <w:spacing w:line="240" w:lineRule="auto"/>
        <w:jc w:val="left"/>
        <w:rPr>
          <w:rFonts w:ascii="仿宋" w:hAnsi="仿宋" w:eastAsia="仿宋" w:cs="仿宋_GB2312"/>
          <w:kern w:val="0"/>
          <w:sz w:val="32"/>
          <w:szCs w:val="32"/>
        </w:rPr>
      </w:pPr>
      <w:r>
        <w:rPr>
          <w:rFonts w:ascii="仿宋" w:hAnsi="仿宋" w:eastAsia="仿宋" w:cs="仿宋_GB2312"/>
          <w:kern w:val="0"/>
          <w:sz w:val="32"/>
          <w:szCs w:val="32"/>
        </w:rPr>
        <w:t>表三：</w:t>
      </w:r>
    </w:p>
    <w:p w14:paraId="623E0505">
      <w:pPr>
        <w:autoSpaceDE w:val="0"/>
        <w:autoSpaceDN w:val="0"/>
        <w:adjustRightInd w:val="0"/>
        <w:spacing w:line="240" w:lineRule="auto"/>
        <w:jc w:val="left"/>
        <w:rPr>
          <w:rFonts w:ascii="黑体" w:hAnsi="黑体" w:eastAsia="黑体" w:cs="黑体"/>
          <w:kern w:val="0"/>
          <w:sz w:val="36"/>
          <w:szCs w:val="36"/>
        </w:rPr>
      </w:pPr>
      <w:r>
        <w:rPr>
          <w:rFonts w:ascii="黑体" w:hAnsi="黑体" w:eastAsia="黑体" w:cs="黑体"/>
          <w:kern w:val="0"/>
          <w:sz w:val="36"/>
          <w:szCs w:val="36"/>
        </w:rPr>
        <w:object>
          <v:shape id="_x0000_i1027" o:spt="75" type="#_x0000_t75" style="height:641.25pt;width:441.75pt;" o:ole="t" filled="f" o:preferrelative="t" stroked="f" coordsize="21600,21600">
            <v:path/>
            <v:fill on="f" focussize="0,0"/>
            <v:stroke on="f" joinstyle="miter"/>
            <v:imagedata r:id="rId15" o:title=""/>
            <o:lock v:ext="edit" aspectratio="t"/>
            <w10:wrap type="none"/>
            <w10:anchorlock/>
          </v:shape>
          <o:OLEObject Type="Embed" ProgID="Excel.Sheet.12" ShapeID="_x0000_i1027" DrawAspect="Content" ObjectID="_1468075727" r:id="rId14">
            <o:LockedField>false</o:LockedField>
          </o:OLEObject>
        </w:object>
      </w:r>
    </w:p>
    <w:p w14:paraId="508EC809">
      <w:pPr>
        <w:autoSpaceDE w:val="0"/>
        <w:autoSpaceDN w:val="0"/>
        <w:adjustRightInd w:val="0"/>
        <w:spacing w:line="240" w:lineRule="auto"/>
        <w:jc w:val="left"/>
        <w:rPr>
          <w:rFonts w:ascii="黑体" w:hAnsi="黑体" w:eastAsia="黑体" w:cs="黑体"/>
          <w:kern w:val="0"/>
          <w:sz w:val="36"/>
          <w:szCs w:val="36"/>
        </w:rPr>
      </w:pPr>
      <w:r>
        <w:rPr>
          <w:rFonts w:ascii="仿宋" w:hAnsi="仿宋" w:eastAsia="仿宋" w:cs="仿宋_GB2312"/>
          <w:kern w:val="0"/>
          <w:sz w:val="32"/>
          <w:szCs w:val="32"/>
        </w:rPr>
        <w:t>表</w:t>
      </w:r>
      <w:r>
        <w:rPr>
          <w:rFonts w:hint="eastAsia" w:ascii="仿宋" w:hAnsi="仿宋" w:eastAsia="仿宋" w:cs="仿宋_GB2312"/>
          <w:kern w:val="0"/>
          <w:sz w:val="32"/>
          <w:szCs w:val="32"/>
        </w:rPr>
        <w:t>四</w:t>
      </w:r>
      <w:r>
        <w:rPr>
          <w:rFonts w:ascii="仿宋" w:hAnsi="仿宋" w:eastAsia="仿宋" w:cs="仿宋_GB2312"/>
          <w:kern w:val="0"/>
          <w:sz w:val="32"/>
          <w:szCs w:val="32"/>
        </w:rPr>
        <w:t>：</w:t>
      </w:r>
    </w:p>
    <w:p w14:paraId="7B46FC58">
      <w:pPr>
        <w:autoSpaceDE w:val="0"/>
        <w:autoSpaceDN w:val="0"/>
        <w:adjustRightInd w:val="0"/>
        <w:spacing w:line="240" w:lineRule="auto"/>
        <w:jc w:val="left"/>
        <w:rPr>
          <w:rFonts w:ascii="黑体" w:hAnsi="黑体" w:eastAsia="黑体" w:cs="黑体"/>
          <w:kern w:val="0"/>
          <w:sz w:val="36"/>
          <w:szCs w:val="36"/>
        </w:rPr>
      </w:pPr>
      <w:r>
        <w:rPr>
          <w:rFonts w:ascii="黑体" w:hAnsi="黑体" w:eastAsia="黑体" w:cs="黑体"/>
          <w:kern w:val="0"/>
          <w:sz w:val="36"/>
          <w:szCs w:val="36"/>
        </w:rPr>
        <w:object>
          <v:shape id="_x0000_i1028" o:spt="75" type="#_x0000_t75" style="height:417.75pt;width:438.75pt;" o:ole="t" filled="f" o:preferrelative="t" stroked="f" coordsize="21600,21600">
            <v:path/>
            <v:fill on="f" focussize="0,0"/>
            <v:stroke on="f" joinstyle="miter"/>
            <v:imagedata r:id="rId17" o:title=""/>
            <o:lock v:ext="edit" aspectratio="t"/>
            <w10:wrap type="none"/>
            <w10:anchorlock/>
          </v:shape>
          <o:OLEObject Type="Embed" ProgID="Excel.Sheet.12" ShapeID="_x0000_i1028" DrawAspect="Content" ObjectID="_1468075728" r:id="rId16">
            <o:LockedField>false</o:LockedField>
          </o:OLEObject>
        </w:object>
      </w:r>
    </w:p>
    <w:p w14:paraId="71D9CDBA">
      <w:pPr>
        <w:autoSpaceDE w:val="0"/>
        <w:autoSpaceDN w:val="0"/>
        <w:adjustRightInd w:val="0"/>
        <w:spacing w:line="240" w:lineRule="auto"/>
        <w:jc w:val="left"/>
        <w:rPr>
          <w:rFonts w:ascii="黑体" w:hAnsi="黑体" w:eastAsia="黑体" w:cs="黑体"/>
          <w:kern w:val="0"/>
          <w:sz w:val="36"/>
          <w:szCs w:val="36"/>
        </w:rPr>
      </w:pPr>
    </w:p>
    <w:p w14:paraId="232886BE">
      <w:pPr>
        <w:autoSpaceDE w:val="0"/>
        <w:autoSpaceDN w:val="0"/>
        <w:adjustRightInd w:val="0"/>
        <w:spacing w:line="240" w:lineRule="auto"/>
        <w:jc w:val="left"/>
        <w:rPr>
          <w:rFonts w:ascii="黑体" w:hAnsi="黑体" w:eastAsia="黑体" w:cs="黑体"/>
          <w:kern w:val="0"/>
          <w:sz w:val="36"/>
          <w:szCs w:val="36"/>
        </w:rPr>
      </w:pPr>
    </w:p>
    <w:p w14:paraId="17C81AA1">
      <w:pPr>
        <w:autoSpaceDE w:val="0"/>
        <w:autoSpaceDN w:val="0"/>
        <w:adjustRightInd w:val="0"/>
        <w:spacing w:line="240" w:lineRule="auto"/>
        <w:jc w:val="left"/>
        <w:rPr>
          <w:rFonts w:ascii="黑体" w:hAnsi="黑体" w:eastAsia="黑体" w:cs="黑体"/>
          <w:kern w:val="0"/>
          <w:sz w:val="36"/>
          <w:szCs w:val="36"/>
        </w:rPr>
      </w:pPr>
    </w:p>
    <w:p w14:paraId="5B98DEE3">
      <w:pPr>
        <w:autoSpaceDE w:val="0"/>
        <w:autoSpaceDN w:val="0"/>
        <w:adjustRightInd w:val="0"/>
        <w:spacing w:line="240" w:lineRule="auto"/>
        <w:jc w:val="left"/>
        <w:rPr>
          <w:rFonts w:ascii="黑体" w:hAnsi="黑体" w:eastAsia="黑体" w:cs="黑体"/>
          <w:kern w:val="0"/>
          <w:sz w:val="36"/>
          <w:szCs w:val="36"/>
        </w:rPr>
      </w:pPr>
    </w:p>
    <w:p w14:paraId="4BD8FD20">
      <w:pPr>
        <w:autoSpaceDE w:val="0"/>
        <w:autoSpaceDN w:val="0"/>
        <w:adjustRightInd w:val="0"/>
        <w:spacing w:line="240" w:lineRule="auto"/>
        <w:jc w:val="left"/>
        <w:rPr>
          <w:rFonts w:ascii="黑体" w:hAnsi="黑体" w:eastAsia="黑体" w:cs="黑体"/>
          <w:kern w:val="0"/>
          <w:sz w:val="36"/>
          <w:szCs w:val="36"/>
        </w:rPr>
      </w:pPr>
    </w:p>
    <w:p w14:paraId="66A3E37F">
      <w:pPr>
        <w:autoSpaceDE w:val="0"/>
        <w:autoSpaceDN w:val="0"/>
        <w:adjustRightInd w:val="0"/>
        <w:spacing w:line="240" w:lineRule="auto"/>
        <w:jc w:val="left"/>
        <w:rPr>
          <w:rFonts w:ascii="黑体" w:hAnsi="黑体" w:eastAsia="黑体" w:cs="黑体"/>
          <w:kern w:val="0"/>
          <w:sz w:val="36"/>
          <w:szCs w:val="36"/>
        </w:rPr>
      </w:pPr>
    </w:p>
    <w:p w14:paraId="5A38D696">
      <w:pPr>
        <w:autoSpaceDE w:val="0"/>
        <w:autoSpaceDN w:val="0"/>
        <w:adjustRightInd w:val="0"/>
        <w:spacing w:line="240" w:lineRule="auto"/>
        <w:jc w:val="left"/>
        <w:rPr>
          <w:rFonts w:ascii="黑体" w:hAnsi="黑体" w:eastAsia="黑体" w:cs="黑体"/>
          <w:kern w:val="0"/>
          <w:sz w:val="36"/>
          <w:szCs w:val="36"/>
        </w:rPr>
      </w:pPr>
    </w:p>
    <w:p w14:paraId="2D0AC01D">
      <w:pPr>
        <w:autoSpaceDE w:val="0"/>
        <w:autoSpaceDN w:val="0"/>
        <w:adjustRightInd w:val="0"/>
        <w:spacing w:line="240" w:lineRule="auto"/>
        <w:jc w:val="left"/>
        <w:rPr>
          <w:rFonts w:ascii="仿宋" w:hAnsi="仿宋" w:eastAsia="仿宋" w:cs="仿宋_GB2312"/>
          <w:kern w:val="0"/>
          <w:sz w:val="32"/>
          <w:szCs w:val="32"/>
        </w:rPr>
      </w:pPr>
    </w:p>
    <w:p w14:paraId="5EAFE9F3">
      <w:pPr>
        <w:autoSpaceDE w:val="0"/>
        <w:autoSpaceDN w:val="0"/>
        <w:adjustRightInd w:val="0"/>
        <w:spacing w:line="240" w:lineRule="auto"/>
        <w:jc w:val="left"/>
        <w:rPr>
          <w:rFonts w:ascii="黑体" w:hAnsi="黑体" w:eastAsia="黑体" w:cs="黑体"/>
          <w:kern w:val="0"/>
          <w:sz w:val="36"/>
          <w:szCs w:val="36"/>
        </w:rPr>
      </w:pPr>
      <w:r>
        <w:rPr>
          <w:rFonts w:ascii="仿宋" w:hAnsi="仿宋" w:eastAsia="仿宋" w:cs="仿宋_GB2312"/>
          <w:kern w:val="0"/>
          <w:sz w:val="32"/>
          <w:szCs w:val="32"/>
        </w:rPr>
        <w:t>表</w:t>
      </w:r>
      <w:r>
        <w:rPr>
          <w:rFonts w:hint="eastAsia" w:ascii="仿宋" w:hAnsi="仿宋" w:eastAsia="仿宋" w:cs="仿宋_GB2312"/>
          <w:kern w:val="0"/>
          <w:sz w:val="32"/>
          <w:szCs w:val="32"/>
        </w:rPr>
        <w:t>五</w:t>
      </w:r>
      <w:r>
        <w:rPr>
          <w:rFonts w:ascii="仿宋" w:hAnsi="仿宋" w:eastAsia="仿宋" w:cs="仿宋_GB2312"/>
          <w:kern w:val="0"/>
          <w:sz w:val="32"/>
          <w:szCs w:val="32"/>
        </w:rPr>
        <w:t>：</w:t>
      </w:r>
    </w:p>
    <w:p w14:paraId="1FC5A5D1">
      <w:pPr>
        <w:autoSpaceDE w:val="0"/>
        <w:autoSpaceDN w:val="0"/>
        <w:adjustRightInd w:val="0"/>
        <w:spacing w:line="240" w:lineRule="auto"/>
        <w:jc w:val="center"/>
        <w:rPr>
          <w:rFonts w:ascii="黑体" w:hAnsi="黑体" w:eastAsia="黑体" w:cs="黑体"/>
          <w:kern w:val="0"/>
          <w:sz w:val="36"/>
          <w:szCs w:val="36"/>
        </w:rPr>
      </w:pPr>
      <w:r>
        <w:rPr>
          <w:rFonts w:ascii="黑体" w:hAnsi="黑体" w:eastAsia="黑体" w:cs="黑体"/>
          <w:kern w:val="0"/>
          <w:sz w:val="36"/>
          <w:szCs w:val="36"/>
        </w:rPr>
        <w:object>
          <v:shape id="_x0000_i1029" o:spt="75" type="#_x0000_t75" style="height:169.5pt;width:437.25pt;" o:ole="t" filled="f" o:preferrelative="t" stroked="f" coordsize="21600,21600">
            <v:path/>
            <v:fill on="f" focussize="0,0"/>
            <v:stroke on="f" joinstyle="miter"/>
            <v:imagedata r:id="rId19" o:title=""/>
            <o:lock v:ext="edit" aspectratio="t"/>
            <w10:wrap type="none"/>
            <w10:anchorlock/>
          </v:shape>
          <o:OLEObject Type="Embed" ProgID="Excel.Sheet.12" ShapeID="_x0000_i1029" DrawAspect="Content" ObjectID="_1468075729" r:id="rId18">
            <o:LockedField>false</o:LockedField>
          </o:OLEObject>
        </w:object>
      </w:r>
    </w:p>
    <w:p w14:paraId="187F3896">
      <w:pPr>
        <w:autoSpaceDE w:val="0"/>
        <w:autoSpaceDN w:val="0"/>
        <w:adjustRightInd w:val="0"/>
        <w:spacing w:line="240" w:lineRule="auto"/>
        <w:jc w:val="center"/>
        <w:rPr>
          <w:rFonts w:ascii="黑体" w:hAnsi="黑体" w:eastAsia="黑体" w:cs="黑体"/>
          <w:kern w:val="0"/>
          <w:sz w:val="36"/>
          <w:szCs w:val="36"/>
        </w:rPr>
      </w:pPr>
    </w:p>
    <w:p w14:paraId="2B9D950A">
      <w:pPr>
        <w:autoSpaceDE w:val="0"/>
        <w:autoSpaceDN w:val="0"/>
        <w:adjustRightInd w:val="0"/>
        <w:spacing w:line="240" w:lineRule="auto"/>
        <w:jc w:val="left"/>
        <w:rPr>
          <w:rFonts w:ascii="黑体" w:hAnsi="黑体" w:eastAsia="黑体" w:cs="黑体"/>
          <w:b/>
          <w:kern w:val="0"/>
          <w:sz w:val="36"/>
          <w:szCs w:val="36"/>
        </w:rPr>
      </w:pPr>
      <w:r>
        <w:rPr>
          <w:rFonts w:ascii="仿宋" w:hAnsi="仿宋" w:eastAsia="仿宋" w:cs="仿宋_GB2312"/>
          <w:kern w:val="0"/>
          <w:sz w:val="32"/>
          <w:szCs w:val="32"/>
        </w:rPr>
        <w:t>表</w:t>
      </w:r>
      <w:r>
        <w:rPr>
          <w:rFonts w:hint="eastAsia" w:ascii="仿宋" w:hAnsi="仿宋" w:eastAsia="仿宋" w:cs="仿宋_GB2312"/>
          <w:kern w:val="0"/>
          <w:sz w:val="32"/>
          <w:szCs w:val="32"/>
        </w:rPr>
        <w:t>六</w:t>
      </w:r>
      <w:r>
        <w:rPr>
          <w:rFonts w:ascii="仿宋" w:hAnsi="仿宋" w:eastAsia="仿宋" w:cs="仿宋_GB2312"/>
          <w:kern w:val="0"/>
          <w:sz w:val="32"/>
          <w:szCs w:val="32"/>
        </w:rPr>
        <w:t>：</w:t>
      </w:r>
    </w:p>
    <w:p w14:paraId="41E4C862">
      <w:pPr>
        <w:autoSpaceDE w:val="0"/>
        <w:autoSpaceDN w:val="0"/>
        <w:adjustRightInd w:val="0"/>
        <w:spacing w:line="240" w:lineRule="auto"/>
        <w:jc w:val="center"/>
        <w:rPr>
          <w:rFonts w:ascii="黑体" w:hAnsi="黑体" w:eastAsia="黑体" w:cs="黑体"/>
          <w:kern w:val="0"/>
          <w:sz w:val="36"/>
          <w:szCs w:val="36"/>
        </w:rPr>
        <w:sectPr>
          <w:pgSz w:w="11906" w:h="16838"/>
          <w:pgMar w:top="1440" w:right="1800" w:bottom="1440" w:left="1800" w:header="851" w:footer="992" w:gutter="0"/>
          <w:cols w:space="425" w:num="1"/>
          <w:docGrid w:type="lines" w:linePitch="312" w:charSpace="0"/>
        </w:sectPr>
      </w:pPr>
      <w:r>
        <w:rPr>
          <w:rFonts w:ascii="黑体" w:hAnsi="黑体" w:eastAsia="黑体" w:cs="黑体"/>
          <w:kern w:val="0"/>
          <w:sz w:val="36"/>
          <w:szCs w:val="36"/>
        </w:rPr>
        <w:object>
          <v:shape id="_x0000_i1030" o:spt="75" type="#_x0000_t75" style="height:288.75pt;width:437.25pt;" o:ole="t" filled="f" o:preferrelative="t" stroked="f" coordsize="21600,21600">
            <v:path/>
            <v:fill on="f" focussize="0,0"/>
            <v:stroke on="f" joinstyle="miter"/>
            <v:imagedata r:id="rId21" o:title=""/>
            <o:lock v:ext="edit" aspectratio="t"/>
            <w10:wrap type="none"/>
            <w10:anchorlock/>
          </v:shape>
          <o:OLEObject Type="Embed" ProgID="Excel.Sheet.12" ShapeID="_x0000_i1030" DrawAspect="Content" ObjectID="_1468075730" r:id="rId20">
            <o:LockedField>false</o:LockedField>
          </o:OLEObject>
        </w:object>
      </w:r>
    </w:p>
    <w:p w14:paraId="420D16B8">
      <w:pPr>
        <w:autoSpaceDE w:val="0"/>
        <w:autoSpaceDN w:val="0"/>
        <w:adjustRightInd w:val="0"/>
        <w:spacing w:line="240" w:lineRule="auto"/>
        <w:jc w:val="center"/>
        <w:rPr>
          <w:rFonts w:ascii="黑体" w:hAnsi="黑体" w:eastAsia="黑体" w:cs="黑体"/>
          <w:kern w:val="0"/>
          <w:sz w:val="36"/>
          <w:szCs w:val="36"/>
        </w:rPr>
        <w:sectPr>
          <w:pgSz w:w="16838" w:h="11906" w:orient="landscape"/>
          <w:pgMar w:top="1800" w:right="1440" w:bottom="1800" w:left="1440" w:header="851" w:footer="992" w:gutter="0"/>
          <w:cols w:space="425" w:num="1"/>
          <w:docGrid w:type="lines" w:linePitch="312" w:charSpace="0"/>
        </w:sectPr>
      </w:pPr>
      <w:bookmarkStart w:id="0" w:name="_MON_1579858692"/>
      <w:bookmarkEnd w:id="0"/>
      <w:bookmarkStart w:id="1" w:name="_MON_1579863219"/>
      <w:bookmarkEnd w:id="1"/>
      <w:r>
        <w:rPr>
          <w:rFonts w:ascii="黑体" w:hAnsi="黑体" w:eastAsia="黑体" w:cs="黑体"/>
          <w:kern w:val="0"/>
          <w:sz w:val="36"/>
          <w:szCs w:val="36"/>
        </w:rPr>
        <w:object>
          <v:shape id="_x0000_i1031" o:spt="75" type="#_x0000_t75" style="height:402pt;width:699.75pt;" o:ole="t" filled="f" o:preferrelative="t" stroked="f" coordsize="21600,21600">
            <v:path/>
            <v:fill on="f" focussize="0,0"/>
            <v:stroke on="f" joinstyle="miter"/>
            <v:imagedata r:id="rId23" o:title=""/>
            <o:lock v:ext="edit" aspectratio="t"/>
            <w10:wrap type="none"/>
            <w10:anchorlock/>
          </v:shape>
          <o:OLEObject Type="Embed" ProgID="Excel.Sheet.12" ShapeID="_x0000_i1031" DrawAspect="Content" ObjectID="_1468075731" r:id="rId22">
            <o:LockedField>false</o:LockedField>
          </o:OLEObject>
        </w:object>
      </w:r>
    </w:p>
    <w:p w14:paraId="0A54DE40">
      <w:pPr>
        <w:autoSpaceDE w:val="0"/>
        <w:autoSpaceDN w:val="0"/>
        <w:adjustRightInd w:val="0"/>
        <w:spacing w:line="240" w:lineRule="auto"/>
        <w:jc w:val="left"/>
        <w:rPr>
          <w:rFonts w:ascii="仿宋" w:hAnsi="仿宋" w:eastAsia="仿宋" w:cs="仿宋_GB2312"/>
          <w:kern w:val="0"/>
          <w:sz w:val="32"/>
          <w:szCs w:val="32"/>
        </w:rPr>
      </w:pPr>
      <w:r>
        <w:rPr>
          <w:rFonts w:ascii="仿宋" w:hAnsi="仿宋" w:eastAsia="仿宋" w:cs="仿宋_GB2312"/>
          <w:kern w:val="0"/>
          <w:sz w:val="32"/>
          <w:szCs w:val="32"/>
        </w:rPr>
        <w:t>表</w:t>
      </w:r>
      <w:r>
        <w:rPr>
          <w:rFonts w:hint="eastAsia" w:ascii="仿宋" w:hAnsi="仿宋" w:eastAsia="仿宋" w:cs="仿宋_GB2312"/>
          <w:kern w:val="0"/>
          <w:sz w:val="32"/>
          <w:szCs w:val="32"/>
        </w:rPr>
        <w:t>八</w:t>
      </w:r>
      <w:r>
        <w:rPr>
          <w:rFonts w:ascii="仿宋" w:hAnsi="仿宋" w:eastAsia="仿宋" w:cs="仿宋_GB2312"/>
          <w:kern w:val="0"/>
          <w:sz w:val="32"/>
          <w:szCs w:val="32"/>
        </w:rPr>
        <w:t>：</w:t>
      </w:r>
    </w:p>
    <w:p w14:paraId="183C22FB">
      <w:pPr>
        <w:autoSpaceDE w:val="0"/>
        <w:autoSpaceDN w:val="0"/>
        <w:adjustRightInd w:val="0"/>
        <w:spacing w:line="240" w:lineRule="auto"/>
        <w:jc w:val="left"/>
        <w:rPr>
          <w:rFonts w:ascii="黑体" w:hAnsi="黑体" w:eastAsia="黑体" w:cs="黑体"/>
          <w:kern w:val="0"/>
          <w:sz w:val="36"/>
          <w:szCs w:val="36"/>
        </w:rPr>
        <w:sectPr>
          <w:pgSz w:w="11906" w:h="16838"/>
          <w:pgMar w:top="1440" w:right="1800" w:bottom="1440" w:left="1800" w:header="851" w:footer="992" w:gutter="0"/>
          <w:cols w:space="425" w:num="1"/>
          <w:docGrid w:type="lines" w:linePitch="312" w:charSpace="0"/>
        </w:sectPr>
      </w:pPr>
      <w:r>
        <w:rPr>
          <w:rFonts w:ascii="黑体" w:hAnsi="黑体" w:eastAsia="黑体" w:cs="黑体"/>
          <w:b/>
          <w:kern w:val="0"/>
          <w:sz w:val="36"/>
          <w:szCs w:val="36"/>
        </w:rPr>
        <w:object>
          <v:shape id="_x0000_i1032" o:spt="75" type="#_x0000_t75" style="height:611.25pt;width:447.75pt;" o:ole="t" filled="f" o:preferrelative="t" stroked="f" coordsize="21600,21600">
            <v:path/>
            <v:fill on="f" focussize="0,0"/>
            <v:stroke on="f" joinstyle="miter"/>
            <v:imagedata r:id="rId25" o:title=""/>
            <o:lock v:ext="edit" aspectratio="t"/>
            <w10:wrap type="none"/>
            <w10:anchorlock/>
          </v:shape>
          <o:OLEObject Type="Embed" ProgID="Excel.Sheet.12" ShapeID="_x0000_i1032" DrawAspect="Content" ObjectID="_1468075732" r:id="rId24">
            <o:LockedField>false</o:LockedField>
          </o:OLEObject>
        </w:object>
      </w:r>
    </w:p>
    <w:p w14:paraId="176A2D2E">
      <w:pPr>
        <w:autoSpaceDE w:val="0"/>
        <w:autoSpaceDN w:val="0"/>
        <w:adjustRightInd w:val="0"/>
        <w:spacing w:line="240" w:lineRule="auto"/>
        <w:jc w:val="center"/>
        <w:rPr>
          <w:rFonts w:ascii="黑体" w:hAnsi="黑体" w:eastAsia="黑体"/>
          <w:sz w:val="36"/>
          <w:szCs w:val="36"/>
        </w:rPr>
      </w:pPr>
      <w:bookmarkStart w:id="2" w:name="_MON_1579858749"/>
      <w:bookmarkEnd w:id="2"/>
      <w:r>
        <w:rPr>
          <w:rFonts w:ascii="黑体" w:hAnsi="黑体" w:eastAsia="黑体" w:cs="黑体"/>
          <w:b/>
          <w:kern w:val="0"/>
          <w:sz w:val="36"/>
          <w:szCs w:val="36"/>
        </w:rPr>
        <w:object>
          <v:shape id="_x0000_i1033" o:spt="75" type="#_x0000_t75" style="height:693.75pt;width:426pt;" o:ole="t" filled="f" o:preferrelative="t" stroked="f" coordsize="21600,21600">
            <v:path/>
            <v:fill on="f" focussize="0,0"/>
            <v:stroke on="f" joinstyle="miter"/>
            <v:imagedata r:id="rId27" o:title=""/>
            <o:lock v:ext="edit" aspectratio="t"/>
            <w10:wrap type="none"/>
            <w10:anchorlock/>
          </v:shape>
          <o:OLEObject Type="Embed" ProgID="Excel.Sheet.12" ShapeID="_x0000_i1033" DrawAspect="Content" ObjectID="_1468075733" r:id="rId26">
            <o:LockedField>false</o:LockedField>
          </o:OLEObject>
        </w:object>
      </w:r>
      <w:r>
        <w:rPr>
          <w:rFonts w:ascii="黑体" w:hAnsi="黑体" w:eastAsia="黑体"/>
          <w:sz w:val="36"/>
          <w:szCs w:val="36"/>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ijaya">
    <w:panose1 w:val="020B0604020202020204"/>
    <w:charset w:val="00"/>
    <w:family w:val="swiss"/>
    <w:pitch w:val="default"/>
    <w:sig w:usb0="001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D5DF9"/>
    <w:multiLevelType w:val="singleLevel"/>
    <w:tmpl w:val="5A7D5DF9"/>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548B"/>
    <w:rsid w:val="00002DB5"/>
    <w:rsid w:val="00055B6B"/>
    <w:rsid w:val="00076CB2"/>
    <w:rsid w:val="00096A90"/>
    <w:rsid w:val="000A2827"/>
    <w:rsid w:val="000C6264"/>
    <w:rsid w:val="000D5025"/>
    <w:rsid w:val="000F47B2"/>
    <w:rsid w:val="00102717"/>
    <w:rsid w:val="001052C7"/>
    <w:rsid w:val="00144D52"/>
    <w:rsid w:val="00152F09"/>
    <w:rsid w:val="00157F1B"/>
    <w:rsid w:val="001C549E"/>
    <w:rsid w:val="001D0BC3"/>
    <w:rsid w:val="001D608D"/>
    <w:rsid w:val="001E7805"/>
    <w:rsid w:val="00202BD7"/>
    <w:rsid w:val="00203084"/>
    <w:rsid w:val="002052DE"/>
    <w:rsid w:val="002070E5"/>
    <w:rsid w:val="00241763"/>
    <w:rsid w:val="00252F99"/>
    <w:rsid w:val="00281BA1"/>
    <w:rsid w:val="00291159"/>
    <w:rsid w:val="002A0DDF"/>
    <w:rsid w:val="002A1E3C"/>
    <w:rsid w:val="002A47BB"/>
    <w:rsid w:val="002A562A"/>
    <w:rsid w:val="002A6DEF"/>
    <w:rsid w:val="002B2940"/>
    <w:rsid w:val="002F70BB"/>
    <w:rsid w:val="002F7B72"/>
    <w:rsid w:val="003061EB"/>
    <w:rsid w:val="003219F9"/>
    <w:rsid w:val="00326EDD"/>
    <w:rsid w:val="00330600"/>
    <w:rsid w:val="003323CF"/>
    <w:rsid w:val="00385BC9"/>
    <w:rsid w:val="00386409"/>
    <w:rsid w:val="00387F0F"/>
    <w:rsid w:val="00390FD9"/>
    <w:rsid w:val="00393867"/>
    <w:rsid w:val="003A5202"/>
    <w:rsid w:val="003B22B7"/>
    <w:rsid w:val="003E7D3A"/>
    <w:rsid w:val="003F15AC"/>
    <w:rsid w:val="003F324D"/>
    <w:rsid w:val="0040556C"/>
    <w:rsid w:val="0041433C"/>
    <w:rsid w:val="004301AA"/>
    <w:rsid w:val="00466B9C"/>
    <w:rsid w:val="00491392"/>
    <w:rsid w:val="004A08FB"/>
    <w:rsid w:val="004A3B75"/>
    <w:rsid w:val="004A63F2"/>
    <w:rsid w:val="004F3764"/>
    <w:rsid w:val="00502FA2"/>
    <w:rsid w:val="00507318"/>
    <w:rsid w:val="00513889"/>
    <w:rsid w:val="005202EB"/>
    <w:rsid w:val="005258B8"/>
    <w:rsid w:val="00574A16"/>
    <w:rsid w:val="005D5CF9"/>
    <w:rsid w:val="005D648B"/>
    <w:rsid w:val="005D6CF7"/>
    <w:rsid w:val="005F125F"/>
    <w:rsid w:val="0060513F"/>
    <w:rsid w:val="006146CE"/>
    <w:rsid w:val="006233F6"/>
    <w:rsid w:val="00645582"/>
    <w:rsid w:val="0065344D"/>
    <w:rsid w:val="006672BA"/>
    <w:rsid w:val="0067162C"/>
    <w:rsid w:val="00681C04"/>
    <w:rsid w:val="00690E11"/>
    <w:rsid w:val="0069193C"/>
    <w:rsid w:val="006A0D82"/>
    <w:rsid w:val="006B2A8D"/>
    <w:rsid w:val="006D0FAA"/>
    <w:rsid w:val="006F3291"/>
    <w:rsid w:val="006F4621"/>
    <w:rsid w:val="006F470D"/>
    <w:rsid w:val="006F60E3"/>
    <w:rsid w:val="00700933"/>
    <w:rsid w:val="00725722"/>
    <w:rsid w:val="00725F35"/>
    <w:rsid w:val="007273F2"/>
    <w:rsid w:val="007368E3"/>
    <w:rsid w:val="00741D7C"/>
    <w:rsid w:val="0075548C"/>
    <w:rsid w:val="00760CCF"/>
    <w:rsid w:val="00760D3A"/>
    <w:rsid w:val="007649E6"/>
    <w:rsid w:val="007742CC"/>
    <w:rsid w:val="00775692"/>
    <w:rsid w:val="00786106"/>
    <w:rsid w:val="00791BA4"/>
    <w:rsid w:val="007A7FEE"/>
    <w:rsid w:val="007B1D01"/>
    <w:rsid w:val="007D498C"/>
    <w:rsid w:val="007E0CA4"/>
    <w:rsid w:val="007F52DE"/>
    <w:rsid w:val="00804634"/>
    <w:rsid w:val="008420A6"/>
    <w:rsid w:val="0086492B"/>
    <w:rsid w:val="00887825"/>
    <w:rsid w:val="0089411C"/>
    <w:rsid w:val="008978E7"/>
    <w:rsid w:val="008A6592"/>
    <w:rsid w:val="008C2221"/>
    <w:rsid w:val="00906692"/>
    <w:rsid w:val="0091629E"/>
    <w:rsid w:val="0092434B"/>
    <w:rsid w:val="00940C9E"/>
    <w:rsid w:val="009461E9"/>
    <w:rsid w:val="00954CE2"/>
    <w:rsid w:val="0098227E"/>
    <w:rsid w:val="009B2676"/>
    <w:rsid w:val="009B2EF0"/>
    <w:rsid w:val="009B3812"/>
    <w:rsid w:val="009C0569"/>
    <w:rsid w:val="009C74B4"/>
    <w:rsid w:val="009F0B94"/>
    <w:rsid w:val="009F548B"/>
    <w:rsid w:val="00A02683"/>
    <w:rsid w:val="00A07F3D"/>
    <w:rsid w:val="00AA0176"/>
    <w:rsid w:val="00AA5AAA"/>
    <w:rsid w:val="00AC0985"/>
    <w:rsid w:val="00AE423B"/>
    <w:rsid w:val="00B00778"/>
    <w:rsid w:val="00B00D9C"/>
    <w:rsid w:val="00B15D53"/>
    <w:rsid w:val="00B17050"/>
    <w:rsid w:val="00B418C7"/>
    <w:rsid w:val="00B621A2"/>
    <w:rsid w:val="00B65763"/>
    <w:rsid w:val="00B902C9"/>
    <w:rsid w:val="00B911B1"/>
    <w:rsid w:val="00BA0164"/>
    <w:rsid w:val="00BA1F27"/>
    <w:rsid w:val="00BD5894"/>
    <w:rsid w:val="00C0702F"/>
    <w:rsid w:val="00C17A48"/>
    <w:rsid w:val="00C20A5A"/>
    <w:rsid w:val="00C27670"/>
    <w:rsid w:val="00C5499B"/>
    <w:rsid w:val="00C62A52"/>
    <w:rsid w:val="00C70CDC"/>
    <w:rsid w:val="00C85805"/>
    <w:rsid w:val="00CB308B"/>
    <w:rsid w:val="00CB7EEB"/>
    <w:rsid w:val="00CC15C0"/>
    <w:rsid w:val="00CD1557"/>
    <w:rsid w:val="00CE2784"/>
    <w:rsid w:val="00CF04DD"/>
    <w:rsid w:val="00CF05FB"/>
    <w:rsid w:val="00D11AC4"/>
    <w:rsid w:val="00D260AE"/>
    <w:rsid w:val="00D31B9F"/>
    <w:rsid w:val="00D95DC7"/>
    <w:rsid w:val="00DB11BE"/>
    <w:rsid w:val="00DE6E77"/>
    <w:rsid w:val="00DF02DE"/>
    <w:rsid w:val="00E452E4"/>
    <w:rsid w:val="00E76FFC"/>
    <w:rsid w:val="00E83E48"/>
    <w:rsid w:val="00E920E8"/>
    <w:rsid w:val="00EC3D75"/>
    <w:rsid w:val="00EC5250"/>
    <w:rsid w:val="00F05DF9"/>
    <w:rsid w:val="00F10FAA"/>
    <w:rsid w:val="00F1115C"/>
    <w:rsid w:val="00F50E87"/>
    <w:rsid w:val="00F6511E"/>
    <w:rsid w:val="00F71366"/>
    <w:rsid w:val="00F94D73"/>
    <w:rsid w:val="00FA5EAF"/>
    <w:rsid w:val="00FA7C20"/>
    <w:rsid w:val="00FC321D"/>
    <w:rsid w:val="00FC7F59"/>
    <w:rsid w:val="00FE460D"/>
    <w:rsid w:val="00FF0B96"/>
    <w:rsid w:val="091A7207"/>
    <w:rsid w:val="3AD04093"/>
    <w:rsid w:val="3B8E1868"/>
    <w:rsid w:val="47857BEE"/>
    <w:rsid w:val="6B9574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Balloon Text"/>
    <w:basedOn w:val="1"/>
    <w:link w:val="11"/>
    <w:unhideWhenUsed/>
    <w:qFormat/>
    <w:uiPriority w:val="99"/>
    <w:pPr>
      <w:spacing w:line="240" w:lineRule="auto"/>
    </w:pPr>
    <w:rPr>
      <w:sz w:val="18"/>
      <w:szCs w:val="18"/>
    </w:rPr>
  </w:style>
  <w:style w:type="paragraph" w:styleId="4">
    <w:name w:val="footer"/>
    <w:basedOn w:val="1"/>
    <w:link w:val="10"/>
    <w:unhideWhenUsed/>
    <w:uiPriority w:val="99"/>
    <w:pPr>
      <w:tabs>
        <w:tab w:val="center" w:pos="4153"/>
        <w:tab w:val="right" w:pos="8306"/>
      </w:tabs>
      <w:snapToGrid w:val="0"/>
      <w:spacing w:line="240" w:lineRule="atLeast"/>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paragraph" w:customStyle="1" w:styleId="12">
    <w:name w:val="p0"/>
    <w:basedOn w:val="1"/>
    <w:qFormat/>
    <w:uiPriority w:val="0"/>
    <w:pPr>
      <w:widowControl/>
      <w:spacing w:line="560" w:lineRule="atLeast"/>
      <w:ind w:firstLine="420"/>
    </w:pPr>
    <w:rPr>
      <w:rFonts w:ascii="Calibri" w:hAnsi="Calibri" w:eastAsia="宋体" w:cs="Times New Roman"/>
      <w:kern w:val="0"/>
      <w:sz w:val="32"/>
      <w:szCs w:val="32"/>
    </w:rPr>
  </w:style>
  <w:style w:type="paragraph" w:customStyle="1" w:styleId="13">
    <w:name w:val="Char Char Char Char Char Char1 Char"/>
    <w:basedOn w:val="1"/>
    <w:qFormat/>
    <w:uiPriority w:val="0"/>
    <w:pPr>
      <w:widowControl/>
      <w:spacing w:after="160" w:line="240" w:lineRule="exact"/>
      <w:jc w:val="left"/>
    </w:pPr>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image" Target="media/image9.emf"/><Relationship Id="rId26" Type="http://schemas.openxmlformats.org/officeDocument/2006/relationships/oleObject" Target="embeddings/oleObject9.bin"/><Relationship Id="rId25" Type="http://schemas.openxmlformats.org/officeDocument/2006/relationships/image" Target="media/image8.emf"/><Relationship Id="rId24" Type="http://schemas.openxmlformats.org/officeDocument/2006/relationships/oleObject" Target="embeddings/oleObject8.bin"/><Relationship Id="rId23" Type="http://schemas.openxmlformats.org/officeDocument/2006/relationships/image" Target="media/image7.emf"/><Relationship Id="rId22" Type="http://schemas.openxmlformats.org/officeDocument/2006/relationships/oleObject" Target="embeddings/oleObject7.bin"/><Relationship Id="rId21" Type="http://schemas.openxmlformats.org/officeDocument/2006/relationships/image" Target="media/image6.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2018年预算拨款收入表</c:v>
                </c:pt>
              </c:strCache>
            </c:strRef>
          </c:tx>
          <c:explosion val="0"/>
          <c:dPt>
            <c:idx val="0"/>
            <c:bubble3D val="0"/>
          </c:dPt>
          <c:dPt>
            <c:idx val="1"/>
            <c:bubble3D val="0"/>
          </c:dPt>
          <c:dLbls>
            <c:dLbl>
              <c:idx val="0"/>
              <c:layout>
                <c:manualLayout>
                  <c:x val="0.0288924263528432"/>
                  <c:y val="0.20975845624930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一般公共预算拨款</a:t>
                    </a:r>
                    <a:r>
                      <a:rPr lang="en-US" altLang="zh-CN"/>
                      <a:t> 3861.59</a:t>
                    </a:r>
                    <a:r>
                      <a:rPr lang="zh-CN" altLang="en-US"/>
                      <a:t>万元</a:t>
                    </a:r>
                    <a:r>
                      <a:rPr lang="en-US" altLang="zh-CN"/>
                      <a:t> , 50.11%</a:t>
                    </a:r>
                    <a:endParaRPr lang="en-US" altLang="zh-CN"/>
                  </a:p>
                </c:rich>
              </c:tx>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1"/>
              <c:layout>
                <c:manualLayout>
                  <c:x val="-0.0794606308692514"/>
                  <c:y val="-0.2063983488132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基金预算拨款
</a:t>
                    </a:r>
                    <a:r>
                      <a:rPr lang="en-US" altLang="zh-CN"/>
                      <a:t>3844.00 </a:t>
                    </a:r>
                    <a:r>
                      <a:rPr lang="zh-CN" altLang="en-US"/>
                      <a:t>万元</a:t>
                    </a:r>
                    <a:r>
                      <a:rPr lang="en-US" altLang="zh-CN"/>
                      <a:t>
49.89%</a:t>
                    </a:r>
                    <a:endParaRPr lang="zh-CN" altLang="en-US"/>
                  </a:p>
                </c:rich>
              </c:tx>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Sheet1!$A$2:$A$3</c:f>
              <c:strCache>
                <c:ptCount val="2"/>
                <c:pt idx="0">
                  <c:v>一般公共预算拨款</c:v>
                </c:pt>
                <c:pt idx="1">
                  <c:v>基金预算拨款</c:v>
                </c:pt>
              </c:strCache>
            </c:strRef>
          </c:cat>
          <c:val>
            <c:numRef>
              <c:f>Sheet1!$B$2:$B$3</c:f>
              <c:numCache>
                <c:formatCode>0.00_ </c:formatCode>
                <c:ptCount val="2"/>
                <c:pt idx="0">
                  <c:v>3861.59</c:v>
                </c:pt>
                <c:pt idx="1">
                  <c:v>3844</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471f761a-3151-47bb-95a9-a759806b7cc3}"/>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29963898916968"/>
          <c:y val="0.291565224962993"/>
          <c:w val="0.70156438026474"/>
          <c:h val="0.625608339241955"/>
        </c:manualLayout>
      </c:layout>
      <c:pieChart>
        <c:varyColors val="1"/>
        <c:ser>
          <c:idx val="0"/>
          <c:order val="0"/>
          <c:tx>
            <c:strRef>
              <c:f>Sheet1!$B$1</c:f>
              <c:strCache>
                <c:ptCount val="1"/>
                <c:pt idx="0">
                  <c:v>2018年预算拨款支出表</c:v>
                </c:pt>
              </c:strCache>
            </c:strRef>
          </c:tx>
          <c:explosion val="0"/>
          <c:dPt>
            <c:idx val="0"/>
            <c:bubble3D val="0"/>
          </c:dPt>
          <c:dPt>
            <c:idx val="1"/>
            <c:bubble3D val="0"/>
          </c:dPt>
          <c:dPt>
            <c:idx val="2"/>
            <c:bubble3D val="0"/>
          </c:dPt>
          <c:dPt>
            <c:idx val="3"/>
            <c:bubble3D val="0"/>
          </c:dPt>
          <c:dLbls>
            <c:dLbl>
              <c:idx val="0"/>
              <c:layout>
                <c:manualLayout>
                  <c:x val="0.0577147351165943"/>
                  <c:y val="-0.011259718127651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a:t>
                    </a:r>
                    <a:r>
                      <a:rPr lang="en-US" altLang="zh-CN"/>
                      <a:t>-</a:t>
                    </a:r>
                    <a:r>
                      <a:rPr lang="zh-CN" altLang="en-US"/>
                      <a:t>工资福利支出</a:t>
                    </a:r>
                    <a:r>
                      <a:rPr lang="en-US" altLang="zh-CN"/>
                      <a:t>; 2245.15</a:t>
                    </a:r>
                    <a:r>
                      <a:rPr lang="zh-CN" altLang="en-US"/>
                      <a:t>万元</a:t>
                    </a:r>
                    <a:r>
                      <a:rPr lang="en-US" altLang="zh-CN"/>
                      <a:t>; 29.14%</a:t>
                    </a:r>
                    <a:endParaRPr lang="zh-CN" altLang="en-US"/>
                  </a:p>
                </c:rich>
              </c:tx>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1"/>
              <c:layout>
                <c:manualLayout>
                  <c:x val="0.014046258658101"/>
                  <c:y val="-0.17750195917453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a:t>
                    </a:r>
                    <a:r>
                      <a:rPr lang="en-US" altLang="zh-CN"/>
                      <a:t>-</a:t>
                    </a:r>
                    <a:r>
                      <a:rPr lang="zh-CN" altLang="en-US"/>
                      <a:t>商品和服务支出</a:t>
                    </a:r>
                    <a:r>
                      <a:rPr lang="en-US" altLang="zh-CN"/>
                      <a:t>; 347.67</a:t>
                    </a:r>
                    <a:r>
                      <a:rPr lang="zh-CN" altLang="en-US"/>
                      <a:t>万元</a:t>
                    </a:r>
                    <a:r>
                      <a:rPr lang="en-US" altLang="zh-CN"/>
                      <a:t>; 4.51%</a:t>
                    </a:r>
                    <a:endParaRPr lang="en-US" altLang="zh-CN"/>
                  </a:p>
                </c:rich>
              </c:tx>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2"/>
              <c:layout>
                <c:manualLayout>
                  <c:x val="0.0736805101528375"/>
                  <c:y val="-0.02791655782363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a:t>
                    </a:r>
                    <a:r>
                      <a:rPr lang="en-US" altLang="zh-CN"/>
                      <a:t>-</a:t>
                    </a:r>
                    <a:r>
                      <a:rPr lang="zh-CN" altLang="en-US"/>
                      <a:t>对个人和家庭的补助支出</a:t>
                    </a:r>
                    <a:r>
                      <a:rPr lang="en-US" altLang="zh-CN"/>
                      <a:t>; 592.77</a:t>
                    </a:r>
                    <a:r>
                      <a:rPr lang="zh-CN" altLang="en-US"/>
                      <a:t>万元</a:t>
                    </a:r>
                    <a:r>
                      <a:rPr lang="en-US" altLang="zh-CN"/>
                      <a:t>; 7.69%</a:t>
                    </a:r>
                    <a:endParaRPr lang="en-US" altLang="zh-CN"/>
                  </a:p>
                </c:rich>
              </c:tx>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3"/>
              <c:layout>
                <c:manualLayout>
                  <c:x val="-0.0684658461013673"/>
                  <c:y val="0.14937692030202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a:t>
                    </a:r>
                    <a:r>
                      <a:rPr lang="en-US" altLang="zh-CN"/>
                      <a:t>; 4520</a:t>
                    </a:r>
                    <a:r>
                      <a:rPr lang="zh-CN" altLang="en-US"/>
                      <a:t>万元</a:t>
                    </a:r>
                    <a:r>
                      <a:rPr lang="en-US" altLang="zh-CN"/>
                      <a:t>; 58.66%</a:t>
                    </a:r>
                    <a:endParaRPr lang="zh-CN" altLang="en-US"/>
                  </a:p>
                </c:rich>
              </c:tx>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Sheet1!$A$2:$A$5</c:f>
              <c:strCache>
                <c:ptCount val="4"/>
                <c:pt idx="0">
                  <c:v>基本支出-工资福利支出</c:v>
                </c:pt>
                <c:pt idx="1">
                  <c:v>基本支出-商品和服务支出</c:v>
                </c:pt>
                <c:pt idx="2">
                  <c:v>基本支出-对个人和家庭的补助支出</c:v>
                </c:pt>
                <c:pt idx="3">
                  <c:v>项目支出</c:v>
                </c:pt>
              </c:strCache>
            </c:strRef>
          </c:cat>
          <c:val>
            <c:numRef>
              <c:f>Sheet1!$B$2:$B$5</c:f>
              <c:numCache>
                <c:formatCode>General</c:formatCode>
                <c:ptCount val="4"/>
                <c:pt idx="0">
                  <c:v>2245.15</c:v>
                </c:pt>
                <c:pt idx="1">
                  <c:v>347.67</c:v>
                </c:pt>
                <c:pt idx="2">
                  <c:v>592.770000000001</c:v>
                </c:pt>
                <c:pt idx="3">
                  <c:v>4520</c:v>
                </c:pt>
              </c:numCache>
            </c:numRef>
          </c:val>
        </c:ser>
        <c:dLbls>
          <c:showLegendKey val="1"/>
          <c:showVal val="1"/>
          <c:showCatName val="1"/>
          <c:showSerName val="0"/>
          <c:showPercent val="1"/>
          <c:showBubbleSize val="0"/>
          <c:showLeaderLines val="1"/>
        </c:dLbls>
        <c:firstSliceAng val="15"/>
      </c:pieChart>
      <c:spPr>
        <a:noFill/>
        <a:ln>
          <a:noFill/>
        </a:ln>
        <a:effectLst/>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d828d9b6-0379-4dd7-9005-1084bae0aa26}"/>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r">
              <a:defRPr lang="zh-CN" sz="1800" b="1" i="0" u="none" strike="noStrike" kern="1200" baseline="0">
                <a:solidFill>
                  <a:schemeClr val="tx1"/>
                </a:solidFill>
                <a:latin typeface="+mn-lt"/>
                <a:ea typeface="+mn-ea"/>
                <a:cs typeface="+mn-cs"/>
              </a:defRPr>
            </a:pPr>
            <a:r>
              <a:rPr lang="en-US" altLang="zh-CN" sz="1400" b="1" i="0" u="none" strike="noStrike" baseline="0">
                <a:effectLst/>
              </a:rPr>
              <a:t>2018</a:t>
            </a:r>
            <a:r>
              <a:rPr lang="zh-CN" altLang="zh-CN" sz="1400" b="1" i="0" u="none" strike="noStrike" baseline="0">
                <a:effectLst/>
              </a:rPr>
              <a:t>年与</a:t>
            </a:r>
            <a:r>
              <a:rPr lang="en-US" altLang="zh-CN" sz="1400" b="1" i="0" u="none" strike="noStrike" baseline="0">
                <a:effectLst/>
              </a:rPr>
              <a:t>2017</a:t>
            </a:r>
            <a:r>
              <a:rPr lang="zh-CN" altLang="zh-CN" sz="1400" b="1" i="0" u="none" strike="noStrike" baseline="0">
                <a:effectLst/>
              </a:rPr>
              <a:t>年预算拨款支出对比情况表</a:t>
            </a:r>
            <a:r>
              <a:rPr lang="en-US" altLang="zh-CN" sz="1400" b="1" i="0" u="none" strike="noStrike" baseline="0">
                <a:effectLst/>
              </a:rPr>
              <a:t>                     </a:t>
            </a:r>
            <a:r>
              <a:rPr lang="zh-CN" altLang="zh-CN" sz="1200" b="0" i="0" u="none" strike="noStrike" baseline="0">
                <a:effectLst/>
              </a:rPr>
              <a:t>单位：万元</a:t>
            </a:r>
            <a:endParaRPr lang="zh-CN" altLang="en-US" sz="1400" b="0"/>
          </a:p>
        </c:rich>
      </c:tx>
      <c:layout/>
      <c:overlay val="0"/>
    </c:title>
    <c:autoTitleDeleted val="0"/>
    <c:plotArea>
      <c:layout/>
      <c:barChart>
        <c:barDir val="col"/>
        <c:grouping val="clustered"/>
        <c:varyColors val="0"/>
        <c:ser>
          <c:idx val="0"/>
          <c:order val="0"/>
          <c:tx>
            <c:strRef>
              <c:f>Sheet1!$B$1</c:f>
              <c:strCache>
                <c:ptCount val="1"/>
                <c:pt idx="0">
                  <c:v>2017</c:v>
                </c:pt>
              </c:strCache>
            </c:strRef>
          </c:tx>
          <c:invertIfNegative val="0"/>
          <c:dLbls>
            <c:dLbl>
              <c:idx val="1"/>
              <c:layout>
                <c:manualLayout>
                  <c:x val="-0.0264741275571601"/>
                  <c:y val="0.0080000000000000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64741275571601"/>
                  <c:y val="-9.77766482535945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92539109506619"/>
                  <c:y val="0.0053333333333333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国土海洋气象等支出</c:v>
                </c:pt>
                <c:pt idx="1">
                  <c:v>社会保障和就业支出</c:v>
                </c:pt>
                <c:pt idx="2">
                  <c:v>医疗卫生与计划生育支出</c:v>
                </c:pt>
                <c:pt idx="3">
                  <c:v>城乡社区支出</c:v>
                </c:pt>
                <c:pt idx="4">
                  <c:v>住房保障支出支出</c:v>
                </c:pt>
              </c:strCache>
            </c:strRef>
          </c:cat>
          <c:val>
            <c:numRef>
              <c:f>Sheet1!$B$2:$B$6</c:f>
              <c:numCache>
                <c:formatCode>General</c:formatCode>
                <c:ptCount val="5"/>
                <c:pt idx="0">
                  <c:v>5050.29</c:v>
                </c:pt>
                <c:pt idx="1">
                  <c:v>642.26</c:v>
                </c:pt>
                <c:pt idx="2">
                  <c:v>60.03</c:v>
                </c:pt>
                <c:pt idx="3">
                  <c:v>0</c:v>
                </c:pt>
                <c:pt idx="4">
                  <c:v>178.82</c:v>
                </c:pt>
              </c:numCache>
            </c:numRef>
          </c:val>
        </c:ser>
        <c:ser>
          <c:idx val="1"/>
          <c:order val="1"/>
          <c:tx>
            <c:strRef>
              <c:f>Sheet1!$C$1</c:f>
              <c:strCache>
                <c:ptCount val="1"/>
                <c:pt idx="0">
                  <c:v>2018</c:v>
                </c:pt>
              </c:strCache>
            </c:strRef>
          </c:tx>
          <c:invertIfNegative val="0"/>
          <c:dLbls>
            <c:dLbl>
              <c:idx val="1"/>
              <c:layout>
                <c:manualLayout>
                  <c:x val="0.0168469825748315"/>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962695547533093"/>
                  <c:y val="-0.0026668766404199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40673886883265"/>
                  <c:y val="-0.024000000000000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92539109506619"/>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国土海洋气象等支出</c:v>
                </c:pt>
                <c:pt idx="1">
                  <c:v>社会保障和就业支出</c:v>
                </c:pt>
                <c:pt idx="2">
                  <c:v>医疗卫生与计划生育支出</c:v>
                </c:pt>
                <c:pt idx="3">
                  <c:v>城乡社区支出</c:v>
                </c:pt>
                <c:pt idx="4">
                  <c:v>住房保障支出支出</c:v>
                </c:pt>
              </c:strCache>
            </c:strRef>
          </c:cat>
          <c:val>
            <c:numRef>
              <c:f>Sheet1!$C$2:$C$6</c:f>
              <c:numCache>
                <c:formatCode>General</c:formatCode>
                <c:ptCount val="5"/>
                <c:pt idx="0">
                  <c:v>6644.85</c:v>
                </c:pt>
                <c:pt idx="1">
                  <c:v>710.449999999999</c:v>
                </c:pt>
                <c:pt idx="2">
                  <c:v>61.13</c:v>
                </c:pt>
                <c:pt idx="3">
                  <c:v>100</c:v>
                </c:pt>
                <c:pt idx="4">
                  <c:v>189.16</c:v>
                </c:pt>
              </c:numCache>
            </c:numRef>
          </c:val>
        </c:ser>
        <c:dLbls>
          <c:showLegendKey val="0"/>
          <c:showVal val="1"/>
          <c:showCatName val="0"/>
          <c:showSerName val="0"/>
          <c:showPercent val="0"/>
          <c:showBubbleSize val="0"/>
        </c:dLbls>
        <c:gapWidth val="150"/>
        <c:axId val="87169280"/>
        <c:axId val="87212032"/>
      </c:barChart>
      <c:catAx>
        <c:axId val="871692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7212032"/>
        <c:crosses val="autoZero"/>
        <c:auto val="1"/>
        <c:lblAlgn val="ctr"/>
        <c:lblOffset val="100"/>
        <c:noMultiLvlLbl val="0"/>
      </c:catAx>
      <c:valAx>
        <c:axId val="872120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7169280"/>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781982d7-5143-417b-9cd2-8de08b6b5ba8}"/>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r">
              <a:defRPr lang="zh-CN" sz="1800" b="1" i="0" u="none" strike="noStrike" kern="1200" baseline="0">
                <a:solidFill>
                  <a:schemeClr val="tx1"/>
                </a:solidFill>
                <a:latin typeface="+mn-lt"/>
                <a:ea typeface="+mn-ea"/>
                <a:cs typeface="+mn-cs"/>
              </a:defRPr>
            </a:pPr>
            <a:r>
              <a:rPr lang="en-US" altLang="zh-CN" sz="1400" b="1" i="0" u="none" strike="noStrike" baseline="0">
                <a:effectLst/>
              </a:rPr>
              <a:t>2018</a:t>
            </a:r>
            <a:r>
              <a:rPr lang="zh-CN" altLang="zh-CN" sz="1400" b="1" i="0" u="none" strike="noStrike" baseline="0">
                <a:effectLst/>
              </a:rPr>
              <a:t>年与</a:t>
            </a:r>
            <a:r>
              <a:rPr lang="en-US" altLang="zh-CN" sz="1400" b="1" i="0" u="none" strike="noStrike" baseline="0">
                <a:effectLst/>
              </a:rPr>
              <a:t>2017</a:t>
            </a:r>
            <a:r>
              <a:rPr lang="zh-CN" altLang="zh-CN" sz="1400" b="1" i="0" u="none" strike="noStrike" baseline="0">
                <a:effectLst/>
              </a:rPr>
              <a:t>年预算</a:t>
            </a:r>
            <a:r>
              <a:rPr lang="en-US" altLang="zh-CN" sz="1400" b="1" i="0" u="none" strike="noStrike" baseline="0">
                <a:effectLst/>
              </a:rPr>
              <a:t>“</a:t>
            </a:r>
            <a:r>
              <a:rPr lang="zh-CN" altLang="zh-CN" sz="1400" b="1" i="0" u="none" strike="noStrike" baseline="0">
                <a:effectLst/>
              </a:rPr>
              <a:t>三公</a:t>
            </a:r>
            <a:r>
              <a:rPr lang="en-US" altLang="zh-CN" sz="1400" b="1" i="0" u="none" strike="noStrike" baseline="0">
                <a:effectLst/>
              </a:rPr>
              <a:t>”</a:t>
            </a:r>
            <a:r>
              <a:rPr lang="zh-CN" altLang="zh-CN" sz="1400" b="1" i="0" u="none" strike="noStrike" baseline="0">
                <a:effectLst/>
              </a:rPr>
              <a:t>经费支出对比情况表</a:t>
            </a:r>
            <a:r>
              <a:rPr lang="en-US" altLang="zh-CN" sz="1400" b="1" i="0" u="none" strike="noStrike" baseline="0">
                <a:effectLst/>
              </a:rPr>
              <a:t>       </a:t>
            </a:r>
            <a:r>
              <a:rPr lang="zh-CN" altLang="zh-CN" sz="1100" b="0" i="0" u="none" strike="noStrike" baseline="0">
                <a:effectLst/>
              </a:rPr>
              <a:t>单位：万元</a:t>
            </a:r>
            <a:endParaRPr lang="zh-CN" altLang="en-US" sz="1400" b="0"/>
          </a:p>
        </c:rich>
      </c:tx>
      <c:layout/>
      <c:overlay val="0"/>
    </c:title>
    <c:autoTitleDeleted val="0"/>
    <c:plotArea>
      <c:layout/>
      <c:barChart>
        <c:barDir val="col"/>
        <c:grouping val="clustered"/>
        <c:varyColors val="0"/>
        <c:ser>
          <c:idx val="0"/>
          <c:order val="0"/>
          <c:tx>
            <c:strRef>
              <c:f>Sheet1!$B$1</c:f>
              <c:strCache>
                <c:ptCount val="1"/>
                <c:pt idx="0">
                  <c:v>2017年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公务接待费</c:v>
                </c:pt>
                <c:pt idx="1">
                  <c:v>公务用车运行维护费</c:v>
                </c:pt>
              </c:strCache>
            </c:strRef>
          </c:cat>
          <c:val>
            <c:numRef>
              <c:f>Sheet1!$B$2:$B$3</c:f>
              <c:numCache>
                <c:formatCode>General</c:formatCode>
                <c:ptCount val="2"/>
                <c:pt idx="0">
                  <c:v>5.9</c:v>
                </c:pt>
                <c:pt idx="1">
                  <c:v>132.4</c:v>
                </c:pt>
              </c:numCache>
            </c:numRef>
          </c:val>
        </c:ser>
        <c:ser>
          <c:idx val="1"/>
          <c:order val="1"/>
          <c:tx>
            <c:strRef>
              <c:f>Sheet1!$C$1</c:f>
              <c:strCache>
                <c:ptCount val="1"/>
                <c:pt idx="0">
                  <c:v>2018年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公务接待费</c:v>
                </c:pt>
                <c:pt idx="1">
                  <c:v>公务用车运行维护费</c:v>
                </c:pt>
              </c:strCache>
            </c:strRef>
          </c:cat>
          <c:val>
            <c:numRef>
              <c:f>Sheet1!$C$2:$C$3</c:f>
              <c:numCache>
                <c:formatCode>General</c:formatCode>
                <c:ptCount val="2"/>
                <c:pt idx="0">
                  <c:v>12</c:v>
                </c:pt>
                <c:pt idx="1">
                  <c:v>74.22</c:v>
                </c:pt>
              </c:numCache>
            </c:numRef>
          </c:val>
        </c:ser>
        <c:dLbls>
          <c:showLegendKey val="0"/>
          <c:showVal val="1"/>
          <c:showCatName val="0"/>
          <c:showSerName val="0"/>
          <c:showPercent val="0"/>
          <c:showBubbleSize val="0"/>
        </c:dLbls>
        <c:gapWidth val="150"/>
        <c:axId val="112125056"/>
        <c:axId val="112126592"/>
      </c:barChart>
      <c:catAx>
        <c:axId val="11212505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26592"/>
        <c:crosses val="autoZero"/>
        <c:auto val="1"/>
        <c:lblAlgn val="ctr"/>
        <c:lblOffset val="100"/>
        <c:noMultiLvlLbl val="0"/>
      </c:catAx>
      <c:valAx>
        <c:axId val="11212659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25056"/>
        <c:crosses val="autoZero"/>
        <c:crossBetween val="between"/>
      </c:valAx>
      <c:spPr>
        <a:noFill/>
        <a:ln w="25400">
          <a:noFill/>
        </a:ln>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0e76549-0bae-4516-884a-68f139bd0e11}"/>
      </c:ext>
    </c:extLst>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30</Pages>
  <Words>7273</Words>
  <Characters>8188</Characters>
  <Lines>63</Lines>
  <Paragraphs>17</Paragraphs>
  <TotalTime>0</TotalTime>
  <ScaleCrop>false</ScaleCrop>
  <LinksUpToDate>false</LinksUpToDate>
  <CharactersWithSpaces>8361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2018-01-29T01:42:00Z</dcterms:created>
  <dc:creator>尤妙英</dc:creator>
  <cp:lastModifiedBy>Administrator</cp:lastModifiedBy>
  <dcterms:modified xsi:type="dcterms:W3CDTF">2025-01-06T05:15:46Z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eyJoZGlkIjoiNmUzYmQxM2E2NTU4MTVkN2MwMDJmYTQwMmVmMzJjYTcifQ==</vt:lpwstr>
  </property>
  <property fmtid="{D5CDD505-2E9C-101B-9397-08002B2CF9AE}" pid="4" name="ICV">
    <vt:lpwstr>C698266F12C14987AF37E14AC4605AED_12</vt:lpwstr>
  </property>
</Properties>
</file>