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numPr>
          <w:ilvl w:val="0"/>
          <w:numId w:val="0"/>
        </w:numPr>
        <w:spacing w:line="360" w:lineRule="auto"/>
        <w:ind w:leftChars="0"/>
        <w:jc w:val="center"/>
        <w:rPr>
          <w:rFonts w:hint="eastAsia" w:ascii="宋体" w:hAnsi="宋体" w:cs="Times New Roman"/>
          <w:sz w:val="44"/>
          <w:szCs w:val="44"/>
          <w:lang w:eastAsia="zh-CN"/>
        </w:rPr>
      </w:pPr>
    </w:p>
    <w:p>
      <w:pPr>
        <w:pStyle w:val="2"/>
        <w:numPr>
          <w:ilvl w:val="0"/>
          <w:numId w:val="0"/>
        </w:numPr>
        <w:spacing w:line="360" w:lineRule="auto"/>
        <w:ind w:leftChars="0"/>
        <w:jc w:val="center"/>
        <w:rPr>
          <w:rFonts w:hint="eastAsia" w:ascii="宋体" w:hAnsi="宋体" w:cs="Times New Roman"/>
          <w:sz w:val="44"/>
          <w:szCs w:val="44"/>
        </w:rPr>
      </w:pPr>
      <w:r>
        <w:rPr>
          <w:rFonts w:hint="eastAsia" w:ascii="宋体" w:hAnsi="宋体" w:cs="Times New Roman"/>
          <w:sz w:val="44"/>
          <w:szCs w:val="44"/>
          <w:lang w:eastAsia="zh-CN"/>
        </w:rPr>
        <w:t>湛江市网络零售数据服务采购需求书</w:t>
      </w:r>
    </w:p>
    <w:p>
      <w:pPr>
        <w:pStyle w:val="2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Chars="0" w:firstLine="643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一、</w:t>
      </w:r>
      <w:r>
        <w:rPr>
          <w:rFonts w:hint="eastAsia" w:ascii="黑体" w:hAnsi="黑体" w:eastAsia="黑体" w:cs="黑体"/>
          <w:sz w:val="32"/>
          <w:szCs w:val="32"/>
        </w:rPr>
        <w:t>采购需求</w:t>
      </w:r>
    </w:p>
    <w:p>
      <w:pPr>
        <w:pStyle w:val="2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Chars="0"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（一）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项目概述</w:t>
      </w:r>
    </w:p>
    <w:p>
      <w:pPr>
        <w:pStyle w:val="53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随着全球信息革命和产业变革的不断深入，数字技术的广泛与深度应用将进一步加速，电子商务在推动新旧动能转换、经济提质换挡、产业转型升级中发挥更加重要的作用。通过电商产业数据服务，全面、准确掌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湛江市</w:t>
      </w:r>
      <w:r>
        <w:rPr>
          <w:rFonts w:hint="eastAsia" w:ascii="仿宋_GB2312" w:hAnsi="仿宋_GB2312" w:eastAsia="仿宋_GB2312" w:cs="仿宋_GB2312"/>
          <w:sz w:val="32"/>
          <w:szCs w:val="32"/>
        </w:rPr>
        <w:t>电商产业及企业发展情况，为行业发展提供数据支撑和科学依据，助力经济运行监测、市场分析研判、市场主体培育、政策决策支持等。</w:t>
      </w:r>
    </w:p>
    <w:p>
      <w:pPr>
        <w:pStyle w:val="53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（二）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技术要求</w:t>
      </w:r>
    </w:p>
    <w:p>
      <w:pPr>
        <w:pStyle w:val="2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482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1.监测平台和领域</w:t>
      </w:r>
    </w:p>
    <w:p>
      <w:pPr>
        <w:pStyle w:val="2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482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网络零售数据需要覆盖全国主要的电商交易平台，应包括交易量排名前20的实物类、服务类平台，监测的电商交易平台总数需要达到90个以上，覆盖全网网络零售市场的85%以上。</w:t>
      </w:r>
    </w:p>
    <w:p>
      <w:pPr>
        <w:pStyle w:val="2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482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监测领域覆盖实物类综合电商、实物类垂直电商、社交电商、社区电商、社区团购、C2M、本地即时零售、在线餐饮、在线旅游、在线文娱、在线居民生活（含在线家装、在线家政等）、在线教育、在线医疗、在线住房、直播电商、跨境进口、跨境出口等领域。针对不同领域的平台，根据平台公开的数据情况采集相关信息。</w:t>
      </w:r>
    </w:p>
    <w:p>
      <w:pPr>
        <w:pStyle w:val="2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482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1.1网络零售相关</w:t>
      </w:r>
    </w:p>
    <w:p>
      <w:pPr>
        <w:pStyle w:val="2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482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（1）实物类综合电商：天猫商城、淘宝网、京东商城、苏宁易购、国美在线、当当网、网易严选、考拉海购（国内）、小米有品、建行善融、邮乐购、乐村淘、12306扶贫商城、美团电商；</w:t>
      </w:r>
    </w:p>
    <w:p>
      <w:pPr>
        <w:pStyle w:val="2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482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（2）实物类垂直电商：唯品会、寺库网、酒仙网、中粮我买网、车厘子鲜果网、汽车之家、华为商城、蘑菇街、1919酒类直供、丝芙兰、邦购网、波奇网、E宠商城、格力商城、孩子王微商城；</w:t>
      </w:r>
    </w:p>
    <w:p>
      <w:pPr>
        <w:pStyle w:val="2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482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（3）社交电商：拼多多、值点商城（抖店）、快手小店、微店、有赞、云集、小红书；</w:t>
      </w:r>
    </w:p>
    <w:p>
      <w:pPr>
        <w:pStyle w:val="2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482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（4）新零售类：</w:t>
      </w:r>
    </w:p>
    <w:p>
      <w:pPr>
        <w:pStyle w:val="2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482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社区电商：淘菜菜、食行生鲜、美团买菜、七鲜、盒马；</w:t>
      </w:r>
    </w:p>
    <w:p>
      <w:pPr>
        <w:pStyle w:val="2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482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社区团购：兴盛优选、京喜拼拼；</w:t>
      </w:r>
    </w:p>
    <w:p>
      <w:pPr>
        <w:pStyle w:val="2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482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C2M：必要商城；</w:t>
      </w:r>
    </w:p>
    <w:p>
      <w:pPr>
        <w:pStyle w:val="2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482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本地即时零售：京东到家、朴朴、家家悦优鲜、永辉生活、多点超市；</w:t>
      </w:r>
    </w:p>
    <w:p>
      <w:pPr>
        <w:pStyle w:val="2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482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（5）在线服务：</w:t>
      </w:r>
    </w:p>
    <w:p>
      <w:pPr>
        <w:pStyle w:val="2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482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在线餐饮：美团（到店）、大众点评、美团外卖</w:t>
      </w:r>
    </w:p>
    <w:p>
      <w:pPr>
        <w:pStyle w:val="2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482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在线旅游：携程旅行网、同程旅游、去哪儿网、飞猪、途牛旅游网、马蜂窝；</w:t>
      </w:r>
    </w:p>
    <w:p>
      <w:pPr>
        <w:pStyle w:val="2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482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在线文娱：猫眼、大麦网、国家电资办、美团（休闲娱乐）</w:t>
      </w:r>
    </w:p>
    <w:p>
      <w:pPr>
        <w:pStyle w:val="2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482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在线住宿：大众点评、携程旅行网、同程旅游、飞猪、途牛旅游网、去哪儿网、艺龙旅行网、小猪短租、马蜂窝；</w:t>
      </w:r>
    </w:p>
    <w:p>
      <w:pPr>
        <w:pStyle w:val="2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482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在线居民生活（综合）：淘宝网、天猫商城、京东商城、苏宁易购、美团（居民生活）；</w:t>
      </w:r>
    </w:p>
    <w:p>
      <w:pPr>
        <w:pStyle w:val="2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482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在线居民生活（在线家政）：懒人家政、阿姨来了、天鹅到家、无忧保姆；</w:t>
      </w:r>
    </w:p>
    <w:p>
      <w:pPr>
        <w:pStyle w:val="2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482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在线居民生活（在线家装）：土巴兔、齐家网；</w:t>
      </w:r>
    </w:p>
    <w:p>
      <w:pPr>
        <w:pStyle w:val="2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482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在线医疗：好大夫在线、微医、新氧医美、京东健康、医鹿；</w:t>
      </w:r>
    </w:p>
    <w:p>
      <w:pPr>
        <w:pStyle w:val="2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482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在线教育：腾讯课堂、淘宝教育、猿辅导、粉笔职教；</w:t>
      </w:r>
    </w:p>
    <w:p>
      <w:pPr>
        <w:pStyle w:val="2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482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在线住房：贝壳找房；</w:t>
      </w:r>
    </w:p>
    <w:p>
      <w:pPr>
        <w:pStyle w:val="2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482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1.2直播电商相关</w:t>
      </w:r>
    </w:p>
    <w:p>
      <w:pPr>
        <w:pStyle w:val="2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482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直播电商：淘宝直播、京东直播、抖音直播、快手直播</w:t>
      </w:r>
    </w:p>
    <w:p>
      <w:pPr>
        <w:pStyle w:val="2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482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1.3跨境电商相关</w:t>
      </w:r>
    </w:p>
    <w:p>
      <w:pPr>
        <w:pStyle w:val="2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482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跨境进口：淘宝全球购、天猫国际、考拉海购、京东国际、唯品国际、亚马逊海外购、聚美极速免税店、苏宁海外购、小红书、宝贝格子、云集国际、洋码头、寺库网；</w:t>
      </w:r>
    </w:p>
    <w:p>
      <w:pPr>
        <w:pStyle w:val="2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482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跨境出口：速卖通、EBAY。</w:t>
      </w:r>
    </w:p>
    <w:p>
      <w:pPr>
        <w:pStyle w:val="2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482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根据各平台公布数据的实际情况，采集的主要字段应包括：</w:t>
      </w:r>
    </w:p>
    <w:p>
      <w:pPr>
        <w:pStyle w:val="2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482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店铺明细字段：时间、平台、店铺ID、店铺名称、店铺URL、店铺注册地址、月销售额、开店时间；</w:t>
      </w:r>
    </w:p>
    <w:p>
      <w:pPr>
        <w:pStyle w:val="2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482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商品明细字段：时间、商品ID、商品名称、品牌名称、品类名称、店铺名称、店铺注册地址、销量、价格、产地-省份、产地-城市、配送地、商品URL、平台、商品规格；</w:t>
      </w:r>
    </w:p>
    <w:p>
      <w:pPr>
        <w:pStyle w:val="2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482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企业明细字段：企业名称、统一社会信用代码或注册号、组织机构代码、登记机关、法定代表人、单位性质、注册资本、经营范围。</w:t>
      </w:r>
    </w:p>
    <w:p>
      <w:pPr>
        <w:pStyle w:val="2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482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采集频率设置为每月一次，对特别关注的商品，可设置为每周一次。同时需要根据国家监测要求，具备根据网络零售市场发展变化不断扩充规模新型平台的能力。</w:t>
      </w:r>
    </w:p>
    <w:p>
      <w:pPr>
        <w:pStyle w:val="2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482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2.网络零售数据查询</w:t>
      </w:r>
    </w:p>
    <w:p>
      <w:pPr>
        <w:pStyle w:val="2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482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提供网络零售数据查询在线应用，向采购人开放账户使用权限，可实现全天候全市整体和细分领域网络零售数据的查询功能，具有对本地区网络零售市场整体交易规模、发展趋势、不同行政区域、不同行业（包含实物行业、非实物行业）、不同渠道（包含B2C、C2C）等维度进行数据“图+表”分析和展现能力，提供三农电商、跨境电商、主题榜单、直播分析等专题监测服务。能按照月度、季度、年度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eastAsia="zh-CN"/>
        </w:rPr>
        <w:t>湛江市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eastAsia="zh-CN"/>
        </w:rPr>
        <w:t>湛江市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辖区及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eastAsia="zh-CN"/>
        </w:rPr>
        <w:t>广东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省其他各地市进行网络零售数据查询，提供当期及累计网络零售数据。具体功能要求如下：</w:t>
      </w:r>
    </w:p>
    <w:p>
      <w:pPr>
        <w:pStyle w:val="2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482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（1）【全国网零】：支持查看全国整体网零、经济区域、分商品类型、分交易模式、分商品大类数据；</w:t>
      </w:r>
    </w:p>
    <w:p>
      <w:pPr>
        <w:pStyle w:val="2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482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（2）【本地区网零】：包含区域零售额、零售量、店铺数量、从业人数、实物行业分析、非实物行业分析等指标数据，以及区域和行业零售额分布数据；</w:t>
      </w:r>
    </w:p>
    <w:p>
      <w:pPr>
        <w:pStyle w:val="2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482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（3）【农村电商】：包含农产品网络零售、农资网络零售的农村网络零售经济发展状况。分析的维度包含当地市场整体概况、月度趋势分析、产品品类分析、区域分析、交易平台分析、商品分析等；</w:t>
      </w:r>
    </w:p>
    <w:p>
      <w:pPr>
        <w:pStyle w:val="2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482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（4）【在线服务】：包含在线餐饮、在线旅游、在线文娱、在线住宿、在线家装、在线家政、在线教育、在线医疗等服务行业分析；</w:t>
      </w:r>
    </w:p>
    <w:p>
      <w:pPr>
        <w:pStyle w:val="2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482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（5）【跨境电商】：包含跨境进口、跨境出口的网络零售经济发展状况。</w:t>
      </w:r>
    </w:p>
    <w:p>
      <w:pPr>
        <w:pStyle w:val="2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482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（6）【主题榜单】：提供网络零售、在线服务、农产品、农资、直播等不同主题下榜单情况。</w:t>
      </w:r>
    </w:p>
    <w:p>
      <w:pPr>
        <w:pStyle w:val="2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482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（7）【直播分析】：提供本地区电商直播的带货主播、直播场次、直播商品销量等各关键指标分析展示，支持对包括淘宝直播、京东直播、抖音直播、快手直播在内的主流直播平台分析。</w:t>
      </w:r>
    </w:p>
    <w:p>
      <w:pPr>
        <w:pStyle w:val="2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482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（8）【促销分析】：提供重要电商促销节（包含618、双11、全国网上年货节、双品网购节等）期间全市网络零售市场表现情况的整体监测分析数据。</w:t>
      </w:r>
    </w:p>
    <w:p>
      <w:pPr>
        <w:pStyle w:val="2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482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（9）【智能简报功能】：可自动汇总关键指标，提供数据摘要和AI智能解读功能，可快速生成个性化电商报告。无论是日常工作还是总结调度，帮助用户轻松掌握市场脉搏，助力用户快速做出精准决策。</w:t>
      </w:r>
    </w:p>
    <w:p>
      <w:pPr>
        <w:pStyle w:val="2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482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（10）【AI助手】：基于先进大模型技术构建智能助手，具备卓越的商务知识积累，不仅能够解疑答惑、提升工作效率还能优化知识管理、辅助决策制定。同时让复杂的数据分析变得简单快捷，助力轻松应对各种问题。</w:t>
      </w:r>
    </w:p>
    <w:p>
      <w:pPr>
        <w:pStyle w:val="2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482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3.网络零售企业查询</w:t>
      </w:r>
    </w:p>
    <w:p>
      <w:pPr>
        <w:pStyle w:val="2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482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提供网络零售企业查询在线应用，包括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eastAsia="zh-CN"/>
        </w:rPr>
        <w:t>湛江市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网络零售企业、店铺查询功能，查询内容涵盖企业主体信息、企业网零销售数据、企业开设店铺信息以及店铺经营信息，可按企业类型、企业状态、销售额区间等自定义条件查询本地企业。支持查看企业详情，通过企业详情关联查看企业经营店铺详情，企业经营店铺详情提供店铺基本信息、重点指标数据、店铺近12个月销售走势、商品数走势、历史月份销售明细信息，用于分析和评估电商企业经营情况。</w:t>
      </w:r>
    </w:p>
    <w:p>
      <w:pPr>
        <w:pStyle w:val="2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482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同时支持企业迁移分析、店铺变更分析，加强网商流失预警，辅助精准施政，有针对性地提升电商产业发展吸引力。</w:t>
      </w:r>
    </w:p>
    <w:p>
      <w:pPr>
        <w:pStyle w:val="2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482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4.网络零售分析报告</w:t>
      </w:r>
    </w:p>
    <w:p>
      <w:pPr>
        <w:pStyle w:val="2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482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4.1对采集的电商平台明细数据进行汇总统计和解读，分析商品、店铺、企业、品牌等电商经营的情况和趋势，提供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eastAsia="zh-CN"/>
        </w:rPr>
        <w:t>湛江市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网络零售数据分析报告，内容至少包括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eastAsia="zh-CN"/>
        </w:rPr>
        <w:t>湛江市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网络零售市场总体发展情况（如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eastAsia="zh-CN"/>
        </w:rPr>
        <w:t>湛江市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网络零售交易额、全国排名、计划单列市排名、全省排名和店铺数等）、各区县网络零售市场发展情况、主要商品的分品类销售情况、重点网商及品牌网络零售情况、农产品、跨境出口电商整体发展情况，以及网络零售主体来源、去向流动分析及带来的网络零售额流入流出规模情况，能够全面客观分析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eastAsia="zh-CN"/>
        </w:rPr>
        <w:t>湛江市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电子商务产业发展的宏观趋势和微观行情。</w:t>
      </w:r>
    </w:p>
    <w:p>
      <w:pPr>
        <w:pStyle w:val="2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482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4.2围绕电商直播数据分析专题提供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eastAsia="zh-CN"/>
        </w:rPr>
        <w:t>湛江市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电商直播分析报告，内容至少包括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广东省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eastAsia="zh-CN"/>
        </w:rPr>
        <w:t>湛江市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、各行业、各市辖区、农产品等电商直播规模及结构，并提供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eastAsia="zh-CN"/>
        </w:rPr>
        <w:t>湛江市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主播排行榜、直播店铺网零额排名、直播企业网零额排名。电商直播数据监测范围覆盖淘宝直播、京东直播、抖音直播、快手直播。</w:t>
      </w:r>
    </w:p>
    <w:p>
      <w:pPr>
        <w:pStyle w:val="2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482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交付内容包括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半年度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网络零售数据分析报告及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半年度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电商直播分析报告。</w:t>
      </w:r>
    </w:p>
    <w:p>
      <w:pPr>
        <w:pStyle w:val="2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482"/>
        <w:jc w:val="both"/>
        <w:textAlignment w:val="auto"/>
        <w:rPr>
          <w:rFonts w:hint="eastAsia" w:ascii="黑体" w:hAnsi="黑体" w:eastAsia="黑体" w:cs="黑体"/>
          <w:b/>
          <w:bCs/>
          <w:color w:val="auto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shd w:val="clear" w:color="auto" w:fill="FFFFFF"/>
          <w:lang w:eastAsia="zh-CN"/>
        </w:rPr>
        <w:t>二、</w:t>
      </w: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shd w:val="clear" w:color="auto" w:fill="FFFFFF"/>
        </w:rPr>
        <w:t>工作要求</w:t>
      </w:r>
    </w:p>
    <w:p>
      <w:pPr>
        <w:pStyle w:val="2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482"/>
        <w:jc w:val="both"/>
        <w:textAlignment w:val="auto"/>
        <w:rPr>
          <w:rStyle w:val="54"/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Style w:val="54"/>
          <w:rFonts w:hint="eastAsia" w:ascii="仿宋_GB2312" w:hAnsi="仿宋_GB2312" w:eastAsia="仿宋_GB2312" w:cs="仿宋_GB2312"/>
          <w:color w:val="auto"/>
          <w:sz w:val="32"/>
          <w:szCs w:val="32"/>
        </w:rPr>
        <w:t>供应商除了能够提供上述数据服务内容外，还应满足数据质量和数据交付及下述其他要求。</w:t>
      </w:r>
    </w:p>
    <w:p>
      <w:pPr>
        <w:pStyle w:val="2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482"/>
        <w:jc w:val="both"/>
        <w:textAlignment w:val="auto"/>
        <w:rPr>
          <w:rStyle w:val="54"/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Style w:val="54"/>
          <w:rFonts w:hint="eastAsia" w:ascii="仿宋_GB2312" w:hAnsi="仿宋_GB2312" w:eastAsia="仿宋_GB2312" w:cs="仿宋_GB2312"/>
          <w:color w:val="auto"/>
          <w:sz w:val="32"/>
          <w:szCs w:val="32"/>
        </w:rPr>
        <w:t>1.数据质量要求</w:t>
      </w:r>
    </w:p>
    <w:p>
      <w:pPr>
        <w:pStyle w:val="2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482"/>
        <w:jc w:val="both"/>
        <w:textAlignment w:val="auto"/>
        <w:rPr>
          <w:rStyle w:val="54"/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Style w:val="54"/>
          <w:rFonts w:hint="eastAsia" w:ascii="仿宋_GB2312" w:hAnsi="仿宋_GB2312" w:eastAsia="仿宋_GB2312" w:cs="仿宋_GB2312"/>
          <w:color w:val="auto"/>
          <w:sz w:val="32"/>
          <w:szCs w:val="32"/>
        </w:rPr>
        <w:t>1.1数据釆集、加工、处理流程科学、合理,能够充分保证数据的准确性和完整性，数据总体误差率和缺失率都应控制在较小的范围内。</w:t>
      </w:r>
    </w:p>
    <w:p>
      <w:pPr>
        <w:pStyle w:val="2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482"/>
        <w:jc w:val="both"/>
        <w:textAlignment w:val="auto"/>
        <w:rPr>
          <w:rStyle w:val="54"/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Style w:val="54"/>
          <w:rFonts w:hint="eastAsia" w:ascii="仿宋_GB2312" w:hAnsi="仿宋_GB2312" w:eastAsia="仿宋_GB2312" w:cs="仿宋_GB2312"/>
          <w:color w:val="auto"/>
          <w:sz w:val="32"/>
          <w:szCs w:val="32"/>
        </w:rPr>
        <w:t>1.2网络零售数据应具有较强的代表性，商品数量、店铺数量、商品零售额在各个平台的占比要达到较高的比例，在各地区、各大类商品之间的分布要合理。</w:t>
      </w:r>
    </w:p>
    <w:p>
      <w:pPr>
        <w:pStyle w:val="2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482"/>
        <w:jc w:val="both"/>
        <w:textAlignment w:val="auto"/>
        <w:rPr>
          <w:rStyle w:val="54"/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Style w:val="54"/>
          <w:rFonts w:hint="eastAsia" w:ascii="仿宋_GB2312" w:hAnsi="仿宋_GB2312" w:eastAsia="仿宋_GB2312" w:cs="仿宋_GB2312"/>
          <w:color w:val="auto"/>
          <w:sz w:val="32"/>
          <w:szCs w:val="32"/>
        </w:rPr>
        <w:t>1.3数据应经过标准化处理，数据之间应保持较好的一致性，从不同角度汇总出的同一指标数据应基本保持一致。</w:t>
      </w:r>
    </w:p>
    <w:p>
      <w:pPr>
        <w:pStyle w:val="2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482"/>
        <w:jc w:val="both"/>
        <w:textAlignment w:val="auto"/>
        <w:rPr>
          <w:rStyle w:val="54"/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Style w:val="54"/>
          <w:rFonts w:hint="eastAsia" w:ascii="仿宋_GB2312" w:hAnsi="仿宋_GB2312" w:eastAsia="仿宋_GB2312" w:cs="仿宋_GB2312"/>
          <w:color w:val="auto"/>
          <w:sz w:val="32"/>
          <w:szCs w:val="32"/>
        </w:rPr>
        <w:t>1.4明细数据中各个数据项的设计应科学合理、逻辑清晰，如平台、企业、店铺、商品之间对应关系如何等；每个数据项来源应清晰明了，做到每条数据的每个数据项都可追溯。</w:t>
      </w:r>
    </w:p>
    <w:p>
      <w:pPr>
        <w:pStyle w:val="2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Style w:val="54"/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Style w:val="54"/>
          <w:rFonts w:hint="eastAsia" w:ascii="仿宋_GB2312" w:hAnsi="仿宋_GB2312" w:eastAsia="仿宋_GB2312" w:cs="仿宋_GB2312"/>
          <w:color w:val="auto"/>
          <w:sz w:val="32"/>
          <w:szCs w:val="32"/>
        </w:rPr>
        <w:t>2.数据交付要求</w:t>
      </w:r>
    </w:p>
    <w:p>
      <w:pPr>
        <w:pStyle w:val="2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482"/>
        <w:jc w:val="both"/>
        <w:textAlignment w:val="auto"/>
        <w:rPr>
          <w:rStyle w:val="54"/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Style w:val="54"/>
          <w:rFonts w:hint="eastAsia" w:ascii="仿宋_GB2312" w:hAnsi="仿宋_GB2312" w:eastAsia="仿宋_GB2312" w:cs="仿宋_GB2312"/>
          <w:color w:val="auto"/>
          <w:sz w:val="32"/>
          <w:szCs w:val="32"/>
        </w:rPr>
        <w:t>2.1交付频度：应以月度数据为基础。</w:t>
      </w:r>
    </w:p>
    <w:p>
      <w:pPr>
        <w:pStyle w:val="2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482"/>
        <w:jc w:val="both"/>
        <w:textAlignment w:val="auto"/>
        <w:rPr>
          <w:rStyle w:val="54"/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Style w:val="54"/>
          <w:rFonts w:hint="eastAsia" w:ascii="仿宋_GB2312" w:hAnsi="仿宋_GB2312" w:eastAsia="仿宋_GB2312" w:cs="仿宋_GB2312"/>
          <w:color w:val="auto"/>
          <w:sz w:val="32"/>
          <w:szCs w:val="32"/>
        </w:rPr>
        <w:t>2.2交付时间：每月15日前更新网络零</w:t>
      </w:r>
      <w:bookmarkStart w:id="1" w:name="_GoBack"/>
      <w:bookmarkEnd w:id="1"/>
      <w:r>
        <w:rPr>
          <w:rStyle w:val="54"/>
          <w:rFonts w:hint="eastAsia" w:ascii="仿宋_GB2312" w:hAnsi="仿宋_GB2312" w:eastAsia="仿宋_GB2312" w:cs="仿宋_GB2312"/>
          <w:color w:val="auto"/>
          <w:sz w:val="32"/>
          <w:szCs w:val="32"/>
        </w:rPr>
        <w:t>售数据查询、网络零售企业查询在线应用。</w:t>
      </w:r>
    </w:p>
    <w:p>
      <w:pPr>
        <w:pStyle w:val="2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482"/>
        <w:jc w:val="both"/>
        <w:textAlignment w:val="auto"/>
        <w:rPr>
          <w:rStyle w:val="54"/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Style w:val="54"/>
          <w:rFonts w:hint="eastAsia" w:ascii="仿宋_GB2312" w:hAnsi="仿宋_GB2312" w:eastAsia="仿宋_GB2312" w:cs="仿宋_GB2312"/>
          <w:color w:val="auto"/>
          <w:sz w:val="32"/>
          <w:szCs w:val="32"/>
        </w:rPr>
        <w:t>2.3交付方式：</w:t>
      </w:r>
      <w:r>
        <w:rPr>
          <w:rStyle w:val="54"/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半</w:t>
      </w:r>
      <w:r>
        <w:rPr>
          <w:rStyle w:val="54"/>
          <w:rFonts w:hint="eastAsia" w:ascii="仿宋_GB2312" w:hAnsi="仿宋_GB2312" w:eastAsia="仿宋_GB2312" w:cs="仿宋_GB2312"/>
          <w:color w:val="auto"/>
          <w:sz w:val="32"/>
          <w:szCs w:val="32"/>
        </w:rPr>
        <w:t>年度网络零售分析报告以WORD/PDF格式交付；网络零售数据查询、网络零售企业查询在线应用以SaaS账号方式交付。</w:t>
      </w:r>
    </w:p>
    <w:p>
      <w:pPr>
        <w:pStyle w:val="2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482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lang w:eastAsia="zh-CN"/>
        </w:rPr>
        <w:t>三、</w:t>
      </w:r>
      <w:r>
        <w:rPr>
          <w:rFonts w:hint="eastAsia" w:ascii="黑体" w:hAnsi="黑体" w:eastAsia="黑体" w:cs="黑体"/>
          <w:sz w:val="32"/>
          <w:szCs w:val="32"/>
        </w:rPr>
        <w:t>商务条件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1、交付地点：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湛江市</w:t>
      </w:r>
      <w:r>
        <w:rPr>
          <w:rFonts w:hint="eastAsia" w:ascii="仿宋_GB2312" w:hAnsi="仿宋_GB2312" w:eastAsia="仿宋_GB2312" w:cs="仿宋_GB2312"/>
          <w:sz w:val="32"/>
          <w:szCs w:val="32"/>
        </w:rPr>
        <w:t>商务局指定地点。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2、交付时间：合同签订之日起1年服务期。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3、交付条件：(1)完成全部服务内容；(2)经采购人验收合格。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、验收方式数据表格 </w:t>
      </w:r>
    </w:p>
    <w:tbl>
      <w:tblPr>
        <w:tblStyle w:val="22"/>
        <w:tblW w:w="8356" w:type="dxa"/>
        <w:tblCellSpacing w:w="0" w:type="dxa"/>
        <w:tblInd w:w="28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85"/>
        <w:gridCol w:w="7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tblCellSpacing w:w="0" w:type="dxa"/>
        </w:trPr>
        <w:tc>
          <w:tcPr>
            <w:tcW w:w="985" w:type="dxa"/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验收期次</w:t>
            </w:r>
          </w:p>
        </w:tc>
        <w:tc>
          <w:tcPr>
            <w:tcW w:w="7371" w:type="dxa"/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验收期次说明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8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7371" w:type="dxa"/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成交人</w:t>
            </w:r>
            <w:r>
              <w:rPr>
                <w:rFonts w:ascii="宋体" w:hAnsi="宋体" w:eastAsia="宋体" w:cs="宋体"/>
                <w:sz w:val="24"/>
                <w:szCs w:val="24"/>
              </w:rPr>
              <w:t>完成全部服务内容，并提出验收申请后，由采购人组织相关人员进行验收。</w:t>
            </w:r>
          </w:p>
        </w:tc>
      </w:tr>
    </w:tbl>
    <w:p>
      <w:pPr>
        <w:spacing w:line="36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bookmarkStart w:id="0" w:name="_Toc509388807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  <w:szCs w:val="24"/>
        </w:rPr>
        <w:t>、</w:t>
      </w:r>
      <w:bookmarkEnd w:id="0"/>
      <w:r>
        <w:rPr>
          <w:rFonts w:hint="eastAsia" w:ascii="宋体" w:hAnsi="宋体" w:eastAsia="宋体" w:cs="宋体"/>
          <w:sz w:val="24"/>
          <w:szCs w:val="24"/>
        </w:rPr>
        <w:t>支付方式数据表格</w:t>
      </w:r>
    </w:p>
    <w:tbl>
      <w:tblPr>
        <w:tblStyle w:val="22"/>
        <w:tblW w:w="5009" w:type="pct"/>
        <w:tblInd w:w="292" w:type="dxa"/>
        <w:tblBorders>
          <w:top w:val="outset" w:color="666666" w:sz="6" w:space="0"/>
          <w:left w:val="outset" w:color="666666" w:sz="6" w:space="0"/>
          <w:bottom w:val="outset" w:color="666666" w:sz="6" w:space="0"/>
          <w:right w:val="outset" w:color="666666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81"/>
        <w:gridCol w:w="1568"/>
        <w:gridCol w:w="5788"/>
      </w:tblGrid>
      <w:tr>
        <w:tblPrEx>
          <w:tblBorders>
            <w:top w:val="outset" w:color="666666" w:sz="6" w:space="0"/>
            <w:left w:val="outset" w:color="666666" w:sz="6" w:space="0"/>
            <w:bottom w:val="outset" w:color="666666" w:sz="6" w:space="0"/>
            <w:right w:val="outset" w:color="666666" w:sz="6" w:space="0"/>
            <w:insideH w:val="outset" w:color="auto" w:sz="6" w:space="0"/>
            <w:insideV w:val="outset" w:color="auto" w:sz="6" w:space="0"/>
          </w:tblBorders>
        </w:tblPrEx>
        <w:trPr>
          <w:tblHeader/>
        </w:trPr>
        <w:tc>
          <w:tcPr>
            <w:tcW w:w="588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支付期次</w:t>
            </w:r>
          </w:p>
        </w:tc>
        <w:tc>
          <w:tcPr>
            <w:tcW w:w="940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支付比例(%)</w:t>
            </w:r>
          </w:p>
        </w:tc>
        <w:tc>
          <w:tcPr>
            <w:tcW w:w="3470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支付期次说明</w:t>
            </w:r>
          </w:p>
        </w:tc>
      </w:tr>
      <w:tr>
        <w:tblPrEx>
          <w:tblBorders>
            <w:top w:val="outset" w:color="666666" w:sz="6" w:space="0"/>
            <w:left w:val="outset" w:color="666666" w:sz="6" w:space="0"/>
            <w:bottom w:val="outset" w:color="666666" w:sz="6" w:space="0"/>
            <w:right w:val="outset" w:color="666666" w:sz="6" w:space="0"/>
            <w:insideH w:val="outset" w:color="auto" w:sz="6" w:space="0"/>
            <w:insideV w:val="outset" w:color="auto" w:sz="6" w:space="0"/>
          </w:tblBorders>
        </w:tblPrEx>
        <w:tc>
          <w:tcPr>
            <w:tcW w:w="588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940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100</w:t>
            </w:r>
          </w:p>
        </w:tc>
        <w:tc>
          <w:tcPr>
            <w:tcW w:w="3470" w:type="pct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合同签订后，采购人在15个工作日内支付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100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%的合同金额。        </w:t>
            </w:r>
          </w:p>
        </w:tc>
      </w:tr>
    </w:tbl>
    <w:p>
      <w:pPr>
        <w:spacing w:line="360" w:lineRule="auto"/>
        <w:rPr>
          <w:rFonts w:hint="eastAsia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2010600030000010101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宋体"/>
    <w:panose1 w:val="02010600030000010101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ind w:firstLine="360"/>
      <w:jc w:val="center"/>
      <w:rPr>
        <w:rFonts w:hint="eastAsia"/>
      </w:rPr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0"/>
    <w:multiLevelType w:val="multilevel"/>
    <w:tmpl w:val="00000000"/>
    <w:lvl w:ilvl="0" w:tentative="0">
      <w:start w:val="1"/>
      <w:numFmt w:val="decimal"/>
      <w:pStyle w:val="2"/>
      <w:lvlText w:val="%1"/>
      <w:lvlJc w:val="left"/>
      <w:pPr>
        <w:ind w:left="425" w:hanging="425"/>
      </w:pPr>
      <w:rPr>
        <w:rFonts w:hint="default" w:ascii="Times New Roman" w:hAnsi="Times New Roman" w:cs="Times New Roman"/>
      </w:rPr>
    </w:lvl>
    <w:lvl w:ilvl="1" w:tentative="0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 w:tentative="0">
      <w:start w:val="1"/>
      <w:numFmt w:val="decimal"/>
      <w:pStyle w:val="4"/>
      <w:lvlText w:val="%1.%2.%3"/>
      <w:lvlJc w:val="left"/>
      <w:pPr>
        <w:ind w:left="1418" w:hanging="567"/>
      </w:pPr>
      <w:rPr>
        <w:rFonts w:hint="eastAsia"/>
      </w:rPr>
    </w:lvl>
    <w:lvl w:ilvl="3" w:tentative="0">
      <w:start w:val="1"/>
      <w:numFmt w:val="decimal"/>
      <w:pStyle w:val="5"/>
      <w:lvlText w:val="%1.%2.%3.%4"/>
      <w:lvlJc w:val="left"/>
      <w:pPr>
        <w:ind w:left="1984" w:hanging="708"/>
      </w:pPr>
      <w:rPr>
        <w:rFonts w:hint="eastAsia"/>
      </w:rPr>
    </w:lvl>
    <w:lvl w:ilvl="4" w:tentative="0">
      <w:start w:val="1"/>
      <w:numFmt w:val="decimal"/>
      <w:pStyle w:val="6"/>
      <w:lvlText w:val="%1.%2.%3.%4.%5"/>
      <w:lvlJc w:val="left"/>
      <w:pPr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B1B77625"/>
    <w:rsid w:val="BDBFD53F"/>
    <w:rsid w:val="BDFD9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99" w:semiHidden="0" w:name="heading 7"/>
    <w:lsdException w:qFormat="1" w:unhideWhenUsed="0" w:uiPriority="99" w:semiHidden="0" w:name="heading 8"/>
    <w:lsdException w:qFormat="1" w:unhideWhenUsed="0" w:uiPriority="99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99" w:semiHidden="0" w:name="footnote text"/>
    <w:lsdException w:qFormat="1" w:unhideWhenUsed="0" w:uiPriority="99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99" w:semiHidden="0" w:name="footnote reference"/>
    <w:lsdException w:qFormat="1" w:unhideWhenUsed="0" w:uiPriority="99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99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qFormat="1" w:unhideWhenUsed="0" w:uiPriority="99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99" w:semiHidden="0" w:name="Balloon Text"/>
    <w:lsdException w:qFormat="1" w:unhideWhenUsed="0" w:uiPriority="39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9"/>
    <w:qFormat/>
    <w:uiPriority w:val="0"/>
    <w:pPr>
      <w:keepNext/>
      <w:keepLines/>
      <w:numPr>
        <w:ilvl w:val="0"/>
        <w:numId w:val="1"/>
      </w:numPr>
      <w:spacing w:before="240" w:after="240" w:line="300" w:lineRule="auto"/>
      <w:outlineLvl w:val="0"/>
    </w:pPr>
    <w:rPr>
      <w:rFonts w:eastAsia="宋体"/>
      <w:b/>
      <w:bCs/>
      <w:color w:val="000000"/>
      <w:kern w:val="44"/>
      <w:sz w:val="36"/>
      <w:szCs w:val="44"/>
    </w:rPr>
  </w:style>
  <w:style w:type="paragraph" w:styleId="3">
    <w:name w:val="heading 2"/>
    <w:basedOn w:val="2"/>
    <w:next w:val="1"/>
    <w:link w:val="28"/>
    <w:qFormat/>
    <w:uiPriority w:val="0"/>
    <w:pPr>
      <w:numPr>
        <w:ilvl w:val="1"/>
        <w:numId w:val="0"/>
      </w:numPr>
      <w:outlineLvl w:val="1"/>
    </w:pPr>
    <w:rPr>
      <w:rFonts w:ascii="宋体" w:hAnsi="宋体" w:cs="宋体"/>
      <w:bCs w:val="0"/>
      <w:sz w:val="32"/>
      <w:szCs w:val="32"/>
    </w:rPr>
  </w:style>
  <w:style w:type="paragraph" w:styleId="4">
    <w:name w:val="heading 3"/>
    <w:basedOn w:val="1"/>
    <w:next w:val="1"/>
    <w:link w:val="30"/>
    <w:qFormat/>
    <w:uiPriority w:val="9"/>
    <w:pPr>
      <w:keepNext/>
      <w:keepLines/>
      <w:numPr>
        <w:ilvl w:val="2"/>
        <w:numId w:val="1"/>
      </w:numPr>
      <w:tabs>
        <w:tab w:val="left" w:pos="993"/>
        <w:tab w:val="left" w:pos="1418"/>
      </w:tabs>
      <w:spacing w:before="240" w:after="240" w:line="300" w:lineRule="auto"/>
      <w:ind w:left="0" w:firstLine="0"/>
      <w:outlineLvl w:val="2"/>
    </w:pPr>
    <w:rPr>
      <w:rFonts w:ascii="宋体" w:hAnsi="宋体" w:eastAsia="宋体"/>
      <w:b/>
      <w:bCs/>
      <w:sz w:val="32"/>
      <w:szCs w:val="32"/>
    </w:rPr>
  </w:style>
  <w:style w:type="paragraph" w:styleId="5">
    <w:name w:val="heading 4"/>
    <w:basedOn w:val="1"/>
    <w:next w:val="1"/>
    <w:link w:val="31"/>
    <w:qFormat/>
    <w:uiPriority w:val="9"/>
    <w:pPr>
      <w:keepNext/>
      <w:keepLines/>
      <w:numPr>
        <w:ilvl w:val="3"/>
        <w:numId w:val="1"/>
      </w:numPr>
      <w:tabs>
        <w:tab w:val="left" w:pos="993"/>
        <w:tab w:val="left" w:pos="1418"/>
      </w:tabs>
      <w:spacing w:before="240" w:after="240" w:line="300" w:lineRule="auto"/>
      <w:ind w:left="0" w:firstLine="0"/>
      <w:outlineLvl w:val="3"/>
    </w:pPr>
    <w:rPr>
      <w:rFonts w:ascii="宋体" w:hAnsi="宋体" w:eastAsia="宋体" w:cs="宋体"/>
      <w:b/>
      <w:bCs/>
      <w:sz w:val="28"/>
      <w:szCs w:val="28"/>
    </w:rPr>
  </w:style>
  <w:style w:type="paragraph" w:styleId="6">
    <w:name w:val="heading 5"/>
    <w:basedOn w:val="1"/>
    <w:next w:val="1"/>
    <w:link w:val="32"/>
    <w:qFormat/>
    <w:uiPriority w:val="0"/>
    <w:pPr>
      <w:keepNext/>
      <w:keepLines/>
      <w:numPr>
        <w:ilvl w:val="4"/>
        <w:numId w:val="1"/>
      </w:numPr>
      <w:spacing w:before="240" w:after="240" w:line="300" w:lineRule="auto"/>
      <w:ind w:left="0" w:firstLine="0"/>
      <w:outlineLvl w:val="4"/>
    </w:pPr>
    <w:rPr>
      <w:rFonts w:ascii="宋体" w:hAnsi="宋体" w:eastAsia="宋体"/>
      <w:b/>
      <w:bCs/>
      <w:sz w:val="28"/>
      <w:szCs w:val="28"/>
    </w:rPr>
  </w:style>
  <w:style w:type="paragraph" w:styleId="7">
    <w:name w:val="heading 6"/>
    <w:basedOn w:val="1"/>
    <w:next w:val="1"/>
    <w:link w:val="33"/>
    <w:qFormat/>
    <w:uiPriority w:val="0"/>
    <w:pPr>
      <w:keepNext/>
      <w:keepLines/>
      <w:spacing w:beforeLines="50" w:afterLines="50" w:line="319" w:lineRule="auto"/>
      <w:ind w:left="2304" w:hanging="1152"/>
      <w:outlineLvl w:val="5"/>
    </w:pPr>
    <w:rPr>
      <w:rFonts w:ascii="宋体" w:hAnsi="宋体" w:eastAsia="等线 Light" w:cs="Times New Roman"/>
      <w:b/>
      <w:sz w:val="28"/>
      <w:szCs w:val="24"/>
    </w:rPr>
  </w:style>
  <w:style w:type="paragraph" w:styleId="8">
    <w:name w:val="heading 7"/>
    <w:basedOn w:val="1"/>
    <w:next w:val="1"/>
    <w:link w:val="34"/>
    <w:qFormat/>
    <w:uiPriority w:val="99"/>
    <w:pPr>
      <w:keepNext/>
      <w:keepLines/>
      <w:spacing w:beforeLines="50" w:afterLines="50" w:line="319" w:lineRule="auto"/>
      <w:ind w:left="1296" w:hanging="1296"/>
      <w:outlineLvl w:val="6"/>
    </w:pPr>
    <w:rPr>
      <w:rFonts w:ascii="Times New Roman" w:hAnsi="Times New Roman" w:eastAsia="等线 Light" w:cs="Times New Roman"/>
      <w:b/>
      <w:bCs/>
      <w:sz w:val="28"/>
      <w:szCs w:val="24"/>
    </w:rPr>
  </w:style>
  <w:style w:type="paragraph" w:styleId="9">
    <w:name w:val="heading 8"/>
    <w:basedOn w:val="1"/>
    <w:next w:val="1"/>
    <w:link w:val="35"/>
    <w:qFormat/>
    <w:uiPriority w:val="99"/>
    <w:pPr>
      <w:keepNext/>
      <w:keepLines/>
      <w:spacing w:before="240" w:after="64" w:line="319" w:lineRule="auto"/>
      <w:ind w:left="1440" w:hanging="1440"/>
      <w:outlineLvl w:val="7"/>
    </w:pPr>
    <w:rPr>
      <w:rFonts w:ascii="等线 Light" w:hAnsi="等线 Light" w:eastAsia="等线 Light" w:cs="Times New Roman"/>
      <w:b/>
      <w:sz w:val="24"/>
      <w:szCs w:val="24"/>
    </w:rPr>
  </w:style>
  <w:style w:type="paragraph" w:styleId="10">
    <w:name w:val="heading 9"/>
    <w:basedOn w:val="1"/>
    <w:next w:val="1"/>
    <w:link w:val="36"/>
    <w:qFormat/>
    <w:uiPriority w:val="99"/>
    <w:pPr>
      <w:keepNext/>
      <w:keepLines/>
      <w:spacing w:before="240" w:after="64" w:line="319" w:lineRule="auto"/>
      <w:ind w:left="1584" w:hanging="1584"/>
      <w:outlineLvl w:val="8"/>
    </w:pPr>
    <w:rPr>
      <w:rFonts w:ascii="Arial" w:hAnsi="Arial" w:eastAsia="黑体" w:cs="Times New Roman"/>
      <w:sz w:val="24"/>
      <w:szCs w:val="21"/>
    </w:rPr>
  </w:style>
  <w:style w:type="character" w:default="1" w:styleId="24">
    <w:name w:val="Default Paragraph Font"/>
    <w:qFormat/>
    <w:uiPriority w:val="1"/>
  </w:style>
  <w:style w:type="table" w:default="1" w:styleId="22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annotation text"/>
    <w:basedOn w:val="1"/>
    <w:link w:val="42"/>
    <w:qFormat/>
    <w:uiPriority w:val="99"/>
    <w:pPr>
      <w:jc w:val="left"/>
    </w:pPr>
  </w:style>
  <w:style w:type="paragraph" w:styleId="12">
    <w:name w:val="toc 3"/>
    <w:basedOn w:val="1"/>
    <w:next w:val="1"/>
    <w:qFormat/>
    <w:uiPriority w:val="39"/>
    <w:pPr>
      <w:ind w:left="840" w:leftChars="400"/>
    </w:pPr>
  </w:style>
  <w:style w:type="paragraph" w:styleId="13">
    <w:name w:val="Balloon Text"/>
    <w:basedOn w:val="1"/>
    <w:link w:val="44"/>
    <w:qFormat/>
    <w:uiPriority w:val="99"/>
    <w:rPr>
      <w:sz w:val="18"/>
      <w:szCs w:val="18"/>
    </w:rPr>
  </w:style>
  <w:style w:type="paragraph" w:styleId="14">
    <w:name w:val="footer"/>
    <w:basedOn w:val="1"/>
    <w:link w:val="4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5">
    <w:name w:val="header"/>
    <w:basedOn w:val="1"/>
    <w:link w:val="4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6">
    <w:name w:val="toc 1"/>
    <w:basedOn w:val="1"/>
    <w:next w:val="1"/>
    <w:qFormat/>
    <w:uiPriority w:val="39"/>
  </w:style>
  <w:style w:type="paragraph" w:styleId="17">
    <w:name w:val="footnote text"/>
    <w:basedOn w:val="1"/>
    <w:link w:val="45"/>
    <w:qFormat/>
    <w:uiPriority w:val="99"/>
    <w:pPr>
      <w:snapToGrid w:val="0"/>
      <w:jc w:val="left"/>
    </w:pPr>
    <w:rPr>
      <w:rFonts w:ascii="宋体" w:eastAsia="宋体"/>
      <w:sz w:val="18"/>
      <w:szCs w:val="18"/>
    </w:rPr>
  </w:style>
  <w:style w:type="paragraph" w:styleId="18">
    <w:name w:val="toc 2"/>
    <w:basedOn w:val="1"/>
    <w:next w:val="1"/>
    <w:qFormat/>
    <w:uiPriority w:val="39"/>
    <w:pPr>
      <w:ind w:left="420" w:leftChars="200"/>
    </w:pPr>
  </w:style>
  <w:style w:type="paragraph" w:styleId="19">
    <w:name w:val="Body Text 2"/>
    <w:basedOn w:val="1"/>
    <w:link w:val="49"/>
    <w:qFormat/>
    <w:uiPriority w:val="99"/>
    <w:pPr>
      <w:spacing w:after="120" w:line="480" w:lineRule="auto"/>
    </w:pPr>
  </w:style>
  <w:style w:type="paragraph" w:styleId="20">
    <w:name w:val="Normal (Web)"/>
    <w:basedOn w:val="1"/>
    <w:next w:val="1"/>
    <w:qFormat/>
    <w:uiPriority w:val="0"/>
    <w:pPr>
      <w:widowControl/>
      <w:spacing w:beforeAutospacing="1" w:afterAutospacing="1"/>
      <w:jc w:val="left"/>
    </w:pPr>
    <w:rPr>
      <w:rFonts w:ascii="宋体" w:hAnsi="宋体" w:eastAsia="宋体" w:cs="Times New Roman"/>
      <w:color w:val="000000"/>
      <w:kern w:val="0"/>
      <w:sz w:val="24"/>
      <w:szCs w:val="24"/>
    </w:rPr>
  </w:style>
  <w:style w:type="paragraph" w:styleId="21">
    <w:name w:val="annotation subject"/>
    <w:basedOn w:val="11"/>
    <w:next w:val="11"/>
    <w:link w:val="43"/>
    <w:qFormat/>
    <w:uiPriority w:val="99"/>
    <w:rPr>
      <w:b/>
      <w:bCs/>
    </w:rPr>
  </w:style>
  <w:style w:type="table" w:styleId="23">
    <w:name w:val="Table Grid"/>
    <w:basedOn w:val="22"/>
    <w:qFormat/>
    <w:uiPriority w:val="39"/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5">
    <w:name w:val="Hyperlink"/>
    <w:basedOn w:val="24"/>
    <w:qFormat/>
    <w:uiPriority w:val="99"/>
    <w:rPr>
      <w:color w:val="0563C1"/>
      <w:u w:val="single"/>
    </w:rPr>
  </w:style>
  <w:style w:type="character" w:styleId="26">
    <w:name w:val="annotation reference"/>
    <w:basedOn w:val="24"/>
    <w:qFormat/>
    <w:uiPriority w:val="99"/>
    <w:rPr>
      <w:sz w:val="21"/>
      <w:szCs w:val="21"/>
    </w:rPr>
  </w:style>
  <w:style w:type="character" w:styleId="27">
    <w:name w:val="footnote reference"/>
    <w:basedOn w:val="24"/>
    <w:qFormat/>
    <w:uiPriority w:val="99"/>
    <w:rPr>
      <w:vertAlign w:val="superscript"/>
    </w:rPr>
  </w:style>
  <w:style w:type="character" w:customStyle="1" w:styleId="28">
    <w:name w:val="标题 2 字符"/>
    <w:basedOn w:val="24"/>
    <w:link w:val="3"/>
    <w:qFormat/>
    <w:uiPriority w:val="0"/>
    <w:rPr>
      <w:rFonts w:ascii="宋体" w:hAnsi="宋体" w:eastAsia="宋体" w:cs="宋体"/>
      <w:b/>
      <w:color w:val="000000"/>
      <w:kern w:val="44"/>
      <w:sz w:val="32"/>
      <w:szCs w:val="32"/>
    </w:rPr>
  </w:style>
  <w:style w:type="character" w:customStyle="1" w:styleId="29">
    <w:name w:val="标题 1 字符"/>
    <w:basedOn w:val="24"/>
    <w:link w:val="2"/>
    <w:qFormat/>
    <w:uiPriority w:val="0"/>
    <w:rPr>
      <w:rFonts w:eastAsia="宋体"/>
      <w:b/>
      <w:bCs/>
      <w:color w:val="000000"/>
      <w:kern w:val="44"/>
      <w:sz w:val="36"/>
      <w:szCs w:val="44"/>
    </w:rPr>
  </w:style>
  <w:style w:type="character" w:customStyle="1" w:styleId="30">
    <w:name w:val="标题 3 字符"/>
    <w:basedOn w:val="24"/>
    <w:link w:val="4"/>
    <w:qFormat/>
    <w:uiPriority w:val="9"/>
    <w:rPr>
      <w:rFonts w:ascii="宋体" w:hAnsi="宋体" w:eastAsia="宋体"/>
      <w:b/>
      <w:bCs/>
      <w:sz w:val="32"/>
      <w:szCs w:val="32"/>
    </w:rPr>
  </w:style>
  <w:style w:type="character" w:customStyle="1" w:styleId="31">
    <w:name w:val="标题 4 字符"/>
    <w:basedOn w:val="24"/>
    <w:link w:val="5"/>
    <w:qFormat/>
    <w:uiPriority w:val="9"/>
    <w:rPr>
      <w:rFonts w:ascii="宋体" w:hAnsi="宋体" w:eastAsia="宋体" w:cs="宋体"/>
      <w:b/>
      <w:bCs/>
      <w:sz w:val="28"/>
      <w:szCs w:val="28"/>
    </w:rPr>
  </w:style>
  <w:style w:type="character" w:customStyle="1" w:styleId="32">
    <w:name w:val="标题 5 字符"/>
    <w:basedOn w:val="24"/>
    <w:link w:val="6"/>
    <w:qFormat/>
    <w:uiPriority w:val="0"/>
    <w:rPr>
      <w:rFonts w:ascii="宋体" w:hAnsi="宋体" w:eastAsia="宋体"/>
      <w:b/>
      <w:bCs/>
      <w:sz w:val="28"/>
      <w:szCs w:val="28"/>
    </w:rPr>
  </w:style>
  <w:style w:type="character" w:customStyle="1" w:styleId="33">
    <w:name w:val="标题 6 字符"/>
    <w:basedOn w:val="24"/>
    <w:link w:val="7"/>
    <w:qFormat/>
    <w:uiPriority w:val="0"/>
    <w:rPr>
      <w:rFonts w:ascii="宋体" w:hAnsi="宋体" w:eastAsia="等线 Light" w:cs="Times New Roman"/>
      <w:b/>
      <w:sz w:val="28"/>
      <w:szCs w:val="24"/>
    </w:rPr>
  </w:style>
  <w:style w:type="character" w:customStyle="1" w:styleId="34">
    <w:name w:val="标题 7 字符"/>
    <w:basedOn w:val="24"/>
    <w:link w:val="8"/>
    <w:qFormat/>
    <w:uiPriority w:val="99"/>
    <w:rPr>
      <w:rFonts w:ascii="Times New Roman" w:hAnsi="Times New Roman" w:eastAsia="等线 Light" w:cs="Times New Roman"/>
      <w:b/>
      <w:bCs/>
      <w:sz w:val="28"/>
      <w:szCs w:val="24"/>
    </w:rPr>
  </w:style>
  <w:style w:type="character" w:customStyle="1" w:styleId="35">
    <w:name w:val="标题 8 字符"/>
    <w:basedOn w:val="24"/>
    <w:link w:val="9"/>
    <w:qFormat/>
    <w:uiPriority w:val="99"/>
    <w:rPr>
      <w:rFonts w:ascii="等线 Light" w:hAnsi="等线 Light" w:eastAsia="等线 Light" w:cs="Times New Roman"/>
      <w:b/>
      <w:sz w:val="24"/>
      <w:szCs w:val="24"/>
    </w:rPr>
  </w:style>
  <w:style w:type="character" w:customStyle="1" w:styleId="36">
    <w:name w:val="标题 9 字符"/>
    <w:basedOn w:val="24"/>
    <w:link w:val="10"/>
    <w:qFormat/>
    <w:uiPriority w:val="99"/>
    <w:rPr>
      <w:rFonts w:ascii="Arial" w:hAnsi="Arial" w:eastAsia="黑体" w:cs="Times New Roman"/>
      <w:sz w:val="24"/>
      <w:szCs w:val="21"/>
    </w:rPr>
  </w:style>
  <w:style w:type="character" w:customStyle="1" w:styleId="37">
    <w:name w:val="列出段落 字符"/>
    <w:link w:val="38"/>
    <w:qFormat/>
    <w:uiPriority w:val="34"/>
    <w:rPr>
      <w:rFonts w:ascii="Times New Roman" w:hAnsi="Times New Roman" w:eastAsia="宋体" w:cs="Times New Roman"/>
      <w:sz w:val="24"/>
      <w:szCs w:val="24"/>
    </w:rPr>
  </w:style>
  <w:style w:type="paragraph" w:styleId="38">
    <w:name w:val="List Paragraph"/>
    <w:basedOn w:val="1"/>
    <w:link w:val="37"/>
    <w:qFormat/>
    <w:uiPriority w:val="34"/>
    <w:pPr>
      <w:spacing w:line="360" w:lineRule="auto"/>
      <w:ind w:firstLine="420" w:firstLineChars="200"/>
    </w:pPr>
    <w:rPr>
      <w:rFonts w:ascii="Times New Roman" w:hAnsi="Times New Roman" w:eastAsia="宋体" w:cs="Times New Roman"/>
      <w:sz w:val="24"/>
      <w:szCs w:val="24"/>
    </w:rPr>
  </w:style>
  <w:style w:type="paragraph" w:customStyle="1" w:styleId="39">
    <w:name w:val="TOC Heading_ed7bf71b-7a56-470c-88ce-b6c64efd7d9b"/>
    <w:basedOn w:val="2"/>
    <w:next w:val="1"/>
    <w:qFormat/>
    <w:uiPriority w:val="39"/>
    <w:pPr>
      <w:widowControl/>
      <w:spacing w:after="0" w:line="259" w:lineRule="auto"/>
      <w:jc w:val="left"/>
      <w:outlineLvl w:val="9"/>
    </w:pPr>
    <w:rPr>
      <w:rFonts w:ascii="等线 Light" w:hAnsi="等线 Light" w:eastAsia="等线 Light" w:cs="宋体"/>
      <w:b w:val="0"/>
      <w:bCs w:val="0"/>
      <w:color w:val="2E75B6"/>
      <w:kern w:val="0"/>
      <w:sz w:val="32"/>
      <w:szCs w:val="32"/>
    </w:rPr>
  </w:style>
  <w:style w:type="character" w:customStyle="1" w:styleId="40">
    <w:name w:val="页眉 字符"/>
    <w:basedOn w:val="24"/>
    <w:link w:val="15"/>
    <w:qFormat/>
    <w:uiPriority w:val="99"/>
    <w:rPr>
      <w:sz w:val="18"/>
      <w:szCs w:val="18"/>
    </w:rPr>
  </w:style>
  <w:style w:type="character" w:customStyle="1" w:styleId="41">
    <w:name w:val="页脚 字符"/>
    <w:basedOn w:val="24"/>
    <w:link w:val="14"/>
    <w:qFormat/>
    <w:uiPriority w:val="99"/>
    <w:rPr>
      <w:sz w:val="18"/>
      <w:szCs w:val="18"/>
    </w:rPr>
  </w:style>
  <w:style w:type="character" w:customStyle="1" w:styleId="42">
    <w:name w:val="批注文字 字符"/>
    <w:basedOn w:val="24"/>
    <w:link w:val="11"/>
    <w:qFormat/>
    <w:uiPriority w:val="99"/>
  </w:style>
  <w:style w:type="character" w:customStyle="1" w:styleId="43">
    <w:name w:val="批注主题 字符"/>
    <w:basedOn w:val="42"/>
    <w:link w:val="21"/>
    <w:qFormat/>
    <w:uiPriority w:val="99"/>
    <w:rPr>
      <w:b/>
      <w:bCs/>
    </w:rPr>
  </w:style>
  <w:style w:type="character" w:customStyle="1" w:styleId="44">
    <w:name w:val="批注框文本 字符"/>
    <w:basedOn w:val="24"/>
    <w:link w:val="13"/>
    <w:qFormat/>
    <w:uiPriority w:val="99"/>
    <w:rPr>
      <w:sz w:val="18"/>
      <w:szCs w:val="18"/>
    </w:rPr>
  </w:style>
  <w:style w:type="character" w:customStyle="1" w:styleId="45">
    <w:name w:val="脚注文本 字符"/>
    <w:basedOn w:val="24"/>
    <w:link w:val="17"/>
    <w:qFormat/>
    <w:uiPriority w:val="99"/>
    <w:rPr>
      <w:rFonts w:ascii="宋体" w:eastAsia="宋体"/>
      <w:sz w:val="18"/>
      <w:szCs w:val="18"/>
    </w:rPr>
  </w:style>
  <w:style w:type="paragraph" w:styleId="46">
    <w:name w:val="No Spacing"/>
    <w:qFormat/>
    <w:uiPriority w:val="1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paragraph" w:customStyle="1" w:styleId="47">
    <w:name w:val="【正文】"/>
    <w:basedOn w:val="19"/>
    <w:link w:val="48"/>
    <w:qFormat/>
    <w:uiPriority w:val="0"/>
    <w:pPr>
      <w:wordWrap w:val="0"/>
      <w:spacing w:after="0" w:line="360" w:lineRule="auto"/>
      <w:ind w:firstLine="200" w:firstLineChars="200"/>
    </w:pPr>
    <w:rPr>
      <w:rFonts w:ascii="Times New Roman" w:hAnsi="Times New Roman" w:eastAsia="仿宋" w:cs="宋体"/>
      <w:sz w:val="28"/>
      <w:szCs w:val="24"/>
      <w:lang w:val="zh-CN"/>
    </w:rPr>
  </w:style>
  <w:style w:type="character" w:customStyle="1" w:styleId="48">
    <w:name w:val="【正文】 Char"/>
    <w:link w:val="47"/>
    <w:qFormat/>
    <w:uiPriority w:val="0"/>
    <w:rPr>
      <w:rFonts w:ascii="Times New Roman" w:hAnsi="Times New Roman" w:eastAsia="仿宋" w:cs="宋体"/>
      <w:sz w:val="28"/>
      <w:szCs w:val="24"/>
      <w:lang w:val="zh-CN"/>
    </w:rPr>
  </w:style>
  <w:style w:type="character" w:customStyle="1" w:styleId="49">
    <w:name w:val="正文文本 2 字符"/>
    <w:basedOn w:val="24"/>
    <w:link w:val="19"/>
    <w:qFormat/>
    <w:uiPriority w:val="99"/>
  </w:style>
  <w:style w:type="paragraph" w:customStyle="1" w:styleId="50">
    <w:name w:val="正文样式"/>
    <w:basedOn w:val="1"/>
    <w:link w:val="51"/>
    <w:qFormat/>
    <w:uiPriority w:val="0"/>
    <w:pPr>
      <w:spacing w:line="360" w:lineRule="auto"/>
      <w:ind w:firstLine="200" w:firstLineChars="200"/>
    </w:pPr>
    <w:rPr>
      <w:rFonts w:ascii="Calibri" w:hAnsi="Calibri" w:eastAsia="仿宋" w:cs="Times New Roman"/>
      <w:kern w:val="0"/>
      <w:sz w:val="28"/>
    </w:rPr>
  </w:style>
  <w:style w:type="character" w:customStyle="1" w:styleId="51">
    <w:name w:val="正文样式 Char"/>
    <w:link w:val="50"/>
    <w:qFormat/>
    <w:uiPriority w:val="0"/>
    <w:rPr>
      <w:rFonts w:ascii="Calibri" w:hAnsi="Calibri" w:eastAsia="仿宋" w:cs="Times New Roman"/>
      <w:kern w:val="0"/>
      <w:sz w:val="28"/>
    </w:rPr>
  </w:style>
  <w:style w:type="paragraph" w:customStyle="1" w:styleId="52">
    <w:name w:val="正文 A"/>
    <w:qFormat/>
    <w:uiPriority w:val="0"/>
    <w:pPr>
      <w:widowControl w:val="0"/>
      <w:spacing w:line="276" w:lineRule="auto"/>
      <w:jc w:val="center"/>
    </w:pPr>
    <w:rPr>
      <w:rFonts w:ascii="Times New Roman" w:hAnsi="Times New Roman" w:eastAsia="Times New Roman" w:cs="Times New Roman"/>
      <w:color w:val="000000"/>
      <w:kern w:val="2"/>
      <w:sz w:val="21"/>
      <w:szCs w:val="21"/>
      <w:u w:color="000000"/>
      <w:lang w:val="en-US" w:eastAsia="zh-CN" w:bidi="ar-SA"/>
    </w:rPr>
  </w:style>
  <w:style w:type="paragraph" w:customStyle="1" w:styleId="53">
    <w:name w:val="null3"/>
    <w:qFormat/>
    <w:uiPriority w:val="0"/>
    <w:pPr>
      <w:spacing w:after="156" w:afterLines="50" w:line="276" w:lineRule="auto"/>
      <w:ind w:firstLine="420"/>
      <w:jc w:val="both"/>
    </w:pPr>
    <w:rPr>
      <w:rFonts w:ascii="宋体" w:hAnsi="宋体" w:eastAsia="宋体" w:cs="宋体"/>
      <w:kern w:val="0"/>
      <w:sz w:val="24"/>
      <w:szCs w:val="24"/>
      <w:shd w:val="clear" w:color="auto" w:fill="FFFFFF"/>
      <w:lang w:val="en-US" w:bidi="ar-SA"/>
    </w:rPr>
  </w:style>
  <w:style w:type="character" w:customStyle="1" w:styleId="54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3573</Words>
  <Characters>3661</Characters>
  <Paragraphs>94</Paragraphs>
  <TotalTime>1764</TotalTime>
  <ScaleCrop>false</ScaleCrop>
  <LinksUpToDate>false</LinksUpToDate>
  <CharactersWithSpaces>3670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2021-09-03T19:25:00Z</dcterms:created>
  <dc:creator>xiaolong Guo (郭小龙)-云服务集团</dc:creator>
  <cp:lastModifiedBy>曾彩云</cp:lastModifiedBy>
  <cp:lastPrinted>2022-03-15T19:37:00Z</cp:lastPrinted>
  <dcterms:modified xsi:type="dcterms:W3CDTF">2024-12-11T18:09:38Z</dcterms:modified>
  <cp:revision>117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d2c51dfadcea48f0ae6dd3ab1c99b70e_23</vt:lpwstr>
  </property>
</Properties>
</file>