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C502B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湛江市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  <w:t>20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  <w:t>23年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eastAsia="zh-CN"/>
        </w:rPr>
        <w:t>中央财政支持普惠金融发展</w:t>
      </w:r>
    </w:p>
    <w:p w14:paraId="485DE9AB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eastAsia="zh-CN"/>
        </w:rPr>
        <w:t>示范区奖补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  <w:t>资金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  <w:t>普惠贷款贴息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eastAsia="zh-CN"/>
        </w:rPr>
        <w:t>项目</w:t>
      </w:r>
    </w:p>
    <w:p w14:paraId="11D6E8CF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合作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银行遴选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方案</w:t>
      </w:r>
    </w:p>
    <w:p w14:paraId="2EBD46C3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Calibri" w:hAnsi="Calibri" w:eastAsia="黑体" w:cs="Times New Roman"/>
          <w:color w:val="auto"/>
          <w:sz w:val="36"/>
          <w:szCs w:val="36"/>
        </w:rPr>
      </w:pPr>
    </w:p>
    <w:p w14:paraId="0DDBA050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为贯彻落实党中央、国务院关于发展普惠金融和支持小微企业融资发展的决策部署，充分发挥财政资金的引导撬动作用，进一步降低小微企业融资成本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，根据《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湛江市2023年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中央财政支持普惠金融发展示范区奖补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普惠贷款贴息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工作方案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现通过公开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征集，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遴选湛江市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中央财政支持普惠金融发展示范区奖补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普惠贷款贴息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项目合作银行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74095D3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一、项目概况</w:t>
      </w:r>
    </w:p>
    <w:p w14:paraId="0C19FE59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1" w:firstLineChars="100"/>
        <w:jc w:val="both"/>
        <w:rPr>
          <w:rFonts w:hint="eastAsia" w:ascii="Calibri" w:hAnsi="Calibri" w:eastAsia="楷体_GB2312" w:cs="Times New Roman"/>
          <w:b/>
          <w:color w:val="auto"/>
          <w:sz w:val="32"/>
          <w:szCs w:val="32"/>
        </w:rPr>
      </w:pPr>
      <w:r>
        <w:rPr>
          <w:rFonts w:hint="eastAsia" w:ascii="Calibri" w:hAnsi="Calibri" w:eastAsia="楷体_GB2312" w:cs="Times New Roman"/>
          <w:b/>
          <w:color w:val="auto"/>
          <w:sz w:val="32"/>
          <w:szCs w:val="32"/>
        </w:rPr>
        <w:t xml:space="preserve"> </w:t>
      </w:r>
      <w:r>
        <w:rPr>
          <w:rFonts w:hint="eastAsia" w:ascii="Calibri" w:hAnsi="Calibri" w:eastAsia="楷体_GB2312" w:cs="Times New Roman"/>
          <w:b w:val="0"/>
          <w:bCs/>
          <w:color w:val="auto"/>
          <w:sz w:val="32"/>
          <w:szCs w:val="32"/>
        </w:rPr>
        <w:t>（一）项目名称</w:t>
      </w:r>
    </w:p>
    <w:p w14:paraId="3924F39D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Calibri" w:hAnsi="Calibri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湛江市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中央财政支持普惠金融发展示范区奖补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普惠贷款贴息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合作银行遴选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2DA4A333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baseline"/>
        <w:rPr>
          <w:rFonts w:hint="eastAsia" w:ascii="Calibri" w:hAnsi="Calibri" w:eastAsia="楷体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Calibri" w:hAnsi="Calibri" w:eastAsia="楷体_GB2312" w:cs="Times New Roman"/>
          <w:b w:val="0"/>
          <w:bCs/>
          <w:color w:val="auto"/>
          <w:sz w:val="32"/>
          <w:szCs w:val="32"/>
        </w:rPr>
        <w:t>（二）项目内容</w:t>
      </w:r>
    </w:p>
    <w:p w14:paraId="13D7A7A8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本次遴选结果作为经办银行签订普惠贷款贴息业务合作协议、开展普惠贷款贴息业务的依据。</w:t>
      </w:r>
    </w:p>
    <w:p w14:paraId="49AA060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0"/>
        <w:jc w:val="both"/>
        <w:rPr>
          <w:rFonts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二、遴选人</w:t>
      </w:r>
    </w:p>
    <w:p w14:paraId="5E86B4F7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ascii="Calibri" w:hAnsi="Calibri" w:eastAsia="黑体" w:cs="Times New Roman"/>
          <w:color w:val="auto"/>
          <w:sz w:val="32"/>
          <w:szCs w:val="32"/>
        </w:rPr>
      </w:pP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 xml:space="preserve">    遴选评审由湛江市</w:t>
      </w:r>
      <w:r>
        <w:rPr>
          <w:rFonts w:hint="eastAsia" w:ascii="Calibri" w:hAnsi="Calibri" w:eastAsia="仿宋_GB2312" w:cs="Times New Roman"/>
          <w:color w:val="auto"/>
          <w:sz w:val="32"/>
          <w:szCs w:val="32"/>
          <w:lang w:eastAsia="zh-CN"/>
        </w:rPr>
        <w:t>人民政府办公室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组织进行，评审组由湛江市</w:t>
      </w:r>
      <w:r>
        <w:rPr>
          <w:rFonts w:hint="eastAsia" w:ascii="Calibri" w:hAnsi="Calibri" w:eastAsia="仿宋_GB2312" w:cs="Times New Roman"/>
          <w:color w:val="auto"/>
          <w:sz w:val="32"/>
          <w:szCs w:val="32"/>
          <w:lang w:eastAsia="zh-CN"/>
        </w:rPr>
        <w:t>人民政府办公室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、湛江市财政局、</w:t>
      </w:r>
      <w:r>
        <w:rPr>
          <w:rFonts w:hint="eastAsia" w:ascii="Calibri" w:hAnsi="Calibri" w:eastAsia="仿宋_GB2312" w:cs="Times New Roman"/>
          <w:color w:val="auto"/>
          <w:sz w:val="32"/>
          <w:szCs w:val="32"/>
          <w:lang w:eastAsia="zh-CN"/>
        </w:rPr>
        <w:t>中国人民银行湛江市分行、国家金融监管总局湛江监管分局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派出相关业务人员组成。</w:t>
      </w:r>
    </w:p>
    <w:p w14:paraId="2EF885C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0"/>
        <w:jc w:val="both"/>
        <w:rPr>
          <w:rFonts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三、申请银行资格要求</w:t>
      </w:r>
    </w:p>
    <w:p w14:paraId="72D03A7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（一）中华人民共和国境内依法设立的商业银行，且在本市设立总行或分行至少满2年；</w:t>
      </w:r>
    </w:p>
    <w:p w14:paraId="3D7445A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0"/>
        <w:jc w:val="both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（二）经营稳健，普惠小微贷款不良率达到监管标准；</w:t>
      </w:r>
    </w:p>
    <w:p w14:paraId="6C32545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（三）内部管理机制健全，具有较强的风险控制能力，能提供面向个体工商户、小微企业和小微企业主的经营类信贷产品；</w:t>
      </w:r>
    </w:p>
    <w:p w14:paraId="764856BB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jc w:val="both"/>
        <w:rPr>
          <w:rFonts w:ascii="Calibri" w:hAnsi="Calibri" w:eastAsia="仿宋_GB2312" w:cs="Times New Roman"/>
          <w:color w:val="auto"/>
          <w:sz w:val="32"/>
          <w:szCs w:val="32"/>
        </w:rPr>
      </w:pP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 xml:space="preserve"> （</w:t>
      </w:r>
      <w:r>
        <w:rPr>
          <w:rFonts w:hint="eastAsia" w:ascii="Calibri" w:hAnsi="Calibri" w:eastAsia="仿宋_GB2312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）</w:t>
      </w:r>
      <w:r>
        <w:rPr>
          <w:rFonts w:hint="eastAsia" w:ascii="Calibri" w:hAnsi="Calibri" w:eastAsia="仿宋_GB2312" w:cs="Times New Roman"/>
          <w:color w:val="auto"/>
          <w:sz w:val="32"/>
          <w:szCs w:val="32"/>
          <w:lang w:eastAsia="zh-CN"/>
        </w:rPr>
        <w:t>能够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自愿遵守国家和省市</w:t>
      </w:r>
      <w:r>
        <w:rPr>
          <w:rFonts w:hint="eastAsia" w:ascii="Calibri" w:hAnsi="Calibri" w:eastAsia="仿宋_GB2312" w:cs="Times New Roman"/>
          <w:color w:val="auto"/>
          <w:sz w:val="32"/>
          <w:szCs w:val="32"/>
          <w:lang w:eastAsia="zh-CN"/>
        </w:rPr>
        <w:t>有关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规定，向符合条件的借款人提供</w:t>
      </w:r>
      <w:r>
        <w:rPr>
          <w:rFonts w:hint="eastAsia" w:ascii="Calibri" w:hAnsi="Calibri" w:eastAsia="仿宋_GB2312" w:cs="Times New Roman"/>
          <w:color w:val="auto"/>
          <w:sz w:val="32"/>
          <w:szCs w:val="32"/>
          <w:lang w:eastAsia="zh-CN"/>
        </w:rPr>
        <w:t>普惠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贷款，做好贷款、贴息等各项</w:t>
      </w:r>
      <w:r>
        <w:rPr>
          <w:rFonts w:ascii="Calibri" w:hAnsi="Calibri" w:eastAsia="仿宋_GB2312" w:cs="Times New Roman"/>
          <w:color w:val="auto"/>
          <w:sz w:val="32"/>
          <w:szCs w:val="32"/>
        </w:rPr>
        <w:t>业务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管理，并接受相关部门监督检查。</w:t>
      </w:r>
    </w:p>
    <w:p w14:paraId="2A923049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Calibri" w:hAnsi="Calibri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Calibri" w:hAnsi="Calibri" w:eastAsia="黑体" w:cs="Times New Roman"/>
          <w:color w:val="auto"/>
          <w:sz w:val="32"/>
          <w:szCs w:val="32"/>
        </w:rPr>
        <w:t>四、</w:t>
      </w:r>
      <w:r>
        <w:rPr>
          <w:rFonts w:hint="eastAsia" w:ascii="Calibri" w:hAnsi="Calibri" w:eastAsia="黑体" w:cs="Times New Roman"/>
          <w:color w:val="auto"/>
          <w:sz w:val="32"/>
          <w:szCs w:val="32"/>
          <w:lang w:eastAsia="zh-CN"/>
        </w:rPr>
        <w:t>申请及评审时间</w:t>
      </w:r>
    </w:p>
    <w:p w14:paraId="346E283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（一）申请时间：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2024年12月9日至12月10日。</w:t>
      </w:r>
    </w:p>
    <w:p w14:paraId="27822A6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 xml:space="preserve">    （二）评审时间：2024年12月11日。</w:t>
      </w:r>
    </w:p>
    <w:p w14:paraId="5250F0A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 xml:space="preserve">    （三）评审结果公示5天。</w:t>
      </w:r>
    </w:p>
    <w:p w14:paraId="4B1747E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rPr>
          <w:rFonts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 xml:space="preserve"> 五、申请文件要求</w:t>
      </w:r>
    </w:p>
    <w:p w14:paraId="5447CF94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ascii="Calibri" w:hAnsi="Calibri" w:eastAsia="仿宋_GB2312" w:cs="Times New Roman"/>
          <w:color w:val="auto"/>
          <w:sz w:val="32"/>
          <w:szCs w:val="32"/>
        </w:rPr>
      </w:pP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（一）申请文件包括：申请函、廉洁承诺书、承诺函、评审要素一览表，证明评审要素一览表各项内容的证明材料及必要依据。申请函、廉洁承诺书、承诺函、评审要素一览表格式详见附件。</w:t>
      </w:r>
    </w:p>
    <w:p w14:paraId="315923B8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both"/>
        <w:rPr>
          <w:rFonts w:ascii="Calibri" w:hAnsi="Calibri" w:eastAsia="仿宋_GB2312" w:cs="Times New Roman"/>
          <w:color w:val="auto"/>
          <w:sz w:val="32"/>
          <w:szCs w:val="32"/>
        </w:rPr>
      </w:pP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（二）申请</w:t>
      </w:r>
      <w:r>
        <w:rPr>
          <w:rFonts w:hint="default" w:ascii="Calibri" w:hAnsi="Calibri" w:eastAsia="仿宋_GB2312" w:cs="Times New Roman"/>
          <w:color w:val="auto"/>
          <w:sz w:val="32"/>
          <w:szCs w:val="32"/>
        </w:rPr>
        <w:t>银行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必须保证申请文件所提供的全部数据信息真实可靠。申请文件中凡有涂改之处，都应有申请</w:t>
      </w:r>
      <w:r>
        <w:rPr>
          <w:rFonts w:hint="default" w:ascii="Calibri" w:hAnsi="Calibri" w:eastAsia="仿宋_GB2312" w:cs="Times New Roman"/>
          <w:color w:val="auto"/>
          <w:sz w:val="32"/>
          <w:szCs w:val="32"/>
        </w:rPr>
        <w:t>银行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机构负责人或授权人签字并加盖申请机构公章。</w:t>
      </w:r>
    </w:p>
    <w:p w14:paraId="7E8C60B9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both"/>
        <w:rPr>
          <w:rFonts w:ascii="Calibri" w:hAnsi="Calibri" w:eastAsia="仿宋_GB2312" w:cs="Times New Roman"/>
          <w:color w:val="auto"/>
          <w:sz w:val="32"/>
          <w:szCs w:val="32"/>
        </w:rPr>
      </w:pP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（三）申请</w:t>
      </w:r>
      <w:r>
        <w:rPr>
          <w:rFonts w:hint="default" w:ascii="Calibri" w:hAnsi="Calibri" w:eastAsia="仿宋_GB2312" w:cs="Times New Roman"/>
          <w:color w:val="auto"/>
          <w:sz w:val="32"/>
          <w:szCs w:val="32"/>
        </w:rPr>
        <w:t>银行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应准备</w:t>
      </w:r>
      <w:r>
        <w:rPr>
          <w:rFonts w:hint="default" w:ascii="Calibri" w:hAnsi="Calibri" w:eastAsia="仿宋_GB2312" w:cs="Times New Roman"/>
          <w:color w:val="auto"/>
          <w:sz w:val="32"/>
          <w:szCs w:val="32"/>
        </w:rPr>
        <w:t>1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份申请文件正本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、10份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申请文件副本。每份申请文件须在封面上清楚地标明“正本”或“副本”字样，正、副本必须保持一致。申请文件的正、副本均需打印装订，由申请机构负责人或授权人签字并加盖申请机构公章。申请文件正、副本装入封套中加以密封，并在封套上标明项目名称、申请</w:t>
      </w:r>
      <w:r>
        <w:rPr>
          <w:rFonts w:hint="default" w:ascii="Calibri" w:hAnsi="Calibri" w:eastAsia="仿宋_GB2312" w:cs="Times New Roman"/>
          <w:color w:val="auto"/>
          <w:sz w:val="32"/>
          <w:szCs w:val="32"/>
        </w:rPr>
        <w:t>银行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名称和联系地址，于封口处加盖申请</w:t>
      </w:r>
      <w:r>
        <w:rPr>
          <w:rFonts w:hint="default" w:ascii="Calibri" w:hAnsi="Calibri" w:eastAsia="仿宋_GB2312" w:cs="Times New Roman"/>
          <w:color w:val="auto"/>
          <w:sz w:val="32"/>
          <w:szCs w:val="32"/>
        </w:rPr>
        <w:t>银行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 xml:space="preserve">公章。   </w:t>
      </w:r>
    </w:p>
    <w:p w14:paraId="660A946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六、评审要素说明</w:t>
      </w:r>
    </w:p>
    <w:p w14:paraId="7C44FCC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rPr>
          <w:rFonts w:ascii="Times New Roman" w:hAnsi="Times New Roman" w:eastAsia="楷体_GB2312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color w:val="auto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（一）资格材料</w:t>
      </w:r>
    </w:p>
    <w:p w14:paraId="46E7A0C4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ascii="Calibri" w:hAnsi="Calibri" w:eastAsia="仿宋_GB2312" w:cs="Times New Roman"/>
          <w:color w:val="auto"/>
          <w:sz w:val="32"/>
          <w:szCs w:val="32"/>
        </w:rPr>
      </w:pPr>
      <w:r>
        <w:rPr>
          <w:rFonts w:hint="eastAsia" w:ascii="Calibri" w:hAnsi="Calibri" w:eastAsia="仿宋_GB2312" w:cs="Times New Roman"/>
          <w:bCs/>
          <w:color w:val="auto"/>
          <w:sz w:val="32"/>
          <w:szCs w:val="32"/>
        </w:rPr>
        <w:t>营业执照（副本复印件，加盖公章）、法人代表（负责人）身份证复印件（申报主体）。</w:t>
      </w:r>
    </w:p>
    <w:p w14:paraId="34CE8F2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0"/>
        <w:jc w:val="both"/>
        <w:rPr>
          <w:rFonts w:ascii="Times New Roman" w:hAnsi="Times New Roman" w:eastAsia="楷体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（二）商业银行经营状况</w:t>
      </w:r>
    </w:p>
    <w:p w14:paraId="63FC384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0"/>
        <w:jc w:val="both"/>
        <w:rPr>
          <w:rFonts w:ascii="Times New Roman" w:hAnsi="Times New Roman" w:eastAsia="仿宋_GB2312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湛江地区经营</w:t>
      </w:r>
      <w:r>
        <w:rPr>
          <w:rFonts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相关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指标，包括湛江地区资产总额、营业网点数量、存贷比、不良贷款、贷款余额等。</w:t>
      </w:r>
    </w:p>
    <w:p w14:paraId="562F867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rPr>
          <w:rFonts w:ascii="Times New Roman" w:hAnsi="Times New Roman" w:eastAsia="楷体_GB2312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color w:val="auto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（三）支持</w:t>
      </w:r>
      <w:r>
        <w:rPr>
          <w:rFonts w:hint="default" w:eastAsia="楷体_GB2312" w:cs="Times New Roman"/>
          <w:b w:val="0"/>
          <w:bCs/>
          <w:color w:val="auto"/>
          <w:kern w:val="2"/>
          <w:sz w:val="32"/>
          <w:szCs w:val="32"/>
          <w:lang w:eastAsia="zh-CN" w:bidi="ar-SA"/>
        </w:rPr>
        <w:t>普惠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小微贷款情况</w:t>
      </w:r>
    </w:p>
    <w:p w14:paraId="6170CF0A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普惠小微贷款规模：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普惠小微贷款余额（普惠小微贷款包括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户授信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000万元（含）以下小微企业贷款、个体工商户经营性贷款和小微企业主经营性贷款）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普惠小微贷款“两增”情况（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普惠小微贷款较年初增速不低于各项贷款较年初增速，有贷款余额的户数不低于年初水平）</w:t>
      </w:r>
    </w:p>
    <w:p w14:paraId="1918B03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rPr>
          <w:rFonts w:ascii="Times New Roman" w:hAnsi="Times New Roman" w:eastAsia="楷体_GB2312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color w:val="auto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Times New Roman" w:hAnsi="Times New Roman" w:eastAsia="楷体_GB2312" w:cs="Times New Roman"/>
          <w:bCs/>
          <w:i w:val="0"/>
          <w:iCs w:val="0"/>
          <w:color w:val="auto"/>
          <w:kern w:val="2"/>
          <w:sz w:val="32"/>
          <w:szCs w:val="32"/>
          <w:u w:val="none"/>
          <w:lang w:val="en-US" w:eastAsia="zh-CN" w:bidi="ar"/>
        </w:rPr>
        <w:t>税收总量</w:t>
      </w:r>
    </w:p>
    <w:p w14:paraId="54D9B468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2023年在湛江纳税总量（市县级税收收入）。</w:t>
      </w:r>
    </w:p>
    <w:p w14:paraId="4DD8D5AB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both"/>
        <w:outlineLvl w:val="0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（五）与湛江市政府性融资担保机构合作情况</w:t>
      </w:r>
    </w:p>
    <w:p w14:paraId="2AE40448"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Calibri" w:hAnsi="Calibri" w:eastAsia="宋体" w:cs="Times New Roman"/>
          <w:color w:val="auto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2023年度与粤财普惠金融（湛江）融资担保股份有限公司合作的融资担保业务发生额。</w:t>
      </w:r>
    </w:p>
    <w:p w14:paraId="4D25AF0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rPr>
          <w:rFonts w:ascii="Times New Roman" w:hAnsi="Times New Roman" w:eastAsia="楷体_GB2312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color w:val="auto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 （六）普惠贷款实施方案</w:t>
      </w:r>
    </w:p>
    <w:p w14:paraId="5257FBCF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ascii="Calibri" w:hAnsi="Calibri" w:eastAsia="仿宋_GB2312" w:cs="Times New Roman"/>
          <w:color w:val="auto"/>
          <w:sz w:val="32"/>
          <w:szCs w:val="32"/>
        </w:rPr>
      </w:pP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 xml:space="preserve">    普惠贷款实施方案（加盖公章），要求：</w:t>
      </w:r>
      <w:r>
        <w:rPr>
          <w:rFonts w:hint="eastAsia" w:ascii="Calibri" w:hAnsi="Calibri" w:eastAsia="仿宋_GB2312" w:cs="Times New Roman"/>
          <w:color w:val="auto"/>
          <w:sz w:val="32"/>
          <w:szCs w:val="32"/>
          <w:lang w:val="en-US" w:eastAsia="zh-CN"/>
        </w:rPr>
        <w:t>针对湛江地区的普惠贷款实施方案的支持力度和可执行性编写，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包括并不限于资金计划政策</w:t>
      </w:r>
      <w:r>
        <w:rPr>
          <w:rFonts w:hint="eastAsia" w:ascii="Calibri" w:hAnsi="Calibri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免责考核政策、风险定价政策；所设立的服务团队人数及资质、审贷流程、信息系统建设；总行从战略、方向以及</w:t>
      </w:r>
      <w:r>
        <w:rPr>
          <w:rFonts w:hint="eastAsia" w:ascii="Calibri" w:hAnsi="Calibri" w:eastAsia="仿宋_GB2312" w:cs="Times New Roman"/>
          <w:color w:val="auto"/>
          <w:sz w:val="32"/>
          <w:szCs w:val="32"/>
          <w:lang w:val="en-US" w:eastAsia="zh-CN"/>
        </w:rPr>
        <w:t>进行有别于一般商业性贷款的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绩效考核方面的支持</w:t>
      </w:r>
      <w:r>
        <w:rPr>
          <w:rFonts w:hint="eastAsia" w:ascii="Calibri" w:hAnsi="Calibri" w:eastAsia="仿宋_GB2312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。</w:t>
      </w:r>
    </w:p>
    <w:p w14:paraId="6CE2B51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七、申请受理及评审环节</w:t>
      </w:r>
    </w:p>
    <w:p w14:paraId="5AB14311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ascii="Calibri" w:hAnsi="Calibri" w:eastAsia="仿宋_GB2312" w:cs="Times New Roman"/>
          <w:color w:val="auto"/>
          <w:sz w:val="32"/>
          <w:szCs w:val="32"/>
        </w:rPr>
      </w:pP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（一）市</w:t>
      </w:r>
      <w:r>
        <w:rPr>
          <w:rFonts w:hint="eastAsia" w:ascii="Calibri" w:hAnsi="Calibri" w:eastAsia="仿宋_GB2312" w:cs="Times New Roman"/>
          <w:color w:val="auto"/>
          <w:sz w:val="32"/>
          <w:szCs w:val="32"/>
          <w:lang w:eastAsia="zh-CN"/>
        </w:rPr>
        <w:t>政府办公室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在接收申请文件时检查文件的密封是否完整、封口处公章是否清晰完整，查验申请文件正、副本数量是否齐全。如不符合以上要求的，组织人将不予受理，并退回申请</w:t>
      </w:r>
      <w:r>
        <w:rPr>
          <w:rFonts w:hint="default" w:ascii="Calibri" w:hAnsi="Calibri" w:eastAsia="仿宋_GB2312" w:cs="Times New Roman"/>
          <w:color w:val="auto"/>
          <w:sz w:val="32"/>
          <w:szCs w:val="32"/>
        </w:rPr>
        <w:t>银行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。申请</w:t>
      </w:r>
      <w:r>
        <w:rPr>
          <w:rFonts w:hint="default" w:ascii="Calibri" w:hAnsi="Calibri" w:eastAsia="仿宋_GB2312" w:cs="Times New Roman"/>
          <w:color w:val="auto"/>
          <w:sz w:val="32"/>
          <w:szCs w:val="32"/>
        </w:rPr>
        <w:t>银行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递交申请文件后，不得修改或撤回其申请文件。</w:t>
      </w:r>
    </w:p>
    <w:p w14:paraId="6AB2BD57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rPr>
          <w:rFonts w:ascii="Calibri" w:hAnsi="Calibri" w:eastAsia="仿宋_GB2312" w:cs="Times New Roman"/>
          <w:color w:val="auto"/>
          <w:sz w:val="32"/>
          <w:szCs w:val="32"/>
        </w:rPr>
      </w:pP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（二）</w:t>
      </w:r>
      <w:r>
        <w:rPr>
          <w:rFonts w:hint="eastAsia" w:ascii="Calibri" w:hAnsi="Calibri" w:eastAsia="仿宋_GB2312" w:cs="Times New Roman"/>
          <w:color w:val="auto"/>
          <w:sz w:val="32"/>
          <w:szCs w:val="32"/>
          <w:lang w:eastAsia="zh-CN"/>
        </w:rPr>
        <w:t>市政府办公室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会同</w:t>
      </w:r>
      <w:r>
        <w:rPr>
          <w:rFonts w:ascii="Calibri" w:hAnsi="Calibri" w:eastAsia="仿宋_GB2312" w:cs="Times New Roman"/>
          <w:color w:val="auto"/>
          <w:sz w:val="32"/>
          <w:szCs w:val="32"/>
        </w:rPr>
        <w:t>相关单位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组成遴选小组进行评审。遴选小组负责对申请文件进行公平、公正评审，确定入选</w:t>
      </w:r>
      <w:r>
        <w:rPr>
          <w:rFonts w:ascii="Calibri" w:hAnsi="Calibri" w:eastAsia="仿宋_GB2312" w:cs="Times New Roman"/>
          <w:color w:val="auto"/>
          <w:sz w:val="32"/>
          <w:szCs w:val="32"/>
        </w:rPr>
        <w:t>名单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。</w:t>
      </w:r>
    </w:p>
    <w:p w14:paraId="5EA22F96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rPr>
          <w:rFonts w:ascii="Calibri" w:hAnsi="Calibri" w:eastAsia="仿宋_GB2312" w:cs="Times New Roman"/>
          <w:color w:val="auto"/>
          <w:sz w:val="32"/>
          <w:szCs w:val="32"/>
        </w:rPr>
      </w:pP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（三）本项目采取综合评分法，总分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100分，合格分60分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。按照各申请</w:t>
      </w:r>
      <w:r>
        <w:rPr>
          <w:rFonts w:hint="default" w:ascii="Calibri" w:hAnsi="Calibri" w:eastAsia="仿宋_GB2312" w:cs="Times New Roman"/>
          <w:color w:val="auto"/>
          <w:sz w:val="32"/>
          <w:szCs w:val="32"/>
        </w:rPr>
        <w:t>银行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综合得分排名从高到低的顺序，确定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Calibri" w:hAnsi="Calibri" w:eastAsia="仿宋_GB2312" w:cs="Times New Roman"/>
          <w:color w:val="auto"/>
          <w:sz w:val="32"/>
          <w:szCs w:val="32"/>
          <w:lang w:val="en-US" w:eastAsia="zh-CN"/>
        </w:rPr>
        <w:t>家</w:t>
      </w:r>
      <w:r>
        <w:rPr>
          <w:rFonts w:ascii="Calibri" w:hAnsi="Calibri" w:eastAsia="仿宋_GB2312" w:cs="Times New Roman"/>
          <w:color w:val="auto"/>
          <w:sz w:val="32"/>
          <w:szCs w:val="32"/>
        </w:rPr>
        <w:t>经办银行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。未达合格分不予以入选。</w:t>
      </w:r>
    </w:p>
    <w:p w14:paraId="759CFFAE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rPr>
          <w:rFonts w:ascii="Calibri" w:hAnsi="Calibri" w:eastAsia="仿宋_GB2312" w:cs="Times New Roman"/>
          <w:color w:val="auto"/>
          <w:sz w:val="32"/>
          <w:szCs w:val="32"/>
        </w:rPr>
      </w:pP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（四）遴选小组对申请文件中的数据或情况有疑问的，可要求申请</w:t>
      </w:r>
      <w:r>
        <w:rPr>
          <w:rFonts w:hint="default" w:ascii="Calibri" w:hAnsi="Calibri" w:eastAsia="仿宋_GB2312" w:cs="Times New Roman"/>
          <w:color w:val="auto"/>
          <w:sz w:val="32"/>
          <w:szCs w:val="32"/>
        </w:rPr>
        <w:t>银行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进行说明或补充提供相关资料。</w:t>
      </w:r>
    </w:p>
    <w:p w14:paraId="19227AB4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rPr>
          <w:rFonts w:ascii="Calibri" w:hAnsi="Calibri" w:eastAsia="仿宋_GB2312" w:cs="Times New Roman"/>
          <w:color w:val="auto"/>
          <w:sz w:val="32"/>
          <w:szCs w:val="32"/>
        </w:rPr>
      </w:pP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（五）在评审过程中，遴选小组认定申请文件载明的数据不真实的，有权对该申请</w:t>
      </w:r>
      <w:r>
        <w:rPr>
          <w:rFonts w:hint="default" w:ascii="Calibri" w:hAnsi="Calibri" w:eastAsia="仿宋_GB2312" w:cs="Times New Roman"/>
          <w:color w:val="auto"/>
          <w:sz w:val="32"/>
          <w:szCs w:val="32"/>
        </w:rPr>
        <w:t>银行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作无效申请处理。</w:t>
      </w:r>
    </w:p>
    <w:p w14:paraId="45C9014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八、评审结果通知和应用</w:t>
      </w:r>
    </w:p>
    <w:p w14:paraId="79E41799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（一）评审结果将于评审结束5日内在湛江市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官网公布并以书面形式通知申请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</w:rPr>
        <w:t>银行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 w14:paraId="26F64AAF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both"/>
        <w:rPr>
          <w:rFonts w:ascii="Calibri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（二）本次评审结束后，入选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申请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</w:rPr>
        <w:t>银行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应在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日内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完成合作协议签订等工作，对外提供</w:t>
      </w:r>
      <w:r>
        <w:rPr>
          <w:rFonts w:hint="eastAsia" w:ascii="Calibri" w:hAnsi="Calibri" w:eastAsia="仿宋_GB2312" w:cs="Times New Roman"/>
          <w:color w:val="auto"/>
          <w:sz w:val="32"/>
          <w:szCs w:val="32"/>
          <w:lang w:eastAsia="zh-CN"/>
        </w:rPr>
        <w:t>普惠贷款贴息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服务。</w:t>
      </w:r>
    </w:p>
    <w:p w14:paraId="0D374C43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both"/>
        <w:rPr>
          <w:rFonts w:ascii="Calibri" w:hAnsi="Calibri" w:eastAsia="仿宋_GB2312" w:cs="Times New Roman"/>
          <w:color w:val="auto"/>
          <w:sz w:val="32"/>
          <w:szCs w:val="32"/>
          <w:highlight w:val="yellow"/>
        </w:rPr>
      </w:pPr>
    </w:p>
    <w:p w14:paraId="176B8F71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both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附件：1. 申请函</w:t>
      </w:r>
    </w:p>
    <w:p w14:paraId="5F9216D0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22" w:firstLineChars="507"/>
        <w:jc w:val="both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2. 廉洁承诺书</w:t>
      </w:r>
    </w:p>
    <w:p w14:paraId="1A43B21B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22" w:firstLineChars="507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3. 承诺函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</w:p>
    <w:p w14:paraId="733945AD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22" w:firstLineChars="507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4. 遴选银行评分表</w:t>
      </w:r>
    </w:p>
    <w:p w14:paraId="0941C26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jc w:val="both"/>
        <w:outlineLvl w:val="0"/>
        <w:rPr>
          <w:rFonts w:hint="default" w:ascii="Cambria" w:hAnsi="Cambria" w:eastAsia="宋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 w14:paraId="28CD95FC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1C22C59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ascii="Calibri" w:hAnsi="Calibri" w:eastAsia="仿宋_GB2312" w:cs="Times New Roman"/>
          <w:color w:val="auto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：</w:t>
      </w:r>
    </w:p>
    <w:p w14:paraId="453C78C4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ascii="Calibri" w:hAnsi="Calibri" w:eastAsia="黑体" w:cs="Times New Roman"/>
          <w:color w:val="auto"/>
          <w:sz w:val="44"/>
          <w:szCs w:val="44"/>
        </w:rPr>
      </w:pPr>
    </w:p>
    <w:p w14:paraId="6BD1B989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申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请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函</w:t>
      </w:r>
    </w:p>
    <w:p w14:paraId="34F419C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20" w:firstLine="0" w:firstLineChars="0"/>
        <w:jc w:val="both"/>
        <w:rPr>
          <w:rFonts w:ascii="方正小标宋_GBK" w:hAnsi="方正小标宋_GBK" w:eastAsia="方正小标宋_GBK" w:cs="方正小标宋_GBK"/>
          <w:color w:val="auto"/>
          <w:kern w:val="2"/>
          <w:sz w:val="32"/>
          <w:szCs w:val="32"/>
          <w:lang w:val="en-US" w:eastAsia="zh-CN" w:bidi="ar-SA"/>
        </w:rPr>
      </w:pPr>
    </w:p>
    <w:p w14:paraId="4DB198C0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Calibri" w:hAnsi="Calibri" w:eastAsia="仿宋_GB2312" w:cs="Times New Roman"/>
          <w:color w:val="auto"/>
          <w:sz w:val="32"/>
          <w:szCs w:val="32"/>
        </w:rPr>
      </w:pP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湛江市</w:t>
      </w:r>
      <w:r>
        <w:rPr>
          <w:rFonts w:hint="eastAsia" w:ascii="Calibri" w:hAnsi="Calibri" w:eastAsia="仿宋_GB2312" w:cs="Times New Roman"/>
          <w:color w:val="auto"/>
          <w:sz w:val="32"/>
          <w:szCs w:val="32"/>
          <w:lang w:eastAsia="zh-CN"/>
        </w:rPr>
        <w:t>人民政府办公室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：</w:t>
      </w:r>
    </w:p>
    <w:p w14:paraId="54255C84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Calibri" w:hAnsi="Calibri" w:eastAsia="仿宋_GB2312" w:cs="Times New Roman"/>
          <w:color w:val="auto"/>
          <w:sz w:val="32"/>
          <w:szCs w:val="32"/>
        </w:rPr>
      </w:pP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 xml:space="preserve">    根据贵</w:t>
      </w:r>
      <w:r>
        <w:rPr>
          <w:rFonts w:hint="eastAsia" w:ascii="Calibri" w:hAnsi="Calibri" w:eastAsia="仿宋_GB2312" w:cs="Times New Roman"/>
          <w:color w:val="auto"/>
          <w:sz w:val="32"/>
          <w:szCs w:val="32"/>
          <w:lang w:eastAsia="zh-CN"/>
        </w:rPr>
        <w:t>办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湛江市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中央财政支持普惠金融发展示范区奖补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普惠贷款贴息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的介绍，现向贵</w:t>
      </w:r>
      <w:r>
        <w:rPr>
          <w:rFonts w:hint="default" w:eastAsia="仿宋_GB2312" w:cs="Times New Roman"/>
          <w:color w:val="auto"/>
          <w:sz w:val="32"/>
          <w:szCs w:val="32"/>
        </w:rPr>
        <w:t>办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提交申请文件正本一份、副本十份。</w:t>
      </w:r>
    </w:p>
    <w:p w14:paraId="598A16B9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rPr>
          <w:rFonts w:ascii="Calibri" w:hAnsi="Calibri" w:eastAsia="仿宋_GB2312" w:cs="Times New Roman"/>
          <w:color w:val="auto"/>
          <w:sz w:val="32"/>
          <w:szCs w:val="32"/>
        </w:rPr>
      </w:pP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据此函，申请</w:t>
      </w:r>
      <w:r>
        <w:rPr>
          <w:rFonts w:hint="default" w:ascii="Calibri" w:hAnsi="Calibri" w:eastAsia="仿宋_GB2312" w:cs="Times New Roman"/>
          <w:color w:val="auto"/>
          <w:sz w:val="32"/>
          <w:szCs w:val="32"/>
        </w:rPr>
        <w:t>银行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兹同意如下：</w:t>
      </w:r>
    </w:p>
    <w:p w14:paraId="3473DE4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一、我行同意按照遴选方案要求参加评审。</w:t>
      </w:r>
    </w:p>
    <w:p w14:paraId="62924F6C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Calibri" w:hAnsi="Calibri" w:eastAsia="仿宋_GB2312" w:cs="Times New Roman"/>
          <w:color w:val="auto"/>
          <w:sz w:val="32"/>
          <w:szCs w:val="32"/>
        </w:rPr>
      </w:pP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二、我行确认已完全理解</w:t>
      </w:r>
      <w:r>
        <w:rPr>
          <w:rFonts w:hint="eastAsia" w:ascii="Calibri" w:hAnsi="Calibri" w:eastAsia="仿宋_GB2312" w:cs="Times New Roman"/>
          <w:color w:val="auto"/>
          <w:sz w:val="32"/>
          <w:szCs w:val="32"/>
          <w:lang w:eastAsia="zh-CN"/>
        </w:rPr>
        <w:t>遴选方案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内容，不存在对</w:t>
      </w:r>
      <w:r>
        <w:rPr>
          <w:rFonts w:hint="eastAsia" w:ascii="Calibri" w:hAnsi="Calibri" w:eastAsia="仿宋_GB2312" w:cs="Times New Roman"/>
          <w:color w:val="auto"/>
          <w:sz w:val="32"/>
          <w:szCs w:val="32"/>
          <w:lang w:eastAsia="zh-CN"/>
        </w:rPr>
        <w:t>遴选方案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有误解的地方。</w:t>
      </w:r>
    </w:p>
    <w:p w14:paraId="59C15BF6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Calibri" w:hAnsi="Calibri" w:eastAsia="仿宋_GB2312" w:cs="Times New Roman"/>
          <w:color w:val="auto"/>
          <w:sz w:val="32"/>
          <w:szCs w:val="32"/>
        </w:rPr>
      </w:pP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三、我行同意向贵</w:t>
      </w:r>
      <w:r>
        <w:rPr>
          <w:rFonts w:hint="eastAsia" w:ascii="Calibri" w:hAnsi="Calibri" w:eastAsia="仿宋_GB2312" w:cs="Times New Roman"/>
          <w:color w:val="auto"/>
          <w:sz w:val="32"/>
          <w:szCs w:val="32"/>
          <w:lang w:eastAsia="zh-CN"/>
        </w:rPr>
        <w:t>办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进一步按要求提供与本</w:t>
      </w:r>
      <w:r>
        <w:rPr>
          <w:rFonts w:hint="eastAsia" w:ascii="Calibri" w:hAnsi="Calibri" w:eastAsia="仿宋_GB2312" w:cs="Times New Roman"/>
          <w:color w:val="auto"/>
          <w:sz w:val="32"/>
          <w:szCs w:val="32"/>
          <w:lang w:eastAsia="zh-CN"/>
        </w:rPr>
        <w:t>次遴选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有关的任何证据或材料。</w:t>
      </w:r>
    </w:p>
    <w:p w14:paraId="6678B9A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20" w:firstLine="0" w:firstLineChars="0"/>
        <w:jc w:val="both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4784851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20" w:firstLine="0" w:firstLineChars="0"/>
        <w:jc w:val="both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126F653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20" w:firstLine="0" w:firstLineChars="0"/>
        <w:jc w:val="both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申请人名称（公章）：</w:t>
      </w:r>
    </w:p>
    <w:p w14:paraId="78875A4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20" w:firstLine="0" w:firstLineChars="0"/>
        <w:jc w:val="both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申请人负责人（或授权人签名）：</w:t>
      </w:r>
    </w:p>
    <w:p w14:paraId="765F2D9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20" w:firstLine="0" w:firstLineChars="0"/>
        <w:jc w:val="both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日期：</w:t>
      </w:r>
    </w:p>
    <w:p w14:paraId="492DE2FE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ascii="Calibri" w:hAnsi="Calibri" w:eastAsia="黑体" w:cs="Times New Roman"/>
          <w:color w:val="auto"/>
          <w:sz w:val="36"/>
          <w:szCs w:val="36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：</w:t>
      </w:r>
    </w:p>
    <w:p w14:paraId="58128909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4F8A1EB4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Calibri" w:hAnsi="Calibri" w:eastAsia="方正小标宋简体" w:cs="Times New Roman"/>
          <w:color w:val="auto"/>
          <w:sz w:val="44"/>
          <w:szCs w:val="44"/>
        </w:rPr>
      </w:pPr>
      <w:r>
        <w:rPr>
          <w:rFonts w:hint="eastAsia" w:ascii="Calibri" w:hAnsi="Calibri" w:eastAsia="方正小标宋简体" w:cs="Times New Roman"/>
          <w:color w:val="auto"/>
          <w:sz w:val="44"/>
          <w:szCs w:val="44"/>
        </w:rPr>
        <w:t>廉政承诺书</w:t>
      </w:r>
    </w:p>
    <w:p w14:paraId="62D66268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Calibri" w:hAnsi="Calibri" w:eastAsia="黑体" w:cs="Times New Roman"/>
          <w:color w:val="auto"/>
          <w:sz w:val="44"/>
          <w:szCs w:val="44"/>
        </w:rPr>
      </w:pPr>
    </w:p>
    <w:p w14:paraId="1BE7FDC6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Calibri" w:hAnsi="Calibri" w:eastAsia="仿宋_GB2312" w:cs="Times New Roman"/>
          <w:color w:val="auto"/>
          <w:sz w:val="32"/>
          <w:szCs w:val="32"/>
        </w:rPr>
      </w:pP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湛江市</w:t>
      </w:r>
      <w:r>
        <w:rPr>
          <w:rFonts w:hint="eastAsia" w:ascii="Calibri" w:hAnsi="Calibri" w:eastAsia="仿宋_GB2312" w:cs="Times New Roman"/>
          <w:color w:val="auto"/>
          <w:sz w:val="32"/>
          <w:szCs w:val="32"/>
          <w:lang w:eastAsia="zh-CN"/>
        </w:rPr>
        <w:t>人民政府办公室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：</w:t>
      </w:r>
    </w:p>
    <w:p w14:paraId="55F75B4F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Calibri" w:hAnsi="Calibri" w:eastAsia="仿宋_GB2312" w:cs="Times New Roman"/>
          <w:color w:val="auto"/>
          <w:sz w:val="32"/>
          <w:szCs w:val="32"/>
        </w:rPr>
      </w:pP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对贵</w:t>
      </w:r>
      <w:r>
        <w:rPr>
          <w:rFonts w:hint="default" w:eastAsia="仿宋_GB2312" w:cs="Times New Roman"/>
          <w:color w:val="auto"/>
          <w:sz w:val="32"/>
          <w:szCs w:val="32"/>
        </w:rPr>
        <w:t>办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组织的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湛江市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中央财政支持普惠金融发展示范区奖补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普惠贷款贴息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项目合作银行遴选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，现作出廉政承诺如下：</w:t>
      </w:r>
    </w:p>
    <w:p w14:paraId="2373FB2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一、承诺不向贵办相关负责人输送任何利益。</w:t>
      </w:r>
    </w:p>
    <w:p w14:paraId="7D7F12E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二、承诺不将普惠贷款贴息业务与贵办相关负责人及亲属在本行的业务、收入等挂钩。</w:t>
      </w:r>
    </w:p>
    <w:p w14:paraId="087A0DF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三、承诺接受贵办就普惠贷款贴息业务的廉政监督。 </w:t>
      </w:r>
    </w:p>
    <w:p w14:paraId="6D974D0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四、对出现被查处违反有关规定的行为，承诺接受贵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办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取消参加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评审资格的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处置。</w:t>
      </w:r>
    </w:p>
    <w:p w14:paraId="30627427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Calibri" w:hAnsi="Calibri" w:eastAsia="仿宋_GB2312" w:cs="Times New Roman"/>
          <w:color w:val="auto"/>
          <w:sz w:val="32"/>
          <w:szCs w:val="32"/>
        </w:rPr>
      </w:pPr>
    </w:p>
    <w:p w14:paraId="2917DB27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280"/>
        <w:rPr>
          <w:rFonts w:ascii="Calibri" w:hAnsi="Calibri" w:eastAsia="仿宋_GB2312" w:cs="Times New Roman"/>
          <w:color w:val="auto"/>
          <w:sz w:val="32"/>
          <w:szCs w:val="32"/>
        </w:rPr>
      </w:pP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 xml:space="preserve">    承诺人（单位公章）：　　　</w:t>
      </w:r>
    </w:p>
    <w:p w14:paraId="2396260E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280"/>
        <w:rPr>
          <w:rFonts w:ascii="Calibri" w:hAnsi="Calibri" w:eastAsia="仿宋_GB2312" w:cs="Times New Roman"/>
          <w:color w:val="auto"/>
          <w:sz w:val="32"/>
          <w:szCs w:val="32"/>
        </w:rPr>
      </w:pP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 xml:space="preserve">    负责人（或授权人签名）：</w:t>
      </w:r>
    </w:p>
    <w:p w14:paraId="724AC9EA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280"/>
        <w:rPr>
          <w:rFonts w:ascii="Calibri" w:hAnsi="Calibri" w:eastAsia="仿宋_GB2312" w:cs="Times New Roman"/>
          <w:color w:val="auto"/>
          <w:sz w:val="32"/>
          <w:szCs w:val="32"/>
        </w:rPr>
      </w:pP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 xml:space="preserve">    日期：</w:t>
      </w:r>
    </w:p>
    <w:p w14:paraId="639B7B16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Calibri" w:hAnsi="Calibri" w:eastAsia="仿宋_GB2312" w:cs="Times New Roman"/>
          <w:color w:val="auto"/>
          <w:sz w:val="32"/>
          <w:szCs w:val="32"/>
        </w:rPr>
      </w:pPr>
    </w:p>
    <w:p w14:paraId="24277438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Calibri" w:hAnsi="Calibri" w:eastAsia="仿宋_GB2312" w:cs="Times New Roman"/>
          <w:color w:val="auto"/>
          <w:sz w:val="32"/>
          <w:szCs w:val="32"/>
        </w:rPr>
      </w:pPr>
    </w:p>
    <w:p w14:paraId="5A1F04C0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Calibri" w:hAnsi="Calibri" w:eastAsia="仿宋_GB2312" w:cs="Times New Roman"/>
          <w:color w:val="auto"/>
          <w:sz w:val="32"/>
          <w:szCs w:val="32"/>
        </w:rPr>
      </w:pPr>
    </w:p>
    <w:p w14:paraId="3E01E1B4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4D6227B9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Calibri" w:hAnsi="Calibri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：</w:t>
      </w:r>
    </w:p>
    <w:p w14:paraId="1AEF0E3E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Calibri" w:hAnsi="Calibri" w:eastAsia="方正小标宋简体" w:cs="Times New Roman"/>
          <w:color w:val="auto"/>
          <w:sz w:val="44"/>
          <w:szCs w:val="44"/>
        </w:rPr>
      </w:pPr>
      <w:r>
        <w:rPr>
          <w:rFonts w:hint="eastAsia" w:ascii="Calibri" w:hAnsi="Calibri" w:eastAsia="方正小标宋简体" w:cs="Times New Roman"/>
          <w:color w:val="auto"/>
          <w:sz w:val="44"/>
          <w:szCs w:val="44"/>
        </w:rPr>
        <w:t>承</w:t>
      </w:r>
      <w:r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Calibri" w:hAnsi="Calibri" w:eastAsia="方正小标宋简体" w:cs="Times New Roman"/>
          <w:color w:val="auto"/>
          <w:sz w:val="44"/>
          <w:szCs w:val="44"/>
        </w:rPr>
        <w:t>诺</w:t>
      </w:r>
      <w:r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Calibri" w:hAnsi="Calibri" w:eastAsia="方正小标宋简体" w:cs="Times New Roman"/>
          <w:color w:val="auto"/>
          <w:sz w:val="44"/>
          <w:szCs w:val="44"/>
        </w:rPr>
        <w:t>函</w:t>
      </w:r>
    </w:p>
    <w:p w14:paraId="12609420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Calibri" w:hAnsi="Calibri" w:eastAsia="仿宋_GB2312" w:cs="Times New Roman"/>
          <w:color w:val="auto"/>
          <w:sz w:val="32"/>
          <w:szCs w:val="32"/>
        </w:rPr>
      </w:pPr>
    </w:p>
    <w:p w14:paraId="55BBC878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Calibri" w:hAnsi="Calibri" w:eastAsia="仿宋_GB2312" w:cs="Times New Roman"/>
          <w:color w:val="auto"/>
          <w:sz w:val="32"/>
          <w:szCs w:val="32"/>
        </w:rPr>
      </w:pP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湛江市</w:t>
      </w:r>
      <w:r>
        <w:rPr>
          <w:rFonts w:hint="eastAsia" w:ascii="Calibri" w:hAnsi="Calibri" w:eastAsia="仿宋_GB2312" w:cs="Times New Roman"/>
          <w:color w:val="auto"/>
          <w:sz w:val="32"/>
          <w:szCs w:val="32"/>
          <w:lang w:eastAsia="zh-CN"/>
        </w:rPr>
        <w:t>人民政府办公室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：</w:t>
      </w:r>
    </w:p>
    <w:p w14:paraId="10F2D4B3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Calibri" w:hAnsi="Calibri" w:eastAsia="仿宋_GB2312" w:cs="Times New Roman"/>
          <w:color w:val="auto"/>
          <w:sz w:val="32"/>
          <w:szCs w:val="32"/>
        </w:rPr>
      </w:pP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对贵</w:t>
      </w:r>
      <w:r>
        <w:rPr>
          <w:rFonts w:hint="default" w:eastAsia="仿宋_GB2312" w:cs="Times New Roman"/>
          <w:color w:val="auto"/>
          <w:sz w:val="32"/>
          <w:szCs w:val="32"/>
        </w:rPr>
        <w:t>办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组织的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湛江市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中央财政支持普惠金融发展示范区奖补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普惠贷款贴息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项目合作银行遴选工作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，现作出承诺如下：</w:t>
      </w:r>
    </w:p>
    <w:p w14:paraId="54224E7D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Calibri" w:hAnsi="Calibri" w:eastAsia="仿宋_GB2312" w:cs="Times New Roman"/>
          <w:color w:val="auto"/>
          <w:sz w:val="32"/>
          <w:szCs w:val="32"/>
        </w:rPr>
      </w:pP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一、我行在本次</w:t>
      </w:r>
      <w:r>
        <w:rPr>
          <w:rFonts w:hint="eastAsia" w:ascii="Calibri" w:hAnsi="Calibri" w:eastAsia="仿宋_GB2312" w:cs="Times New Roman"/>
          <w:color w:val="auto"/>
          <w:sz w:val="32"/>
          <w:szCs w:val="32"/>
          <w:lang w:eastAsia="zh-CN"/>
        </w:rPr>
        <w:t>遴选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中所使用的数据均为真实，并对由于数据不实造成一切后果负责。</w:t>
      </w:r>
    </w:p>
    <w:p w14:paraId="4F97451E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rPr>
          <w:rFonts w:ascii="Calibri" w:hAnsi="Calibri" w:eastAsia="仿宋_GB2312" w:cs="Times New Roman"/>
          <w:color w:val="auto"/>
          <w:sz w:val="32"/>
          <w:szCs w:val="32"/>
        </w:rPr>
      </w:pP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二、若我行在本次</w:t>
      </w:r>
      <w:r>
        <w:rPr>
          <w:rFonts w:hint="eastAsia" w:ascii="Calibri" w:hAnsi="Calibri" w:eastAsia="仿宋_GB2312" w:cs="Times New Roman"/>
          <w:color w:val="auto"/>
          <w:sz w:val="32"/>
          <w:szCs w:val="32"/>
          <w:lang w:eastAsia="zh-CN"/>
        </w:rPr>
        <w:t>遴选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中获通过，将严格按《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湛江市2023年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中央财政支持普惠金融发展示范区奖补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普惠贷款贴息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工作方案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》要求开展业务。</w:t>
      </w:r>
    </w:p>
    <w:p w14:paraId="08C34171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rPr>
          <w:rFonts w:ascii="Calibri" w:hAnsi="Calibri" w:eastAsia="仿宋_GB2312" w:cs="Times New Roman"/>
          <w:color w:val="auto"/>
          <w:sz w:val="32"/>
          <w:szCs w:val="32"/>
        </w:rPr>
      </w:pP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三、若我行在本次</w:t>
      </w:r>
      <w:r>
        <w:rPr>
          <w:rFonts w:hint="eastAsia" w:ascii="Calibri" w:hAnsi="Calibri" w:eastAsia="仿宋_GB2312" w:cs="Times New Roman"/>
          <w:color w:val="auto"/>
          <w:sz w:val="32"/>
          <w:szCs w:val="32"/>
          <w:lang w:eastAsia="zh-CN"/>
        </w:rPr>
        <w:t>遴选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中获通过，将严格按《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湛江市2023年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中央财政支持普惠金融发展示范区奖补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普惠贷款贴息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工作方案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》要求按时</w:t>
      </w:r>
      <w:r>
        <w:rPr>
          <w:rFonts w:hint="eastAsia" w:ascii="Calibri" w:hAnsi="Calibri" w:eastAsia="仿宋_GB2312" w:cs="Times New Roman"/>
          <w:color w:val="auto"/>
          <w:sz w:val="32"/>
          <w:szCs w:val="32"/>
          <w:lang w:eastAsia="zh-CN"/>
        </w:rPr>
        <w:t>报送贴息资金申请及相关证明材料，</w:t>
      </w: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>并接受相关部门的监督检查。</w:t>
      </w:r>
    </w:p>
    <w:p w14:paraId="57279596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rPr>
          <w:rFonts w:ascii="Calibri" w:hAnsi="Calibri" w:eastAsia="仿宋_GB2312" w:cs="Times New Roman"/>
          <w:color w:val="auto"/>
          <w:sz w:val="32"/>
          <w:szCs w:val="32"/>
        </w:rPr>
      </w:pPr>
    </w:p>
    <w:p w14:paraId="5D7AEB3E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280"/>
        <w:rPr>
          <w:rFonts w:ascii="Calibri" w:hAnsi="Calibri" w:eastAsia="仿宋_GB2312" w:cs="Times New Roman"/>
          <w:color w:val="auto"/>
          <w:sz w:val="32"/>
          <w:szCs w:val="32"/>
        </w:rPr>
      </w:pP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 xml:space="preserve">    承诺人（单位公章）：　　　</w:t>
      </w:r>
    </w:p>
    <w:p w14:paraId="74BF3B62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280"/>
        <w:rPr>
          <w:rFonts w:ascii="Calibri" w:hAnsi="Calibri" w:eastAsia="仿宋_GB2312" w:cs="Times New Roman"/>
          <w:color w:val="auto"/>
          <w:sz w:val="32"/>
          <w:szCs w:val="32"/>
        </w:rPr>
      </w:pP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 xml:space="preserve">    负责人（或授权人签名）：</w:t>
      </w:r>
    </w:p>
    <w:p w14:paraId="4B3E381F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Calibri" w:hAnsi="Calibri" w:eastAsia="宋体" w:cs="Times New Roman"/>
          <w:color w:val="auto"/>
          <w:sz w:val="32"/>
          <w:szCs w:val="32"/>
        </w:rPr>
      </w:pPr>
      <w:r>
        <w:rPr>
          <w:rFonts w:hint="eastAsia" w:ascii="Calibri" w:hAnsi="Calibri" w:eastAsia="仿宋_GB2312" w:cs="Times New Roman"/>
          <w:color w:val="auto"/>
          <w:sz w:val="32"/>
          <w:szCs w:val="32"/>
        </w:rPr>
        <w:t xml:space="preserve">    日期：</w:t>
      </w:r>
    </w:p>
    <w:p w14:paraId="32ABC419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ascii="Calibri" w:hAnsi="Calibri" w:eastAsia="宋体" w:cs="Times New Roman"/>
          <w:color w:val="auto"/>
          <w:szCs w:val="24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</w:p>
    <w:p w14:paraId="06C55B43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eastAsia" w:ascii="Calibri" w:hAnsi="Calibri" w:eastAsia="宋体" w:cs="Times New Roman"/>
          <w:color w:val="000000"/>
          <w:szCs w:val="24"/>
        </w:rPr>
      </w:pPr>
      <w:r>
        <w:rPr>
          <w:rFonts w:hint="eastAsia" w:ascii="方正小标宋简体" w:hAnsi="Calibri" w:eastAsia="方正小标宋简体" w:cs="Times New Roman"/>
          <w:color w:val="000000"/>
          <w:sz w:val="44"/>
          <w:szCs w:val="44"/>
        </w:rPr>
        <w:t>遴选银行评分表</w:t>
      </w:r>
    </w:p>
    <w:tbl>
      <w:tblPr>
        <w:tblStyle w:val="4"/>
        <w:tblW w:w="510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950"/>
        <w:gridCol w:w="976"/>
        <w:gridCol w:w="2985"/>
        <w:gridCol w:w="3660"/>
      </w:tblGrid>
      <w:tr w14:paraId="095D1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tblHeader/>
        </w:trPr>
        <w:tc>
          <w:tcPr>
            <w:tcW w:w="423" w:type="pct"/>
            <w:noWrap w:val="0"/>
            <w:vAlign w:val="center"/>
          </w:tcPr>
          <w:p w14:paraId="5286EC27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6" w:type="pct"/>
            <w:noWrap w:val="0"/>
            <w:vAlign w:val="center"/>
          </w:tcPr>
          <w:p w14:paraId="739C0910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  <w:p w14:paraId="545C04F9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521" w:type="pct"/>
            <w:noWrap w:val="0"/>
            <w:vAlign w:val="center"/>
          </w:tcPr>
          <w:p w14:paraId="60805A93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评分</w:t>
            </w:r>
          </w:p>
          <w:p w14:paraId="14FF5DA9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权重</w:t>
            </w:r>
          </w:p>
        </w:tc>
        <w:tc>
          <w:tcPr>
            <w:tcW w:w="1594" w:type="pct"/>
            <w:noWrap w:val="0"/>
            <w:vAlign w:val="center"/>
          </w:tcPr>
          <w:p w14:paraId="3ABD08DC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评审指标</w:t>
            </w:r>
          </w:p>
        </w:tc>
        <w:tc>
          <w:tcPr>
            <w:tcW w:w="1954" w:type="pct"/>
            <w:noWrap w:val="0"/>
            <w:vAlign w:val="center"/>
          </w:tcPr>
          <w:p w14:paraId="7FACA0DE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评分内容说明</w:t>
            </w:r>
          </w:p>
        </w:tc>
      </w:tr>
      <w:tr w14:paraId="57139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23" w:type="pct"/>
            <w:noWrap w:val="0"/>
            <w:vAlign w:val="center"/>
          </w:tcPr>
          <w:p w14:paraId="67528F8C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vMerge w:val="restart"/>
            <w:noWrap w:val="0"/>
            <w:vAlign w:val="center"/>
          </w:tcPr>
          <w:p w14:paraId="15CBB22F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（一）机构情况</w:t>
            </w:r>
          </w:p>
        </w:tc>
        <w:tc>
          <w:tcPr>
            <w:tcW w:w="521" w:type="pct"/>
            <w:noWrap w:val="0"/>
            <w:vAlign w:val="center"/>
          </w:tcPr>
          <w:p w14:paraId="7BB609EA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color w:val="auto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15分</w:t>
            </w:r>
          </w:p>
        </w:tc>
        <w:tc>
          <w:tcPr>
            <w:tcW w:w="1594" w:type="pct"/>
            <w:noWrap w:val="0"/>
            <w:vAlign w:val="center"/>
          </w:tcPr>
          <w:p w14:paraId="049D4482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在湛江辖区资产总额。</w:t>
            </w:r>
          </w:p>
        </w:tc>
        <w:tc>
          <w:tcPr>
            <w:tcW w:w="1954" w:type="pct"/>
            <w:noWrap w:val="0"/>
            <w:vAlign w:val="center"/>
          </w:tcPr>
          <w:p w14:paraId="39638F08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both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auto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满分为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15分。其中：1000亿元以上得15分；800-1000亿元（含）得12分；500-800亿元（含）得8分；500亿元（含）以下得5分。</w:t>
            </w:r>
          </w:p>
        </w:tc>
      </w:tr>
      <w:tr w14:paraId="23692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23" w:type="pct"/>
            <w:noWrap w:val="0"/>
            <w:vAlign w:val="center"/>
          </w:tcPr>
          <w:p w14:paraId="5C7AE7FB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6" w:type="pct"/>
            <w:vMerge w:val="continue"/>
            <w:noWrap w:val="0"/>
            <w:vAlign w:val="center"/>
          </w:tcPr>
          <w:p w14:paraId="5CA1D88C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noWrap w:val="0"/>
            <w:vAlign w:val="center"/>
          </w:tcPr>
          <w:p w14:paraId="77858A2C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5</w:t>
            </w:r>
            <w:r>
              <w:rPr>
                <w:rStyle w:val="8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分</w:t>
            </w:r>
          </w:p>
        </w:tc>
        <w:tc>
          <w:tcPr>
            <w:tcW w:w="1594" w:type="pct"/>
            <w:noWrap w:val="0"/>
            <w:vAlign w:val="center"/>
          </w:tcPr>
          <w:p w14:paraId="19C5CE26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在本市营业网点数量。</w:t>
            </w:r>
          </w:p>
        </w:tc>
        <w:tc>
          <w:tcPr>
            <w:tcW w:w="1954" w:type="pct"/>
            <w:noWrap w:val="0"/>
            <w:vAlign w:val="center"/>
          </w:tcPr>
          <w:p w14:paraId="69F64AEF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满分为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5</w:t>
            </w:r>
            <w:r>
              <w:rPr>
                <w:rStyle w:val="8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分。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1</w:t>
            </w:r>
            <w:r>
              <w:rPr>
                <w:rStyle w:val="8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个营业网点得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0.1</w:t>
            </w:r>
            <w:r>
              <w:rPr>
                <w:rStyle w:val="8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分，最高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5</w:t>
            </w:r>
            <w:r>
              <w:rPr>
                <w:rStyle w:val="8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分。</w:t>
            </w:r>
          </w:p>
        </w:tc>
      </w:tr>
      <w:tr w14:paraId="47820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23" w:type="pct"/>
            <w:noWrap w:val="0"/>
            <w:vAlign w:val="center"/>
          </w:tcPr>
          <w:p w14:paraId="760ED207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6" w:type="pct"/>
            <w:vMerge w:val="continue"/>
            <w:noWrap w:val="0"/>
            <w:vAlign w:val="center"/>
          </w:tcPr>
          <w:p w14:paraId="69369B89"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noWrap w:val="0"/>
            <w:vAlign w:val="center"/>
          </w:tcPr>
          <w:p w14:paraId="27164146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15</w:t>
            </w:r>
            <w:r>
              <w:rPr>
                <w:rStyle w:val="8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分</w:t>
            </w:r>
          </w:p>
        </w:tc>
        <w:tc>
          <w:tcPr>
            <w:tcW w:w="1594" w:type="pct"/>
            <w:noWrap w:val="0"/>
            <w:vAlign w:val="center"/>
          </w:tcPr>
          <w:p w14:paraId="06A2DF76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2023年度</w:t>
            </w:r>
            <w:r>
              <w:rPr>
                <w:rStyle w:val="8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存贷比（各项贷款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各项存款）。</w:t>
            </w:r>
          </w:p>
        </w:tc>
        <w:tc>
          <w:tcPr>
            <w:tcW w:w="1954" w:type="pct"/>
            <w:noWrap w:val="0"/>
            <w:vAlign w:val="center"/>
          </w:tcPr>
          <w:p w14:paraId="25710441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满分为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15</w:t>
            </w:r>
            <w:r>
              <w:rPr>
                <w:rStyle w:val="8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分。其中：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100%</w:t>
            </w:r>
            <w:r>
              <w:rPr>
                <w:rStyle w:val="8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以上得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15</w:t>
            </w:r>
            <w:r>
              <w:rPr>
                <w:rStyle w:val="8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分；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90%-100%</w:t>
            </w:r>
            <w:r>
              <w:rPr>
                <w:rStyle w:val="8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（含）得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12</w:t>
            </w:r>
            <w:r>
              <w:rPr>
                <w:rStyle w:val="8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分；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80%-90%（含）得10分；70%-80%（含）得8分，60%-70%（含）得6分；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50%-60%</w:t>
            </w:r>
            <w:r>
              <w:rPr>
                <w:rStyle w:val="8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（含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60%</w:t>
            </w:r>
            <w:r>
              <w:rPr>
                <w:rStyle w:val="8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）得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4</w:t>
            </w:r>
            <w:r>
              <w:rPr>
                <w:rStyle w:val="8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分；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0%-50%(</w:t>
            </w:r>
            <w:r>
              <w:rPr>
                <w:rStyle w:val="8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含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50%)</w:t>
            </w:r>
            <w:r>
              <w:rPr>
                <w:rStyle w:val="8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得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2</w:t>
            </w:r>
            <w:r>
              <w:rPr>
                <w:rStyle w:val="8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分。</w:t>
            </w:r>
          </w:p>
        </w:tc>
      </w:tr>
      <w:tr w14:paraId="40FEC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23" w:type="pct"/>
            <w:noWrap w:val="0"/>
            <w:vAlign w:val="center"/>
          </w:tcPr>
          <w:p w14:paraId="45766024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6" w:type="pct"/>
            <w:vMerge w:val="continue"/>
            <w:noWrap w:val="0"/>
            <w:vAlign w:val="center"/>
          </w:tcPr>
          <w:p w14:paraId="48AF8ADA"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noWrap w:val="0"/>
            <w:vAlign w:val="center"/>
          </w:tcPr>
          <w:p w14:paraId="3DA76167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5</w:t>
            </w:r>
            <w:r>
              <w:rPr>
                <w:rStyle w:val="8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分</w:t>
            </w:r>
          </w:p>
        </w:tc>
        <w:tc>
          <w:tcPr>
            <w:tcW w:w="1594" w:type="pct"/>
            <w:noWrap w:val="0"/>
            <w:vAlign w:val="center"/>
          </w:tcPr>
          <w:p w14:paraId="5010676D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Style w:val="8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不良贷款情况：根据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国家金融监管总局</w:t>
            </w:r>
            <w:r>
              <w:rPr>
                <w:rStyle w:val="8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对普惠小微贷款不良率容忍度要求，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普惠小微贷款不良率不高于各项贷款不良率3个百分点。</w:t>
            </w:r>
          </w:p>
        </w:tc>
        <w:tc>
          <w:tcPr>
            <w:tcW w:w="1954" w:type="pct"/>
            <w:noWrap w:val="0"/>
            <w:vAlign w:val="center"/>
          </w:tcPr>
          <w:p w14:paraId="5A79D46B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满分为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5</w:t>
            </w:r>
            <w:r>
              <w:rPr>
                <w:rStyle w:val="8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分。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3%</w:t>
            </w:r>
            <w:r>
              <w:rPr>
                <w:rStyle w:val="8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以内（含）得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5</w:t>
            </w:r>
            <w:r>
              <w:rPr>
                <w:rStyle w:val="8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分；超过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3%</w:t>
            </w:r>
            <w:r>
              <w:rPr>
                <w:rStyle w:val="8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不得分。</w:t>
            </w:r>
          </w:p>
        </w:tc>
      </w:tr>
      <w:tr w14:paraId="40D39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23" w:type="pct"/>
            <w:noWrap w:val="0"/>
            <w:vAlign w:val="center"/>
          </w:tcPr>
          <w:p w14:paraId="3CD44230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6" w:type="pct"/>
            <w:vMerge w:val="restart"/>
            <w:noWrap w:val="0"/>
            <w:vAlign w:val="center"/>
          </w:tcPr>
          <w:p w14:paraId="384BF60F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（二）支持地方经济（湛江地区）</w:t>
            </w:r>
          </w:p>
        </w:tc>
        <w:tc>
          <w:tcPr>
            <w:tcW w:w="521" w:type="pct"/>
            <w:noWrap w:val="0"/>
            <w:vAlign w:val="center"/>
          </w:tcPr>
          <w:p w14:paraId="20E45704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10分</w:t>
            </w:r>
          </w:p>
        </w:tc>
        <w:tc>
          <w:tcPr>
            <w:tcW w:w="1594" w:type="pct"/>
            <w:noWrap w:val="0"/>
            <w:vAlign w:val="center"/>
          </w:tcPr>
          <w:p w14:paraId="62BA1AFC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贷款余额：2023年度贷款余额。</w:t>
            </w:r>
          </w:p>
        </w:tc>
        <w:tc>
          <w:tcPr>
            <w:tcW w:w="1954" w:type="pct"/>
            <w:noWrap w:val="0"/>
            <w:vAlign w:val="center"/>
          </w:tcPr>
          <w:p w14:paraId="4DDF6DB7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满分为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10分，该指标由高到底按名次依次递减0.5分，名次相同得分相同，分数减至0分为止。</w:t>
            </w:r>
          </w:p>
        </w:tc>
      </w:tr>
      <w:tr w14:paraId="7F8E1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423" w:type="pct"/>
            <w:noWrap w:val="0"/>
            <w:vAlign w:val="center"/>
          </w:tcPr>
          <w:p w14:paraId="20EE6CA8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06" w:type="pct"/>
            <w:vMerge w:val="continue"/>
            <w:noWrap w:val="0"/>
            <w:vAlign w:val="center"/>
          </w:tcPr>
          <w:p w14:paraId="47F9583A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noWrap w:val="0"/>
            <w:vAlign w:val="center"/>
          </w:tcPr>
          <w:p w14:paraId="7C9772CC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10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分</w:t>
            </w:r>
          </w:p>
        </w:tc>
        <w:tc>
          <w:tcPr>
            <w:tcW w:w="1594" w:type="pct"/>
            <w:noWrap w:val="0"/>
            <w:vAlign w:val="center"/>
          </w:tcPr>
          <w:p w14:paraId="0ECFF532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普惠小微贷款规模：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2023年度</w:t>
            </w:r>
            <w:r>
              <w:rPr>
                <w:rStyle w:val="8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普惠小微贷款余额（普惠小微贷款包括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单</w:t>
            </w:r>
            <w:r>
              <w:rPr>
                <w:rStyle w:val="8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户授信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1000</w:t>
            </w:r>
            <w:r>
              <w:rPr>
                <w:rStyle w:val="8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万元（含）以下小微企业贷款、个体工商户经营性贷款和小微企业主经营性贷款）。</w:t>
            </w:r>
          </w:p>
        </w:tc>
        <w:tc>
          <w:tcPr>
            <w:tcW w:w="1954" w:type="pct"/>
            <w:noWrap w:val="0"/>
            <w:vAlign w:val="center"/>
          </w:tcPr>
          <w:p w14:paraId="2147AD12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满分为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10分，该指标由高到底按名次依次递减0.3分，名次相同得分相同，分数减至0分为止。</w:t>
            </w:r>
          </w:p>
        </w:tc>
      </w:tr>
      <w:tr w14:paraId="3DD30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423" w:type="pct"/>
            <w:noWrap w:val="0"/>
            <w:vAlign w:val="center"/>
          </w:tcPr>
          <w:p w14:paraId="29D161A6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06" w:type="pct"/>
            <w:vMerge w:val="continue"/>
            <w:noWrap w:val="0"/>
            <w:vAlign w:val="center"/>
          </w:tcPr>
          <w:p w14:paraId="7F41679A"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noWrap w:val="0"/>
            <w:vAlign w:val="center"/>
          </w:tcPr>
          <w:p w14:paraId="4D32D2DD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5</w:t>
            </w:r>
            <w:r>
              <w:rPr>
                <w:rStyle w:val="8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分</w:t>
            </w:r>
          </w:p>
        </w:tc>
        <w:tc>
          <w:tcPr>
            <w:tcW w:w="1594" w:type="pct"/>
            <w:noWrap w:val="0"/>
            <w:vAlign w:val="center"/>
          </w:tcPr>
          <w:p w14:paraId="04962746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普惠小微贷款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“</w:t>
            </w:r>
            <w:r>
              <w:rPr>
                <w:rStyle w:val="8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两增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”</w:t>
            </w:r>
            <w:r>
              <w:rPr>
                <w:rStyle w:val="8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情况（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2023年度</w:t>
            </w:r>
            <w:r>
              <w:rPr>
                <w:rStyle w:val="8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普惠小微贷款较年初增速不低于各项贷款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较年初</w:t>
            </w:r>
            <w:r>
              <w:rPr>
                <w:rStyle w:val="8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增速，有贷款余额的户数不低于年初水平）。</w:t>
            </w:r>
          </w:p>
        </w:tc>
        <w:tc>
          <w:tcPr>
            <w:tcW w:w="1954" w:type="pct"/>
            <w:noWrap w:val="0"/>
            <w:vAlign w:val="center"/>
          </w:tcPr>
          <w:p w14:paraId="50900B85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满分为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5</w:t>
            </w:r>
            <w:r>
              <w:rPr>
                <w:rStyle w:val="8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分。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2</w:t>
            </w:r>
            <w:r>
              <w:rPr>
                <w:rStyle w:val="8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项均同比增长的得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5</w:t>
            </w:r>
            <w:r>
              <w:rPr>
                <w:rStyle w:val="8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分，</w:t>
            </w:r>
            <w:r>
              <w:rPr>
                <w:rStyle w:val="11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其中小微企业贷款余额项增长的得</w:t>
            </w:r>
            <w:r>
              <w:rPr>
                <w:rStyle w:val="12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4</w:t>
            </w:r>
            <w:r>
              <w:rPr>
                <w:rStyle w:val="11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分</w:t>
            </w:r>
            <w:r>
              <w:rPr>
                <w:rStyle w:val="8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，其他情况不得分。</w:t>
            </w:r>
          </w:p>
        </w:tc>
      </w:tr>
      <w:tr w14:paraId="1DEF1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23" w:type="pct"/>
            <w:noWrap w:val="0"/>
            <w:vAlign w:val="center"/>
          </w:tcPr>
          <w:p w14:paraId="4CCA3FCF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06" w:type="pct"/>
            <w:vMerge w:val="continue"/>
            <w:noWrap w:val="0"/>
            <w:vAlign w:val="center"/>
          </w:tcPr>
          <w:p w14:paraId="53186CB4"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noWrap w:val="0"/>
            <w:vAlign w:val="center"/>
          </w:tcPr>
          <w:p w14:paraId="4E742CE2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15</w:t>
            </w:r>
            <w:r>
              <w:rPr>
                <w:rStyle w:val="8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分</w:t>
            </w:r>
          </w:p>
        </w:tc>
        <w:tc>
          <w:tcPr>
            <w:tcW w:w="1594" w:type="pct"/>
            <w:noWrap w:val="0"/>
            <w:vAlign w:val="center"/>
          </w:tcPr>
          <w:p w14:paraId="4B83CCAC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税收总量。</w:t>
            </w:r>
          </w:p>
        </w:tc>
        <w:tc>
          <w:tcPr>
            <w:tcW w:w="1954" w:type="pct"/>
            <w:noWrap w:val="0"/>
            <w:vAlign w:val="center"/>
          </w:tcPr>
          <w:p w14:paraId="6842B72D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满分为15分。2023年度在湛江纳税总量（市县级税收收入），其中：1.5亿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元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以上得15分，1-1.5亿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元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（含）的10分，0.5-1亿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元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（含）得5分，0.5亿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元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（含）以下得2分。</w:t>
            </w:r>
          </w:p>
        </w:tc>
      </w:tr>
      <w:tr w14:paraId="30721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423" w:type="pct"/>
            <w:noWrap w:val="0"/>
            <w:vAlign w:val="center"/>
          </w:tcPr>
          <w:p w14:paraId="2726E15A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06" w:type="pct"/>
            <w:vMerge w:val="continue"/>
            <w:noWrap w:val="0"/>
            <w:vAlign w:val="center"/>
          </w:tcPr>
          <w:p w14:paraId="03F86CA5"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noWrap w:val="0"/>
            <w:vAlign w:val="center"/>
          </w:tcPr>
          <w:p w14:paraId="2AB73178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5</w:t>
            </w:r>
            <w:r>
              <w:rPr>
                <w:rStyle w:val="8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分</w:t>
            </w:r>
          </w:p>
        </w:tc>
        <w:tc>
          <w:tcPr>
            <w:tcW w:w="1594" w:type="pct"/>
            <w:noWrap w:val="0"/>
            <w:vAlign w:val="center"/>
          </w:tcPr>
          <w:p w14:paraId="256A5C6B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与湛江市政府性融资担保机构合作情况（2023年度年度与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粤财普惠金融（湛江）融资担保股份有限公司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合作的融资担保业务发生额）。</w:t>
            </w:r>
          </w:p>
        </w:tc>
        <w:tc>
          <w:tcPr>
            <w:tcW w:w="1954" w:type="pct"/>
            <w:noWrap w:val="0"/>
            <w:vAlign w:val="center"/>
          </w:tcPr>
          <w:p w14:paraId="0456AA8C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满分为5分。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该指标由高到底按名次依次递减0.2分，名次相同得分相同，分数减至0分为止。</w:t>
            </w:r>
          </w:p>
        </w:tc>
      </w:tr>
      <w:tr w14:paraId="2DE50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423" w:type="pct"/>
            <w:noWrap w:val="0"/>
            <w:vAlign w:val="center"/>
          </w:tcPr>
          <w:p w14:paraId="5BFBE2D3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06" w:type="pct"/>
            <w:noWrap w:val="0"/>
            <w:vAlign w:val="center"/>
          </w:tcPr>
          <w:p w14:paraId="2BF6AF47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（三）其他材料</w:t>
            </w:r>
          </w:p>
        </w:tc>
        <w:tc>
          <w:tcPr>
            <w:tcW w:w="521" w:type="pct"/>
            <w:noWrap w:val="0"/>
            <w:vAlign w:val="center"/>
          </w:tcPr>
          <w:p w14:paraId="7706351E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15</w:t>
            </w:r>
            <w:r>
              <w:rPr>
                <w:rStyle w:val="8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分</w:t>
            </w:r>
          </w:p>
        </w:tc>
        <w:tc>
          <w:tcPr>
            <w:tcW w:w="1594" w:type="pct"/>
            <w:noWrap w:val="0"/>
            <w:vAlign w:val="center"/>
          </w:tcPr>
          <w:p w14:paraId="6E94AC8D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普惠贷款实施方案。</w:t>
            </w:r>
          </w:p>
        </w:tc>
        <w:tc>
          <w:tcPr>
            <w:tcW w:w="1954" w:type="pct"/>
            <w:noWrap w:val="0"/>
            <w:vAlign w:val="center"/>
          </w:tcPr>
          <w:p w14:paraId="1E5D3B85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横向对比申请人服务方案完整性、可行性。</w:t>
            </w:r>
            <w:r>
              <w:rPr>
                <w:rStyle w:val="11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满分为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15</w:t>
            </w:r>
            <w:r>
              <w:rPr>
                <w:rStyle w:val="11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分。其中，资金计划政策2分、免责考核政策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3</w:t>
            </w:r>
            <w:r>
              <w:rPr>
                <w:rStyle w:val="11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分、风险定价政策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2</w:t>
            </w:r>
            <w:r>
              <w:rPr>
                <w:rStyle w:val="11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分，所设立的服务团队人数及资质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3</w:t>
            </w:r>
            <w:r>
              <w:rPr>
                <w:rStyle w:val="11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分、审贷流程2分、信息系统建设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1</w:t>
            </w:r>
            <w:r>
              <w:rPr>
                <w:rStyle w:val="11"/>
                <w:rFonts w:ascii="仿宋_GB2312" w:hAnsi="仿宋_GB2312" w:eastAsia="仿宋_GB2312" w:cs="仿宋_GB2312"/>
                <w:color w:val="auto"/>
                <w:u w:val="none"/>
                <w:lang w:val="en-US" w:eastAsia="zh-CN" w:bidi="ar"/>
              </w:rPr>
              <w:t>分；总行从战略、方向以及绩效考核方面的支持2分。</w:t>
            </w:r>
          </w:p>
        </w:tc>
      </w:tr>
      <w:tr w14:paraId="3E8D1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5"/>
            <w:noWrap/>
            <w:vAlign w:val="center"/>
          </w:tcPr>
          <w:p w14:paraId="10395DCE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</w:tbl>
    <w:p w14:paraId="5FA00D56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="Calibri" w:hAnsi="Calibri" w:eastAsia="宋体" w:cs="Times New Roman"/>
          <w:color w:val="000000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备注：评审内容均需提供相应材料，并加盖公章</w:t>
      </w:r>
    </w:p>
    <w:p w14:paraId="71227CA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6AE0E415">
      <w:pPr>
        <w:rPr>
          <w:rFonts w:hint="eastAsia"/>
        </w:rPr>
      </w:pPr>
    </w:p>
    <w:p w14:paraId="526076F2">
      <w:pPr>
        <w:topLinePunct/>
        <w:autoSpaceDE w:val="0"/>
        <w:autoSpaceDN w:val="0"/>
        <w:ind w:left="-2" w:leftChars="-1" w:right="284" w:firstLine="640" w:firstLineChars="200"/>
        <w:rPr>
          <w:rFonts w:ascii="仿宋_GB2312" w:eastAsia="仿宋_GB2312"/>
          <w:sz w:val="32"/>
          <w:szCs w:val="32"/>
        </w:rPr>
      </w:pPr>
    </w:p>
    <w:p w14:paraId="787CECF4"/>
    <w:sectPr>
      <w:footerReference r:id="rId3" w:type="default"/>
      <w:pgSz w:w="11905" w:h="16850"/>
      <w:pgMar w:top="1701" w:right="1474" w:bottom="1701" w:left="1474" w:header="720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CEAA7">
    <w:pPr>
      <w:pStyle w:val="3"/>
      <w:jc w:val="center"/>
      <w:rPr>
        <w:rFonts w:hint="default" w:eastAsia="Times New Roman"/>
      </w:rPr>
    </w:pPr>
    <w:r>
      <w:rPr>
        <w:rFonts w:hint="default"/>
      </w:rPr>
      <w:fldChar w:fldCharType="begin"/>
    </w:r>
    <w:r>
      <w:rPr>
        <w:rFonts w:hint="default"/>
      </w:rPr>
      <w:instrText xml:space="preserve"> PAGE   \* MERGEFORMAT </w:instrText>
    </w:r>
    <w:r>
      <w:rPr>
        <w:rFonts w:hint="default"/>
      </w:rPr>
      <w:fldChar w:fldCharType="separate"/>
    </w:r>
    <w:r>
      <w:rPr>
        <w:rFonts w:hint="default"/>
        <w:lang w:val="zh-CN"/>
      </w:rPr>
      <w:t>2</w:t>
    </w:r>
    <w:r>
      <w:rPr>
        <w:rFonts w:hint="default"/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MmQ3ZjRiOTQ5ZjhlYzExMWQ3Yzg3ZDhhYTgwMWUifQ=="/>
  </w:docVars>
  <w:rsids>
    <w:rsidRoot w:val="4B6D1FA1"/>
    <w:rsid w:val="4B6D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24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41"/>
    <w:basedOn w:val="5"/>
    <w:qFormat/>
    <w:uiPriority w:val="0"/>
    <w:rPr>
      <w:rFonts w:hint="default" w:ascii="Calibri" w:hAnsi="Calibri" w:cs="Calibri"/>
      <w:color w:val="FF0201"/>
      <w:sz w:val="24"/>
      <w:szCs w:val="24"/>
      <w:u w:val="none"/>
    </w:rPr>
  </w:style>
  <w:style w:type="character" w:customStyle="1" w:styleId="10">
    <w:name w:val="font91"/>
    <w:basedOn w:val="5"/>
    <w:qFormat/>
    <w:uiPriority w:val="0"/>
    <w:rPr>
      <w:rFonts w:ascii="汉仪书宋二KW" w:hAnsi="汉仪书宋二KW" w:eastAsia="汉仪书宋二KW" w:cs="汉仪书宋二KW"/>
      <w:color w:val="FF0201"/>
      <w:sz w:val="24"/>
      <w:szCs w:val="24"/>
      <w:u w:val="none"/>
    </w:rPr>
  </w:style>
  <w:style w:type="character" w:customStyle="1" w:styleId="11">
    <w:name w:val="font7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81"/>
    <w:basedOn w:val="5"/>
    <w:qFormat/>
    <w:uiPriority w:val="0"/>
    <w:rPr>
      <w:rFonts w:hint="default" w:ascii="Calibri" w:hAnsi="Calibri" w:cs="Calibri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2024-12-08T13:33:00Z</dcterms:created>
  <dc:creator>WPS_370025307</dc:creator>
  <cp:lastModifiedBy>WPS_370025307</cp:lastModifiedBy>
  <dcterms:modified xsi:type="dcterms:W3CDTF">2024-12-08T13:37:54Z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04CDE089D0384C05A06CB37B6A36222A_11</vt:lpwstr>
  </property>
</Properties>
</file>