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05EF1">
      <w:pPr>
        <w:spacing w:line="620" w:lineRule="exact"/>
        <w:rPr>
          <w:rFonts w:hint="eastAsia" w:ascii="黑体" w:hAnsi="黑体" w:eastAsia="黑体"/>
          <w:sz w:val="32"/>
          <w:szCs w:val="32"/>
        </w:rPr>
      </w:pPr>
      <w:r>
        <w:rPr>
          <w:rFonts w:hint="eastAsia" w:ascii="黑体" w:hAnsi="黑体" w:eastAsia="黑体"/>
          <w:sz w:val="32"/>
          <w:szCs w:val="32"/>
        </w:rPr>
        <w:t xml:space="preserve"> </w:t>
      </w:r>
    </w:p>
    <w:p w14:paraId="0EF6745D">
      <w:pPr>
        <w:spacing w:line="620" w:lineRule="exact"/>
        <w:jc w:val="center"/>
        <w:rPr>
          <w:rFonts w:hint="eastAsia" w:ascii="方正小标宋_GBK" w:eastAsia="方正小标宋_GBK"/>
          <w:sz w:val="44"/>
          <w:szCs w:val="44"/>
        </w:rPr>
      </w:pPr>
    </w:p>
    <w:p w14:paraId="715C8FA6">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14:paraId="144E1648">
      <w:pPr>
        <w:spacing w:line="620" w:lineRule="exact"/>
        <w:rPr>
          <w:rFonts w:hint="eastAsia" w:ascii="仿宋_GB2312" w:eastAsia="仿宋_GB2312"/>
          <w:sz w:val="30"/>
        </w:rPr>
      </w:pPr>
    </w:p>
    <w:p w14:paraId="174B59FA">
      <w:pPr>
        <w:spacing w:line="620" w:lineRule="exact"/>
        <w:rPr>
          <w:rFonts w:hint="eastAsia" w:ascii="仿宋_GB2312" w:eastAsia="仿宋_GB2312"/>
          <w:sz w:val="30"/>
        </w:rPr>
      </w:pPr>
    </w:p>
    <w:p w14:paraId="07393348">
      <w:pPr>
        <w:spacing w:line="620" w:lineRule="exact"/>
        <w:rPr>
          <w:rFonts w:hint="eastAsia" w:ascii="仿宋_GB2312" w:eastAsia="仿宋_GB2312"/>
          <w:sz w:val="30"/>
        </w:rPr>
      </w:pPr>
    </w:p>
    <w:p w14:paraId="3FFA919F">
      <w:pPr>
        <w:spacing w:line="620" w:lineRule="exact"/>
        <w:rPr>
          <w:rFonts w:hint="eastAsia" w:ascii="仿宋_GB2312" w:eastAsia="仿宋_GB2312"/>
          <w:sz w:val="30"/>
        </w:rPr>
      </w:pPr>
    </w:p>
    <w:p w14:paraId="31D58EB9">
      <w:pPr>
        <w:spacing w:line="620" w:lineRule="exact"/>
        <w:rPr>
          <w:rFonts w:hint="eastAsia" w:ascii="仿宋_GB2312" w:eastAsia="仿宋_GB2312"/>
          <w:sz w:val="30"/>
        </w:rPr>
      </w:pPr>
    </w:p>
    <w:p w14:paraId="6F473591">
      <w:pPr>
        <w:spacing w:line="620" w:lineRule="exact"/>
        <w:rPr>
          <w:rFonts w:hint="eastAsia" w:ascii="仿宋_GB2312" w:eastAsia="仿宋_GB2312"/>
          <w:sz w:val="30"/>
        </w:rPr>
      </w:pPr>
    </w:p>
    <w:p w14:paraId="52562915">
      <w:pPr>
        <w:spacing w:line="620" w:lineRule="exact"/>
        <w:rPr>
          <w:rFonts w:hint="eastAsia" w:ascii="仿宋_GB2312" w:eastAsia="仿宋_GB2312"/>
          <w:sz w:val="30"/>
        </w:rPr>
      </w:pPr>
    </w:p>
    <w:p w14:paraId="7EC620E6">
      <w:pPr>
        <w:spacing w:line="620" w:lineRule="exact"/>
        <w:rPr>
          <w:rFonts w:hint="eastAsia" w:ascii="仿宋_GB2312" w:eastAsia="仿宋_GB2312"/>
          <w:sz w:val="30"/>
        </w:rPr>
      </w:pPr>
    </w:p>
    <w:p w14:paraId="574E7B18">
      <w:pPr>
        <w:spacing w:line="620" w:lineRule="exact"/>
        <w:rPr>
          <w:rFonts w:hint="eastAsia" w:ascii="仿宋_GB2312" w:eastAsia="仿宋_GB2312"/>
          <w:sz w:val="30"/>
        </w:rPr>
      </w:pPr>
    </w:p>
    <w:p w14:paraId="75432806">
      <w:pPr>
        <w:spacing w:line="620" w:lineRule="exact"/>
        <w:rPr>
          <w:rFonts w:hint="eastAsia" w:ascii="仿宋_GB2312" w:eastAsia="仿宋_GB2312"/>
          <w:sz w:val="30"/>
        </w:rPr>
      </w:pPr>
    </w:p>
    <w:p w14:paraId="5A04BEE7">
      <w:pPr>
        <w:spacing w:line="620" w:lineRule="exact"/>
        <w:rPr>
          <w:rFonts w:hint="eastAsia" w:ascii="仿宋_GB2312" w:eastAsia="仿宋_GB2312"/>
          <w:sz w:val="32"/>
          <w:szCs w:val="32"/>
        </w:rPr>
      </w:pPr>
    </w:p>
    <w:p w14:paraId="14AAC814">
      <w:pPr>
        <w:spacing w:line="620" w:lineRule="exact"/>
        <w:rPr>
          <w:rFonts w:hint="eastAsia" w:ascii="仿宋_GB2312" w:eastAsia="仿宋_GB2312"/>
          <w:sz w:val="32"/>
          <w:szCs w:val="32"/>
          <w:lang w:eastAsia="zh-CN"/>
        </w:rPr>
      </w:pPr>
      <w:r>
        <w:rPr>
          <w:rFonts w:hint="eastAsia" w:ascii="仿宋_GB2312" w:eastAsia="仿宋_GB2312"/>
          <w:sz w:val="32"/>
          <w:szCs w:val="32"/>
        </w:rPr>
        <w:t>项目名称：</w:t>
      </w:r>
      <w:r>
        <w:rPr>
          <w:rFonts w:hint="eastAsia" w:ascii="仿宋_GB2312" w:eastAsia="仿宋_GB2312"/>
          <w:sz w:val="32"/>
          <w:szCs w:val="32"/>
          <w:lang w:eastAsia="zh-CN"/>
        </w:rPr>
        <w:t>数字化城市管理办公室运行经费</w:t>
      </w:r>
    </w:p>
    <w:p w14:paraId="5498FFE1">
      <w:pPr>
        <w:spacing w:line="620" w:lineRule="exact"/>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2023年</w:t>
      </w:r>
    </w:p>
    <w:p w14:paraId="3D97E7D1">
      <w:pPr>
        <w:spacing w:line="620" w:lineRule="exact"/>
        <w:rPr>
          <w:rFonts w:hint="eastAsia" w:ascii="仿宋_GB2312" w:eastAsia="仿宋_GB2312"/>
          <w:sz w:val="32"/>
          <w:szCs w:val="32"/>
          <w:lang w:eastAsia="zh-CN"/>
        </w:rPr>
      </w:pPr>
      <w:r>
        <w:rPr>
          <w:rFonts w:hint="eastAsia" w:ascii="仿宋_GB2312" w:eastAsia="仿宋_GB2312"/>
          <w:sz w:val="32"/>
          <w:szCs w:val="32"/>
        </w:rPr>
        <w:t>市级预算部门单位：</w:t>
      </w:r>
      <w:r>
        <w:rPr>
          <w:rFonts w:hint="eastAsia" w:ascii="仿宋_GB2312" w:eastAsia="仿宋_GB2312"/>
          <w:sz w:val="32"/>
          <w:szCs w:val="32"/>
          <w:lang w:eastAsia="zh-CN"/>
        </w:rPr>
        <w:t>湛江市城市管理和综合执法局</w:t>
      </w:r>
    </w:p>
    <w:p w14:paraId="331C62E6">
      <w:pPr>
        <w:spacing w:line="620" w:lineRule="exact"/>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2024年7月22日</w:t>
      </w:r>
    </w:p>
    <w:p w14:paraId="06E61689">
      <w:pPr>
        <w:spacing w:line="620" w:lineRule="exact"/>
        <w:rPr>
          <w:rFonts w:hint="eastAsia" w:ascii="仿宋_GB2312" w:eastAsia="仿宋_GB2312"/>
          <w:sz w:val="30"/>
        </w:rPr>
      </w:pPr>
    </w:p>
    <w:p w14:paraId="67A65E52">
      <w:pPr>
        <w:spacing w:line="620" w:lineRule="exact"/>
        <w:rPr>
          <w:rFonts w:hint="eastAsia" w:ascii="仿宋_GB2312" w:eastAsia="仿宋_GB2312"/>
          <w:sz w:val="30"/>
        </w:rPr>
      </w:pPr>
    </w:p>
    <w:p w14:paraId="098A9DB3">
      <w:pPr>
        <w:spacing w:line="620" w:lineRule="exact"/>
        <w:rPr>
          <w:rFonts w:hint="eastAsia" w:ascii="仿宋_GB2312" w:eastAsia="仿宋_GB2312"/>
          <w:sz w:val="30"/>
        </w:rPr>
      </w:pPr>
    </w:p>
    <w:p w14:paraId="7B148520">
      <w:pPr>
        <w:spacing w:line="600" w:lineRule="exact"/>
        <w:ind w:firstLine="600"/>
        <w:rPr>
          <w:rFonts w:hint="eastAsia" w:ascii="黑体" w:hAnsi="黑体" w:eastAsia="黑体" w:cs="黑体"/>
          <w:kern w:val="1"/>
          <w:sz w:val="32"/>
          <w:szCs w:val="32"/>
        </w:rPr>
      </w:pPr>
    </w:p>
    <w:p w14:paraId="1E68DE62">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14:paraId="47FE95EA">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1.</w:t>
      </w:r>
      <w:r>
        <w:rPr>
          <w:rFonts w:hint="eastAsia" w:ascii="仿宋_GB2312" w:hAnsi="仿宋_GB2312" w:eastAsia="仿宋_GB2312"/>
          <w:kern w:val="1"/>
          <w:sz w:val="32"/>
          <w:szCs w:val="32"/>
          <w:lang w:eastAsia="zh-CN"/>
        </w:rPr>
        <w:t>项目背景：</w:t>
      </w:r>
      <w:r>
        <w:rPr>
          <w:rFonts w:hint="eastAsia" w:ascii="仿宋_GB2312" w:hAnsi="仿宋_GB2312" w:eastAsia="仿宋_GB2312"/>
          <w:kern w:val="1"/>
          <w:sz w:val="32"/>
          <w:szCs w:val="32"/>
        </w:rPr>
        <w:t>经市政府同意，</w:t>
      </w:r>
      <w:r>
        <w:rPr>
          <w:rFonts w:hint="eastAsia" w:ascii="仿宋_GB2312" w:eastAsia="仿宋_GB2312"/>
          <w:sz w:val="32"/>
          <w:szCs w:val="32"/>
          <w:lang w:eastAsia="zh-CN"/>
        </w:rPr>
        <w:t>我局</w:t>
      </w:r>
      <w:r>
        <w:rPr>
          <w:rFonts w:hint="eastAsia" w:ascii="仿宋_GB2312" w:hAnsi="仿宋_GB2312" w:eastAsia="仿宋_GB2312"/>
          <w:kern w:val="1"/>
          <w:sz w:val="32"/>
          <w:szCs w:val="32"/>
        </w:rPr>
        <w:t>建立湛江市数字化城市管理体系，实现湛江“大城管”格局，通过数字化城市管理体系的实施，提高城市管理效能，保证城市管理问题第一时间发现和处置，保障城市公共设施的完好和城市安全、有序地运行，有效促进城市环境干净、整洁、有序。</w:t>
      </w:r>
    </w:p>
    <w:p w14:paraId="309E5098">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2.实施依据：市政府批文P16296</w:t>
      </w:r>
    </w:p>
    <w:p w14:paraId="7509397A">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kern w:val="1"/>
          <w:sz w:val="32"/>
          <w:szCs w:val="32"/>
        </w:rPr>
        <w:t>3.主要内容及实施情况：该项目支出主要内容包括四方面，一是</w:t>
      </w:r>
      <w:r>
        <w:rPr>
          <w:rFonts w:hint="eastAsia" w:ascii="仿宋_GB2312" w:hAnsi="仿宋_GB2312" w:eastAsia="仿宋_GB2312" w:cs="仿宋_GB2312"/>
          <w:kern w:val="0"/>
          <w:sz w:val="32"/>
          <w:szCs w:val="32"/>
          <w:lang w:bidi="ar"/>
        </w:rPr>
        <w:t>数字化城市管理信息采集社会化服务费;二是湛江市数字化城市管理监督指挥中心坐席员工资;三是湛江市数字化城市管理办公室办公经费;四是数字化城市管理系统网络费以及电费。各项内容按计划和相关要求实施情况良好。</w:t>
      </w:r>
    </w:p>
    <w:p w14:paraId="1A81C4DA">
      <w:pPr>
        <w:spacing w:line="600" w:lineRule="exact"/>
        <w:ind w:firstLine="600"/>
        <w:rPr>
          <w:rFonts w:hint="eastAsia" w:ascii="仿宋_GB2312" w:hAnsi="仿宋_GB2312" w:eastAsia="仿宋_GB2312"/>
          <w:color w:val="FF0000"/>
          <w:kern w:val="1"/>
          <w:sz w:val="32"/>
          <w:szCs w:val="32"/>
        </w:rPr>
      </w:pPr>
      <w:r>
        <w:rPr>
          <w:rFonts w:hint="eastAsia" w:ascii="仿宋_GB2312" w:hAnsi="仿宋_GB2312" w:eastAsia="仿宋_GB2312"/>
          <w:kern w:val="1"/>
          <w:sz w:val="32"/>
          <w:szCs w:val="32"/>
        </w:rPr>
        <w:t>4.预期投入：该项目预期投入</w:t>
      </w:r>
      <w:r>
        <w:rPr>
          <w:rFonts w:hint="eastAsia" w:ascii="仿宋_GB2312" w:hAnsi="仿宋_GB2312" w:eastAsia="仿宋_GB2312"/>
          <w:kern w:val="1"/>
          <w:sz w:val="32"/>
          <w:szCs w:val="32"/>
          <w:lang w:val="en-US" w:eastAsia="zh-CN"/>
        </w:rPr>
        <w:t>715.00</w:t>
      </w:r>
      <w:r>
        <w:rPr>
          <w:rFonts w:hint="eastAsia" w:ascii="仿宋_GB2312" w:hAnsi="仿宋_GB2312" w:eastAsia="仿宋_GB2312"/>
          <w:kern w:val="1"/>
          <w:sz w:val="32"/>
          <w:szCs w:val="32"/>
        </w:rPr>
        <w:t>万元。</w:t>
      </w:r>
    </w:p>
    <w:p w14:paraId="02A374B2">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（二）评价年度项目绩效目标设定情况</w:t>
      </w:r>
    </w:p>
    <w:p w14:paraId="74A65DEB">
      <w:pPr>
        <w:spacing w:line="600" w:lineRule="exact"/>
        <w:ind w:firstLine="600"/>
        <w:rPr>
          <w:rFonts w:hint="eastAsia" w:ascii="仿宋_GB2312" w:hAnsi="仿宋_GB2312" w:eastAsia="仿宋_GB2312" w:cs="仿宋_GB2312"/>
          <w:b/>
          <w:bCs/>
          <w:kern w:val="1"/>
          <w:sz w:val="32"/>
          <w:szCs w:val="32"/>
        </w:rPr>
      </w:pPr>
      <w:r>
        <w:rPr>
          <w:rFonts w:hint="eastAsia" w:ascii="仿宋_GB2312" w:hAnsi="仿宋_GB2312" w:eastAsia="仿宋_GB2312"/>
          <w:b/>
          <w:bCs/>
          <w:kern w:val="1"/>
          <w:sz w:val="32"/>
          <w:szCs w:val="32"/>
        </w:rPr>
        <w:t>1.总体目标：</w:t>
      </w:r>
      <w:r>
        <w:rPr>
          <w:rFonts w:hint="eastAsia" w:ascii="仿宋_GB2312" w:hAnsi="仿宋_GB2312" w:eastAsia="仿宋_GB2312" w:cs="仿宋_GB2312"/>
          <w:color w:val="000000"/>
          <w:kern w:val="0"/>
          <w:sz w:val="32"/>
          <w:szCs w:val="32"/>
          <w:lang w:bidi="ar"/>
        </w:rPr>
        <w:t>在城市建成区范围内，依据城市管理标准，在规定时间内以人工巡查的方式对城市管理问题及市政设施部件完好、变更信息的及时发现和采集；对热线投诉、视频监控、领导交办等途径反馈的问题进行限时核实和采集；对力所能及的市容环境脏乱问题进行处理；保障数字化城市管理平台系统、交通大数据智能分析系统、排水防涝系统、智能路灯管理系统等服务器及机房设备、86路视频监控摄像头和数字化城市管理中心大屏等设备的正常运作；加强数字城管中心坐席员教育、培训和管理，调动坐席员的工作积极性和主观能动性，吸引人才、留住人才、培养人才，建立一支年轻、专业、有责任心的数字城管队伍；通过数字化城市管理提高城市管理效能，实行全时段全覆盖的网格化巡查，保证城市管理问题第一时间发现和处置，保障城市公共设施的完好和城市安全、有序地运行，有效促进城市环境干净、整洁、有序。</w:t>
      </w:r>
    </w:p>
    <w:p w14:paraId="67CB7DD3">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b/>
          <w:bCs/>
          <w:kern w:val="1"/>
          <w:sz w:val="32"/>
          <w:szCs w:val="32"/>
        </w:rPr>
        <w:t>2.阶段目标：</w:t>
      </w:r>
      <w:r>
        <w:rPr>
          <w:rFonts w:hint="eastAsia" w:ascii="仿宋_GB2312" w:hAnsi="仿宋_GB2312" w:eastAsia="仿宋_GB2312" w:cs="仿宋_GB2312"/>
          <w:color w:val="000000"/>
          <w:kern w:val="0"/>
          <w:sz w:val="32"/>
          <w:szCs w:val="32"/>
          <w:lang w:bidi="ar"/>
        </w:rPr>
        <w:t xml:space="preserve">在城市建成区范围内，依据城市管理标准，数字化城市管理信息采集员队伍以全天候、全覆盖、网格化的人工巡查方式每天对城市管理业务和市政设施损坏、变更信息进行及时采集，对热线投诉、视频监控、领导交办等途径反映的问题进行限时核实和采集，对力所能及的市容环境脏乱问题进行处理，提高市容市貌“见管率”；发现和采集问题后，由数字化城市管理中心坐席员将问题转办到相关单位，通过沟通、协调、督促单位限时落实整改，对相关工作完成情况进行考评；对数字化城市管理系统、交通大数据信息系统、排水防涝信息系统、城市照明信息管理系统、园林绿化信息管理系统等进行维护管理，对服务器及机房设备、视频监控摄像头、数字化城市管理中心等设备进行维护管理，保障数字城管工作的正常运作；通过数字化城市管理体系的实施提高城市管理效能，实行全时段全覆盖的网格化巡查，保证城市管理问题第一时间发现和处置，保障城市公共设施的完好和城市安全、有序地运行，有效促进城市环境干净、整洁、有序。 </w:t>
      </w:r>
    </w:p>
    <w:p w14:paraId="25077B4D">
      <w:pPr>
        <w:numPr>
          <w:ilvl w:val="0"/>
          <w:numId w:val="1"/>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绩效自评工作开展情况</w:t>
      </w:r>
    </w:p>
    <w:p w14:paraId="0E506A6F">
      <w:pPr>
        <w:spacing w:line="600" w:lineRule="exact"/>
        <w:ind w:firstLine="600"/>
        <w:rPr>
          <w:rFonts w:hint="eastAsia" w:ascii="黑体" w:hAnsi="黑体" w:eastAsia="黑体" w:cs="黑体"/>
          <w:kern w:val="1"/>
          <w:sz w:val="32"/>
          <w:szCs w:val="32"/>
        </w:rPr>
      </w:pPr>
      <w:r>
        <w:rPr>
          <w:rFonts w:hint="eastAsia" w:ascii="仿宋_GB2312" w:hAnsi="仿宋_GB2312" w:eastAsia="仿宋_GB2312" w:cs="仿宋_GB2312"/>
          <w:kern w:val="1"/>
          <w:sz w:val="32"/>
          <w:szCs w:val="32"/>
        </w:rPr>
        <w:t>本次自评对象为数字化城市管理办公室运行经费，实施自评单位是湛江市数字化城市管理办公室。</w:t>
      </w:r>
      <w:r>
        <w:rPr>
          <w:rFonts w:hint="eastAsia" w:ascii="仿宋_GB2312" w:hAnsi="仿宋_GB2312" w:eastAsia="仿宋_GB2312" w:cs="仿宋_GB2312"/>
          <w:sz w:val="32"/>
          <w:szCs w:val="32"/>
          <w:lang w:bidi="ar"/>
        </w:rPr>
        <w:t>为了提高资金使用效益，强化绩效主体责任，</w:t>
      </w:r>
      <w:r>
        <w:rPr>
          <w:rFonts w:hint="eastAsia" w:ascii="仿宋_GB2312" w:hAnsi="仿宋_GB2312" w:eastAsia="仿宋_GB2312" w:cs="仿宋_GB2312"/>
          <w:kern w:val="1"/>
          <w:sz w:val="32"/>
          <w:szCs w:val="32"/>
        </w:rPr>
        <w:t>湛江市数字化城市管理办公室</w:t>
      </w:r>
      <w:r>
        <w:rPr>
          <w:rFonts w:hint="eastAsia" w:ascii="仿宋_GB2312" w:hAnsi="仿宋_GB2312" w:eastAsia="仿宋_GB2312" w:cs="仿宋_GB2312"/>
          <w:sz w:val="32"/>
          <w:szCs w:val="32"/>
          <w:lang w:bidi="ar"/>
        </w:rPr>
        <w:t>成立了资金绩效自评工作组，认真细致审核项目资金安排和使用情况，对照《项目支出绩效自评指标评分表》对项目的产出、效益、过程、决策四环节进行逐项自评，</w:t>
      </w:r>
      <w:r>
        <w:rPr>
          <w:rFonts w:hint="eastAsia" w:ascii="仿宋_GB2312" w:hAnsi="仿宋_GB2312" w:eastAsia="仿宋_GB2312" w:cs="仿宋_GB2312"/>
          <w:sz w:val="32"/>
          <w:szCs w:val="32"/>
        </w:rPr>
        <w:t>按时按质按量完成了自评工作。</w:t>
      </w:r>
    </w:p>
    <w:p w14:paraId="50FC981A">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三、绩效自评结果</w:t>
      </w:r>
    </w:p>
    <w:p w14:paraId="47CA05BA">
      <w:pPr>
        <w:spacing w:line="600" w:lineRule="exact"/>
        <w:ind w:firstLine="600"/>
        <w:rPr>
          <w:rFonts w:hint="eastAsia" w:ascii="黑体" w:hAnsi="黑体" w:eastAsia="黑体" w:cs="黑体"/>
          <w:kern w:val="1"/>
          <w:sz w:val="32"/>
          <w:szCs w:val="32"/>
        </w:rPr>
      </w:pPr>
      <w:r>
        <w:rPr>
          <w:rFonts w:hint="eastAsia" w:ascii="仿宋_GB2312" w:hAnsi="仿宋_GB2312" w:eastAsia="仿宋_GB2312"/>
          <w:kern w:val="1"/>
          <w:sz w:val="32"/>
          <w:szCs w:val="32"/>
          <w:lang w:eastAsia="zh-CN"/>
        </w:rPr>
        <w:t>自评分数为</w:t>
      </w:r>
      <w:r>
        <w:rPr>
          <w:rFonts w:hint="eastAsia" w:ascii="仿宋_GB2312" w:hAnsi="仿宋_GB2312" w:eastAsia="仿宋_GB2312"/>
          <w:kern w:val="1"/>
          <w:sz w:val="32"/>
          <w:szCs w:val="32"/>
          <w:lang w:val="en-US" w:eastAsia="zh-CN"/>
        </w:rPr>
        <w:t>99分。</w:t>
      </w:r>
    </w:p>
    <w:p w14:paraId="22DC108C">
      <w:pPr>
        <w:numPr>
          <w:ilvl w:val="0"/>
          <w:numId w:val="2"/>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14:paraId="742D4D34">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（一）资金投入情况</w:t>
      </w:r>
    </w:p>
    <w:p w14:paraId="06D8E881">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1.资金到位情况</w:t>
      </w:r>
    </w:p>
    <w:p w14:paraId="01B541A7">
      <w:pPr>
        <w:spacing w:line="600" w:lineRule="exact"/>
        <w:ind w:firstLine="600"/>
        <w:rPr>
          <w:rFonts w:ascii="仿宋_GB2312" w:hAnsi="仿宋_GB2312" w:eastAsia="仿宋_GB2312"/>
          <w:color w:val="FF0000"/>
          <w:kern w:val="1"/>
          <w:sz w:val="32"/>
          <w:szCs w:val="32"/>
        </w:rPr>
      </w:pPr>
      <w:r>
        <w:rPr>
          <w:rFonts w:hint="eastAsia" w:ascii="仿宋_GB2312" w:hAnsi="仿宋_GB2312" w:eastAsia="仿宋_GB2312"/>
          <w:kern w:val="1"/>
          <w:sz w:val="32"/>
          <w:szCs w:val="32"/>
        </w:rPr>
        <w:t>年度预期投入</w:t>
      </w:r>
      <w:r>
        <w:rPr>
          <w:rFonts w:hint="eastAsia" w:ascii="仿宋_GB2312" w:hAnsi="仿宋_GB2312" w:eastAsia="仿宋_GB2312"/>
          <w:kern w:val="1"/>
          <w:sz w:val="32"/>
          <w:szCs w:val="32"/>
          <w:lang w:val="en-US" w:eastAsia="zh-CN"/>
        </w:rPr>
        <w:t>715.00</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元</w:t>
      </w:r>
      <w:r>
        <w:rPr>
          <w:rFonts w:hint="eastAsia" w:ascii="仿宋_GB2312" w:hAnsi="仿宋_GB2312" w:eastAsia="仿宋_GB2312"/>
          <w:kern w:val="1"/>
          <w:sz w:val="32"/>
          <w:szCs w:val="32"/>
        </w:rPr>
        <w:t>，实际分配下达</w:t>
      </w:r>
      <w:r>
        <w:rPr>
          <w:rFonts w:hint="eastAsia" w:ascii="仿宋_GB2312" w:hAnsi="仿宋_GB2312" w:eastAsia="仿宋_GB2312"/>
          <w:kern w:val="1"/>
          <w:sz w:val="32"/>
          <w:szCs w:val="32"/>
          <w:lang w:val="en-US" w:eastAsia="zh-CN"/>
        </w:rPr>
        <w:t>419.75</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元</w:t>
      </w:r>
      <w:r>
        <w:rPr>
          <w:rFonts w:hint="eastAsia" w:ascii="仿宋_GB2312" w:hAnsi="仿宋_GB2312" w:eastAsia="仿宋_GB2312"/>
          <w:kern w:val="1"/>
          <w:sz w:val="32"/>
          <w:szCs w:val="32"/>
        </w:rPr>
        <w:t>，实际到位资金</w:t>
      </w:r>
      <w:r>
        <w:rPr>
          <w:rFonts w:hint="eastAsia" w:ascii="仿宋_GB2312" w:hAnsi="仿宋_GB2312" w:eastAsia="仿宋_GB2312"/>
          <w:kern w:val="1"/>
          <w:sz w:val="32"/>
          <w:szCs w:val="32"/>
          <w:lang w:val="en-US" w:eastAsia="zh-CN"/>
        </w:rPr>
        <w:t>419.75</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元</w:t>
      </w:r>
      <w:r>
        <w:rPr>
          <w:rFonts w:hint="eastAsia" w:ascii="仿宋_GB2312" w:hAnsi="仿宋_GB2312" w:eastAsia="仿宋_GB2312"/>
          <w:kern w:val="1"/>
          <w:sz w:val="32"/>
          <w:szCs w:val="32"/>
        </w:rPr>
        <w:t>。</w:t>
      </w:r>
    </w:p>
    <w:p w14:paraId="3060DBF6">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2.资金执行情况</w:t>
      </w:r>
    </w:p>
    <w:p w14:paraId="08416864">
      <w:pPr>
        <w:spacing w:line="600" w:lineRule="exact"/>
        <w:ind w:firstLine="600"/>
        <w:rPr>
          <w:rFonts w:ascii="仿宋_GB2312" w:hAnsi="仿宋_GB2312" w:eastAsia="仿宋_GB2312"/>
          <w:kern w:val="1"/>
          <w:sz w:val="32"/>
          <w:szCs w:val="32"/>
        </w:rPr>
      </w:pPr>
      <w:r>
        <w:rPr>
          <w:rFonts w:hint="eastAsia" w:ascii="仿宋_GB2312" w:hAnsi="仿宋_GB2312" w:eastAsia="仿宋_GB2312"/>
          <w:kern w:val="1"/>
          <w:sz w:val="32"/>
          <w:szCs w:val="32"/>
        </w:rPr>
        <w:t>202</w:t>
      </w:r>
      <w:r>
        <w:rPr>
          <w:rFonts w:hint="eastAsia" w:ascii="仿宋_GB2312" w:hAnsi="仿宋_GB2312" w:eastAsia="仿宋_GB2312"/>
          <w:kern w:val="1"/>
          <w:sz w:val="32"/>
          <w:szCs w:val="32"/>
          <w:lang w:val="en-US" w:eastAsia="zh-CN"/>
        </w:rPr>
        <w:t>3</w:t>
      </w:r>
      <w:r>
        <w:rPr>
          <w:rFonts w:hint="eastAsia" w:ascii="仿宋_GB2312" w:hAnsi="仿宋_GB2312" w:eastAsia="仿宋_GB2312"/>
          <w:kern w:val="1"/>
          <w:sz w:val="32"/>
          <w:szCs w:val="32"/>
        </w:rPr>
        <w:t>年度资金实际支出共</w:t>
      </w:r>
      <w:r>
        <w:rPr>
          <w:rFonts w:hint="eastAsia" w:ascii="仿宋_GB2312" w:hAnsi="仿宋_GB2312" w:eastAsia="仿宋_GB2312"/>
          <w:kern w:val="1"/>
          <w:sz w:val="32"/>
          <w:szCs w:val="32"/>
          <w:lang w:val="en-US" w:eastAsia="zh-CN"/>
        </w:rPr>
        <w:t>418.41</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元，结余</w:t>
      </w:r>
      <w:r>
        <w:rPr>
          <w:rFonts w:hint="eastAsia" w:ascii="仿宋_GB2312" w:hAnsi="仿宋_GB2312" w:eastAsia="仿宋_GB2312"/>
          <w:kern w:val="1"/>
          <w:sz w:val="32"/>
          <w:szCs w:val="32"/>
          <w:lang w:val="en-US" w:eastAsia="zh-CN"/>
        </w:rPr>
        <w:t>1.34万元</w:t>
      </w:r>
      <w:r>
        <w:rPr>
          <w:rStyle w:val="6"/>
          <w:rFonts w:hint="default" w:ascii="仿宋_GB2312" w:hAnsi="仿宋_GB2312" w:eastAsia="仿宋_GB2312" w:cs="仿宋_GB2312"/>
          <w:color w:val="auto"/>
          <w:sz w:val="32"/>
          <w:szCs w:val="32"/>
          <w:lang w:bidi="ar"/>
        </w:rPr>
        <w:t>。</w:t>
      </w:r>
    </w:p>
    <w:p w14:paraId="5C3FDC95">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3.资金管理情况</w:t>
      </w:r>
    </w:p>
    <w:p w14:paraId="2CB64CC7">
      <w:pPr>
        <w:spacing w:line="600" w:lineRule="exact"/>
        <w:ind w:firstLine="600"/>
        <w:rPr>
          <w:rFonts w:hint="eastAsia" w:ascii="仿宋_GB2312" w:hAnsi="仿宋_GB2312" w:eastAsia="仿宋_GB2312"/>
          <w:kern w:val="1"/>
          <w:sz w:val="32"/>
          <w:szCs w:val="32"/>
        </w:rPr>
      </w:pPr>
      <w:bookmarkStart w:id="0" w:name="_GoBack"/>
      <w:r>
        <w:rPr>
          <w:rFonts w:hint="eastAsia" w:ascii="仿宋_GB2312" w:hAnsi="仿宋_GB2312" w:eastAsia="仿宋_GB2312"/>
          <w:kern w:val="1"/>
          <w:sz w:val="32"/>
          <w:szCs w:val="32"/>
        </w:rPr>
        <w:t>严格执行财经纪律，依法依规执行统一申报、建设、考评、验收程序，规范项目资金管理，提高项目资金及财务管理水平，提升资金使用效益，推进数字城管优化提升。</w:t>
      </w:r>
    </w:p>
    <w:bookmarkEnd w:id="0"/>
    <w:p w14:paraId="6A7DFA5F">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（二）绩效目标完成情况（结合项目实际，可从总体和分用途分析项目使用绩效）</w:t>
      </w:r>
    </w:p>
    <w:p w14:paraId="68A99A1D">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1.产出指标完成情况</w:t>
      </w:r>
    </w:p>
    <w:p w14:paraId="7FFBEF9E">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rPr>
        <w:t>（1）数量指标</w:t>
      </w: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rPr>
        <w:t>人工巡查发现问题数量</w:t>
      </w:r>
      <w:r>
        <w:rPr>
          <w:rFonts w:hint="eastAsia" w:ascii="仿宋_GB2312" w:hAnsi="仿宋_GB2312" w:eastAsia="仿宋_GB2312"/>
          <w:kern w:val="1"/>
          <w:sz w:val="32"/>
          <w:szCs w:val="32"/>
          <w:lang w:val="en-US" w:eastAsia="zh-CN"/>
        </w:rPr>
        <w:t>16.8万，</w:t>
      </w:r>
    </w:p>
    <w:p w14:paraId="4B255AC5">
      <w:pPr>
        <w:keepNext w:val="0"/>
        <w:keepLines w:val="0"/>
        <w:pageBreakBefore w:val="0"/>
        <w:widowControl w:val="0"/>
        <w:kinsoku/>
        <w:wordWrap/>
        <w:overflowPunct/>
        <w:topLinePunct w:val="0"/>
        <w:autoSpaceDE/>
        <w:autoSpaceDN/>
        <w:bidi w:val="0"/>
        <w:adjustRightInd/>
        <w:snapToGrid/>
        <w:spacing w:line="600" w:lineRule="exact"/>
        <w:ind w:firstLine="1323" w:firstLineChars="450"/>
        <w:textAlignment w:val="auto"/>
        <w:rPr>
          <w:rFonts w:hint="default" w:ascii="仿宋_GB2312" w:hAnsi="仿宋_GB2312" w:eastAsia="仿宋_GB2312"/>
          <w:kern w:val="1"/>
          <w:sz w:val="32"/>
          <w:szCs w:val="32"/>
          <w:lang w:val="en-US" w:eastAsia="zh-CN"/>
        </w:rPr>
      </w:pPr>
      <w:r>
        <w:rPr>
          <w:rFonts w:hint="default" w:ascii="仿宋_GB2312" w:hAnsi="仿宋_GB2312" w:eastAsia="仿宋_GB2312"/>
          <w:kern w:val="1"/>
          <w:sz w:val="32"/>
          <w:szCs w:val="32"/>
          <w:lang w:val="en-US" w:eastAsia="zh-CN"/>
        </w:rPr>
        <w:t>数字化城市管理考核频次（次/年）</w:t>
      </w:r>
      <w:r>
        <w:rPr>
          <w:rFonts w:hint="eastAsia" w:ascii="仿宋_GB2312" w:hAnsi="仿宋_GB2312" w:eastAsia="仿宋_GB2312"/>
          <w:kern w:val="1"/>
          <w:sz w:val="32"/>
          <w:szCs w:val="32"/>
          <w:lang w:val="en-US" w:eastAsia="zh-CN"/>
        </w:rPr>
        <w:t>：12次。</w:t>
      </w:r>
    </w:p>
    <w:p w14:paraId="5B62D62D">
      <w:pPr>
        <w:spacing w:line="600" w:lineRule="exact"/>
        <w:ind w:firstLine="600"/>
        <w:rPr>
          <w:rFonts w:hint="eastAsia" w:ascii="仿宋_GB2312" w:hAnsi="仿宋_GB2312" w:eastAsia="仿宋_GB2312"/>
          <w:kern w:val="1"/>
          <w:sz w:val="32"/>
          <w:szCs w:val="32"/>
          <w:lang w:eastAsia="zh-CN"/>
        </w:rPr>
      </w:pPr>
      <w:r>
        <w:rPr>
          <w:rFonts w:hint="eastAsia" w:ascii="仿宋_GB2312" w:hAnsi="仿宋_GB2312" w:eastAsia="仿宋_GB2312"/>
          <w:kern w:val="1"/>
          <w:sz w:val="32"/>
          <w:szCs w:val="32"/>
        </w:rPr>
        <w:t>（2）质量指标：投诉处理率（%）</w:t>
      </w: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lang w:val="en-US" w:eastAsia="zh-CN"/>
        </w:rPr>
        <w:t>100</w:t>
      </w:r>
      <w:r>
        <w:rPr>
          <w:rFonts w:hint="eastAsia" w:ascii="仿宋_GB2312" w:hAnsi="仿宋_GB2312" w:eastAsia="仿宋_GB2312"/>
          <w:kern w:val="1"/>
          <w:sz w:val="32"/>
          <w:szCs w:val="32"/>
        </w:rPr>
        <w:t>%</w:t>
      </w:r>
      <w:r>
        <w:rPr>
          <w:rFonts w:hint="eastAsia" w:ascii="仿宋_GB2312" w:hAnsi="仿宋_GB2312" w:eastAsia="仿宋_GB2312"/>
          <w:kern w:val="1"/>
          <w:sz w:val="32"/>
          <w:szCs w:val="32"/>
          <w:lang w:eastAsia="zh-CN"/>
        </w:rPr>
        <w:t>；</w:t>
      </w:r>
    </w:p>
    <w:p w14:paraId="57AA520A">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 xml:space="preserve">               考核达标率（%）：100%。</w:t>
      </w:r>
    </w:p>
    <w:p w14:paraId="1FF528A4">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（3）时效指标：按时处置率99.</w:t>
      </w:r>
      <w:r>
        <w:rPr>
          <w:rFonts w:hint="eastAsia" w:ascii="仿宋_GB2312" w:hAnsi="仿宋_GB2312" w:eastAsia="仿宋_GB2312"/>
          <w:kern w:val="1"/>
          <w:sz w:val="32"/>
          <w:szCs w:val="32"/>
          <w:lang w:val="en-US" w:eastAsia="zh-CN"/>
        </w:rPr>
        <w:t>70</w:t>
      </w:r>
      <w:r>
        <w:rPr>
          <w:rFonts w:hint="eastAsia" w:ascii="仿宋_GB2312" w:hAnsi="仿宋_GB2312" w:eastAsia="仿宋_GB2312"/>
          <w:kern w:val="1"/>
          <w:sz w:val="32"/>
          <w:szCs w:val="32"/>
        </w:rPr>
        <w:t>%。</w:t>
      </w:r>
    </w:p>
    <w:p w14:paraId="64C1DC79">
      <w:pPr>
        <w:keepNext w:val="0"/>
        <w:keepLines w:val="0"/>
        <w:pageBreakBefore w:val="0"/>
        <w:widowControl w:val="0"/>
        <w:kinsoku/>
        <w:wordWrap/>
        <w:overflowPunct/>
        <w:topLinePunct w:val="0"/>
        <w:autoSpaceDE/>
        <w:autoSpaceDN/>
        <w:bidi w:val="0"/>
        <w:adjustRightInd/>
        <w:snapToGrid/>
        <w:spacing w:line="600" w:lineRule="exact"/>
        <w:ind w:firstLine="2793" w:firstLineChars="950"/>
        <w:textAlignment w:val="auto"/>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rPr>
        <w:t>网格化巡查时长（小时/日）</w:t>
      </w: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lang w:val="en-US" w:eastAsia="zh-CN"/>
        </w:rPr>
        <w:t>13</w:t>
      </w:r>
    </w:p>
    <w:p w14:paraId="0C23CBD5">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（4）成本指标：工作成效达标率</w:t>
      </w:r>
      <w:r>
        <w:rPr>
          <w:rFonts w:hint="eastAsia" w:ascii="仿宋_GB2312" w:hAnsi="仿宋_GB2312" w:eastAsia="仿宋_GB2312"/>
          <w:kern w:val="1"/>
          <w:sz w:val="32"/>
          <w:szCs w:val="32"/>
          <w:lang w:val="en-US" w:eastAsia="zh-CN"/>
        </w:rPr>
        <w:t>99.99</w:t>
      </w:r>
      <w:r>
        <w:rPr>
          <w:rFonts w:hint="eastAsia" w:ascii="仿宋_GB2312" w:hAnsi="仿宋_GB2312" w:eastAsia="仿宋_GB2312"/>
          <w:kern w:val="1"/>
          <w:sz w:val="32"/>
          <w:szCs w:val="32"/>
        </w:rPr>
        <w:t>%。</w:t>
      </w:r>
    </w:p>
    <w:p w14:paraId="606BDE38">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eastAsia="zh-CN"/>
        </w:rPr>
        <w:t>各项指标已经超过</w:t>
      </w:r>
      <w:r>
        <w:rPr>
          <w:rFonts w:hint="eastAsia" w:ascii="仿宋_GB2312" w:hAnsi="仿宋_GB2312" w:eastAsia="仿宋_GB2312"/>
          <w:kern w:val="1"/>
          <w:sz w:val="32"/>
          <w:szCs w:val="32"/>
          <w:lang w:val="en-US" w:eastAsia="zh-CN"/>
        </w:rPr>
        <w:t>2023年预期目标值。</w:t>
      </w:r>
    </w:p>
    <w:p w14:paraId="55742C40">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2.效益指标完成情况</w:t>
      </w:r>
    </w:p>
    <w:p w14:paraId="6D8A1C03">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（1）经济效益：业务处理能力上升率(%)</w:t>
      </w:r>
      <w:r>
        <w:rPr>
          <w:rFonts w:hint="eastAsia" w:ascii="仿宋_GB2312" w:hAnsi="仿宋_GB2312" w:eastAsia="仿宋_GB2312"/>
          <w:kern w:val="1"/>
          <w:sz w:val="32"/>
          <w:szCs w:val="32"/>
          <w:lang w:eastAsia="zh-CN"/>
        </w:rPr>
        <w:t>达</w:t>
      </w:r>
      <w:r>
        <w:rPr>
          <w:rFonts w:hint="eastAsia" w:ascii="仿宋_GB2312" w:hAnsi="仿宋_GB2312" w:eastAsia="仿宋_GB2312"/>
          <w:kern w:val="1"/>
          <w:sz w:val="32"/>
          <w:szCs w:val="32"/>
          <w:lang w:val="en-US" w:eastAsia="zh-CN"/>
        </w:rPr>
        <w:t>20%</w:t>
      </w:r>
      <w:r>
        <w:rPr>
          <w:rFonts w:hint="eastAsia" w:ascii="仿宋_GB2312" w:hAnsi="仿宋_GB2312" w:eastAsia="仿宋_GB2312"/>
          <w:kern w:val="1"/>
          <w:sz w:val="32"/>
          <w:szCs w:val="32"/>
        </w:rPr>
        <w:t>。</w:t>
      </w:r>
    </w:p>
    <w:p w14:paraId="553B85DD">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（2）社会效益指标：城市设施完好</w:t>
      </w:r>
      <w:r>
        <w:rPr>
          <w:rFonts w:hint="eastAsia" w:ascii="仿宋_GB2312" w:hAnsi="仿宋_GB2312" w:eastAsia="仿宋_GB2312"/>
          <w:kern w:val="1"/>
          <w:sz w:val="32"/>
          <w:szCs w:val="32"/>
          <w:lang w:eastAsia="zh-CN"/>
        </w:rPr>
        <w:t>率达</w:t>
      </w:r>
      <w:r>
        <w:rPr>
          <w:rFonts w:hint="eastAsia" w:ascii="仿宋_GB2312" w:hAnsi="仿宋_GB2312" w:eastAsia="仿宋_GB2312"/>
          <w:kern w:val="1"/>
          <w:sz w:val="32"/>
          <w:szCs w:val="32"/>
          <w:lang w:val="en-US" w:eastAsia="zh-CN"/>
        </w:rPr>
        <w:t>90%</w:t>
      </w:r>
      <w:r>
        <w:rPr>
          <w:rFonts w:hint="eastAsia" w:ascii="仿宋_GB2312" w:hAnsi="仿宋_GB2312" w:eastAsia="仿宋_GB2312"/>
          <w:kern w:val="1"/>
          <w:sz w:val="32"/>
          <w:szCs w:val="32"/>
        </w:rPr>
        <w:t>。</w:t>
      </w:r>
    </w:p>
    <w:p w14:paraId="2D0F7C86">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（3）生态效益指标：城市环境良好率达到</w:t>
      </w:r>
      <w:r>
        <w:rPr>
          <w:rFonts w:hint="eastAsia" w:ascii="仿宋_GB2312" w:hAnsi="仿宋_GB2312" w:eastAsia="仿宋_GB2312"/>
          <w:kern w:val="1"/>
          <w:sz w:val="32"/>
          <w:szCs w:val="32"/>
          <w:lang w:val="en-US" w:eastAsia="zh-CN"/>
        </w:rPr>
        <w:t>99.90</w:t>
      </w:r>
      <w:r>
        <w:rPr>
          <w:rFonts w:hint="eastAsia" w:ascii="仿宋_GB2312" w:hAnsi="仿宋_GB2312" w:eastAsia="仿宋_GB2312"/>
          <w:kern w:val="1"/>
          <w:sz w:val="32"/>
          <w:szCs w:val="32"/>
        </w:rPr>
        <w:t>%</w:t>
      </w:r>
      <w:r>
        <w:rPr>
          <w:rFonts w:hint="eastAsia" w:ascii="仿宋_GB2312" w:hAnsi="仿宋_GB2312" w:eastAsia="仿宋_GB2312"/>
          <w:kern w:val="1"/>
          <w:sz w:val="32"/>
          <w:szCs w:val="32"/>
          <w:lang w:val="en-US" w:eastAsia="zh-CN"/>
        </w:rPr>
        <w:t>，业务办理无纸化率达到90%</w:t>
      </w:r>
      <w:r>
        <w:rPr>
          <w:rFonts w:hint="eastAsia" w:ascii="仿宋_GB2312" w:hAnsi="仿宋_GB2312" w:eastAsia="仿宋_GB2312"/>
          <w:kern w:val="1"/>
          <w:sz w:val="32"/>
          <w:szCs w:val="32"/>
        </w:rPr>
        <w:t>。</w:t>
      </w:r>
    </w:p>
    <w:p w14:paraId="673522FF">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（4）可持续影响指标：保持城市管理业务正常运转。</w:t>
      </w:r>
    </w:p>
    <w:p w14:paraId="1FD99379">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eastAsia="zh-CN"/>
        </w:rPr>
        <w:t>各项指标已经完成</w:t>
      </w:r>
      <w:r>
        <w:rPr>
          <w:rFonts w:hint="eastAsia" w:ascii="仿宋_GB2312" w:hAnsi="仿宋_GB2312" w:eastAsia="仿宋_GB2312"/>
          <w:kern w:val="1"/>
          <w:sz w:val="32"/>
          <w:szCs w:val="32"/>
          <w:lang w:val="en-US" w:eastAsia="zh-CN"/>
        </w:rPr>
        <w:t>2023年预期目标值。</w:t>
      </w:r>
    </w:p>
    <w:p w14:paraId="108FB483">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3.满意度指标完成情况</w:t>
      </w:r>
    </w:p>
    <w:p w14:paraId="63313925">
      <w:pPr>
        <w:spacing w:line="600" w:lineRule="exact"/>
        <w:ind w:firstLine="600"/>
        <w:rPr>
          <w:rFonts w:hint="default" w:ascii="黑体" w:hAnsi="黑体" w:eastAsia="仿宋_GB2312" w:cs="黑体"/>
          <w:kern w:val="1"/>
          <w:sz w:val="32"/>
          <w:szCs w:val="32"/>
          <w:lang w:val="en-US" w:eastAsia="zh-CN"/>
        </w:rPr>
      </w:pPr>
      <w:r>
        <w:rPr>
          <w:rFonts w:hint="eastAsia" w:ascii="仿宋_GB2312" w:hAnsi="仿宋_GB2312" w:eastAsia="仿宋_GB2312"/>
          <w:kern w:val="1"/>
          <w:sz w:val="32"/>
          <w:szCs w:val="32"/>
        </w:rPr>
        <w:t>市民投诉处理满意率达到100%</w:t>
      </w:r>
      <w:r>
        <w:rPr>
          <w:rFonts w:hint="eastAsia" w:ascii="仿宋_GB2312" w:hAnsi="仿宋_GB2312" w:eastAsia="仿宋_GB2312"/>
          <w:kern w:val="1"/>
          <w:sz w:val="32"/>
          <w:szCs w:val="32"/>
          <w:lang w:eastAsia="zh-CN"/>
        </w:rPr>
        <w:t>，已完成</w:t>
      </w:r>
      <w:r>
        <w:rPr>
          <w:rFonts w:hint="eastAsia" w:ascii="仿宋_GB2312" w:hAnsi="仿宋_GB2312" w:eastAsia="仿宋_GB2312"/>
          <w:kern w:val="1"/>
          <w:sz w:val="32"/>
          <w:szCs w:val="32"/>
          <w:lang w:val="en-US" w:eastAsia="zh-CN"/>
        </w:rPr>
        <w:t>2023年预期目标值。</w:t>
      </w:r>
    </w:p>
    <w:p w14:paraId="64DFBAFC">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主要经验、存在的问题和偏离绩效目标的原因分析</w:t>
      </w:r>
    </w:p>
    <w:p w14:paraId="71FA7D5F">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本项目绩效管理是以城市管理、精细化和现代化目标为主要目标，通过数字化城市管理体系的运作形成责任的共同体，推动和监督城市管理工作实现预先设定的绩效，从而实现目标的过程。</w:t>
      </w:r>
    </w:p>
    <w:p w14:paraId="09826EAA">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（一）制定项目计划目标</w:t>
      </w:r>
    </w:p>
    <w:p w14:paraId="494E12BE">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在项目绩效的管理体系构建中需要根据项目的特点，选择合适的考核指标，通过原项目历史数据建立相应的考核标准。根据项目计划、项目分工，确立工作人员考核指标与标准，构建完善的实施过程管理计划。</w:t>
      </w:r>
    </w:p>
    <w:p w14:paraId="0442B809">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（二）良好的绩效沟通</w:t>
      </w:r>
    </w:p>
    <w:p w14:paraId="6CE41709">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项目执行过程中需要构建良好的绩效沟通，这是保障项目是否执行成功的必要手段，工作人员人员采用周报、月报、季报的形式进行，保障项目实施过程中对项目进展有清晰的掌握和了解，明确在实施过程中的进度情况，能够及时通过有效的改进措施防止风险，提高项目工作效率。</w:t>
      </w:r>
    </w:p>
    <w:p w14:paraId="0B410B3C">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（三）项目绩效考核标准</w:t>
      </w:r>
    </w:p>
    <w:p w14:paraId="167716AA">
      <w:pPr>
        <w:widowControl/>
        <w:autoSpaceDE w:val="0"/>
        <w:spacing w:line="600" w:lineRule="exact"/>
        <w:ind w:firstLine="588" w:firstLineChars="200"/>
        <w:rPr>
          <w:rFonts w:hint="eastAsia" w:ascii="仿宋_GB2312" w:hAnsi="仿宋_GB2312" w:eastAsia="仿宋_GB2312"/>
          <w:kern w:val="1"/>
          <w:sz w:val="32"/>
          <w:szCs w:val="32"/>
          <w:lang w:eastAsia="zh-CN"/>
        </w:rPr>
      </w:pPr>
      <w:r>
        <w:rPr>
          <w:rFonts w:hint="eastAsia" w:ascii="仿宋_GB2312" w:hAnsi="仿宋_GB2312" w:eastAsia="仿宋_GB2312" w:cs="仿宋_GB2312"/>
          <w:sz w:val="32"/>
          <w:szCs w:val="32"/>
          <w:lang w:bidi="ar"/>
        </w:rPr>
        <w:t>制定项目绩效考核方案，每月定期进行考核，绩效考核与项目支出经费、工作人员绩效奖金挂钩，通过考核确保项目的整体持续正常的执行，同时鼓励工作人员除了完成考核要求的工作内容，还要努力做出成绩获取绩效奖金。</w:t>
      </w:r>
    </w:p>
    <w:p w14:paraId="4A8D395B">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改进意见</w:t>
      </w:r>
    </w:p>
    <w:p w14:paraId="64F086EF">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持续提高项目管理水平，在项目年度工作完成后要对项目的整体进行分析与评估，总结经验和教训，这样才能从具体的项目中获得更好的改进。项目绩效管理是一个系统的、需要持续和循环的过程，本项目涉及较多人力资源相关内容，主要通过提高全体工作人员的工作效能达到提高项目绩效及整个组织的工作能力的目的，在执行项目绩效管理体系的过程中需要必须构建一个总体、统一的绩效管理体系。</w:t>
      </w:r>
    </w:p>
    <w:p w14:paraId="0AA039A0">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绩效自评结果拟应用和公开情况</w:t>
      </w:r>
    </w:p>
    <w:p w14:paraId="58495544">
      <w:pPr>
        <w:spacing w:line="620" w:lineRule="exact"/>
        <w:ind w:firstLine="588" w:firstLineChars="200"/>
        <w:rPr>
          <w:rFonts w:hint="eastAsia" w:ascii="仿宋_GB2312" w:eastAsia="仿宋_GB2312"/>
          <w:sz w:val="32"/>
          <w:szCs w:val="32"/>
        </w:rPr>
      </w:pPr>
      <w:r>
        <w:rPr>
          <w:rFonts w:hint="eastAsia" w:ascii="仿宋_GB2312" w:eastAsia="仿宋_GB2312"/>
          <w:sz w:val="32"/>
          <w:szCs w:val="32"/>
        </w:rPr>
        <w:t>绩效自评结果拟用于加强数字城管下一年度项目绩效管理，将项目管理、工作人员管理、资源配置、考核管理和绩效奖金等有机结合，调动队伍工作积极性，优化队伍建设，推进数字化城市管理精细化。</w:t>
      </w:r>
    </w:p>
    <w:p w14:paraId="37D1293B">
      <w:pPr>
        <w:spacing w:line="620" w:lineRule="exact"/>
        <w:rPr>
          <w:sz w:val="32"/>
          <w:szCs w:val="32"/>
        </w:rPr>
      </w:pPr>
    </w:p>
    <w:p w14:paraId="20C145FA"/>
    <w:sectPr>
      <w:footerReference r:id="rId3" w:type="default"/>
      <w:footerReference r:id="rId4" w:type="even"/>
      <w:pgSz w:w="11906" w:h="16838"/>
      <w:pgMar w:top="1440" w:right="1797" w:bottom="1440" w:left="1797" w:header="851" w:footer="992" w:gutter="0"/>
      <w:cols w:space="720" w:num="1"/>
      <w:docGrid w:type="linesAndChars" w:linePitch="606" w:charSpace="-5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AA4EF">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14:paraId="67CFE36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85830">
    <w:pPr>
      <w:pStyle w:val="2"/>
      <w:framePr w:wrap="around" w:vAnchor="text" w:hAnchor="margin" w:xAlign="center" w:y="1"/>
      <w:rPr>
        <w:rStyle w:val="5"/>
      </w:rPr>
    </w:pPr>
    <w:r>
      <w:fldChar w:fldCharType="begin"/>
    </w:r>
    <w:r>
      <w:rPr>
        <w:rStyle w:val="5"/>
      </w:rPr>
      <w:instrText xml:space="preserve">PAGE  </w:instrText>
    </w:r>
    <w:r>
      <w:fldChar w:fldCharType="end"/>
    </w:r>
  </w:p>
  <w:p w14:paraId="781C6F83">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286375"/>
    <w:multiLevelType w:val="singleLevel"/>
    <w:tmpl w:val="E2286375"/>
    <w:lvl w:ilvl="0" w:tentative="0">
      <w:start w:val="2"/>
      <w:numFmt w:val="chineseCounting"/>
      <w:suff w:val="nothing"/>
      <w:lvlText w:val="%1、"/>
      <w:lvlJc w:val="left"/>
      <w:rPr>
        <w:rFonts w:hint="eastAsia"/>
      </w:rPr>
    </w:lvl>
  </w:abstractNum>
  <w:abstractNum w:abstractNumId="1">
    <w:nsid w:val="5F0BE44D"/>
    <w:multiLevelType w:val="singleLevel"/>
    <w:tmpl w:val="5F0BE44D"/>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3NGI4N2NiNjg0ZWVkYTRlNGIwNDAzZDgwOTdhMTMifQ=="/>
  </w:docVars>
  <w:rsids>
    <w:rsidRoot w:val="651F34FA"/>
    <w:rsid w:val="098826F0"/>
    <w:rsid w:val="0E98117E"/>
    <w:rsid w:val="125E66E4"/>
    <w:rsid w:val="13C91DDA"/>
    <w:rsid w:val="1FB73C03"/>
    <w:rsid w:val="26DC0AC8"/>
    <w:rsid w:val="29712256"/>
    <w:rsid w:val="2F236894"/>
    <w:rsid w:val="39965EB4"/>
    <w:rsid w:val="48367E0E"/>
    <w:rsid w:val="4FF62908"/>
    <w:rsid w:val="5B2335F4"/>
    <w:rsid w:val="630B25BD"/>
    <w:rsid w:val="651F34FA"/>
    <w:rsid w:val="67F06AAA"/>
    <w:rsid w:val="68E968D7"/>
    <w:rsid w:val="69A04061"/>
    <w:rsid w:val="73FC1149"/>
    <w:rsid w:val="76ACEA05"/>
    <w:rsid w:val="7FBB1E10"/>
    <w:rsid w:val="FFBC06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semiHidden/>
    <w:qFormat/>
    <w:uiPriority w:val="0"/>
    <w:pPr>
      <w:tabs>
        <w:tab w:val="center" w:pos="4153"/>
        <w:tab w:val="right" w:pos="8306"/>
      </w:tabs>
      <w:snapToGrid w:val="0"/>
      <w:jc w:val="left"/>
    </w:pPr>
    <w:rPr>
      <w:sz w:val="18"/>
      <w:szCs w:val="18"/>
    </w:rPr>
  </w:style>
  <w:style w:type="character" w:styleId="5">
    <w:name w:val="page number"/>
    <w:basedOn w:val="4"/>
    <w:semiHidden/>
    <w:qFormat/>
    <w:uiPriority w:val="0"/>
  </w:style>
  <w:style w:type="character" w:customStyle="1" w:styleId="6">
    <w:name w:val="font2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2586</Words>
  <Characters>2690</Characters>
  <Lines>0</Lines>
  <Paragraphs>0</Paragraphs>
  <TotalTime>38</TotalTime>
  <ScaleCrop>false</ScaleCrop>
  <LinksUpToDate>false</LinksUpToDate>
  <CharactersWithSpaces>2707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2023-03-29T16:59:00Z</dcterms:created>
  <dc:creator>钟永春</dc:creator>
  <cp:lastModifiedBy>杰</cp:lastModifiedBy>
  <dcterms:modified xsi:type="dcterms:W3CDTF">2024-07-26T09:43:38Z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1AD7FC60BA584D39B1FCF1B216C717D7_11</vt:lpwstr>
  </property>
</Properties>
</file>