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718BD">
      <w:pPr>
        <w:wordWrap w:val="0"/>
        <w:topLinePunct/>
        <w:spacing w:line="600" w:lineRule="exact"/>
        <w:jc w:val="center"/>
        <w:outlineLvl w:val="0"/>
        <w:rPr>
          <w:rFonts w:ascii="方正小标宋简体" w:hAnsi="方正小标宋简体" w:eastAsia="方正小标宋简体" w:cs="方正小标宋简体"/>
          <w:bCs/>
          <w:kern w:val="32"/>
          <w:sz w:val="44"/>
          <w:szCs w:val="44"/>
          <w:lang w:eastAsia="zh-CN"/>
        </w:rPr>
      </w:pPr>
      <w:r>
        <w:rPr>
          <w:rFonts w:hint="eastAsia" w:ascii="方正小标宋简体" w:hAnsi="方正小标宋简体" w:eastAsia="方正小标宋简体" w:cs="方正小标宋简体"/>
          <w:bCs/>
          <w:kern w:val="32"/>
          <w:sz w:val="44"/>
          <w:szCs w:val="44"/>
          <w:lang w:eastAsia="zh-CN"/>
        </w:rPr>
        <w:t>广东省遂溪县杨柑镇青水村矿区玻璃用</w:t>
      </w:r>
    </w:p>
    <w:p w14:paraId="65587F77">
      <w:pPr>
        <w:kinsoku/>
        <w:topLinePunct/>
        <w:autoSpaceDE/>
        <w:autoSpaceDN/>
        <w:adjustRightInd/>
        <w:snapToGrid/>
        <w:spacing w:line="700" w:lineRule="exact"/>
        <w:jc w:val="center"/>
        <w:outlineLvl w:val="4"/>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bCs/>
          <w:kern w:val="32"/>
          <w:sz w:val="44"/>
          <w:szCs w:val="44"/>
          <w:lang w:eastAsia="zh-CN"/>
        </w:rPr>
        <w:t>石英砂</w:t>
      </w:r>
      <w:r>
        <w:rPr>
          <w:rFonts w:hint="eastAsia" w:ascii="方正小标宋简体" w:hAnsi="方正小标宋简体" w:eastAsia="方正小标宋简体" w:cs="方正小标宋简体"/>
          <w:bCs/>
          <w:color w:val="auto"/>
          <w:kern w:val="32"/>
          <w:sz w:val="44"/>
          <w:szCs w:val="44"/>
          <w:lang w:eastAsia="zh-CN"/>
        </w:rPr>
        <w:t>矿</w:t>
      </w:r>
      <w:r>
        <w:rPr>
          <w:rFonts w:hint="eastAsia" w:ascii="方正小标宋简体" w:hAnsi="方正小标宋简体" w:eastAsia="方正小标宋简体" w:cs="方正小标宋简体"/>
          <w:bCs/>
          <w:kern w:val="32"/>
          <w:sz w:val="44"/>
          <w:szCs w:val="44"/>
          <w:lang w:eastAsia="zh-CN"/>
        </w:rPr>
        <w:t>采矿权</w:t>
      </w:r>
      <w:r>
        <w:rPr>
          <w:rFonts w:hint="eastAsia" w:ascii="方正小标宋简体" w:hAnsi="方正小标宋简体" w:eastAsia="方正小标宋简体" w:cs="方正小标宋简体"/>
          <w:bCs/>
          <w:color w:val="auto"/>
          <w:sz w:val="44"/>
          <w:szCs w:val="44"/>
          <w:lang w:eastAsia="zh-CN"/>
        </w:rPr>
        <w:t>网上挂牌出让公告</w:t>
      </w:r>
    </w:p>
    <w:p w14:paraId="2DE87330">
      <w:pPr>
        <w:kinsoku/>
        <w:topLinePunct/>
        <w:autoSpaceDE/>
        <w:autoSpaceDN/>
        <w:adjustRightInd/>
        <w:snapToGrid/>
        <w:spacing w:line="560" w:lineRule="exact"/>
        <w:jc w:val="center"/>
        <w:outlineLvl w:val="4"/>
        <w:rPr>
          <w:rFonts w:ascii="Times New Roman" w:hAnsi="Times New Roman" w:eastAsia="楷体_GB2312" w:cs="Times New Roman"/>
          <w:color w:val="auto"/>
          <w:kern w:val="10"/>
          <w:sz w:val="32"/>
          <w:szCs w:val="32"/>
          <w:lang w:eastAsia="zh-CN"/>
        </w:rPr>
      </w:pPr>
    </w:p>
    <w:p w14:paraId="00A4415F">
      <w:pPr>
        <w:kinsoku/>
        <w:topLinePunct/>
        <w:autoSpaceDE/>
        <w:autoSpaceDN/>
        <w:adjustRightInd/>
        <w:snapToGrid/>
        <w:spacing w:line="560" w:lineRule="exact"/>
        <w:jc w:val="center"/>
        <w:outlineLvl w:val="4"/>
        <w:rPr>
          <w:bCs/>
          <w:color w:val="auto"/>
          <w:lang w:eastAsia="zh-CN"/>
        </w:rPr>
      </w:pPr>
      <w:r>
        <w:rPr>
          <w:rFonts w:hint="eastAsia" w:ascii="Times New Roman" w:hAnsi="Times New Roman" w:eastAsia="楷体_GB2312" w:cs="Times New Roman"/>
          <w:color w:val="auto"/>
          <w:kern w:val="10"/>
          <w:sz w:val="32"/>
          <w:szCs w:val="32"/>
          <w:lang w:eastAsia="zh-CN"/>
        </w:rPr>
        <w:t>遂</w:t>
      </w:r>
      <w:r>
        <w:rPr>
          <w:rFonts w:ascii="Times New Roman" w:hAnsi="Times New Roman" w:eastAsia="楷体_GB2312" w:cs="Times New Roman"/>
          <w:color w:val="auto"/>
          <w:kern w:val="10"/>
          <w:sz w:val="32"/>
          <w:szCs w:val="32"/>
          <w:lang w:eastAsia="zh-CN"/>
        </w:rPr>
        <w:t>自然资网出（采矿）告字〔2024〕第1号</w:t>
      </w:r>
    </w:p>
    <w:p w14:paraId="71D179DC">
      <w:pPr>
        <w:kinsoku/>
        <w:topLinePunct/>
        <w:autoSpaceDE/>
        <w:autoSpaceDN/>
        <w:adjustRightInd/>
        <w:snapToGrid/>
        <w:spacing w:line="560" w:lineRule="exact"/>
        <w:rPr>
          <w:rFonts w:ascii="Times New Roman" w:hAnsi="Times New Roman" w:eastAsia="楷体_GB2312" w:cs="Times New Roman"/>
          <w:color w:val="auto"/>
          <w:kern w:val="10"/>
          <w:sz w:val="32"/>
          <w:szCs w:val="32"/>
          <w:lang w:eastAsia="zh-CN"/>
        </w:rPr>
      </w:pPr>
    </w:p>
    <w:p w14:paraId="76C02A40">
      <w:pPr>
        <w:kinsoku/>
        <w:topLinePunct/>
        <w:autoSpaceDE/>
        <w:autoSpaceDN/>
        <w:adjustRightInd/>
        <w:snapToGrid/>
        <w:spacing w:line="580" w:lineRule="exact"/>
        <w:ind w:firstLine="640" w:firstLineChars="200"/>
        <w:textAlignment w:val="auto"/>
        <w:outlineLvl w:val="4"/>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为促进矿产资源开采，</w:t>
      </w:r>
      <w:r>
        <w:rPr>
          <w:rFonts w:ascii="Times New Roman" w:hAnsi="Times New Roman" w:eastAsia="仿宋_GB2312" w:cs="Times New Roman"/>
          <w:color w:val="auto"/>
          <w:kern w:val="10"/>
          <w:sz w:val="32"/>
          <w:szCs w:val="32"/>
          <w:lang w:eastAsia="zh-CN"/>
        </w:rPr>
        <w:t>按照相关法律法规等规定，</w:t>
      </w:r>
      <w:r>
        <w:rPr>
          <w:rFonts w:hint="eastAsia" w:ascii="Times New Roman" w:hAnsi="Times New Roman" w:eastAsia="仿宋_GB2312" w:cs="Times New Roman"/>
          <w:color w:val="auto"/>
          <w:kern w:val="10"/>
          <w:sz w:val="32"/>
          <w:szCs w:val="32"/>
          <w:lang w:eastAsia="zh-CN"/>
        </w:rPr>
        <w:t>受湛江市自然资源局委托，</w:t>
      </w:r>
      <w:r>
        <w:rPr>
          <w:rFonts w:ascii="Times New Roman" w:hAnsi="Times New Roman" w:eastAsia="仿宋_GB2312" w:cs="Times New Roman"/>
          <w:color w:val="auto"/>
          <w:kern w:val="10"/>
          <w:sz w:val="32"/>
          <w:szCs w:val="32"/>
          <w:lang w:eastAsia="zh-CN"/>
        </w:rPr>
        <w:t>经</w:t>
      </w:r>
      <w:r>
        <w:rPr>
          <w:rFonts w:hint="eastAsia" w:ascii="Times New Roman" w:hAnsi="Times New Roman" w:eastAsia="仿宋_GB2312" w:cs="Times New Roman"/>
          <w:color w:val="auto"/>
          <w:kern w:val="10"/>
          <w:sz w:val="32"/>
          <w:szCs w:val="32"/>
          <w:lang w:eastAsia="zh-CN"/>
        </w:rPr>
        <w:t>遂溪县</w:t>
      </w:r>
      <w:r>
        <w:rPr>
          <w:rFonts w:ascii="Times New Roman" w:hAnsi="Times New Roman" w:eastAsia="仿宋_GB2312" w:cs="Times New Roman"/>
          <w:color w:val="auto"/>
          <w:kern w:val="10"/>
          <w:sz w:val="32"/>
          <w:szCs w:val="32"/>
          <w:lang w:eastAsia="zh-CN"/>
        </w:rPr>
        <w:t>人民政府批准，</w:t>
      </w:r>
      <w:r>
        <w:rPr>
          <w:rFonts w:hint="eastAsia" w:ascii="Times New Roman" w:hAnsi="Times New Roman" w:eastAsia="仿宋_GB2312" w:cs="Times New Roman"/>
          <w:color w:val="auto"/>
          <w:kern w:val="10"/>
          <w:sz w:val="32"/>
          <w:szCs w:val="32"/>
          <w:lang w:eastAsia="zh-CN"/>
        </w:rPr>
        <w:t>遂溪县</w:t>
      </w:r>
      <w:r>
        <w:rPr>
          <w:rFonts w:ascii="Times New Roman" w:hAnsi="Times New Roman" w:eastAsia="仿宋_GB2312" w:cs="Times New Roman"/>
          <w:color w:val="auto"/>
          <w:kern w:val="10"/>
          <w:sz w:val="32"/>
          <w:szCs w:val="32"/>
          <w:lang w:eastAsia="zh-CN"/>
        </w:rPr>
        <w:t>自然资源局决定以网上挂牌出让的方式出让</w:t>
      </w:r>
      <w:r>
        <w:rPr>
          <w:rFonts w:hint="eastAsia" w:ascii="Times New Roman" w:hAnsi="Times New Roman" w:eastAsia="仿宋_GB2312" w:cs="Times New Roman"/>
          <w:color w:val="auto"/>
          <w:kern w:val="10"/>
          <w:sz w:val="32"/>
          <w:szCs w:val="32"/>
          <w:lang w:eastAsia="zh-CN"/>
        </w:rPr>
        <w:t>“广东省遂溪县杨柑镇青水村矿区玻璃用石英砂矿”</w:t>
      </w:r>
      <w:r>
        <w:rPr>
          <w:rFonts w:ascii="Times New Roman" w:hAnsi="Times New Roman" w:eastAsia="仿宋_GB2312" w:cs="Times New Roman"/>
          <w:color w:val="auto"/>
          <w:kern w:val="10"/>
          <w:sz w:val="32"/>
          <w:szCs w:val="32"/>
          <w:lang w:eastAsia="zh-CN"/>
        </w:rPr>
        <w:t>采矿权。现将有关事项公告如下：</w:t>
      </w:r>
    </w:p>
    <w:p w14:paraId="4C753D60">
      <w:pPr>
        <w:numPr>
          <w:ilvl w:val="0"/>
          <w:numId w:val="1"/>
        </w:numPr>
        <w:kinsoku/>
        <w:topLinePunct/>
        <w:autoSpaceDE/>
        <w:autoSpaceDN/>
        <w:adjustRightInd/>
        <w:snapToGrid/>
        <w:spacing w:line="580" w:lineRule="exact"/>
        <w:ind w:firstLine="640"/>
        <w:jc w:val="both"/>
        <w:outlineLvl w:val="0"/>
        <w:rPr>
          <w:rFonts w:ascii="Times New Roman" w:hAnsi="Times New Roman" w:eastAsia="黑体" w:cs="Times New Roman"/>
          <w:bCs/>
          <w:color w:val="auto"/>
          <w:kern w:val="10"/>
          <w:sz w:val="32"/>
          <w:szCs w:val="32"/>
          <w:lang w:eastAsia="zh-CN"/>
        </w:rPr>
      </w:pPr>
      <w:bookmarkStart w:id="0" w:name="_Toc30557"/>
      <w:r>
        <w:rPr>
          <w:rFonts w:ascii="Times New Roman" w:hAnsi="Times New Roman" w:eastAsia="黑体" w:cs="Times New Roman"/>
          <w:bCs/>
          <w:color w:val="auto"/>
          <w:kern w:val="10"/>
          <w:sz w:val="32"/>
          <w:szCs w:val="32"/>
          <w:lang w:eastAsia="zh-CN"/>
        </w:rPr>
        <w:t>出让采矿权基本情况</w:t>
      </w:r>
      <w:bookmarkEnd w:id="0"/>
    </w:p>
    <w:p w14:paraId="32A5964A">
      <w:pPr>
        <w:numPr>
          <w:ilvl w:val="0"/>
          <w:numId w:val="2"/>
        </w:numPr>
        <w:kinsoku/>
        <w:topLinePunct/>
        <w:autoSpaceDE/>
        <w:autoSpaceDN/>
        <w:adjustRightInd/>
        <w:snapToGrid/>
        <w:spacing w:line="580" w:lineRule="exact"/>
        <w:ind w:firstLine="640" w:firstLineChars="200"/>
        <w:textAlignment w:val="auto"/>
        <w:outlineLvl w:val="4"/>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出让矿区名称：广东省遂溪县杨柑镇青水村矿区玻璃用石英砂矿。</w:t>
      </w:r>
    </w:p>
    <w:p w14:paraId="4DFA5D33">
      <w:pPr>
        <w:numPr>
          <w:ilvl w:val="0"/>
          <w:numId w:val="2"/>
        </w:numPr>
        <w:kinsoku/>
        <w:topLinePunct/>
        <w:autoSpaceDE/>
        <w:autoSpaceDN/>
        <w:adjustRightInd/>
        <w:snapToGrid/>
        <w:spacing w:line="580" w:lineRule="exact"/>
        <w:ind w:firstLine="640" w:firstLineChars="200"/>
        <w:textAlignment w:val="auto"/>
        <w:outlineLvl w:val="4"/>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出让矿种：</w:t>
      </w:r>
      <w:r>
        <w:rPr>
          <w:rFonts w:hint="eastAsia" w:ascii="Times New Roman" w:hAnsi="仿宋_GB2312" w:eastAsia="仿宋_GB2312" w:cs="Times New Roman"/>
          <w:color w:val="auto"/>
          <w:kern w:val="21"/>
          <w:sz w:val="32"/>
          <w:szCs w:val="32"/>
          <w:lang w:eastAsia="zh-CN"/>
        </w:rPr>
        <w:t>玻璃用石英砂；综合利用覆盖层粘土、粘土夹层。</w:t>
      </w:r>
    </w:p>
    <w:p w14:paraId="0172D5E8">
      <w:pPr>
        <w:kinsoku/>
        <w:topLinePunct/>
        <w:autoSpaceDE/>
        <w:autoSpaceDN/>
        <w:adjustRightInd/>
        <w:snapToGrid/>
        <w:spacing w:line="580" w:lineRule="exact"/>
        <w:ind w:firstLine="640" w:firstLineChars="200"/>
        <w:textAlignment w:val="auto"/>
        <w:outlineLvl w:val="4"/>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 xml:space="preserve">3.拟出让采矿权基本情况及相关要求详见附件1。 </w:t>
      </w:r>
    </w:p>
    <w:p w14:paraId="590B7E6D">
      <w:pPr>
        <w:numPr>
          <w:ilvl w:val="0"/>
          <w:numId w:val="1"/>
        </w:numPr>
        <w:kinsoku/>
        <w:topLinePunct/>
        <w:autoSpaceDE/>
        <w:autoSpaceDN/>
        <w:adjustRightInd/>
        <w:snapToGrid/>
        <w:spacing w:line="580" w:lineRule="exact"/>
        <w:ind w:firstLine="640"/>
        <w:jc w:val="both"/>
        <w:outlineLvl w:val="0"/>
        <w:rPr>
          <w:rFonts w:ascii="Times New Roman" w:hAnsi="Times New Roman" w:eastAsia="黑体" w:cs="Times New Roman"/>
          <w:bCs/>
          <w:color w:val="auto"/>
          <w:kern w:val="10"/>
          <w:sz w:val="32"/>
          <w:szCs w:val="32"/>
          <w:lang w:eastAsia="zh-CN"/>
        </w:rPr>
      </w:pPr>
      <w:bookmarkStart w:id="1" w:name="_Toc26501"/>
      <w:r>
        <w:rPr>
          <w:rFonts w:ascii="Times New Roman" w:hAnsi="Times New Roman" w:eastAsia="黑体" w:cs="Times New Roman"/>
          <w:bCs/>
          <w:color w:val="auto"/>
          <w:kern w:val="10"/>
          <w:sz w:val="32"/>
          <w:szCs w:val="32"/>
          <w:lang w:eastAsia="zh-CN"/>
        </w:rPr>
        <w:t>出让组织基本信息</w:t>
      </w:r>
      <w:bookmarkEnd w:id="1"/>
    </w:p>
    <w:p w14:paraId="2FEC7A94">
      <w:pPr>
        <w:numPr>
          <w:ilvl w:val="0"/>
          <w:numId w:val="3"/>
        </w:numPr>
        <w:kinsoku/>
        <w:topLinePunct/>
        <w:autoSpaceDE/>
        <w:autoSpaceDN/>
        <w:adjustRightInd/>
        <w:snapToGrid/>
        <w:spacing w:line="580" w:lineRule="exact"/>
        <w:ind w:firstLine="640" w:firstLineChars="200"/>
        <w:textAlignment w:val="auto"/>
        <w:outlineLvl w:val="1"/>
        <w:rPr>
          <w:rFonts w:ascii="Times New Roman" w:hAnsi="Times New Roman" w:eastAsia="仿宋_GB2312" w:cs="Times New Roman"/>
          <w:color w:val="auto"/>
          <w:kern w:val="10"/>
          <w:sz w:val="32"/>
          <w:szCs w:val="32"/>
          <w:lang w:eastAsia="zh-CN"/>
        </w:rPr>
      </w:pPr>
      <w:bookmarkStart w:id="2" w:name="_Toc26409"/>
      <w:r>
        <w:rPr>
          <w:rFonts w:hint="eastAsia" w:ascii="Times New Roman" w:hAnsi="Times New Roman" w:eastAsia="仿宋_GB2312" w:cs="Times New Roman"/>
          <w:color w:val="auto"/>
          <w:kern w:val="10"/>
          <w:sz w:val="32"/>
          <w:szCs w:val="32"/>
          <w:lang w:eastAsia="zh-CN"/>
        </w:rPr>
        <w:t xml:space="preserve"> </w:t>
      </w:r>
      <w:r>
        <w:rPr>
          <w:rFonts w:ascii="Times New Roman" w:hAnsi="Times New Roman" w:eastAsia="仿宋_GB2312" w:cs="Times New Roman"/>
          <w:color w:val="auto"/>
          <w:kern w:val="10"/>
          <w:sz w:val="32"/>
          <w:szCs w:val="32"/>
          <w:lang w:eastAsia="zh-CN"/>
        </w:rPr>
        <w:t>出让人：</w:t>
      </w:r>
      <w:bookmarkEnd w:id="2"/>
      <w:r>
        <w:rPr>
          <w:rFonts w:hint="eastAsia" w:ascii="Times New Roman" w:hAnsi="Times New Roman" w:eastAsia="仿宋_GB2312" w:cs="Times New Roman"/>
          <w:color w:val="auto"/>
          <w:kern w:val="10"/>
          <w:sz w:val="32"/>
          <w:szCs w:val="32"/>
          <w:lang w:eastAsia="zh-CN"/>
        </w:rPr>
        <w:t>湛江市自然资源局</w:t>
      </w:r>
    </w:p>
    <w:p w14:paraId="29402475">
      <w:pPr>
        <w:kinsoku/>
        <w:topLinePunct/>
        <w:autoSpaceDE/>
        <w:autoSpaceDN/>
        <w:adjustRightInd/>
        <w:snapToGrid/>
        <w:spacing w:line="580" w:lineRule="exact"/>
        <w:ind w:left="420" w:leftChars="200" w:firstLine="640" w:firstLineChars="200"/>
        <w:textAlignment w:val="auto"/>
        <w:outlineLvl w:val="1"/>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 xml:space="preserve"> 地址：湛江市赤坎区军民路29号</w:t>
      </w:r>
    </w:p>
    <w:p w14:paraId="430E0886">
      <w:pPr>
        <w:kinsoku/>
        <w:topLinePunct/>
        <w:autoSpaceDE/>
        <w:autoSpaceDN/>
        <w:adjustRightInd/>
        <w:snapToGrid/>
        <w:spacing w:line="580" w:lineRule="exact"/>
        <w:ind w:left="420" w:leftChars="200" w:firstLine="838" w:firstLineChars="262"/>
        <w:textAlignment w:val="auto"/>
        <w:outlineLvl w:val="1"/>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委托代理人：遂溪县</w:t>
      </w:r>
      <w:r>
        <w:rPr>
          <w:rFonts w:ascii="Times New Roman" w:hAnsi="Times New Roman" w:eastAsia="仿宋_GB2312" w:cs="Times New Roman"/>
          <w:color w:val="auto"/>
          <w:kern w:val="10"/>
          <w:sz w:val="32"/>
          <w:szCs w:val="32"/>
          <w:lang w:eastAsia="zh-CN"/>
        </w:rPr>
        <w:t>自然资源局</w:t>
      </w:r>
    </w:p>
    <w:p w14:paraId="0164D672">
      <w:pPr>
        <w:kinsoku/>
        <w:topLinePunct/>
        <w:autoSpaceDE/>
        <w:autoSpaceDN/>
        <w:adjustRightInd/>
        <w:snapToGrid/>
        <w:spacing w:line="580" w:lineRule="exact"/>
        <w:ind w:left="420" w:leftChars="200" w:firstLine="838" w:firstLineChars="262"/>
        <w:textAlignment w:val="auto"/>
        <w:outlineLvl w:val="1"/>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地址：</w:t>
      </w:r>
      <w:bookmarkStart w:id="3" w:name="_Toc5927"/>
      <w:r>
        <w:rPr>
          <w:rFonts w:hint="eastAsia" w:ascii="Times New Roman" w:hAnsi="Times New Roman" w:eastAsia="仿宋_GB2312" w:cs="Times New Roman"/>
          <w:color w:val="auto"/>
          <w:kern w:val="10"/>
          <w:sz w:val="32"/>
          <w:szCs w:val="32"/>
          <w:lang w:eastAsia="zh-CN"/>
        </w:rPr>
        <w:t>湛江市遂溪县新风路90号</w:t>
      </w:r>
    </w:p>
    <w:p w14:paraId="5F19BF8F">
      <w:pPr>
        <w:numPr>
          <w:ilvl w:val="0"/>
          <w:numId w:val="3"/>
        </w:numPr>
        <w:kinsoku/>
        <w:topLinePunct/>
        <w:autoSpaceDE/>
        <w:autoSpaceDN/>
        <w:adjustRightInd/>
        <w:snapToGrid/>
        <w:spacing w:line="580" w:lineRule="exact"/>
        <w:ind w:firstLine="640" w:firstLineChars="200"/>
        <w:textAlignment w:val="auto"/>
        <w:outlineLvl w:val="1"/>
        <w:rPr>
          <w:rFonts w:ascii="Times New Roman" w:hAnsi="Times New Roman" w:eastAsia="仿宋_GB2312" w:cs="Times New Roman"/>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 xml:space="preserve"> </w:t>
      </w:r>
      <w:r>
        <w:rPr>
          <w:rFonts w:ascii="Times New Roman" w:hAnsi="Times New Roman" w:eastAsia="仿宋_GB2312" w:cs="Times New Roman"/>
          <w:color w:val="auto"/>
          <w:kern w:val="10"/>
          <w:sz w:val="32"/>
          <w:szCs w:val="32"/>
          <w:lang w:eastAsia="zh-CN"/>
        </w:rPr>
        <w:t>交易平台：广东省湛江市公共资源交易中心</w:t>
      </w:r>
      <w:bookmarkEnd w:id="3"/>
    </w:p>
    <w:p w14:paraId="341DB342">
      <w:pPr>
        <w:kinsoku/>
        <w:topLinePunct/>
        <w:autoSpaceDE/>
        <w:autoSpaceDN/>
        <w:adjustRightInd/>
        <w:snapToGrid/>
        <w:spacing w:line="580" w:lineRule="exact"/>
        <w:ind w:firstLine="1280" w:firstLineChars="400"/>
        <w:textAlignment w:val="auto"/>
        <w:outlineLvl w:val="4"/>
        <w:rPr>
          <w:rFonts w:ascii="Times New Roman" w:hAnsi="Times New Roman" w:eastAsia="仿宋_GB2312" w:cs="Times New Roman"/>
          <w:color w:val="auto"/>
          <w:kern w:val="10"/>
          <w:sz w:val="32"/>
          <w:szCs w:val="32"/>
          <w:lang w:eastAsia="zh-CN"/>
        </w:rPr>
      </w:pPr>
      <w:r>
        <w:rPr>
          <w:rFonts w:ascii="Times New Roman" w:hAnsi="Times New Roman" w:eastAsia="仿宋_GB2312" w:cs="Times New Roman"/>
          <w:color w:val="auto"/>
          <w:kern w:val="10"/>
          <w:sz w:val="32"/>
          <w:szCs w:val="32"/>
          <w:lang w:eastAsia="zh-CN"/>
        </w:rPr>
        <w:t>地址：广东省湛江市赤坎区体育北路2号天润中心五楼</w:t>
      </w:r>
    </w:p>
    <w:p w14:paraId="2A62BD8E">
      <w:pPr>
        <w:kinsoku/>
        <w:topLinePunct/>
        <w:autoSpaceDE/>
        <w:autoSpaceDN/>
        <w:adjustRightInd/>
        <w:snapToGrid/>
        <w:spacing w:line="580" w:lineRule="exact"/>
        <w:ind w:left="958" w:leftChars="456" w:firstLine="320" w:firstLineChars="100"/>
        <w:textAlignment w:val="auto"/>
        <w:outlineLvl w:val="4"/>
        <w:rPr>
          <w:rFonts w:ascii="Times New Roman" w:hAnsi="Times New Roman" w:eastAsia="仿宋_GB2312" w:cs="Times New Roman"/>
          <w:color w:val="auto"/>
          <w:kern w:val="10"/>
          <w:sz w:val="32"/>
          <w:szCs w:val="32"/>
          <w:lang w:eastAsia="zh-CN"/>
        </w:rPr>
      </w:pPr>
      <w:r>
        <w:rPr>
          <w:rFonts w:ascii="Times New Roman" w:hAnsi="Times New Roman" w:eastAsia="仿宋_GB2312" w:cs="Times New Roman"/>
          <w:color w:val="auto"/>
          <w:kern w:val="10"/>
          <w:sz w:val="32"/>
          <w:szCs w:val="32"/>
          <w:lang w:eastAsia="zh-CN"/>
        </w:rPr>
        <w:t>网址：广东省公共资源交易中心平台（湛江市）（</w:t>
      </w:r>
      <w:r>
        <w:fldChar w:fldCharType="begin"/>
      </w:r>
      <w:r>
        <w:instrText xml:space="preserve"> HYPERLINK "https://ygp.gdzwfw.gov.cn/ggzy-portal/" \l "/440800/index" </w:instrText>
      </w:r>
      <w:r>
        <w:fldChar w:fldCharType="separate"/>
      </w:r>
      <w:r>
        <w:rPr>
          <w:rFonts w:ascii="Times New Roman" w:hAnsi="Times New Roman" w:eastAsia="仿宋_GB2312" w:cs="Times New Roman"/>
          <w:color w:val="auto"/>
          <w:kern w:val="10"/>
          <w:sz w:val="32"/>
          <w:szCs w:val="32"/>
          <w:lang w:eastAsia="zh-CN"/>
        </w:rPr>
        <w:t>https://ygp.gdzwfw.gov.cn/ggzy-portal/#/440800/index</w:t>
      </w:r>
      <w:r>
        <w:rPr>
          <w:rFonts w:ascii="Times New Roman" w:hAnsi="Times New Roman" w:eastAsia="仿宋_GB2312" w:cs="Times New Roman"/>
          <w:color w:val="auto"/>
          <w:kern w:val="10"/>
          <w:sz w:val="32"/>
          <w:szCs w:val="32"/>
          <w:lang w:eastAsia="zh-CN"/>
        </w:rPr>
        <w:fldChar w:fldCharType="end"/>
      </w:r>
      <w:r>
        <w:rPr>
          <w:rFonts w:ascii="Times New Roman" w:hAnsi="Times New Roman" w:eastAsia="仿宋_GB2312" w:cs="Times New Roman"/>
          <w:color w:val="auto"/>
          <w:kern w:val="10"/>
          <w:sz w:val="32"/>
          <w:szCs w:val="32"/>
          <w:lang w:eastAsia="zh-CN"/>
        </w:rPr>
        <w:t>）</w:t>
      </w:r>
    </w:p>
    <w:p w14:paraId="0E8C7D8B">
      <w:pPr>
        <w:kinsoku/>
        <w:topLinePunct/>
        <w:autoSpaceDE/>
        <w:autoSpaceDN/>
        <w:adjustRightInd/>
        <w:snapToGrid/>
        <w:spacing w:line="580" w:lineRule="exact"/>
        <w:ind w:firstLine="960" w:firstLineChars="300"/>
        <w:textAlignment w:val="auto"/>
        <w:outlineLvl w:val="4"/>
        <w:rPr>
          <w:rFonts w:ascii="Times New Roman" w:hAnsi="Times New Roman" w:eastAsia="仿宋_GB2312" w:cs="Times New Roman"/>
          <w:color w:val="auto"/>
          <w:kern w:val="10"/>
          <w:sz w:val="32"/>
          <w:szCs w:val="32"/>
          <w:lang w:eastAsia="zh-CN"/>
        </w:rPr>
      </w:pPr>
      <w:r>
        <w:rPr>
          <w:rFonts w:ascii="Times New Roman" w:hAnsi="Times New Roman" w:eastAsia="仿宋_GB2312" w:cs="Times New Roman"/>
          <w:color w:val="auto"/>
          <w:kern w:val="10"/>
          <w:sz w:val="32"/>
          <w:szCs w:val="32"/>
          <w:lang w:eastAsia="zh-CN"/>
        </w:rPr>
        <w:t>电话：0759-3585819</w:t>
      </w:r>
    </w:p>
    <w:p w14:paraId="59D80A6F">
      <w:pPr>
        <w:numPr>
          <w:ilvl w:val="0"/>
          <w:numId w:val="1"/>
        </w:numPr>
        <w:kinsoku/>
        <w:topLinePunct/>
        <w:autoSpaceDE/>
        <w:autoSpaceDN/>
        <w:adjustRightInd/>
        <w:snapToGrid/>
        <w:spacing w:line="600" w:lineRule="exact"/>
        <w:ind w:firstLine="640"/>
        <w:jc w:val="both"/>
        <w:outlineLvl w:val="0"/>
        <w:rPr>
          <w:rFonts w:ascii="Times New Roman" w:hAnsi="Times New Roman" w:eastAsia="黑体" w:cs="Times New Roman"/>
          <w:bCs/>
          <w:color w:val="auto"/>
          <w:kern w:val="10"/>
          <w:sz w:val="32"/>
          <w:szCs w:val="32"/>
          <w:lang w:eastAsia="zh-CN"/>
        </w:rPr>
      </w:pPr>
      <w:bookmarkStart w:id="4" w:name="_Toc18845"/>
      <w:r>
        <w:rPr>
          <w:rFonts w:ascii="Times New Roman" w:hAnsi="Times New Roman" w:eastAsia="黑体" w:cs="Times New Roman"/>
          <w:bCs/>
          <w:color w:val="auto"/>
          <w:kern w:val="10"/>
          <w:sz w:val="32"/>
          <w:szCs w:val="32"/>
          <w:lang w:eastAsia="zh-CN"/>
        </w:rPr>
        <w:t>竞买人资格条件</w:t>
      </w:r>
      <w:bookmarkEnd w:id="4"/>
    </w:p>
    <w:p w14:paraId="12C9F06A">
      <w:pPr>
        <w:kinsoku/>
        <w:topLinePunct/>
        <w:autoSpaceDE/>
        <w:autoSpaceDN/>
        <w:adjustRightInd/>
        <w:snapToGrid/>
        <w:spacing w:line="58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Times New Roman" w:hAnsi="Times New Roman" w:eastAsia="仿宋_GB2312" w:cs="Times New Roman"/>
          <w:color w:val="auto"/>
          <w:kern w:val="10"/>
          <w:sz w:val="32"/>
          <w:szCs w:val="32"/>
          <w:lang w:eastAsia="zh-CN"/>
        </w:rPr>
        <w:t>1.在中华人民</w:t>
      </w:r>
      <w:r>
        <w:rPr>
          <w:rFonts w:hint="eastAsia" w:ascii="仿宋_GB2312" w:hAnsi="仿宋_GB2312" w:eastAsia="仿宋_GB2312" w:cs="仿宋_GB2312"/>
          <w:color w:val="auto"/>
          <w:kern w:val="10"/>
          <w:sz w:val="32"/>
          <w:szCs w:val="32"/>
          <w:lang w:eastAsia="zh-CN"/>
        </w:rPr>
        <w:t>共和国境内注册的营利法人。</w:t>
      </w:r>
    </w:p>
    <w:p w14:paraId="03C55CF9">
      <w:pPr>
        <w:kinsoku/>
        <w:topLinePunct/>
        <w:autoSpaceDE/>
        <w:autoSpaceDN/>
        <w:adjustRightInd/>
        <w:snapToGrid/>
        <w:spacing w:line="58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2.独立法人，不接受联合竞买。</w:t>
      </w:r>
    </w:p>
    <w:p w14:paraId="4B9FBDFA">
      <w:pPr>
        <w:kinsoku/>
        <w:topLinePunct/>
        <w:autoSpaceDE/>
        <w:autoSpaceDN/>
        <w:adjustRightInd/>
        <w:snapToGrid/>
        <w:spacing w:line="58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3.未被列入矿业权人勘查开采信息公示系统中“异常名录”“严重违法名单”。</w:t>
      </w:r>
    </w:p>
    <w:p w14:paraId="53CAF612">
      <w:pPr>
        <w:kinsoku/>
        <w:topLinePunct/>
        <w:autoSpaceDE/>
        <w:autoSpaceDN/>
        <w:adjustRightInd/>
        <w:snapToGrid/>
        <w:spacing w:line="58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4.未被“信用中国”网站列入“严重失信主体名单”“经营异常名录”“安全生产严重失信主体名单”。</w:t>
      </w:r>
    </w:p>
    <w:p w14:paraId="40BB9230">
      <w:pPr>
        <w:kinsoku/>
        <w:topLinePunct/>
        <w:autoSpaceDE/>
        <w:autoSpaceDN/>
        <w:adjustRightInd/>
        <w:snapToGrid/>
        <w:spacing w:line="58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5.未被应急管理部门列入“安全生产严重失信主体名单”。</w:t>
      </w:r>
    </w:p>
    <w:p w14:paraId="51E5FF14">
      <w:pPr>
        <w:kinsoku/>
        <w:topLinePunct/>
        <w:autoSpaceDE/>
        <w:autoSpaceDN/>
        <w:adjustRightInd/>
        <w:snapToGrid/>
        <w:spacing w:line="580" w:lineRule="exact"/>
        <w:ind w:firstLine="640" w:firstLineChars="200"/>
        <w:textAlignment w:val="auto"/>
        <w:outlineLvl w:val="4"/>
        <w:rPr>
          <w:rFonts w:ascii="Times New Roman" w:hAnsi="Times New Roman" w:eastAsia="仿宋_GB2312" w:cs="Times New Roman"/>
          <w:color w:val="auto"/>
          <w:kern w:val="10"/>
          <w:sz w:val="32"/>
          <w:szCs w:val="32"/>
          <w:lang w:eastAsia="zh-CN"/>
        </w:rPr>
      </w:pPr>
      <w:r>
        <w:rPr>
          <w:rFonts w:hint="eastAsia" w:ascii="仿宋_GB2312" w:hAnsi="仿宋_GB2312" w:eastAsia="仿宋_GB2312" w:cs="仿宋_GB2312"/>
          <w:color w:val="auto"/>
          <w:kern w:val="10"/>
          <w:sz w:val="32"/>
          <w:szCs w:val="32"/>
          <w:lang w:eastAsia="zh-CN"/>
        </w:rPr>
        <w:t>6.未被“国家企业信用</w:t>
      </w:r>
      <w:r>
        <w:rPr>
          <w:rFonts w:hint="eastAsia" w:ascii="Times New Roman" w:hAnsi="Times New Roman" w:eastAsia="仿宋_GB2312" w:cs="Times New Roman"/>
          <w:color w:val="auto"/>
          <w:kern w:val="10"/>
          <w:sz w:val="32"/>
          <w:szCs w:val="32"/>
          <w:lang w:eastAsia="zh-CN"/>
        </w:rPr>
        <w:t>信息公示系统”列入“经营异常名录”“严重违法失信企业名单”。</w:t>
      </w:r>
    </w:p>
    <w:p w14:paraId="4F372DE6">
      <w:pPr>
        <w:widowControl w:val="0"/>
        <w:numPr>
          <w:ilvl w:val="0"/>
          <w:numId w:val="1"/>
        </w:numPr>
        <w:kinsoku/>
        <w:topLinePunct/>
        <w:autoSpaceDE/>
        <w:autoSpaceDN/>
        <w:adjustRightInd/>
        <w:snapToGrid/>
        <w:spacing w:line="600" w:lineRule="exact"/>
        <w:ind w:firstLine="640"/>
        <w:jc w:val="both"/>
        <w:outlineLvl w:val="0"/>
        <w:rPr>
          <w:rFonts w:ascii="Times New Roman" w:hAnsi="Times New Roman" w:eastAsia="黑体" w:cs="Times New Roman"/>
          <w:bCs/>
          <w:color w:val="auto"/>
          <w:kern w:val="10"/>
          <w:sz w:val="32"/>
          <w:szCs w:val="32"/>
          <w:lang w:eastAsia="zh-CN"/>
        </w:rPr>
      </w:pPr>
      <w:bookmarkStart w:id="5" w:name="_Toc15703"/>
      <w:r>
        <w:rPr>
          <w:rFonts w:ascii="Times New Roman" w:hAnsi="Times New Roman" w:eastAsia="黑体" w:cs="Times New Roman"/>
          <w:bCs/>
          <w:color w:val="auto"/>
          <w:kern w:val="10"/>
          <w:sz w:val="32"/>
          <w:szCs w:val="32"/>
          <w:lang w:eastAsia="zh-CN"/>
        </w:rPr>
        <w:t>出让公告、提交报名文件</w:t>
      </w:r>
      <w:bookmarkEnd w:id="5"/>
    </w:p>
    <w:p w14:paraId="27A7DA2C">
      <w:pPr>
        <w:widowControl w:val="0"/>
        <w:numPr>
          <w:ilvl w:val="0"/>
          <w:numId w:val="4"/>
        </w:numPr>
        <w:kinsoku/>
        <w:topLinePunct/>
        <w:autoSpaceDE/>
        <w:autoSpaceDN/>
        <w:adjustRightInd/>
        <w:snapToGrid/>
        <w:spacing w:line="580" w:lineRule="exact"/>
        <w:jc w:val="both"/>
        <w:outlineLvl w:val="1"/>
        <w:rPr>
          <w:rFonts w:ascii="仿宋_GB2312" w:hAnsi="仿宋_GB2312" w:eastAsia="仿宋_GB2312" w:cs="仿宋_GB2312"/>
          <w:color w:val="auto"/>
          <w:kern w:val="10"/>
          <w:sz w:val="32"/>
          <w:szCs w:val="32"/>
          <w:lang w:eastAsia="zh-CN"/>
        </w:rPr>
      </w:pPr>
      <w:bookmarkStart w:id="6" w:name="_Toc2440"/>
      <w:r>
        <w:rPr>
          <w:rFonts w:hint="eastAsia" w:ascii="仿宋_GB2312" w:hAnsi="仿宋_GB2312" w:eastAsia="仿宋_GB2312" w:cs="仿宋_GB2312"/>
          <w:color w:val="auto"/>
          <w:kern w:val="10"/>
          <w:sz w:val="32"/>
          <w:szCs w:val="32"/>
          <w:lang w:eastAsia="zh-CN"/>
        </w:rPr>
        <w:t>出让公告时间</w:t>
      </w:r>
      <w:bookmarkEnd w:id="6"/>
    </w:p>
    <w:p w14:paraId="71189F04">
      <w:pPr>
        <w:widowControl w:val="0"/>
        <w:kinsoku/>
        <w:topLinePunct/>
        <w:autoSpaceDE/>
        <w:autoSpaceDN/>
        <w:adjustRightInd/>
        <w:snapToGrid/>
        <w:spacing w:line="580" w:lineRule="exact"/>
        <w:ind w:firstLine="640" w:firstLineChars="200"/>
        <w:textAlignment w:val="auto"/>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2024年</w:t>
      </w:r>
      <w:r>
        <w:rPr>
          <w:rFonts w:ascii="仿宋_GB2312" w:hAnsi="仿宋_GB2312" w:eastAsia="仿宋_GB2312" w:cs="仿宋_GB2312"/>
          <w:color w:val="auto"/>
          <w:sz w:val="32"/>
          <w:szCs w:val="32"/>
          <w:lang w:eastAsia="zh-CN"/>
        </w:rPr>
        <w:t>11</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16</w:t>
      </w:r>
      <w:r>
        <w:rPr>
          <w:rFonts w:hint="eastAsia" w:ascii="仿宋_GB2312" w:hAnsi="仿宋_GB2312" w:eastAsia="仿宋_GB2312" w:cs="仿宋_GB2312"/>
          <w:color w:val="auto"/>
          <w:sz w:val="32"/>
          <w:szCs w:val="32"/>
          <w:lang w:eastAsia="zh-CN"/>
        </w:rPr>
        <w:t>日至2024年</w:t>
      </w:r>
      <w:r>
        <w:rPr>
          <w:rFonts w:ascii="仿宋_GB2312" w:hAnsi="仿宋_GB2312" w:eastAsia="仿宋_GB2312" w:cs="仿宋_GB2312"/>
          <w:color w:val="auto"/>
          <w:sz w:val="32"/>
          <w:szCs w:val="32"/>
          <w:lang w:eastAsia="zh-CN"/>
        </w:rPr>
        <w:t>12</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13</w:t>
      </w:r>
      <w:r>
        <w:rPr>
          <w:rFonts w:hint="eastAsia" w:ascii="仿宋_GB2312" w:hAnsi="仿宋_GB2312" w:eastAsia="仿宋_GB2312" w:cs="仿宋_GB2312"/>
          <w:color w:val="auto"/>
          <w:sz w:val="32"/>
          <w:szCs w:val="32"/>
          <w:lang w:eastAsia="zh-CN"/>
        </w:rPr>
        <w:t>日。</w:t>
      </w:r>
    </w:p>
    <w:p w14:paraId="1A6F6F7F">
      <w:pPr>
        <w:widowControl w:val="0"/>
        <w:numPr>
          <w:ilvl w:val="0"/>
          <w:numId w:val="4"/>
        </w:numPr>
        <w:kinsoku/>
        <w:topLinePunct/>
        <w:autoSpaceDE/>
        <w:autoSpaceDN/>
        <w:adjustRightInd/>
        <w:snapToGrid/>
        <w:spacing w:line="580" w:lineRule="exact"/>
        <w:jc w:val="both"/>
        <w:outlineLvl w:val="1"/>
        <w:rPr>
          <w:rFonts w:ascii="仿宋_GB2312" w:hAnsi="仿宋_GB2312" w:eastAsia="仿宋_GB2312" w:cs="仿宋_GB2312"/>
          <w:color w:val="auto"/>
          <w:kern w:val="10"/>
          <w:sz w:val="32"/>
          <w:szCs w:val="32"/>
          <w:lang w:eastAsia="zh-CN"/>
        </w:rPr>
      </w:pPr>
      <w:bookmarkStart w:id="7" w:name="_Toc5315"/>
      <w:r>
        <w:rPr>
          <w:rFonts w:hint="eastAsia" w:ascii="仿宋_GB2312" w:hAnsi="仿宋_GB2312" w:eastAsia="仿宋_GB2312" w:cs="仿宋_GB2312"/>
          <w:color w:val="auto"/>
          <w:kern w:val="10"/>
          <w:sz w:val="32"/>
          <w:szCs w:val="32"/>
          <w:lang w:eastAsia="zh-CN"/>
        </w:rPr>
        <w:t>提交报名文件时间</w:t>
      </w:r>
      <w:bookmarkEnd w:id="7"/>
    </w:p>
    <w:p w14:paraId="4AF79E00">
      <w:pPr>
        <w:widowControl w:val="0"/>
        <w:numPr>
          <w:ilvl w:val="0"/>
          <w:numId w:val="5"/>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报名时间</w:t>
      </w:r>
    </w:p>
    <w:p w14:paraId="76936287">
      <w:pPr>
        <w:widowControl w:val="0"/>
        <w:kinsoku/>
        <w:topLinePunct/>
        <w:autoSpaceDE/>
        <w:autoSpaceDN/>
        <w:adjustRightInd/>
        <w:snapToGrid/>
        <w:spacing w:line="580" w:lineRule="exact"/>
        <w:ind w:firstLine="640" w:firstLineChars="200"/>
        <w:textAlignment w:val="auto"/>
        <w:outlineLvl w:val="4"/>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2024年</w:t>
      </w:r>
      <w:r>
        <w:rPr>
          <w:rFonts w:ascii="仿宋_GB2312" w:hAnsi="仿宋_GB2312" w:eastAsia="仿宋_GB2312" w:cs="仿宋_GB2312"/>
          <w:color w:val="auto"/>
          <w:sz w:val="32"/>
          <w:szCs w:val="32"/>
          <w:lang w:eastAsia="zh-CN"/>
        </w:rPr>
        <w:t>11</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18</w:t>
      </w:r>
      <w:r>
        <w:rPr>
          <w:rFonts w:hint="eastAsia" w:ascii="仿宋_GB2312" w:hAnsi="仿宋_GB2312" w:eastAsia="仿宋_GB2312" w:cs="仿宋_GB2312"/>
          <w:color w:val="auto"/>
          <w:sz w:val="32"/>
          <w:szCs w:val="32"/>
          <w:lang w:eastAsia="zh-CN"/>
        </w:rPr>
        <w:t>日上午</w:t>
      </w:r>
      <w:r>
        <w:rPr>
          <w:rFonts w:ascii="仿宋_GB2312" w:hAnsi="仿宋_GB2312" w:eastAsia="仿宋_GB2312" w:cs="仿宋_GB2312"/>
          <w:color w:val="auto"/>
          <w:sz w:val="32"/>
          <w:szCs w:val="32"/>
          <w:lang w:eastAsia="zh-CN"/>
        </w:rPr>
        <w:t>9</w:t>
      </w:r>
      <w:r>
        <w:rPr>
          <w:rFonts w:hint="eastAsia" w:ascii="仿宋_GB2312" w:hAnsi="仿宋_GB2312" w:eastAsia="仿宋_GB2312" w:cs="仿宋_GB2312"/>
          <w:color w:val="auto"/>
          <w:sz w:val="32"/>
          <w:szCs w:val="32"/>
          <w:lang w:eastAsia="zh-CN"/>
        </w:rPr>
        <w:t>时至2024年</w:t>
      </w:r>
      <w:r>
        <w:rPr>
          <w:rFonts w:ascii="仿宋_GB2312" w:hAnsi="仿宋_GB2312" w:eastAsia="仿宋_GB2312" w:cs="仿宋_GB2312"/>
          <w:color w:val="auto"/>
          <w:sz w:val="32"/>
          <w:szCs w:val="32"/>
          <w:lang w:eastAsia="zh-CN"/>
        </w:rPr>
        <w:t>12</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25</w:t>
      </w:r>
      <w:r>
        <w:rPr>
          <w:rFonts w:hint="eastAsia" w:ascii="仿宋_GB2312" w:hAnsi="仿宋_GB2312" w:eastAsia="仿宋_GB2312" w:cs="仿宋_GB2312"/>
          <w:color w:val="auto"/>
          <w:sz w:val="32"/>
          <w:szCs w:val="32"/>
          <w:lang w:eastAsia="zh-CN"/>
        </w:rPr>
        <w:t>日下午4时止。</w:t>
      </w:r>
    </w:p>
    <w:p w14:paraId="46E62EB0">
      <w:pPr>
        <w:widowControl w:val="0"/>
        <w:numPr>
          <w:ilvl w:val="0"/>
          <w:numId w:val="5"/>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报名方式</w:t>
      </w:r>
    </w:p>
    <w:p w14:paraId="490BCC88">
      <w:pPr>
        <w:widowControl w:val="0"/>
        <w:numPr>
          <w:ilvl w:val="0"/>
          <w:numId w:val="6"/>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本次挂牌出让通过广东省公共资源交易平台（湛江市）（</w:t>
      </w:r>
      <w:r>
        <w:rPr>
          <w:rFonts w:hint="eastAsia"/>
        </w:rPr>
        <w:fldChar w:fldCharType="begin"/>
      </w:r>
      <w:r>
        <w:instrText xml:space="preserve"> HYPERLINK "https://ygp.gdzwfw.gov.cn/ggzy-portal/" \l "/440800/index" </w:instrText>
      </w:r>
      <w:r>
        <w:rPr>
          <w:rFonts w:hint="eastAsia"/>
        </w:rPr>
        <w:fldChar w:fldCharType="separate"/>
      </w:r>
      <w:r>
        <w:rPr>
          <w:rFonts w:hint="eastAsia" w:ascii="仿宋_GB2312" w:hAnsi="仿宋_GB2312" w:eastAsia="仿宋_GB2312" w:cs="仿宋_GB2312"/>
          <w:color w:val="auto"/>
          <w:kern w:val="10"/>
          <w:sz w:val="32"/>
          <w:szCs w:val="32"/>
          <w:lang w:eastAsia="zh-CN"/>
        </w:rPr>
        <w:t>https://ygp.gdzwfw.gov.cn/ggzy-portal/#/440800/index</w:t>
      </w:r>
      <w:r>
        <w:rPr>
          <w:rFonts w:hint="eastAsia" w:ascii="仿宋_GB2312" w:hAnsi="仿宋_GB2312" w:eastAsia="仿宋_GB2312" w:cs="仿宋_GB2312"/>
          <w:color w:val="auto"/>
          <w:kern w:val="10"/>
          <w:sz w:val="32"/>
          <w:szCs w:val="32"/>
          <w:lang w:eastAsia="zh-CN"/>
        </w:rPr>
        <w:fldChar w:fldCharType="end"/>
      </w:r>
      <w:r>
        <w:rPr>
          <w:rFonts w:hint="eastAsia" w:ascii="仿宋_GB2312" w:hAnsi="仿宋_GB2312" w:eastAsia="仿宋_GB2312" w:cs="仿宋_GB2312"/>
          <w:color w:val="auto"/>
          <w:kern w:val="10"/>
          <w:sz w:val="32"/>
          <w:szCs w:val="32"/>
          <w:lang w:eastAsia="zh-CN"/>
        </w:rPr>
        <w:t>）进行。竞买人必须先行办理有效CA数字证书，才能登录系统参加网上交易活动。</w:t>
      </w:r>
    </w:p>
    <w:p w14:paraId="3FE8E214">
      <w:pPr>
        <w:widowControl w:val="0"/>
        <w:numPr>
          <w:ilvl w:val="0"/>
          <w:numId w:val="6"/>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rPr>
        <w:t>《湛</w:t>
      </w:r>
      <w:r>
        <w:rPr>
          <w:rFonts w:hint="eastAsia" w:ascii="仿宋_GB2312" w:hAnsi="仿宋_GB2312" w:eastAsia="仿宋_GB2312" w:cs="仿宋_GB2312"/>
          <w:color w:val="auto"/>
          <w:w w:val="95"/>
          <w:kern w:val="10"/>
          <w:sz w:val="32"/>
          <w:szCs w:val="32"/>
        </w:rPr>
        <w:t>江市公共资源交易系统用户手册</w:t>
      </w:r>
      <w:r>
        <w:rPr>
          <w:rFonts w:hint="eastAsia" w:ascii="仿宋_GB2312" w:hAnsi="仿宋_GB2312" w:eastAsia="仿宋_GB2312" w:cs="仿宋_GB2312"/>
          <w:color w:val="auto"/>
          <w:w w:val="95"/>
          <w:sz w:val="32"/>
          <w:szCs w:val="32"/>
          <w:lang w:eastAsia="zh-CN"/>
        </w:rPr>
        <w:t>（矿业权出让竞买人）</w:t>
      </w:r>
      <w:r>
        <w:rPr>
          <w:rFonts w:hint="eastAsia" w:ascii="仿宋_GB2312" w:hAnsi="仿宋_GB2312" w:eastAsia="仿宋_GB2312" w:cs="仿宋_GB2312"/>
          <w:color w:val="auto"/>
          <w:w w:val="95"/>
          <w:kern w:val="10"/>
          <w:sz w:val="32"/>
          <w:szCs w:val="32"/>
          <w:lang w:eastAsia="zh-CN"/>
        </w:rPr>
        <w:t>》《湛江市公共资源交易系统用户手册（用户注册及数字证书办理手册）》等相关资料，意向竞买人可以从广东省公共资源交易平台（湛江市）（</w:t>
      </w:r>
      <w:r>
        <w:rPr>
          <w:rFonts w:hint="eastAsia"/>
        </w:rPr>
        <w:fldChar w:fldCharType="begin"/>
      </w:r>
      <w:r>
        <w:instrText xml:space="preserve"> HYPERLINK "https://ygp.gdzwfw.gov.cn/ggzy-portal/" \l "/440800/index" </w:instrText>
      </w:r>
      <w:r>
        <w:rPr>
          <w:rFonts w:hint="eastAsia"/>
        </w:rPr>
        <w:fldChar w:fldCharType="separate"/>
      </w:r>
      <w:r>
        <w:rPr>
          <w:rFonts w:hint="eastAsia" w:ascii="仿宋_GB2312" w:hAnsi="仿宋_GB2312" w:eastAsia="仿宋_GB2312" w:cs="仿宋_GB2312"/>
          <w:color w:val="auto"/>
          <w:w w:val="95"/>
          <w:kern w:val="10"/>
          <w:sz w:val="32"/>
          <w:szCs w:val="32"/>
          <w:lang w:eastAsia="zh-CN"/>
        </w:rPr>
        <w:t>https://ygp.gdzwfw.gov.cn/ggzy-portal/#/440800/index</w:t>
      </w:r>
      <w:r>
        <w:rPr>
          <w:rFonts w:hint="eastAsia" w:ascii="仿宋_GB2312" w:hAnsi="仿宋_GB2312" w:eastAsia="仿宋_GB2312" w:cs="仿宋_GB2312"/>
          <w:color w:val="auto"/>
          <w:w w:val="95"/>
          <w:kern w:val="10"/>
          <w:sz w:val="32"/>
          <w:szCs w:val="32"/>
          <w:lang w:eastAsia="zh-CN"/>
        </w:rPr>
        <w:fldChar w:fldCharType="end"/>
      </w:r>
      <w:r>
        <w:rPr>
          <w:rFonts w:hint="eastAsia" w:ascii="仿宋_GB2312" w:hAnsi="仿宋_GB2312" w:eastAsia="仿宋_GB2312" w:cs="仿宋_GB2312"/>
          <w:color w:val="auto"/>
          <w:w w:val="95"/>
          <w:kern w:val="10"/>
          <w:sz w:val="32"/>
          <w:szCs w:val="32"/>
          <w:lang w:eastAsia="zh-CN"/>
        </w:rPr>
        <w:t>）办事指南栏目中下载并认真阅读。</w:t>
      </w:r>
    </w:p>
    <w:p w14:paraId="19FEC09C">
      <w:pPr>
        <w:widowControl w:val="0"/>
        <w:numPr>
          <w:ilvl w:val="0"/>
          <w:numId w:val="5"/>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报名材料</w:t>
      </w:r>
    </w:p>
    <w:p w14:paraId="1C1FF445">
      <w:pPr>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（1）申请人一般情况表（加盖公章的彩色扫描件，格式见附件2）。</w:t>
      </w:r>
    </w:p>
    <w:p w14:paraId="3397AA24">
      <w:pPr>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（2）企业营业执照正本和副本（未办理五证合一的须提交营业执照、组织机构代码证、税务登记证、统计登记证、社保登记证，加盖公章的原件彩色扫描件）。</w:t>
      </w:r>
    </w:p>
    <w:p w14:paraId="32D8821E">
      <w:pPr>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（3）竞买声明（加盖公章的彩色扫描件，格式见附件3）。</w:t>
      </w:r>
    </w:p>
    <w:p w14:paraId="5BECF584">
      <w:pPr>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（4）公告第三项“竞买人资格条件”中第3、4、5、6条相关网站及系统查询结果截图（加盖公章的彩色扫描件）。</w:t>
      </w:r>
    </w:p>
    <w:p w14:paraId="7BA86BA5">
      <w:pPr>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4. 保证金缴纳注意事项</w:t>
      </w:r>
    </w:p>
    <w:p w14:paraId="61473C2C">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1）竞买人登录后按照资格审查页面生成的保证金缴纳账号及显示金额通过单位账户以银行转账的方式缴纳保证金，保证金缴纳银行账户名称必须与报名单位一致。缴纳后点击“保证金查询”确认到账情况。网络竞价不接受线下或现场缴纳。</w:t>
      </w:r>
    </w:p>
    <w:p w14:paraId="11A309C7">
      <w:pPr>
        <w:pStyle w:val="5"/>
        <w:widowControl w:val="0"/>
        <w:kinsoku/>
        <w:topLinePunct/>
        <w:autoSpaceDE/>
        <w:autoSpaceDN/>
        <w:adjustRightInd/>
        <w:snapToGrid/>
        <w:spacing w:line="580" w:lineRule="exact"/>
        <w:ind w:firstLine="62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cs="仿宋_GB2312"/>
          <w:color w:val="auto"/>
          <w:szCs w:val="32"/>
          <w:lang w:eastAsia="zh-CN"/>
        </w:rPr>
        <w:t>竞买保证金按起始价的20%计算,为</w:t>
      </w:r>
      <w:r>
        <w:rPr>
          <w:rFonts w:hint="eastAsia" w:ascii="仿宋_GB2312" w:hAnsi="仿宋_GB2312" w:eastAsia="仿宋_GB2312" w:cs="仿宋_GB2312"/>
          <w:color w:val="auto"/>
          <w:kern w:val="10"/>
          <w:sz w:val="32"/>
          <w:szCs w:val="32"/>
          <w:lang w:eastAsia="zh-CN"/>
        </w:rPr>
        <w:t>人民币壹仟陆佰贰拾贰万元整（¥16220000.00）。</w:t>
      </w:r>
    </w:p>
    <w:p w14:paraId="1112E9DB">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（2）保证金缴纳截止时间：保证金应在报名时间截止前到达指定银行账户</w:t>
      </w:r>
      <w:r>
        <w:rPr>
          <w:rFonts w:hint="eastAsia" w:ascii="仿宋_GB2312" w:hAnsi="仿宋_GB2312" w:eastAsia="仿宋_GB2312" w:cs="仿宋_GB2312"/>
          <w:color w:val="auto"/>
          <w:sz w:val="32"/>
          <w:szCs w:val="32"/>
          <w:lang w:eastAsia="zh-CN"/>
        </w:rPr>
        <w:t>（以湛江市公共资源交易系统对该笔保证金的确认为准）</w:t>
      </w:r>
      <w:r>
        <w:rPr>
          <w:rFonts w:hint="eastAsia" w:ascii="仿宋_GB2312" w:hAnsi="仿宋_GB2312" w:eastAsia="仿宋_GB2312" w:cs="仿宋_GB2312"/>
          <w:color w:val="auto"/>
          <w:kern w:val="10"/>
          <w:sz w:val="32"/>
          <w:szCs w:val="32"/>
          <w:lang w:eastAsia="zh-CN"/>
        </w:rPr>
        <w:t>。</w:t>
      </w:r>
    </w:p>
    <w:p w14:paraId="2FEFF2A0">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（3）保证金退还：未竞得人缴纳的保证金在挂牌结束后5个工作日内原路径退回；竞得人在缴纳完出让收益及2个“采矿权出让资产包”费用，并将《非油气采矿权出让合同》上传交易平台归档后,由</w:t>
      </w:r>
      <w:r>
        <w:rPr>
          <w:rFonts w:hint="eastAsia" w:ascii="仿宋_GB2312" w:hAnsi="仿宋_GB2312" w:eastAsia="仿宋_GB2312" w:cs="仿宋_GB2312"/>
          <w:color w:val="auto"/>
          <w:sz w:val="32"/>
          <w:szCs w:val="32"/>
          <w:lang w:eastAsia="zh-CN"/>
        </w:rPr>
        <w:t>湛江市公共资源交易中心</w:t>
      </w:r>
      <w:r>
        <w:rPr>
          <w:rFonts w:hint="eastAsia" w:ascii="仿宋_GB2312" w:hAnsi="仿宋_GB2312" w:eastAsia="仿宋_GB2312" w:cs="仿宋_GB2312"/>
          <w:color w:val="auto"/>
          <w:kern w:val="10"/>
          <w:sz w:val="32"/>
          <w:szCs w:val="32"/>
          <w:lang w:eastAsia="zh-CN"/>
        </w:rPr>
        <w:t>按照缴款通知书规定时限及时将保证金转存为采矿权出让收益；主动放弃报名或竞买资格审查未通过的，保证金于竞买资格审查截止后5个工作日内原路径退回；项目发生中止或终止的，保证金于相关公告发布后5个工作日内原路径退回，退回的竞买保证金不计利息。</w:t>
      </w:r>
    </w:p>
    <w:p w14:paraId="47998FCE">
      <w:pPr>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5.报名材料提交要求</w:t>
      </w:r>
    </w:p>
    <w:p w14:paraId="083687D8">
      <w:pPr>
        <w:pStyle w:val="5"/>
        <w:widowControl w:val="0"/>
        <w:kinsoku/>
        <w:topLinePunct/>
        <w:autoSpaceDE/>
        <w:autoSpaceDN/>
        <w:adjustRightInd/>
        <w:snapToGrid/>
        <w:spacing w:line="580" w:lineRule="exact"/>
        <w:ind w:firstLine="608" w:firstLineChars="200"/>
        <w:jc w:val="both"/>
        <w:outlineLvl w:val="4"/>
        <w:rPr>
          <w:rFonts w:ascii="仿宋_GB2312" w:hAnsi="仿宋_GB2312" w:eastAsia="仿宋_GB2312" w:cs="仿宋_GB2312"/>
          <w:color w:val="auto"/>
          <w:w w:val="95"/>
          <w:kern w:val="10"/>
          <w:sz w:val="32"/>
          <w:szCs w:val="32"/>
          <w:lang w:eastAsia="zh-CN"/>
        </w:rPr>
      </w:pPr>
      <w:r>
        <w:rPr>
          <w:rFonts w:hint="eastAsia" w:ascii="仿宋_GB2312" w:hAnsi="仿宋_GB2312" w:eastAsia="仿宋_GB2312" w:cs="仿宋_GB2312"/>
          <w:color w:val="auto"/>
          <w:w w:val="95"/>
          <w:kern w:val="10"/>
          <w:sz w:val="32"/>
          <w:szCs w:val="32"/>
          <w:lang w:eastAsia="zh-CN"/>
        </w:rPr>
        <w:t>意向竞买人持CA数字证书登录广东省公共资源交易平台（湛江市）（</w:t>
      </w:r>
      <w:r>
        <w:fldChar w:fldCharType="begin"/>
      </w:r>
      <w:r>
        <w:instrText xml:space="preserve"> HYPERLINK "https://ygp.gdzwfw.gov.cn/ggzy-portal/" \l "/440800/index" </w:instrText>
      </w:r>
      <w:r>
        <w:fldChar w:fldCharType="separate"/>
      </w:r>
      <w:r>
        <w:rPr>
          <w:rFonts w:hint="eastAsia" w:ascii="仿宋_GB2312" w:hAnsi="仿宋_GB2312" w:eastAsia="仿宋_GB2312" w:cs="仿宋_GB2312"/>
          <w:color w:val="auto"/>
          <w:w w:val="95"/>
          <w:kern w:val="10"/>
          <w:sz w:val="32"/>
          <w:szCs w:val="32"/>
          <w:lang w:eastAsia="zh-CN"/>
        </w:rPr>
        <w:t>https://ygp.gdzwfw.gov.cn/ggzy-portal/#/440800/index</w:t>
      </w:r>
      <w:r>
        <w:rPr>
          <w:rFonts w:hint="eastAsia" w:ascii="仿宋_GB2312" w:hAnsi="仿宋_GB2312" w:eastAsia="仿宋_GB2312" w:cs="仿宋_GB2312"/>
          <w:color w:val="auto"/>
          <w:w w:val="95"/>
          <w:kern w:val="10"/>
          <w:sz w:val="32"/>
          <w:szCs w:val="32"/>
          <w:lang w:eastAsia="zh-CN"/>
        </w:rPr>
        <w:fldChar w:fldCharType="end"/>
      </w:r>
      <w:r>
        <w:rPr>
          <w:rFonts w:hint="eastAsia" w:ascii="仿宋_GB2312" w:hAnsi="仿宋_GB2312" w:eastAsia="仿宋_GB2312" w:cs="仿宋_GB2312"/>
          <w:color w:val="auto"/>
          <w:w w:val="95"/>
          <w:kern w:val="10"/>
          <w:sz w:val="32"/>
          <w:szCs w:val="32"/>
          <w:lang w:eastAsia="zh-CN"/>
        </w:rPr>
        <w:t>）进行报名，按要求提供清晰的报名材料电子版文件（pdf格式）。</w:t>
      </w:r>
    </w:p>
    <w:p w14:paraId="120D7D82">
      <w:pPr>
        <w:widowControl w:val="0"/>
        <w:numPr>
          <w:ilvl w:val="0"/>
          <w:numId w:val="4"/>
        </w:numPr>
        <w:kinsoku/>
        <w:topLinePunct/>
        <w:autoSpaceDE/>
        <w:autoSpaceDN/>
        <w:adjustRightInd/>
        <w:snapToGrid/>
        <w:spacing w:line="580" w:lineRule="exact"/>
        <w:jc w:val="both"/>
        <w:outlineLvl w:val="1"/>
        <w:rPr>
          <w:rFonts w:ascii="仿宋_GB2312" w:hAnsi="仿宋_GB2312" w:eastAsia="仿宋_GB2312" w:cs="仿宋_GB2312"/>
          <w:color w:val="auto"/>
          <w:kern w:val="10"/>
          <w:sz w:val="32"/>
          <w:szCs w:val="32"/>
          <w:lang w:eastAsia="zh-CN"/>
        </w:rPr>
      </w:pPr>
      <w:bookmarkStart w:id="8" w:name="_Toc12762"/>
      <w:r>
        <w:rPr>
          <w:rFonts w:hint="eastAsia" w:ascii="仿宋_GB2312" w:hAnsi="仿宋_GB2312" w:eastAsia="仿宋_GB2312" w:cs="仿宋_GB2312"/>
          <w:color w:val="auto"/>
          <w:kern w:val="10"/>
          <w:sz w:val="32"/>
          <w:szCs w:val="32"/>
          <w:lang w:eastAsia="zh-CN"/>
        </w:rPr>
        <w:t>资格审查</w:t>
      </w:r>
      <w:bookmarkEnd w:id="8"/>
    </w:p>
    <w:p w14:paraId="0BBFCFB2">
      <w:pPr>
        <w:pStyle w:val="5"/>
        <w:widowControl w:val="0"/>
        <w:kinsoku/>
        <w:topLinePunct/>
        <w:autoSpaceDE/>
        <w:adjustRightInd/>
        <w:snapToGrid/>
        <w:spacing w:line="580" w:lineRule="exact"/>
        <w:ind w:firstLine="640" w:firstLineChars="200"/>
        <w:jc w:val="both"/>
        <w:outlineLvl w:val="4"/>
        <w:rPr>
          <w:rFonts w:ascii="仿宋_GB2312" w:hAnsi="仿宋_GB2312" w:eastAsia="仿宋_GB2312" w:cs="仿宋_GB2312"/>
          <w:snapToGrid/>
          <w:color w:val="auto"/>
          <w:kern w:val="10"/>
          <w:sz w:val="32"/>
          <w:szCs w:val="32"/>
          <w:lang w:eastAsia="zh-CN"/>
        </w:rPr>
      </w:pPr>
      <w:r>
        <w:rPr>
          <w:rFonts w:hint="eastAsia" w:ascii="仿宋_GB2312" w:hAnsi="仿宋_GB2312" w:eastAsia="仿宋_GB2312" w:cs="仿宋_GB2312"/>
          <w:color w:val="auto"/>
          <w:sz w:val="32"/>
          <w:szCs w:val="32"/>
          <w:lang w:eastAsia="zh-CN"/>
        </w:rPr>
        <w:t>本次挂牌出让活动在网上交易系统全封闭进行，实行资格审核后置。竞买意向人在网上申请时应按照系统提示提供申请材料，按照公告要求按时足额缴纳竞买保证金，竞买保证金交纳时间以网上竞价平台确认到达指定账户时间为准。网上竞价平台在确认竞买保证金按时足额到账后自动赋予申请人竞买资格。竞价结束后，由湛江市公共资源交易中心在</w:t>
      </w:r>
      <w:r>
        <w:rPr>
          <w:rFonts w:hint="eastAsia" w:ascii="Times New Roman" w:hAnsi="Times New Roman" w:eastAsia="仿宋_GB2312" w:cs="Times New Roman"/>
          <w:bCs/>
          <w:color w:val="auto"/>
          <w:sz w:val="32"/>
          <w:szCs w:val="32"/>
          <w:lang w:eastAsia="zh-CN"/>
        </w:rPr>
        <w:t>竞得候选人</w:t>
      </w:r>
      <w:r>
        <w:rPr>
          <w:rFonts w:hint="eastAsia" w:ascii="仿宋_GB2312" w:hAnsi="仿宋_GB2312" w:eastAsia="仿宋_GB2312" w:cs="仿宋_GB2312"/>
          <w:color w:val="auto"/>
          <w:sz w:val="32"/>
          <w:szCs w:val="32"/>
          <w:lang w:eastAsia="zh-CN"/>
        </w:rPr>
        <w:t>申请签订成交确认书时，确认</w:t>
      </w:r>
      <w:r>
        <w:rPr>
          <w:rFonts w:hint="eastAsia" w:ascii="Times New Roman" w:hAnsi="Times New Roman" w:eastAsia="仿宋_GB2312" w:cs="Times New Roman"/>
          <w:bCs/>
          <w:color w:val="auto"/>
          <w:sz w:val="32"/>
          <w:szCs w:val="32"/>
          <w:lang w:eastAsia="zh-CN"/>
        </w:rPr>
        <w:t>竞得候选人</w:t>
      </w:r>
      <w:r>
        <w:rPr>
          <w:rFonts w:hint="eastAsia" w:ascii="仿宋_GB2312" w:hAnsi="仿宋_GB2312" w:eastAsia="仿宋_GB2312" w:cs="仿宋_GB2312"/>
          <w:color w:val="auto"/>
          <w:sz w:val="32"/>
          <w:szCs w:val="32"/>
          <w:lang w:eastAsia="zh-CN"/>
        </w:rPr>
        <w:t>资格后签订《成交确认书》。如</w:t>
      </w:r>
      <w:r>
        <w:rPr>
          <w:rFonts w:hint="eastAsia" w:ascii="Times New Roman" w:hAnsi="Times New Roman" w:eastAsia="仿宋_GB2312" w:cs="Times New Roman"/>
          <w:bCs/>
          <w:color w:val="auto"/>
          <w:sz w:val="32"/>
          <w:szCs w:val="32"/>
          <w:lang w:eastAsia="zh-CN"/>
        </w:rPr>
        <w:t>竞得候选人</w:t>
      </w:r>
      <w:r>
        <w:rPr>
          <w:rFonts w:hint="eastAsia" w:ascii="仿宋_GB2312" w:hAnsi="仿宋_GB2312" w:eastAsia="仿宋_GB2312" w:cs="仿宋_GB2312"/>
          <w:color w:val="auto"/>
          <w:sz w:val="32"/>
          <w:szCs w:val="32"/>
          <w:lang w:eastAsia="zh-CN"/>
        </w:rPr>
        <w:t>不符合公告要求资格，或申请材料造假，湛江市公共资源交易中心当场取消</w:t>
      </w:r>
      <w:r>
        <w:rPr>
          <w:rFonts w:hint="eastAsia" w:ascii="Times New Roman" w:hAnsi="Times New Roman" w:eastAsia="仿宋_GB2312" w:cs="Times New Roman"/>
          <w:bCs/>
          <w:color w:val="auto"/>
          <w:sz w:val="32"/>
          <w:szCs w:val="32"/>
          <w:lang w:eastAsia="zh-CN"/>
        </w:rPr>
        <w:t>竞得候选人</w:t>
      </w:r>
      <w:r>
        <w:rPr>
          <w:rFonts w:hint="eastAsia" w:ascii="仿宋_GB2312" w:hAnsi="仿宋_GB2312" w:eastAsia="仿宋_GB2312" w:cs="仿宋_GB2312"/>
          <w:color w:val="auto"/>
          <w:sz w:val="32"/>
          <w:szCs w:val="32"/>
          <w:lang w:eastAsia="zh-CN"/>
        </w:rPr>
        <w:t>资格，并没收保证金。</w:t>
      </w:r>
    </w:p>
    <w:p w14:paraId="2558FE8D">
      <w:pPr>
        <w:pStyle w:val="5"/>
        <w:widowControl w:val="0"/>
        <w:kinsoku/>
        <w:topLinePunct/>
        <w:autoSpaceDE/>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sz w:val="32"/>
          <w:szCs w:val="32"/>
          <w:lang w:eastAsia="zh-CN"/>
        </w:rPr>
        <w:t>意向竞买人在取得竞买资格后，由</w:t>
      </w:r>
      <w:r>
        <w:rPr>
          <w:rFonts w:hint="eastAsia" w:ascii="仿宋_GB2312" w:hAnsi="仿宋_GB2312" w:eastAsia="仿宋_GB2312" w:cs="仿宋_GB2312"/>
          <w:sz w:val="32"/>
          <w:szCs w:val="32"/>
          <w:lang w:eastAsia="zh-CN"/>
        </w:rPr>
        <w:t>湛江市公共资源交易中心以电子邮件方式向其提供</w:t>
      </w:r>
      <w:r>
        <w:rPr>
          <w:rFonts w:hint="eastAsia" w:ascii="仿宋_GB2312" w:hAnsi="仿宋_GB2312" w:eastAsia="仿宋_GB2312" w:cs="仿宋_GB2312"/>
          <w:color w:val="auto"/>
          <w:kern w:val="10"/>
          <w:sz w:val="32"/>
          <w:szCs w:val="32"/>
          <w:lang w:eastAsia="zh-CN"/>
        </w:rPr>
        <w:t>挂牌出让文件。</w:t>
      </w:r>
    </w:p>
    <w:p w14:paraId="3E126999">
      <w:pPr>
        <w:pStyle w:val="5"/>
        <w:widowControl w:val="0"/>
        <w:kinsoku/>
        <w:topLinePunct/>
        <w:autoSpaceDE/>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本次出让的详细资料和具体要求，详见挂牌出让文件。</w:t>
      </w:r>
    </w:p>
    <w:p w14:paraId="7CBEB962">
      <w:pPr>
        <w:widowControl w:val="0"/>
        <w:numPr>
          <w:ilvl w:val="0"/>
          <w:numId w:val="1"/>
        </w:numPr>
        <w:kinsoku/>
        <w:topLinePunct/>
        <w:autoSpaceDE/>
        <w:autoSpaceDN/>
        <w:adjustRightInd/>
        <w:snapToGrid/>
        <w:spacing w:line="600" w:lineRule="exact"/>
        <w:ind w:firstLine="640"/>
        <w:jc w:val="both"/>
        <w:outlineLvl w:val="0"/>
        <w:rPr>
          <w:rFonts w:ascii="Times New Roman" w:hAnsi="Times New Roman" w:eastAsia="黑体" w:cs="Times New Roman"/>
          <w:bCs/>
          <w:color w:val="auto"/>
          <w:kern w:val="10"/>
          <w:sz w:val="32"/>
          <w:szCs w:val="32"/>
          <w:lang w:eastAsia="zh-CN"/>
        </w:rPr>
      </w:pPr>
      <w:bookmarkStart w:id="9" w:name="_Toc13232"/>
      <w:r>
        <w:rPr>
          <w:rFonts w:ascii="Times New Roman" w:hAnsi="Times New Roman" w:eastAsia="黑体" w:cs="Times New Roman"/>
          <w:bCs/>
          <w:color w:val="auto"/>
          <w:kern w:val="10"/>
          <w:sz w:val="32"/>
          <w:szCs w:val="32"/>
          <w:lang w:eastAsia="zh-CN"/>
        </w:rPr>
        <w:t>出让方式、确定竞得人标准和方法</w:t>
      </w:r>
      <w:bookmarkEnd w:id="9"/>
    </w:p>
    <w:p w14:paraId="3FE61B3D">
      <w:pPr>
        <w:widowControl w:val="0"/>
        <w:numPr>
          <w:ilvl w:val="0"/>
          <w:numId w:val="7"/>
        </w:numPr>
        <w:kinsoku/>
        <w:topLinePunct/>
        <w:autoSpaceDE/>
        <w:autoSpaceDN/>
        <w:adjustRightInd/>
        <w:snapToGrid/>
        <w:spacing w:line="580" w:lineRule="exact"/>
        <w:jc w:val="both"/>
        <w:outlineLvl w:val="1"/>
        <w:rPr>
          <w:rFonts w:ascii="仿宋_GB2312" w:hAnsi="仿宋_GB2312" w:eastAsia="仿宋_GB2312" w:cs="仿宋_GB2312"/>
          <w:color w:val="auto"/>
          <w:kern w:val="10"/>
          <w:sz w:val="32"/>
          <w:szCs w:val="32"/>
          <w:lang w:eastAsia="zh-CN"/>
        </w:rPr>
      </w:pPr>
      <w:bookmarkStart w:id="10" w:name="_Toc8842"/>
      <w:r>
        <w:rPr>
          <w:rFonts w:hint="eastAsia" w:ascii="仿宋_GB2312" w:hAnsi="仿宋_GB2312" w:eastAsia="仿宋_GB2312" w:cs="仿宋_GB2312"/>
          <w:color w:val="auto"/>
          <w:kern w:val="10"/>
          <w:sz w:val="32"/>
          <w:szCs w:val="32"/>
          <w:lang w:eastAsia="zh-CN"/>
        </w:rPr>
        <w:t xml:space="preserve"> 出让方式</w:t>
      </w:r>
      <w:bookmarkEnd w:id="10"/>
    </w:p>
    <w:p w14:paraId="29583D7E">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网上挂牌。</w:t>
      </w:r>
    </w:p>
    <w:p w14:paraId="5F790E0A">
      <w:pPr>
        <w:widowControl w:val="0"/>
        <w:numPr>
          <w:ilvl w:val="0"/>
          <w:numId w:val="7"/>
        </w:numPr>
        <w:kinsoku/>
        <w:topLinePunct/>
        <w:autoSpaceDE/>
        <w:autoSpaceDN/>
        <w:adjustRightInd/>
        <w:snapToGrid/>
        <w:spacing w:line="580" w:lineRule="exact"/>
        <w:jc w:val="both"/>
        <w:outlineLvl w:val="1"/>
        <w:rPr>
          <w:rFonts w:ascii="仿宋_GB2312" w:hAnsi="仿宋_GB2312" w:eastAsia="仿宋_GB2312" w:cs="仿宋_GB2312"/>
          <w:color w:val="auto"/>
          <w:kern w:val="10"/>
          <w:sz w:val="32"/>
          <w:szCs w:val="32"/>
          <w:lang w:eastAsia="zh-CN"/>
        </w:rPr>
      </w:pPr>
      <w:bookmarkStart w:id="11" w:name="_Toc14811"/>
      <w:r>
        <w:rPr>
          <w:rFonts w:hint="eastAsia" w:ascii="仿宋_GB2312" w:hAnsi="仿宋_GB2312" w:eastAsia="仿宋_GB2312" w:cs="仿宋_GB2312"/>
          <w:color w:val="auto"/>
          <w:kern w:val="10"/>
          <w:sz w:val="32"/>
          <w:szCs w:val="32"/>
          <w:lang w:eastAsia="zh-CN"/>
        </w:rPr>
        <w:t xml:space="preserve"> 挂牌时间地点</w:t>
      </w:r>
      <w:bookmarkEnd w:id="11"/>
    </w:p>
    <w:p w14:paraId="60336B23">
      <w:pPr>
        <w:widowControl w:val="0"/>
        <w:kinsoku/>
        <w:topLinePunct/>
        <w:autoSpaceDE/>
        <w:autoSpaceDN/>
        <w:adjustRightInd/>
        <w:snapToGrid/>
        <w:spacing w:line="580" w:lineRule="exact"/>
        <w:ind w:firstLine="640" w:firstLineChars="200"/>
        <w:textAlignment w:val="auto"/>
        <w:outlineLvl w:val="4"/>
        <w:rPr>
          <w:rFonts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z w:val="32"/>
          <w:szCs w:val="32"/>
          <w:lang w:eastAsia="zh-CN"/>
        </w:rPr>
        <w:t>1.挂牌报价时间：2024年</w:t>
      </w:r>
      <w:r>
        <w:rPr>
          <w:rFonts w:ascii="仿宋_GB2312" w:hAnsi="仿宋_GB2312" w:eastAsia="仿宋_GB2312" w:cs="仿宋_GB2312"/>
          <w:color w:val="auto"/>
          <w:sz w:val="32"/>
          <w:szCs w:val="32"/>
          <w:lang w:eastAsia="zh-CN"/>
        </w:rPr>
        <w:t>12</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14</w:t>
      </w:r>
      <w:r>
        <w:rPr>
          <w:rFonts w:hint="eastAsia" w:ascii="仿宋_GB2312" w:hAnsi="仿宋_GB2312" w:eastAsia="仿宋_GB2312" w:cs="仿宋_GB2312"/>
          <w:color w:val="auto"/>
          <w:sz w:val="32"/>
          <w:szCs w:val="32"/>
          <w:lang w:eastAsia="zh-CN"/>
        </w:rPr>
        <w:t>日上午9时至2024年1</w:t>
      </w:r>
      <w:r>
        <w:rPr>
          <w:rFonts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eastAsia="zh-CN"/>
        </w:rPr>
        <w:t xml:space="preserve"> 月</w:t>
      </w:r>
      <w:r>
        <w:rPr>
          <w:rFonts w:ascii="仿宋_GB2312" w:hAnsi="仿宋_GB2312" w:eastAsia="仿宋_GB2312" w:cs="仿宋_GB2312"/>
          <w:color w:val="auto"/>
          <w:sz w:val="32"/>
          <w:szCs w:val="32"/>
          <w:lang w:eastAsia="zh-CN"/>
        </w:rPr>
        <w:t>27</w:t>
      </w:r>
      <w:r>
        <w:rPr>
          <w:rFonts w:hint="eastAsia" w:ascii="仿宋_GB2312" w:hAnsi="仿宋_GB2312" w:eastAsia="仿宋_GB2312" w:cs="仿宋_GB2312"/>
          <w:color w:val="auto"/>
          <w:sz w:val="32"/>
          <w:szCs w:val="32"/>
          <w:lang w:eastAsia="zh-CN"/>
        </w:rPr>
        <w:t>日上午10时止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2F9DB9FB">
      <w:pPr>
        <w:widowControl w:val="0"/>
        <w:kinsoku/>
        <w:topLinePunct/>
        <w:autoSpaceDE/>
        <w:autoSpaceDN/>
        <w:adjustRightInd/>
        <w:snapToGrid/>
        <w:spacing w:line="580" w:lineRule="exact"/>
        <w:ind w:firstLine="640" w:firstLineChars="200"/>
        <w:textAlignment w:val="auto"/>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sz w:val="32"/>
          <w:szCs w:val="32"/>
          <w:lang w:eastAsia="zh-CN"/>
        </w:rPr>
        <w:t>2.限时竞价时间：2024年</w:t>
      </w:r>
      <w:r>
        <w:rPr>
          <w:rFonts w:ascii="仿宋_GB2312" w:hAnsi="仿宋_GB2312" w:eastAsia="仿宋_GB2312" w:cs="仿宋_GB2312"/>
          <w:color w:val="auto"/>
          <w:sz w:val="32"/>
          <w:szCs w:val="32"/>
          <w:lang w:eastAsia="zh-CN"/>
        </w:rPr>
        <w:t>12</w:t>
      </w:r>
      <w:r>
        <w:rPr>
          <w:rFonts w:hint="eastAsia" w:ascii="仿宋_GB2312" w:hAnsi="仿宋_GB2312" w:eastAsia="仿宋_GB2312" w:cs="仿宋_GB2312"/>
          <w:color w:val="auto"/>
          <w:sz w:val="32"/>
          <w:szCs w:val="32"/>
          <w:lang w:eastAsia="zh-CN"/>
        </w:rPr>
        <w:t>月</w:t>
      </w:r>
      <w:r>
        <w:rPr>
          <w:rFonts w:ascii="仿宋_GB2312" w:hAnsi="仿宋_GB2312" w:eastAsia="仿宋_GB2312" w:cs="仿宋_GB2312"/>
          <w:color w:val="auto"/>
          <w:sz w:val="32"/>
          <w:szCs w:val="32"/>
          <w:lang w:eastAsia="zh-CN"/>
        </w:rPr>
        <w:t>27</w:t>
      </w:r>
      <w:r>
        <w:rPr>
          <w:rFonts w:hint="eastAsia" w:ascii="仿宋_GB2312" w:hAnsi="仿宋_GB2312" w:eastAsia="仿宋_GB2312" w:cs="仿宋_GB2312"/>
          <w:color w:val="auto"/>
          <w:sz w:val="32"/>
          <w:szCs w:val="32"/>
          <w:lang w:eastAsia="zh-CN"/>
        </w:rPr>
        <w:t>日上午10时后5分钟起。</w:t>
      </w:r>
    </w:p>
    <w:p w14:paraId="5A6F954A">
      <w:pPr>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3.竞买人持CA数字证书登录全国公共资源交易平台广东省公共资源交易中心平台（湛江市）（</w:t>
      </w:r>
      <w:r>
        <w:rPr>
          <w:rFonts w:hint="eastAsia"/>
        </w:rPr>
        <w:fldChar w:fldCharType="begin"/>
      </w:r>
      <w:r>
        <w:instrText xml:space="preserve"> HYPERLINK "https://ygp.gdzwfw.gov.cn/ggzy-portal/" \l "/440800/index" </w:instrText>
      </w:r>
      <w:r>
        <w:rPr>
          <w:rFonts w:hint="eastAsia"/>
        </w:rPr>
        <w:fldChar w:fldCharType="separate"/>
      </w:r>
      <w:r>
        <w:rPr>
          <w:rFonts w:hint="eastAsia" w:ascii="仿宋_GB2312" w:hAnsi="仿宋_GB2312" w:eastAsia="仿宋_GB2312" w:cs="仿宋_GB2312"/>
          <w:color w:val="auto"/>
          <w:kern w:val="10"/>
          <w:sz w:val="32"/>
          <w:szCs w:val="32"/>
        </w:rPr>
        <w:t>https://ygp.gdzwfw.gov.cn/ggzy-portal/#/440800/index</w:t>
      </w:r>
      <w:r>
        <w:rPr>
          <w:rFonts w:hint="eastAsia" w:ascii="仿宋_GB2312" w:hAnsi="仿宋_GB2312" w:eastAsia="仿宋_GB2312" w:cs="仿宋_GB2312"/>
          <w:color w:val="auto"/>
          <w:kern w:val="10"/>
          <w:sz w:val="32"/>
          <w:szCs w:val="32"/>
        </w:rPr>
        <w:fldChar w:fldCharType="end"/>
      </w:r>
      <w:r>
        <w:rPr>
          <w:rFonts w:hint="eastAsia" w:ascii="仿宋_GB2312" w:hAnsi="仿宋_GB2312" w:eastAsia="仿宋_GB2312" w:cs="仿宋_GB2312"/>
          <w:color w:val="auto"/>
          <w:kern w:val="10"/>
          <w:sz w:val="32"/>
          <w:szCs w:val="32"/>
          <w:lang w:eastAsia="zh-CN"/>
        </w:rPr>
        <w:t>）</w:t>
      </w:r>
      <w:r>
        <w:rPr>
          <w:rFonts w:hint="eastAsia" w:ascii="仿宋_GB2312" w:hAnsi="仿宋_GB2312" w:eastAsia="仿宋_GB2312" w:cs="仿宋_GB2312"/>
          <w:color w:val="auto"/>
          <w:kern w:val="10"/>
          <w:sz w:val="32"/>
          <w:szCs w:val="32"/>
        </w:rPr>
        <w:t>进行报价</w:t>
      </w:r>
      <w:r>
        <w:rPr>
          <w:rFonts w:hint="eastAsia" w:ascii="仿宋_GB2312" w:hAnsi="仿宋_GB2312" w:eastAsia="仿宋_GB2312" w:cs="仿宋_GB2312"/>
          <w:color w:val="auto"/>
          <w:kern w:val="10"/>
          <w:sz w:val="32"/>
          <w:szCs w:val="32"/>
          <w:lang w:eastAsia="zh-CN"/>
        </w:rPr>
        <w:t>。</w:t>
      </w:r>
    </w:p>
    <w:p w14:paraId="7D0724B2">
      <w:pPr>
        <w:widowControl w:val="0"/>
        <w:numPr>
          <w:ilvl w:val="0"/>
          <w:numId w:val="7"/>
        </w:numPr>
        <w:kinsoku/>
        <w:topLinePunct/>
        <w:autoSpaceDE/>
        <w:autoSpaceDN/>
        <w:adjustRightInd/>
        <w:snapToGrid/>
        <w:spacing w:line="580" w:lineRule="exact"/>
        <w:jc w:val="both"/>
        <w:outlineLvl w:val="1"/>
        <w:rPr>
          <w:rFonts w:ascii="仿宋_GB2312" w:hAnsi="仿宋_GB2312" w:eastAsia="仿宋_GB2312" w:cs="仿宋_GB2312"/>
          <w:color w:val="auto"/>
          <w:kern w:val="10"/>
          <w:sz w:val="32"/>
          <w:szCs w:val="32"/>
          <w:lang w:eastAsia="zh-CN"/>
        </w:rPr>
      </w:pPr>
      <w:bookmarkStart w:id="12" w:name="_Toc17790"/>
      <w:r>
        <w:rPr>
          <w:rFonts w:hint="eastAsia" w:ascii="仿宋_GB2312" w:hAnsi="仿宋_GB2312" w:eastAsia="仿宋_GB2312" w:cs="仿宋_GB2312"/>
          <w:color w:val="auto"/>
          <w:kern w:val="10"/>
          <w:sz w:val="32"/>
          <w:szCs w:val="32"/>
          <w:lang w:eastAsia="zh-CN"/>
        </w:rPr>
        <w:t>确定竞得人的标准和方法</w:t>
      </w:r>
      <w:bookmarkEnd w:id="12"/>
    </w:p>
    <w:p w14:paraId="5A22C088">
      <w:pPr>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1.本次采矿权出</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让起拍价为8111.56万元,采用增价报价方式，每次增价幅度为人民币50万元。</w:t>
      </w:r>
      <w:r>
        <w:rPr>
          <w:rFonts w:hint="eastAsia" w:ascii="仿宋_GB2312" w:hAnsi="仿宋_GB2312" w:eastAsia="仿宋_GB2312" w:cs="仿宋_GB2312"/>
          <w:color w:val="auto"/>
          <w:sz w:val="32"/>
          <w:szCs w:val="32"/>
          <w:lang w:eastAsia="zh-CN"/>
        </w:rPr>
        <w:t>每次报价应当比当前最高有效报价增加至少一个增价幅度，否则视为无效报价。</w:t>
      </w:r>
    </w:p>
    <w:p w14:paraId="2C5C0911">
      <w:pPr>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2.按照价高者得原则确定竞得人。无人报价或者竞买人报价低于起拍价的，不成交。</w:t>
      </w:r>
    </w:p>
    <w:p w14:paraId="7414797E">
      <w:pPr>
        <w:widowControl w:val="0"/>
        <w:numPr>
          <w:ilvl w:val="0"/>
          <w:numId w:val="7"/>
        </w:numPr>
        <w:kinsoku/>
        <w:topLinePunct/>
        <w:autoSpaceDE/>
        <w:autoSpaceDN/>
        <w:adjustRightInd/>
        <w:snapToGrid/>
        <w:spacing w:line="580" w:lineRule="exact"/>
        <w:jc w:val="both"/>
        <w:outlineLvl w:val="1"/>
        <w:rPr>
          <w:rFonts w:ascii="仿宋_GB2312" w:hAnsi="仿宋_GB2312" w:eastAsia="仿宋_GB2312" w:cs="仿宋_GB2312"/>
          <w:color w:val="auto"/>
          <w:kern w:val="10"/>
          <w:sz w:val="32"/>
          <w:szCs w:val="32"/>
          <w:lang w:eastAsia="zh-CN"/>
        </w:rPr>
      </w:pPr>
      <w:bookmarkStart w:id="13" w:name="_Toc30271"/>
      <w:r>
        <w:rPr>
          <w:rFonts w:hint="eastAsia" w:ascii="仿宋_GB2312" w:hAnsi="仿宋_GB2312" w:eastAsia="仿宋_GB2312" w:cs="仿宋_GB2312"/>
          <w:color w:val="auto"/>
          <w:kern w:val="10"/>
          <w:sz w:val="32"/>
          <w:szCs w:val="32"/>
          <w:lang w:eastAsia="zh-CN"/>
        </w:rPr>
        <w:t>签订《采矿权出让成交确认书》</w:t>
      </w:r>
      <w:bookmarkEnd w:id="13"/>
    </w:p>
    <w:p w14:paraId="41EFE1CF">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网上挂牌成交后，网上交易系统自动确定竞得候选人。竞得候选人按照系统提示在交易结束5个工作日内，在</w:t>
      </w:r>
      <w:r>
        <w:rPr>
          <w:rFonts w:hint="eastAsia" w:ascii="仿宋_GB2312" w:hAnsi="仿宋_GB2312" w:eastAsia="仿宋_GB2312" w:cs="仿宋_GB2312"/>
          <w:sz w:val="32"/>
          <w:szCs w:val="32"/>
          <w:lang w:eastAsia="zh-CN"/>
        </w:rPr>
        <w:t>资格审查通过后，</w:t>
      </w:r>
      <w:r>
        <w:rPr>
          <w:rFonts w:hint="eastAsia" w:ascii="仿宋_GB2312" w:hAnsi="仿宋_GB2312" w:eastAsia="仿宋_GB2312" w:cs="仿宋_GB2312"/>
          <w:color w:val="auto"/>
          <w:kern w:val="10"/>
          <w:sz w:val="32"/>
          <w:szCs w:val="32"/>
          <w:lang w:eastAsia="zh-CN"/>
        </w:rPr>
        <w:t>与</w:t>
      </w:r>
      <w:r>
        <w:rPr>
          <w:rFonts w:ascii="Times New Roman" w:hAnsi="Times New Roman" w:eastAsia="仿宋_GB2312" w:cs="Times New Roman"/>
          <w:color w:val="auto"/>
          <w:kern w:val="10"/>
          <w:sz w:val="32"/>
          <w:szCs w:val="32"/>
          <w:lang w:eastAsia="zh-CN"/>
        </w:rPr>
        <w:t>广东省湛江市公共资源交易中心</w:t>
      </w:r>
      <w:r>
        <w:rPr>
          <w:rFonts w:hint="eastAsia" w:ascii="仿宋_GB2312" w:hAnsi="仿宋_GB2312" w:eastAsia="仿宋_GB2312" w:cs="仿宋_GB2312"/>
          <w:color w:val="auto"/>
          <w:kern w:val="10"/>
          <w:sz w:val="32"/>
          <w:szCs w:val="32"/>
          <w:lang w:eastAsia="zh-CN"/>
        </w:rPr>
        <w:t>签订《采矿权出让成交确认书》。</w:t>
      </w:r>
    </w:p>
    <w:p w14:paraId="2A9F19CB">
      <w:pPr>
        <w:widowControl w:val="0"/>
        <w:numPr>
          <w:ilvl w:val="0"/>
          <w:numId w:val="7"/>
        </w:numPr>
        <w:kinsoku/>
        <w:topLinePunct/>
        <w:autoSpaceDE/>
        <w:autoSpaceDN/>
        <w:adjustRightInd/>
        <w:snapToGrid/>
        <w:spacing w:line="580" w:lineRule="exact"/>
        <w:jc w:val="both"/>
        <w:outlineLvl w:val="1"/>
        <w:rPr>
          <w:rFonts w:ascii="仿宋_GB2312" w:hAnsi="仿宋_GB2312" w:eastAsia="仿宋_GB2312" w:cs="仿宋_GB2312"/>
          <w:color w:val="auto"/>
          <w:kern w:val="10"/>
          <w:sz w:val="32"/>
          <w:szCs w:val="32"/>
          <w:lang w:eastAsia="zh-CN"/>
        </w:rPr>
      </w:pPr>
      <w:bookmarkStart w:id="14" w:name="_Toc20400"/>
      <w:r>
        <w:rPr>
          <w:rFonts w:hint="eastAsia" w:ascii="仿宋_GB2312" w:hAnsi="仿宋_GB2312" w:eastAsia="仿宋_GB2312" w:cs="仿宋_GB2312"/>
          <w:color w:val="auto"/>
          <w:kern w:val="10"/>
          <w:sz w:val="32"/>
          <w:szCs w:val="32"/>
          <w:lang w:eastAsia="zh-CN"/>
        </w:rPr>
        <w:t>成交结果公示</w:t>
      </w:r>
      <w:bookmarkEnd w:id="14"/>
    </w:p>
    <w:p w14:paraId="07AAE0E9">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采矿权竞价成交结果将于《采矿权出让成交确认书》签订之日起5个工作日内通过自然资源部网站、湛江市自然资源局门户网站、遂溪县自然资源局门户网站、广东省公共资源交易中心平台（湛江市）网站公示10个工作日。</w:t>
      </w:r>
    </w:p>
    <w:p w14:paraId="4C5EA285">
      <w:pPr>
        <w:widowControl w:val="0"/>
        <w:numPr>
          <w:ilvl w:val="0"/>
          <w:numId w:val="1"/>
        </w:numPr>
        <w:kinsoku/>
        <w:topLinePunct/>
        <w:autoSpaceDE/>
        <w:autoSpaceDN/>
        <w:adjustRightInd/>
        <w:snapToGrid/>
        <w:spacing w:line="600" w:lineRule="exact"/>
        <w:ind w:firstLine="640"/>
        <w:jc w:val="both"/>
        <w:outlineLvl w:val="0"/>
        <w:rPr>
          <w:rFonts w:ascii="Times New Roman" w:hAnsi="Times New Roman" w:eastAsia="黑体" w:cs="Times New Roman"/>
          <w:bCs/>
          <w:color w:val="auto"/>
          <w:kern w:val="10"/>
          <w:sz w:val="32"/>
          <w:szCs w:val="32"/>
          <w:lang w:eastAsia="zh-CN"/>
        </w:rPr>
      </w:pPr>
      <w:bookmarkStart w:id="15" w:name="_Toc3126"/>
      <w:r>
        <w:rPr>
          <w:rFonts w:ascii="Times New Roman" w:hAnsi="Times New Roman" w:eastAsia="黑体" w:cs="Times New Roman"/>
          <w:bCs/>
          <w:color w:val="auto"/>
          <w:kern w:val="10"/>
          <w:sz w:val="32"/>
          <w:szCs w:val="32"/>
          <w:lang w:eastAsia="zh-CN"/>
        </w:rPr>
        <w:t>签订</w:t>
      </w:r>
      <w:bookmarkEnd w:id="15"/>
      <w:r>
        <w:rPr>
          <w:rFonts w:hint="eastAsia" w:ascii="Times New Roman" w:hAnsi="Times New Roman" w:eastAsia="黑体" w:cs="Times New Roman"/>
          <w:bCs/>
          <w:color w:val="auto"/>
          <w:kern w:val="10"/>
          <w:sz w:val="32"/>
          <w:szCs w:val="32"/>
          <w:lang w:eastAsia="zh-CN"/>
        </w:rPr>
        <w:t>采矿权</w:t>
      </w:r>
      <w:r>
        <w:rPr>
          <w:rFonts w:ascii="Times New Roman" w:hAnsi="Times New Roman" w:eastAsia="黑体" w:cs="Times New Roman"/>
          <w:bCs/>
          <w:color w:val="auto"/>
          <w:kern w:val="10"/>
          <w:sz w:val="32"/>
          <w:szCs w:val="32"/>
          <w:lang w:eastAsia="zh-CN"/>
        </w:rPr>
        <w:t>出让合同</w:t>
      </w:r>
    </w:p>
    <w:p w14:paraId="44F6CBA0">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成交结果公示期间无异议的，竞得候选人应在公示结束后5个工作日内按照挂牌出让公告及挂牌出让文件之要求，与遂溪县自然资源局签订《非油气采矿权出让合同》，成为采矿权竞得人。</w:t>
      </w:r>
    </w:p>
    <w:p w14:paraId="1F4AC44E">
      <w:pPr>
        <w:widowControl w:val="0"/>
        <w:numPr>
          <w:ilvl w:val="0"/>
          <w:numId w:val="1"/>
        </w:numPr>
        <w:kinsoku/>
        <w:topLinePunct/>
        <w:autoSpaceDE/>
        <w:autoSpaceDN/>
        <w:adjustRightInd/>
        <w:snapToGrid/>
        <w:spacing w:line="600" w:lineRule="exact"/>
        <w:ind w:firstLine="640"/>
        <w:jc w:val="both"/>
        <w:outlineLvl w:val="0"/>
        <w:rPr>
          <w:rFonts w:ascii="Times New Roman" w:hAnsi="Times New Roman" w:eastAsia="黑体" w:cs="Times New Roman"/>
          <w:bCs/>
          <w:color w:val="auto"/>
          <w:kern w:val="10"/>
          <w:sz w:val="32"/>
          <w:szCs w:val="32"/>
          <w:lang w:eastAsia="zh-CN"/>
        </w:rPr>
      </w:pPr>
      <w:bookmarkStart w:id="16" w:name="_Toc6215"/>
      <w:r>
        <w:rPr>
          <w:rFonts w:ascii="Times New Roman" w:hAnsi="Times New Roman" w:eastAsia="黑体" w:cs="Times New Roman"/>
          <w:bCs/>
          <w:color w:val="auto"/>
          <w:kern w:val="10"/>
          <w:sz w:val="32"/>
          <w:szCs w:val="32"/>
          <w:lang w:eastAsia="zh-CN"/>
        </w:rPr>
        <w:t>缴纳</w:t>
      </w:r>
      <w:r>
        <w:rPr>
          <w:rFonts w:hint="eastAsia" w:ascii="Times New Roman" w:hAnsi="Times New Roman" w:eastAsia="黑体" w:cs="Times New Roman"/>
          <w:bCs/>
          <w:color w:val="auto"/>
          <w:kern w:val="10"/>
          <w:sz w:val="32"/>
          <w:szCs w:val="32"/>
          <w:lang w:eastAsia="zh-CN"/>
        </w:rPr>
        <w:t>采矿权</w:t>
      </w:r>
      <w:r>
        <w:rPr>
          <w:rFonts w:ascii="Times New Roman" w:hAnsi="Times New Roman" w:eastAsia="黑体" w:cs="Times New Roman"/>
          <w:bCs/>
          <w:color w:val="auto"/>
          <w:kern w:val="10"/>
          <w:sz w:val="32"/>
          <w:szCs w:val="32"/>
          <w:lang w:eastAsia="zh-CN"/>
        </w:rPr>
        <w:t>出让收益</w:t>
      </w:r>
      <w:bookmarkEnd w:id="16"/>
    </w:p>
    <w:p w14:paraId="53D42390">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采矿权竞得人签订合同后，按《财政部 自然资源部 国家税务总局关于印发〈矿业权出让收益征收办法〉的通知》（财综〔2023〕10号）及《广东省财政厅 广东省自然资源厅 国家税务总局广东省税务局关于明确矿业权出让收益征收有关事项的通知》（粤财规〔2023〕4号）之要求，在签订《非油气采矿权出让合同》后按缴款通知书规定时限缴纳成交价20%的首付款，剩余采矿权出让收益在取得采矿许可证后前7年内分7期均摊。竞得人也可以自愿选择一次性缴清。</w:t>
      </w:r>
    </w:p>
    <w:p w14:paraId="24E57098">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4874CB" w:themeColor="accent1"/>
          <w:kern w:val="10"/>
          <w:sz w:val="32"/>
          <w:szCs w:val="32"/>
          <w:lang w:eastAsia="zh-CN"/>
          <w14:textFill>
            <w14:solidFill>
              <w14:schemeClr w14:val="accent1"/>
            </w14:solidFill>
          </w14:textFill>
        </w:rPr>
      </w:pPr>
      <w:bookmarkStart w:id="17" w:name="_Toc6809"/>
      <w:r>
        <w:rPr>
          <w:rFonts w:hint="eastAsia" w:ascii="Times New Roman" w:hAnsi="Times New Roman" w:eastAsia="黑体" w:cs="Times New Roman"/>
          <w:bCs/>
          <w:color w:val="auto"/>
          <w:kern w:val="10"/>
          <w:sz w:val="32"/>
          <w:szCs w:val="32"/>
          <w:lang w:eastAsia="zh-CN"/>
        </w:rPr>
        <w:t>八、缴纳“</w:t>
      </w:r>
      <w:r>
        <w:rPr>
          <w:rFonts w:ascii="Times New Roman" w:hAnsi="Times New Roman" w:eastAsia="黑体" w:cs="Times New Roman"/>
          <w:bCs/>
          <w:color w:val="auto"/>
          <w:kern w:val="10"/>
          <w:sz w:val="32"/>
          <w:szCs w:val="32"/>
          <w:lang w:eastAsia="zh-CN"/>
        </w:rPr>
        <w:t>采矿权出让资产包</w:t>
      </w:r>
      <w:r>
        <w:rPr>
          <w:rFonts w:hint="eastAsia" w:ascii="Times New Roman" w:hAnsi="Times New Roman" w:eastAsia="黑体" w:cs="Times New Roman"/>
          <w:bCs/>
          <w:color w:val="auto"/>
          <w:kern w:val="10"/>
          <w:sz w:val="32"/>
          <w:szCs w:val="32"/>
          <w:lang w:eastAsia="zh-CN"/>
        </w:rPr>
        <w:t>”费用</w:t>
      </w:r>
    </w:p>
    <w:p w14:paraId="0668B0D5">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000000" w:themeColor="text1"/>
          <w:kern w:val="10"/>
          <w:sz w:val="32"/>
          <w:szCs w:val="32"/>
          <w:lang w:eastAsia="zh-CN"/>
          <w14:textFill>
            <w14:solidFill>
              <w14:schemeClr w14:val="tx1"/>
            </w14:solidFill>
          </w14:textFill>
        </w:rPr>
      </w:pPr>
      <w:r>
        <w:rPr>
          <w:rFonts w:hint="eastAsia" w:ascii="仿宋_GB2312" w:hAnsi="仿宋_GB2312" w:eastAsia="仿宋_GB2312" w:cs="仿宋_GB2312"/>
          <w:color w:val="auto"/>
          <w:kern w:val="10"/>
          <w:sz w:val="32"/>
          <w:szCs w:val="32"/>
          <w:lang w:eastAsia="zh-CN"/>
        </w:rPr>
        <w:t>根据《关于深化矿产资源管理改革有关政策指引的通知》（粤自然资矿管〔2023〕2220号）要求，为确保采矿权竞得人顺利开采，本采矿权设置2个资产包。</w:t>
      </w:r>
      <w:r>
        <w:rPr>
          <w:rFonts w:hint="eastAsia" w:ascii="仿宋_GB2312" w:hAnsi="仿宋_GB2312" w:cs="仿宋_GB2312"/>
          <w:bCs/>
          <w:kern w:val="10"/>
          <w:szCs w:val="32"/>
          <w:lang w:eastAsia="zh-CN"/>
        </w:rPr>
        <w:t>采矿权竞得人在签订合同后，在收到矿产资源出让收益缴款通知书30日内，</w:t>
      </w:r>
      <w:r>
        <w:rPr>
          <w:rFonts w:hint="eastAsia" w:ascii="仿宋_GB2312" w:hAnsi="仿宋_GB2312" w:cs="仿宋_GB2312"/>
          <w:bCs/>
          <w:color w:val="000000" w:themeColor="text1"/>
          <w:kern w:val="10"/>
          <w:szCs w:val="32"/>
          <w:lang w:eastAsia="zh-CN"/>
          <w14:textFill>
            <w14:solidFill>
              <w14:schemeClr w14:val="tx1"/>
            </w14:solidFill>
          </w14:textFill>
        </w:rPr>
        <w:t>须</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分别</w:t>
      </w:r>
      <w:r>
        <w:rPr>
          <w:rFonts w:ascii="Times New Roman" w:hAnsi="仿宋_GB2312" w:eastAsia="仿宋_GB2312" w:cs="Times New Roman"/>
          <w:color w:val="000000" w:themeColor="text1"/>
          <w:kern w:val="21"/>
          <w:sz w:val="32"/>
          <w:szCs w:val="32"/>
          <w:lang w:eastAsia="zh-CN"/>
          <w14:textFill>
            <w14:solidFill>
              <w14:schemeClr w14:val="tx1"/>
            </w14:solidFill>
          </w14:textFill>
        </w:rPr>
        <w:t>向</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资产所有人及土地权属人一次性</w:t>
      </w:r>
      <w:r>
        <w:rPr>
          <w:rFonts w:ascii="Times New Roman" w:hAnsi="仿宋_GB2312" w:eastAsia="仿宋_GB2312" w:cs="Times New Roman"/>
          <w:color w:val="000000" w:themeColor="text1"/>
          <w:sz w:val="32"/>
          <w:szCs w:val="32"/>
          <w:lang w:eastAsia="zh-CN"/>
          <w14:textFill>
            <w14:solidFill>
              <w14:schemeClr w14:val="tx1"/>
            </w14:solidFill>
          </w14:textFill>
        </w:rPr>
        <w:t>支付</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“采矿权出让前期工作相关费用资产包</w:t>
      </w:r>
      <w:r>
        <w:rPr>
          <w:rFonts w:hint="default" w:ascii="仿宋_GB2312" w:hAnsi="仿宋_GB2312" w:eastAsia="仿宋_GB2312" w:cs="仿宋_GB2312"/>
          <w:color w:val="000000" w:themeColor="text1"/>
          <w:kern w:val="1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w w:val="95"/>
          <w:kern w:val="10"/>
          <w:sz w:val="32"/>
          <w:szCs w:val="32"/>
          <w:lang w:eastAsia="zh-CN"/>
          <w14:textFill>
            <w14:solidFill>
              <w14:schemeClr w14:val="tx1"/>
            </w14:solidFill>
          </w14:textFill>
        </w:rPr>
        <w:t>和“矿区内范围</w:t>
      </w:r>
      <w:r>
        <w:rPr>
          <w:rFonts w:hint="eastAsia" w:ascii="Times New Roman" w:hAnsi="仿宋_GB2312" w:eastAsia="仿宋_GB2312" w:cs="Times New Roman"/>
          <w:color w:val="000000" w:themeColor="text1"/>
          <w:w w:val="95"/>
          <w:kern w:val="21"/>
          <w:sz w:val="32"/>
          <w:szCs w:val="32"/>
          <w:lang w:eastAsia="zh-CN"/>
          <w14:textFill>
            <w14:solidFill>
              <w14:schemeClr w14:val="tx1"/>
            </w14:solidFill>
          </w14:textFill>
        </w:rPr>
        <w:t>采矿用地租金</w:t>
      </w:r>
      <w:r>
        <w:rPr>
          <w:rFonts w:hint="eastAsia" w:ascii="Times New Roman" w:hAnsi="仿宋_GB2312" w:eastAsia="仿宋_GB2312" w:cs="Times New Roman"/>
          <w:color w:val="000000" w:themeColor="text1"/>
          <w:w w:val="95"/>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w w:val="95"/>
          <w:kern w:val="10"/>
          <w:sz w:val="32"/>
          <w:szCs w:val="32"/>
          <w:lang w:eastAsia="zh-CN"/>
          <w14:textFill>
            <w14:solidFill>
              <w14:schemeClr w14:val="tx1"/>
            </w14:solidFill>
          </w14:textFill>
        </w:rPr>
        <w:t>地上附着物、青苗补偿费资产包</w:t>
      </w:r>
      <w:r>
        <w:rPr>
          <w:rFonts w:hint="default" w:ascii="仿宋_GB2312" w:hAnsi="仿宋_GB2312" w:eastAsia="仿宋_GB2312" w:cs="仿宋_GB2312"/>
          <w:color w:val="000000" w:themeColor="text1"/>
          <w:w w:val="95"/>
          <w:kern w:val="10"/>
          <w:sz w:val="32"/>
          <w:szCs w:val="32"/>
          <w:lang w:val="en-US" w:eastAsia="zh-CN"/>
          <w14:textFill>
            <w14:solidFill>
              <w14:schemeClr w14:val="tx1"/>
            </w14:solidFill>
          </w14:textFill>
        </w:rPr>
        <w:t>”</w:t>
      </w:r>
      <w:r>
        <w:rPr>
          <w:rFonts w:hint="eastAsia" w:ascii="仿宋_GB2312" w:hAnsi="仿宋_GB2312" w:cs="仿宋_GB2312"/>
          <w:bCs/>
          <w:color w:val="000000" w:themeColor="text1"/>
          <w:w w:val="95"/>
          <w:kern w:val="10"/>
          <w:szCs w:val="32"/>
          <w:lang w:eastAsia="zh-CN"/>
          <w14:textFill>
            <w14:solidFill>
              <w14:schemeClr w14:val="tx1"/>
            </w14:solidFill>
          </w14:textFill>
        </w:rPr>
        <w:t>。</w:t>
      </w:r>
    </w:p>
    <w:p w14:paraId="074129B2">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000000" w:themeColor="text1"/>
          <w:kern w:val="1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采矿权出让前期相关费用资产包”费用为人民币</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壹佰贰拾伍万零捌佰元整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1250800元整），</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资产所有人为遂溪县自然资源局，</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采矿权竞得人在收到首期（或全部）采矿权出让收益缴款通知书30日内直接</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支付</w:t>
      </w:r>
      <w:r>
        <w:rPr>
          <w:rFonts w:hint="eastAsia" w:ascii="仿宋_GB2312" w:hAnsi="仿宋_GB2312" w:eastAsia="仿宋_GB2312" w:cs="仿宋_GB2312"/>
          <w:color w:val="000000" w:themeColor="text1"/>
          <w:sz w:val="32"/>
          <w:szCs w:val="32"/>
          <w:lang w:eastAsia="zh-CN"/>
          <w14:textFill>
            <w14:solidFill>
              <w14:schemeClr w14:val="tx1"/>
            </w14:solidFill>
          </w14:textFill>
        </w:rPr>
        <w:t>至遂溪县自然资源局指定的账户，账号：2015020909024904295，开户银行：中国工商银行遂溪县支行。</w:t>
      </w:r>
    </w:p>
    <w:p w14:paraId="52806DFC">
      <w:pPr>
        <w:pStyle w:val="5"/>
        <w:widowControl w:val="0"/>
        <w:kinsoku/>
        <w:topLinePunct/>
        <w:autoSpaceDE/>
        <w:autoSpaceDN/>
        <w:adjustRightInd/>
        <w:snapToGrid/>
        <w:spacing w:line="580" w:lineRule="exact"/>
        <w:ind w:firstLine="640" w:firstLineChars="200"/>
        <w:jc w:val="both"/>
        <w:outlineLvl w:val="4"/>
        <w:rPr>
          <w:rFonts w:ascii="Times New Roman" w:hAnsi="仿宋_GB2312" w:eastAsia="仿宋_GB2312" w:cs="Times New Roman"/>
          <w:color w:val="000000" w:themeColor="text1"/>
          <w:kern w:val="2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2.“矿区范围内</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采矿用地租金及</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地上附着物、青苗补偿费资产包”已</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经具有相应资质的3家评估公司分别编制评估报告并公示。经研究决定，“采矿用地租金</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评估价值及地上附着物、青苗补偿费价值</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”均</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取</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3家评估公司分别作出的评估价值的平均值，其中“采矿用地租金</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价值</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为人民币</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壹仟伍佰零玖万伍仟伍佰元整</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 xml:space="preserve">  15095500元整  </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采矿用地租赁期限从采矿许可证生效之日起计算至采矿权有效期结束，土地权属人为广东省遂溪县杨柑镇布政村青水经济合作社；“</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地上附着物、青苗补偿费资产包价值</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”为人民币</w:t>
      </w:r>
      <w:r>
        <w:rPr>
          <w:rFonts w:hint="eastAsia" w:ascii="仿宋_GB2312" w:hAnsi="仿宋_GB2312" w:eastAsia="仿宋_GB2312" w:cs="仿宋_GB2312"/>
          <w:color w:val="000000" w:themeColor="text1"/>
          <w:kern w:val="10"/>
          <w:sz w:val="32"/>
          <w:szCs w:val="32"/>
          <w:u w:val="single"/>
          <w:lang w:eastAsia="zh-CN"/>
          <w14:textFill>
            <w14:solidFill>
              <w14:schemeClr w14:val="tx1"/>
            </w14:solidFill>
          </w14:textFill>
        </w:rPr>
        <w:t>陆仟肆佰肆拾壹万伍仟捌佰叁拾叁元整</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 xml:space="preserve">（¥ </w:t>
      </w:r>
      <w:r>
        <w:rPr>
          <w:rFonts w:hint="eastAsia" w:ascii="仿宋_GB2312" w:hAnsi="仿宋_GB2312" w:eastAsia="仿宋_GB2312" w:cs="仿宋_GB2312"/>
          <w:color w:val="000000" w:themeColor="text1"/>
          <w:kern w:val="10"/>
          <w:sz w:val="32"/>
          <w:szCs w:val="32"/>
          <w:u w:val="single"/>
          <w:lang w:eastAsia="zh-CN"/>
          <w14:textFill>
            <w14:solidFill>
              <w14:schemeClr w14:val="tx1"/>
            </w14:solidFill>
          </w14:textFill>
        </w:rPr>
        <w:t xml:space="preserve"> 64415833 元整 </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资产所有人为</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广东省遂溪县杨柑镇布政村青水经济合作社；3家评估公司编制上述资产包评估报告费用</w:t>
      </w:r>
      <w:bookmarkStart w:id="29" w:name="_GoBack"/>
      <w:bookmarkEnd w:id="29"/>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（每家伍万）共计：</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壹拾伍万元整</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 xml:space="preserve">  150000元整  </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)，将该笔评估费用列入“</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矿区范围内</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采矿用地租金</w:t>
      </w:r>
      <w:r>
        <w:rPr>
          <w:rFonts w:hint="eastAsia" w:ascii="Times New Roman" w:hAnsi="仿宋_GB2312" w:eastAsia="仿宋_GB2312" w:cs="Times New Roman"/>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地上附着物、青苗补偿费资产包</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资产包总价款为</w:t>
      </w:r>
      <w:r>
        <w:rPr>
          <w:rFonts w:hint="eastAsia" w:ascii="仿宋_GB2312" w:hAnsi="仿宋_GB2312" w:eastAsia="仿宋_GB2312" w:cs="仿宋_GB2312"/>
          <w:color w:val="000000" w:themeColor="text1"/>
          <w:kern w:val="10"/>
          <w:sz w:val="32"/>
          <w:szCs w:val="32"/>
          <w:u w:val="single"/>
          <w:lang w:eastAsia="zh-CN"/>
          <w14:textFill>
            <w14:solidFill>
              <w14:schemeClr w14:val="tx1"/>
            </w14:solidFill>
          </w14:textFill>
        </w:rPr>
        <w:t>柒仟玖佰陆拾陆万壹仟叁佰叁拾叁元整</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w:t>
      </w:r>
      <w:r>
        <w:rPr>
          <w:rFonts w:hint="eastAsia" w:ascii="Times New Roman" w:hAnsi="仿宋_GB2312" w:eastAsia="仿宋_GB2312" w:cs="Times New Roman"/>
          <w:color w:val="000000" w:themeColor="text1"/>
          <w:kern w:val="21"/>
          <w:sz w:val="32"/>
          <w:szCs w:val="32"/>
          <w:u w:val="single"/>
          <w:lang w:eastAsia="zh-CN"/>
          <w14:textFill>
            <w14:solidFill>
              <w14:schemeClr w14:val="tx1"/>
            </w14:solidFill>
          </w14:textFill>
        </w:rPr>
        <w:t xml:space="preserve">  79661333元整  </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)。本资产包总价款</w:t>
      </w:r>
      <w:r>
        <w:rPr>
          <w:rFonts w:hint="eastAsia" w:ascii="仿宋_GB2312" w:hAnsi="仿宋_GB2312" w:eastAsia="仿宋_GB2312" w:cs="仿宋_GB2312"/>
          <w:color w:val="000000" w:themeColor="text1"/>
          <w:kern w:val="10"/>
          <w:sz w:val="32"/>
          <w:szCs w:val="32"/>
          <w:lang w:eastAsia="zh-CN"/>
          <w14:textFill>
            <w14:solidFill>
              <w14:schemeClr w14:val="tx1"/>
            </w14:solidFill>
          </w14:textFill>
        </w:rPr>
        <w:t>由采矿权竞得人在收到首期（或全部）采矿权出让收益缴款通知书30日内一次性</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支付给</w:t>
      </w:r>
      <w:r>
        <w:rPr>
          <w:rFonts w:hint="eastAsia" w:ascii="仿宋_GB2312" w:hAnsi="仿宋_GB2312" w:eastAsia="仿宋_GB2312" w:cs="仿宋_GB2312"/>
          <w:color w:val="000000" w:themeColor="text1"/>
          <w:sz w:val="32"/>
          <w:szCs w:val="32"/>
          <w:lang w:eastAsia="zh-CN"/>
          <w14:textFill>
            <w14:solidFill>
              <w14:schemeClr w14:val="tx1"/>
            </w14:solidFill>
          </w14:textFill>
        </w:rPr>
        <w:t>遂溪县自然资源局指定的账户，账号：2015020909024904295，开户银行：中国工商银行遂溪县支行。经遂溪县自然资源局与土地权属单位对接确认后，由土地权属单位向遂溪县自然资源局申请拨付，遂溪县自然资源局再分别转给土地权属单位和</w:t>
      </w:r>
      <w:r>
        <w:rPr>
          <w:rFonts w:hint="eastAsia" w:ascii="Times New Roman" w:hAnsi="仿宋_GB2312" w:eastAsia="仿宋_GB2312" w:cs="Times New Roman"/>
          <w:color w:val="000000" w:themeColor="text1"/>
          <w:kern w:val="21"/>
          <w:sz w:val="32"/>
          <w:szCs w:val="32"/>
          <w:lang w:eastAsia="zh-CN"/>
          <w14:textFill>
            <w14:solidFill>
              <w14:schemeClr w14:val="tx1"/>
            </w14:solidFill>
          </w14:textFill>
        </w:rPr>
        <w:t>资产所有人。</w:t>
      </w:r>
    </w:p>
    <w:p w14:paraId="072B15B0">
      <w:pPr>
        <w:widowControl w:val="0"/>
        <w:kinsoku/>
        <w:topLinePunct/>
        <w:autoSpaceDE/>
        <w:autoSpaceDN/>
        <w:adjustRightInd/>
        <w:snapToGrid/>
        <w:spacing w:line="600" w:lineRule="exact"/>
        <w:ind w:left="640"/>
        <w:jc w:val="both"/>
        <w:outlineLvl w:val="0"/>
        <w:rPr>
          <w:rFonts w:ascii="Times New Roman" w:hAnsi="Times New Roman" w:eastAsia="黑体" w:cs="Times New Roman"/>
          <w:bCs/>
          <w:color w:val="auto"/>
          <w:kern w:val="10"/>
          <w:sz w:val="32"/>
          <w:szCs w:val="32"/>
          <w:lang w:eastAsia="zh-CN"/>
        </w:rPr>
      </w:pPr>
      <w:r>
        <w:rPr>
          <w:rFonts w:hint="eastAsia" w:ascii="Times New Roman" w:hAnsi="Times New Roman" w:eastAsia="黑体" w:cs="Times New Roman"/>
          <w:bCs/>
          <w:color w:val="auto"/>
          <w:kern w:val="10"/>
          <w:sz w:val="32"/>
          <w:szCs w:val="32"/>
          <w:lang w:eastAsia="zh-CN"/>
        </w:rPr>
        <w:t>九、办理采矿权登记</w:t>
      </w:r>
      <w:bookmarkEnd w:id="17"/>
      <w:r>
        <w:rPr>
          <w:rFonts w:hint="eastAsia" w:ascii="Times New Roman" w:hAnsi="Times New Roman" w:eastAsia="黑体" w:cs="Times New Roman"/>
          <w:bCs/>
          <w:color w:val="auto"/>
          <w:kern w:val="10"/>
          <w:sz w:val="32"/>
          <w:szCs w:val="32"/>
          <w:lang w:eastAsia="zh-CN"/>
        </w:rPr>
        <w:t>及“农转用”手续</w:t>
      </w:r>
    </w:p>
    <w:p w14:paraId="0013A059">
      <w:pPr>
        <w:widowControl w:val="0"/>
        <w:numPr>
          <w:ilvl w:val="0"/>
          <w:numId w:val="8"/>
        </w:numPr>
        <w:kinsoku/>
        <w:topLinePunct/>
        <w:autoSpaceDE/>
        <w:autoSpaceDN/>
        <w:adjustRightInd/>
        <w:snapToGrid/>
        <w:spacing w:line="60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按照《非油气采矿权出让合同》约定缴纳首期（或全部）采矿权出让收益及2个“采矿权出让资产包”费用后，竞得人按有关规定和要求准备好材料，自《非油气采矿权出让合同》签订之日起6个月内到湛江市自然资源局办理采矿权登记。采矿权竞得人需重新编制开发利用方案的，可自行编制或委托有关机构编制开发利用方案后报遂溪县自然资源局组织审查并公示。</w:t>
      </w:r>
    </w:p>
    <w:p w14:paraId="4263A92F">
      <w:pPr>
        <w:widowControl w:val="0"/>
        <w:numPr>
          <w:ilvl w:val="0"/>
          <w:numId w:val="8"/>
        </w:numPr>
        <w:kinsoku/>
        <w:topLinePunct/>
        <w:autoSpaceDE/>
        <w:autoSpaceDN/>
        <w:adjustRightInd/>
        <w:snapToGrid/>
        <w:spacing w:line="60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采矿权竞得人按照《非油气采矿权出让合同》之约定缴纳采矿权出让收益及2个“采矿权出让资产包”费用后，应按约定时间及时与土地权属人签订《采矿用地出租合同》，配合土地权属人办理“农转用”手续。</w:t>
      </w:r>
    </w:p>
    <w:p w14:paraId="7A12DCC4">
      <w:pPr>
        <w:widowControl w:val="0"/>
        <w:kinsoku/>
        <w:topLinePunct/>
        <w:autoSpaceDE/>
        <w:autoSpaceDN/>
        <w:adjustRightInd/>
        <w:snapToGrid/>
        <w:spacing w:line="600" w:lineRule="exact"/>
        <w:ind w:left="640"/>
        <w:jc w:val="both"/>
        <w:outlineLvl w:val="0"/>
        <w:rPr>
          <w:rFonts w:ascii="Times New Roman" w:hAnsi="Times New Roman" w:eastAsia="黑体" w:cs="Times New Roman"/>
          <w:bCs/>
          <w:color w:val="auto"/>
          <w:kern w:val="10"/>
          <w:sz w:val="32"/>
          <w:szCs w:val="32"/>
          <w:lang w:eastAsia="zh-CN"/>
        </w:rPr>
      </w:pPr>
      <w:bookmarkStart w:id="18" w:name="_Toc7624"/>
      <w:r>
        <w:rPr>
          <w:rFonts w:hint="eastAsia" w:ascii="Times New Roman" w:hAnsi="Times New Roman" w:eastAsia="黑体" w:cs="Times New Roman"/>
          <w:bCs/>
          <w:color w:val="auto"/>
          <w:kern w:val="10"/>
          <w:sz w:val="32"/>
          <w:szCs w:val="32"/>
          <w:lang w:eastAsia="zh-CN"/>
        </w:rPr>
        <w:t>十、</w:t>
      </w:r>
      <w:r>
        <w:rPr>
          <w:rFonts w:ascii="Times New Roman" w:hAnsi="Times New Roman" w:eastAsia="黑体" w:cs="Times New Roman"/>
          <w:bCs/>
          <w:color w:val="auto"/>
          <w:kern w:val="10"/>
          <w:sz w:val="32"/>
          <w:szCs w:val="32"/>
          <w:lang w:eastAsia="zh-CN"/>
        </w:rPr>
        <w:t>注意事项及风险提示</w:t>
      </w:r>
      <w:bookmarkEnd w:id="18"/>
    </w:p>
    <w:p w14:paraId="5ADE5FBE">
      <w:pPr>
        <w:pStyle w:val="5"/>
        <w:widowControl w:val="0"/>
        <w:numPr>
          <w:ilvl w:val="0"/>
          <w:numId w:val="9"/>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竞买申请人应详尽了解本次出让采矿权现状、所列条件及相关风险，提交竞买申请视同对本次出让采矿权的现状及所列条件无异议并全部接受，并自愿承担法律责任。竞买申请人应充分考虑，慎重决策。</w:t>
      </w:r>
    </w:p>
    <w:p w14:paraId="5D1855AF">
      <w:pPr>
        <w:pStyle w:val="5"/>
        <w:widowControl w:val="0"/>
        <w:numPr>
          <w:ilvl w:val="0"/>
          <w:numId w:val="9"/>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买人应遵循“公平公正、诚实信用”的原则参与本次矿业权出让竞买，对所提交的文件和其他资料的真实性、合法性负责。对违反相关法律法规、违背诚实信用原则的竞买人，将按照《印发〈关于对公共资源领域严重失信主体开展联合惩戒备忘录〉的通知》（发改法规〔2018〕457号）等规定，对相关失信企业和失信个人实施联合惩戒，存在出让文件中相关违约情形的，保证金不予退还。</w:t>
      </w:r>
    </w:p>
    <w:p w14:paraId="3BA92A18">
      <w:pPr>
        <w:pStyle w:val="5"/>
        <w:widowControl w:val="0"/>
        <w:numPr>
          <w:ilvl w:val="0"/>
          <w:numId w:val="9"/>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广东省遂溪县杨柑镇青水村矿区玻璃用石英砂矿资源储量核实报告》《广东省遂溪县杨柑镇青水村矿区玻璃用石英砂矿矿产资源开发方案》虽然由具有相应资质的机构编制出具并经专家审核通过，但仍然存在一些不确定因素，采矿权出让技术资料与矿区的实际情况可能会有一定出入，仅供参考。这些资料中的描述并不构成出让人对出让矿区资源品质等出具的保证。</w:t>
      </w:r>
    </w:p>
    <w:p w14:paraId="3D9CFB52">
      <w:pPr>
        <w:pStyle w:val="5"/>
        <w:widowControl w:val="0"/>
        <w:numPr>
          <w:ilvl w:val="0"/>
          <w:numId w:val="9"/>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得人必须自签订《非油气采矿权出让合同》之日起6个月内按规定向湛江市自然资源局提交采矿权申请登记资料，办理采矿权登记手续，领取采矿许可证。因企业自身原因，逾期未能办理采矿权登记手续的，采矿权出让人（或委托代理人）有权解除《非油气采矿权出让合同》，竞得人已缴纳采矿权出让收益不予退回。</w:t>
      </w:r>
    </w:p>
    <w:p w14:paraId="18F61697">
      <w:pPr>
        <w:pStyle w:val="5"/>
        <w:widowControl w:val="0"/>
        <w:numPr>
          <w:ilvl w:val="0"/>
          <w:numId w:val="9"/>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由于受法律法规、相关规划、产业政策等因素变化影响，致使竞得人未能办理采矿许可证的；或因法律法规和国家、省、市的产业、环保等政策调整，或土地权属人违反《采矿用地意向性协议》及非采矿权人自身原因等因素导致不能（或继续）采矿的，按照《矿业权出让收益征收办法》第二十六条之规定，由遂溪县自然资源局按照已</w:t>
      </w:r>
      <w:r>
        <w:rPr>
          <w:rFonts w:hint="eastAsia" w:ascii="Times New Roman" w:hAnsi="仿宋_GB2312" w:eastAsia="仿宋_GB2312" w:cs="Times New Roman"/>
          <w:color w:val="auto"/>
          <w:kern w:val="21"/>
          <w:sz w:val="32"/>
          <w:szCs w:val="32"/>
          <w:lang w:eastAsia="zh-CN"/>
        </w:rPr>
        <w:t>缴交的矿业权出让收益</w:t>
      </w:r>
      <w:r>
        <w:rPr>
          <w:rFonts w:ascii="Times New Roman" w:hAnsi="仿宋_GB2312" w:eastAsia="仿宋_GB2312" w:cs="Times New Roman"/>
          <w:color w:val="auto"/>
          <w:kern w:val="21"/>
          <w:sz w:val="32"/>
          <w:szCs w:val="32"/>
          <w:lang w:eastAsia="zh-CN"/>
        </w:rPr>
        <w:t>进行退补。</w:t>
      </w:r>
      <w:r>
        <w:rPr>
          <w:rFonts w:hint="eastAsia" w:ascii="仿宋_GB2312" w:hAnsi="仿宋_GB2312" w:eastAsia="仿宋_GB2312" w:cs="仿宋_GB2312"/>
          <w:color w:val="auto"/>
          <w:kern w:val="10"/>
          <w:sz w:val="32"/>
          <w:szCs w:val="32"/>
          <w:lang w:eastAsia="zh-CN"/>
        </w:rPr>
        <w:t>因采矿权人自身原因导致不能继续采矿的，湛江市自然资源局不承担赔偿责任。</w:t>
      </w:r>
    </w:p>
    <w:p w14:paraId="3FC9DEAD">
      <w:pPr>
        <w:pStyle w:val="5"/>
        <w:widowControl w:val="0"/>
        <w:numPr>
          <w:ilvl w:val="0"/>
          <w:numId w:val="9"/>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得人在开采矿产资源前，须按照安全生产、生态环境保护、爆破作业、用林、用地、水土保持等法律法规要求，办理相应许可和手续等。竞得人在矿产开采过程中还需遵守重要公路、铁路、永久基本农田、林地、草地等相关规定，并按要求施工。竞得人违反相关法律法规规定的，依法予以处罚。</w:t>
      </w:r>
    </w:p>
    <w:p w14:paraId="2E5BD71D">
      <w:pPr>
        <w:pStyle w:val="5"/>
        <w:widowControl w:val="0"/>
        <w:numPr>
          <w:ilvl w:val="0"/>
          <w:numId w:val="9"/>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竞得人在矿产开采过程中，不依法履行土地复垦、矿山地质环境保护与治理恢复等义务的，按照《土地复垦条例》《土地复垦条例实施办法》《矿山地质环境保护规定》等规定给予行政处罚。</w:t>
      </w:r>
    </w:p>
    <w:p w14:paraId="65AA257C">
      <w:pPr>
        <w:pStyle w:val="5"/>
        <w:widowControl w:val="0"/>
        <w:numPr>
          <w:ilvl w:val="0"/>
          <w:numId w:val="9"/>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矿区进出道路由采矿用地土地权属人负责协调修建，产生的费用由竞得人承担，道路用地不是采矿用地土地权属人的，由竞得人自行与土地权属人协商。</w:t>
      </w:r>
    </w:p>
    <w:p w14:paraId="2F979455">
      <w:pPr>
        <w:pStyle w:val="5"/>
        <w:widowControl w:val="0"/>
        <w:numPr>
          <w:ilvl w:val="0"/>
          <w:numId w:val="9"/>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竞买人为外商投资企业的，应遵守《中华人民共和国外商投资法》及相关规定。</w:t>
      </w:r>
    </w:p>
    <w:p w14:paraId="4913AFA8">
      <w:pPr>
        <w:widowControl w:val="0"/>
        <w:kinsoku/>
        <w:topLinePunct/>
        <w:autoSpaceDE/>
        <w:autoSpaceDN/>
        <w:adjustRightInd/>
        <w:snapToGrid/>
        <w:spacing w:line="600" w:lineRule="exact"/>
        <w:ind w:left="640"/>
        <w:outlineLvl w:val="0"/>
        <w:rPr>
          <w:rFonts w:ascii="Times New Roman" w:hAnsi="Times New Roman" w:eastAsia="黑体" w:cs="Times New Roman"/>
          <w:bCs/>
          <w:color w:val="auto"/>
          <w:kern w:val="10"/>
          <w:sz w:val="32"/>
          <w:szCs w:val="32"/>
          <w:lang w:eastAsia="zh-CN"/>
        </w:rPr>
      </w:pPr>
      <w:bookmarkStart w:id="19" w:name="_Toc15547"/>
      <w:r>
        <w:rPr>
          <w:rFonts w:hint="eastAsia" w:ascii="Times New Roman" w:hAnsi="Times New Roman" w:eastAsia="黑体" w:cs="Times New Roman"/>
          <w:bCs/>
          <w:color w:val="auto"/>
          <w:kern w:val="10"/>
          <w:sz w:val="32"/>
          <w:szCs w:val="32"/>
          <w:lang w:eastAsia="zh-CN"/>
        </w:rPr>
        <w:t>十一、</w:t>
      </w:r>
      <w:r>
        <w:rPr>
          <w:rFonts w:ascii="Times New Roman" w:hAnsi="Times New Roman" w:eastAsia="黑体" w:cs="Times New Roman"/>
          <w:bCs/>
          <w:color w:val="auto"/>
          <w:kern w:val="10"/>
          <w:sz w:val="32"/>
          <w:szCs w:val="32"/>
          <w:lang w:eastAsia="zh-CN"/>
        </w:rPr>
        <w:t>对交易采矿权提出异议的方式</w:t>
      </w:r>
      <w:bookmarkEnd w:id="19"/>
    </w:p>
    <w:p w14:paraId="077764E1">
      <w:pPr>
        <w:widowControl w:val="0"/>
        <w:kinsoku/>
        <w:topLinePunct/>
        <w:autoSpaceDE/>
        <w:autoSpaceDN/>
        <w:adjustRightInd/>
        <w:snapToGrid/>
        <w:spacing w:line="600" w:lineRule="exact"/>
        <w:ind w:firstLine="640"/>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竞买人如对本次采矿权挂牌出让有异议的，应在公告期内向广东省湛江市公共资源交易中心（或遂溪县自然资源局）以书面方式提出。</w:t>
      </w:r>
    </w:p>
    <w:p w14:paraId="1A585AD1">
      <w:pPr>
        <w:pStyle w:val="5"/>
        <w:widowControl w:val="0"/>
        <w:kinsoku/>
        <w:topLinePunct/>
        <w:autoSpaceDE/>
        <w:autoSpaceDN/>
        <w:adjustRightInd/>
        <w:snapToGrid/>
        <w:spacing w:line="60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联系电话：0759-3585819、0759-5554004</w:t>
      </w:r>
    </w:p>
    <w:p w14:paraId="6AB73A64">
      <w:pPr>
        <w:widowControl w:val="0"/>
        <w:kinsoku/>
        <w:topLinePunct/>
        <w:autoSpaceDE/>
        <w:autoSpaceDN/>
        <w:adjustRightInd/>
        <w:snapToGrid/>
        <w:spacing w:line="600" w:lineRule="exact"/>
        <w:ind w:left="640"/>
        <w:jc w:val="both"/>
        <w:outlineLvl w:val="0"/>
        <w:rPr>
          <w:rFonts w:ascii="Times New Roman" w:hAnsi="Times New Roman" w:eastAsia="黑体" w:cs="Times New Roman"/>
          <w:bCs/>
          <w:color w:val="auto"/>
          <w:kern w:val="10"/>
          <w:sz w:val="32"/>
          <w:szCs w:val="32"/>
          <w:lang w:eastAsia="zh-CN"/>
        </w:rPr>
      </w:pPr>
      <w:bookmarkStart w:id="20" w:name="_Toc20878"/>
      <w:r>
        <w:rPr>
          <w:rFonts w:hint="eastAsia" w:ascii="Times New Roman" w:hAnsi="Times New Roman" w:eastAsia="黑体" w:cs="Times New Roman"/>
          <w:bCs/>
          <w:color w:val="auto"/>
          <w:kern w:val="10"/>
          <w:sz w:val="32"/>
          <w:szCs w:val="32"/>
          <w:lang w:eastAsia="zh-CN"/>
        </w:rPr>
        <w:t>十二、</w:t>
      </w:r>
      <w:r>
        <w:rPr>
          <w:rFonts w:ascii="Times New Roman" w:hAnsi="Times New Roman" w:eastAsia="黑体" w:cs="Times New Roman"/>
          <w:bCs/>
          <w:color w:val="auto"/>
          <w:kern w:val="10"/>
          <w:sz w:val="32"/>
          <w:szCs w:val="32"/>
          <w:lang w:eastAsia="zh-CN"/>
        </w:rPr>
        <w:t>其他事项</w:t>
      </w:r>
      <w:bookmarkEnd w:id="20"/>
    </w:p>
    <w:p w14:paraId="3A766F8A">
      <w:pPr>
        <w:pStyle w:val="5"/>
        <w:widowControl w:val="0"/>
        <w:numPr>
          <w:ilvl w:val="0"/>
          <w:numId w:val="10"/>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出让公告等相关信息同时在中华人民共和国自然资源部网站、湛江市自然资源局门户网站、遂溪县自然资源局门户网站、广东省公共资源交易平台（湛江市）网站发布。出让信息如有变更，变更事项在上述网站发布，请意向竞买人密切关注。</w:t>
      </w:r>
    </w:p>
    <w:p w14:paraId="129589B0">
      <w:pPr>
        <w:pStyle w:val="5"/>
        <w:widowControl w:val="0"/>
        <w:numPr>
          <w:ilvl w:val="0"/>
          <w:numId w:val="10"/>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本次挂牌不组织现场踏勘，意向竞买人可自行现场踏勘。意向竞买人参加本次出让项目产生的一切费用自行承担。</w:t>
      </w:r>
    </w:p>
    <w:p w14:paraId="689634AD">
      <w:pPr>
        <w:pStyle w:val="5"/>
        <w:widowControl w:val="0"/>
        <w:numPr>
          <w:ilvl w:val="0"/>
          <w:numId w:val="10"/>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本次挂牌只接受网上报价，不接受现场书面报价以及电话、邮寄、口头等方式报价。</w:t>
      </w:r>
    </w:p>
    <w:p w14:paraId="21937833">
      <w:pPr>
        <w:pStyle w:val="5"/>
        <w:widowControl w:val="0"/>
        <w:numPr>
          <w:ilvl w:val="0"/>
          <w:numId w:val="10"/>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本公告所指时间均为北京时间，所指资金均为人民币。</w:t>
      </w:r>
    </w:p>
    <w:p w14:paraId="67E68BA4">
      <w:pPr>
        <w:pStyle w:val="5"/>
        <w:widowControl w:val="0"/>
        <w:numPr>
          <w:ilvl w:val="0"/>
          <w:numId w:val="10"/>
        </w:numPr>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本次出让公告其他未尽事宜，由遂溪县自然资源局负责解释和通知。</w:t>
      </w:r>
    </w:p>
    <w:p w14:paraId="0DFE7579">
      <w:pPr>
        <w:widowControl w:val="0"/>
        <w:kinsoku/>
        <w:topLinePunct/>
        <w:autoSpaceDE/>
        <w:autoSpaceDN/>
        <w:adjustRightInd/>
        <w:snapToGrid/>
        <w:spacing w:line="600" w:lineRule="exact"/>
        <w:ind w:left="640"/>
        <w:jc w:val="both"/>
        <w:outlineLvl w:val="0"/>
        <w:rPr>
          <w:rFonts w:ascii="Times New Roman" w:hAnsi="Times New Roman" w:eastAsia="黑体" w:cs="Times New Roman"/>
          <w:bCs/>
          <w:color w:val="auto"/>
          <w:kern w:val="10"/>
          <w:sz w:val="32"/>
          <w:szCs w:val="32"/>
          <w:lang w:eastAsia="zh-CN"/>
        </w:rPr>
      </w:pPr>
      <w:bookmarkStart w:id="21" w:name="_Toc15487"/>
      <w:r>
        <w:rPr>
          <w:rFonts w:hint="eastAsia" w:ascii="Times New Roman" w:hAnsi="Times New Roman" w:eastAsia="黑体" w:cs="Times New Roman"/>
          <w:bCs/>
          <w:color w:val="auto"/>
          <w:kern w:val="10"/>
          <w:sz w:val="32"/>
          <w:szCs w:val="32"/>
          <w:lang w:eastAsia="zh-CN"/>
        </w:rPr>
        <w:t>十三、</w:t>
      </w:r>
      <w:r>
        <w:rPr>
          <w:rFonts w:ascii="Times New Roman" w:hAnsi="Times New Roman" w:eastAsia="黑体" w:cs="Times New Roman"/>
          <w:bCs/>
          <w:color w:val="auto"/>
          <w:kern w:val="10"/>
          <w:sz w:val="32"/>
          <w:szCs w:val="32"/>
          <w:lang w:eastAsia="zh-CN"/>
        </w:rPr>
        <w:t>联系方式</w:t>
      </w:r>
      <w:bookmarkEnd w:id="21"/>
    </w:p>
    <w:p w14:paraId="03E47CBE">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遂溪县自然资源局联系人：陈女士，咨询电话：0759-7753320</w:t>
      </w:r>
    </w:p>
    <w:p w14:paraId="23A40A57">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 xml:space="preserve">湛江市公共资源交易中心业务咨询电话：0759-3585819。 </w:t>
      </w:r>
    </w:p>
    <w:p w14:paraId="627493BA">
      <w:pPr>
        <w:pStyle w:val="5"/>
        <w:widowControl w:val="0"/>
        <w:kinsoku/>
        <w:topLinePunct/>
        <w:autoSpaceDE/>
        <w:autoSpaceDN/>
        <w:adjustRightInd/>
        <w:snapToGrid/>
        <w:spacing w:line="580" w:lineRule="exact"/>
        <w:ind w:firstLine="684" w:firstLineChars="214"/>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 xml:space="preserve">CA数字证书办理咨询联系人：吴女士，咨询电话：0759-3585827。 </w:t>
      </w:r>
    </w:p>
    <w:p w14:paraId="47B136B0">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湛江市公共资源交易系统操作联系人：黄生、宋生，咨询电话：0759-3585822。</w:t>
      </w:r>
    </w:p>
    <w:p w14:paraId="6EA0C6A8">
      <w:pPr>
        <w:widowControl w:val="0"/>
        <w:kinsoku/>
        <w:topLinePunct/>
        <w:autoSpaceDE/>
        <w:autoSpaceDN/>
        <w:adjustRightInd/>
        <w:snapToGrid/>
        <w:spacing w:line="600" w:lineRule="exact"/>
        <w:ind w:left="640"/>
        <w:jc w:val="both"/>
        <w:outlineLvl w:val="0"/>
        <w:rPr>
          <w:rFonts w:ascii="Times New Roman" w:hAnsi="Times New Roman" w:eastAsia="黑体" w:cs="Times New Roman"/>
          <w:bCs/>
          <w:color w:val="auto"/>
          <w:kern w:val="10"/>
          <w:sz w:val="32"/>
          <w:szCs w:val="32"/>
          <w:lang w:eastAsia="zh-CN"/>
        </w:rPr>
      </w:pPr>
      <w:bookmarkStart w:id="22" w:name="_Toc17438"/>
      <w:r>
        <w:rPr>
          <w:rFonts w:hint="eastAsia" w:ascii="Times New Roman" w:hAnsi="Times New Roman" w:eastAsia="黑体" w:cs="Times New Roman"/>
          <w:bCs/>
          <w:color w:val="auto"/>
          <w:kern w:val="10"/>
          <w:sz w:val="32"/>
          <w:szCs w:val="32"/>
          <w:lang w:eastAsia="zh-CN"/>
        </w:rPr>
        <w:t>十四、</w:t>
      </w:r>
      <w:r>
        <w:rPr>
          <w:rFonts w:ascii="Times New Roman" w:hAnsi="Times New Roman" w:eastAsia="黑体" w:cs="Times New Roman"/>
          <w:bCs/>
          <w:color w:val="auto"/>
          <w:kern w:val="10"/>
          <w:sz w:val="32"/>
          <w:szCs w:val="32"/>
          <w:lang w:eastAsia="zh-CN"/>
        </w:rPr>
        <w:t>监督投诉电话</w:t>
      </w:r>
      <w:bookmarkEnd w:id="22"/>
    </w:p>
    <w:p w14:paraId="64DD5783">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监督投诉电话：0759-3399085。</w:t>
      </w:r>
    </w:p>
    <w:p w14:paraId="021E3F2B">
      <w:pPr>
        <w:widowControl w:val="0"/>
        <w:kinsoku/>
        <w:topLinePunct/>
        <w:autoSpaceDE/>
        <w:autoSpaceDN/>
        <w:adjustRightInd/>
        <w:snapToGrid/>
        <w:spacing w:line="600" w:lineRule="exact"/>
        <w:ind w:left="640"/>
        <w:jc w:val="both"/>
        <w:outlineLvl w:val="0"/>
        <w:rPr>
          <w:rFonts w:ascii="Times New Roman" w:hAnsi="Times New Roman" w:eastAsia="黑体" w:cs="Times New Roman"/>
          <w:bCs/>
          <w:color w:val="auto"/>
          <w:kern w:val="10"/>
          <w:sz w:val="32"/>
          <w:szCs w:val="32"/>
          <w:lang w:eastAsia="zh-CN"/>
        </w:rPr>
      </w:pPr>
      <w:bookmarkStart w:id="23" w:name="_Toc17879"/>
      <w:r>
        <w:rPr>
          <w:rFonts w:hint="eastAsia" w:ascii="Times New Roman" w:hAnsi="Times New Roman" w:eastAsia="黑体" w:cs="Times New Roman"/>
          <w:bCs/>
          <w:color w:val="auto"/>
          <w:kern w:val="10"/>
          <w:sz w:val="32"/>
          <w:szCs w:val="32"/>
          <w:lang w:eastAsia="zh-CN"/>
        </w:rPr>
        <w:t>十五、</w:t>
      </w:r>
      <w:r>
        <w:rPr>
          <w:rFonts w:ascii="Times New Roman" w:hAnsi="Times New Roman" w:eastAsia="黑体" w:cs="Times New Roman"/>
          <w:bCs/>
          <w:color w:val="auto"/>
          <w:kern w:val="10"/>
          <w:sz w:val="32"/>
          <w:szCs w:val="32"/>
          <w:lang w:eastAsia="zh-CN"/>
        </w:rPr>
        <w:t>附件</w:t>
      </w:r>
      <w:bookmarkEnd w:id="23"/>
    </w:p>
    <w:p w14:paraId="4CCE2890">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1. 拟出让采矿权基本情况</w:t>
      </w:r>
    </w:p>
    <w:p w14:paraId="5A721BCF">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 申请人一般情况表</w:t>
      </w:r>
    </w:p>
    <w:p w14:paraId="0C38E967">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3. 竞买声明</w:t>
      </w:r>
    </w:p>
    <w:p w14:paraId="1D4902B0">
      <w:pPr>
        <w:pStyle w:val="5"/>
        <w:widowControl w:val="0"/>
        <w:kinsoku/>
        <w:topLinePunct/>
        <w:autoSpaceDE/>
        <w:autoSpaceDN/>
        <w:adjustRightInd/>
        <w:snapToGrid/>
        <w:spacing w:line="580" w:lineRule="exact"/>
        <w:ind w:firstLine="643" w:firstLineChars="200"/>
        <w:jc w:val="both"/>
        <w:outlineLvl w:val="4"/>
        <w:rPr>
          <w:rFonts w:ascii="仿宋_GB2312" w:hAnsi="仿宋_GB2312" w:eastAsia="仿宋_GB2312" w:cs="仿宋_GB2312"/>
          <w:b/>
          <w:bCs/>
          <w:color w:val="FF0000"/>
          <w:kern w:val="10"/>
          <w:sz w:val="32"/>
          <w:szCs w:val="32"/>
          <w:lang w:eastAsia="zh-CN"/>
        </w:rPr>
      </w:pPr>
    </w:p>
    <w:p w14:paraId="74831EAB">
      <w:pPr>
        <w:pStyle w:val="5"/>
        <w:widowControl w:val="0"/>
        <w:kinsoku/>
        <w:topLinePunct/>
        <w:autoSpaceDE/>
        <w:autoSpaceDN/>
        <w:adjustRightInd/>
        <w:snapToGrid/>
        <w:spacing w:line="580" w:lineRule="exact"/>
        <w:ind w:firstLine="643" w:firstLineChars="2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b/>
          <w:bCs/>
          <w:color w:val="FF0000"/>
          <w:kern w:val="10"/>
          <w:sz w:val="32"/>
          <w:szCs w:val="32"/>
          <w:lang w:eastAsia="zh-CN"/>
        </w:rPr>
        <w:t xml:space="preserve">                       </w:t>
      </w:r>
      <w:r>
        <w:rPr>
          <w:rFonts w:hint="eastAsia" w:ascii="仿宋_GB2312" w:hAnsi="仿宋_GB2312" w:eastAsia="仿宋_GB2312" w:cs="仿宋_GB2312"/>
          <w:color w:val="auto"/>
          <w:kern w:val="10"/>
          <w:sz w:val="32"/>
          <w:szCs w:val="32"/>
          <w:lang w:eastAsia="zh-CN"/>
        </w:rPr>
        <w:t xml:space="preserve"> </w:t>
      </w:r>
      <w:r>
        <w:rPr>
          <w:rFonts w:ascii="仿宋_GB2312" w:hAnsi="仿宋_GB2312" w:eastAsia="仿宋_GB2312" w:cs="仿宋_GB2312"/>
          <w:color w:val="auto"/>
          <w:kern w:val="10"/>
          <w:sz w:val="32"/>
          <w:szCs w:val="32"/>
          <w:lang w:eastAsia="zh-CN"/>
        </w:rPr>
        <w:t xml:space="preserve">    </w:t>
      </w:r>
      <w:r>
        <w:rPr>
          <w:rFonts w:hint="eastAsia" w:ascii="仿宋_GB2312" w:hAnsi="仿宋_GB2312" w:eastAsia="仿宋_GB2312" w:cs="仿宋_GB2312"/>
          <w:color w:val="auto"/>
          <w:kern w:val="10"/>
          <w:sz w:val="32"/>
          <w:szCs w:val="32"/>
          <w:lang w:eastAsia="zh-CN"/>
        </w:rPr>
        <w:t>遂溪县自然资源局</w:t>
      </w:r>
    </w:p>
    <w:p w14:paraId="032760F6">
      <w:pPr>
        <w:pStyle w:val="5"/>
        <w:widowControl w:val="0"/>
        <w:kinsoku/>
        <w:topLinePunct/>
        <w:autoSpaceDE/>
        <w:autoSpaceDN/>
        <w:adjustRightInd/>
        <w:snapToGrid/>
        <w:spacing w:line="580" w:lineRule="exact"/>
        <w:ind w:firstLine="5120" w:firstLineChars="1600"/>
        <w:jc w:val="both"/>
        <w:outlineLvl w:val="4"/>
        <w:rPr>
          <w:rFonts w:ascii="仿宋_GB2312" w:hAnsi="仿宋_GB2312" w:eastAsia="仿宋_GB2312" w:cs="仿宋_GB2312"/>
          <w:color w:val="auto"/>
          <w:kern w:val="10"/>
          <w:sz w:val="32"/>
          <w:szCs w:val="32"/>
          <w:lang w:eastAsia="zh-CN"/>
        </w:rPr>
      </w:pPr>
      <w:r>
        <w:rPr>
          <w:rFonts w:hint="eastAsia" w:ascii="仿宋_GB2312" w:hAnsi="仿宋_GB2312" w:eastAsia="仿宋_GB2312" w:cs="仿宋_GB2312"/>
          <w:color w:val="auto"/>
          <w:kern w:val="10"/>
          <w:sz w:val="32"/>
          <w:szCs w:val="32"/>
          <w:lang w:eastAsia="zh-CN"/>
        </w:rPr>
        <w:t>2024年</w:t>
      </w:r>
      <w:r>
        <w:rPr>
          <w:rFonts w:ascii="仿宋_GB2312" w:hAnsi="仿宋_GB2312" w:eastAsia="仿宋_GB2312" w:cs="仿宋_GB2312"/>
          <w:color w:val="auto"/>
          <w:kern w:val="10"/>
          <w:sz w:val="32"/>
          <w:szCs w:val="32"/>
          <w:lang w:eastAsia="zh-CN"/>
        </w:rPr>
        <w:t>11</w:t>
      </w:r>
      <w:r>
        <w:rPr>
          <w:rFonts w:hint="eastAsia" w:ascii="仿宋_GB2312" w:hAnsi="仿宋_GB2312" w:eastAsia="仿宋_GB2312" w:cs="仿宋_GB2312"/>
          <w:color w:val="auto"/>
          <w:kern w:val="10"/>
          <w:sz w:val="32"/>
          <w:szCs w:val="32"/>
          <w:lang w:eastAsia="zh-CN"/>
        </w:rPr>
        <w:t>月</w:t>
      </w:r>
      <w:r>
        <w:rPr>
          <w:rFonts w:ascii="仿宋_GB2312" w:hAnsi="仿宋_GB2312" w:eastAsia="仿宋_GB2312" w:cs="仿宋_GB2312"/>
          <w:color w:val="auto"/>
          <w:kern w:val="10"/>
          <w:sz w:val="32"/>
          <w:szCs w:val="32"/>
          <w:lang w:eastAsia="zh-CN"/>
        </w:rPr>
        <w:t>16</w:t>
      </w:r>
      <w:r>
        <w:rPr>
          <w:rFonts w:hint="eastAsia" w:ascii="仿宋_GB2312" w:hAnsi="仿宋_GB2312" w:eastAsia="仿宋_GB2312" w:cs="仿宋_GB2312"/>
          <w:color w:val="auto"/>
          <w:kern w:val="10"/>
          <w:sz w:val="32"/>
          <w:szCs w:val="32"/>
          <w:lang w:eastAsia="zh-CN"/>
        </w:rPr>
        <w:t>日</w:t>
      </w:r>
    </w:p>
    <w:p w14:paraId="13362066">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p>
    <w:p w14:paraId="3AE18435">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p>
    <w:p w14:paraId="25431B91">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p>
    <w:p w14:paraId="4EA7DA86">
      <w:pPr>
        <w:pStyle w:val="5"/>
        <w:widowControl w:val="0"/>
        <w:kinsoku/>
        <w:topLinePunct/>
        <w:autoSpaceDE/>
        <w:autoSpaceDN/>
        <w:adjustRightInd/>
        <w:snapToGrid/>
        <w:spacing w:line="580" w:lineRule="exact"/>
        <w:ind w:firstLine="640" w:firstLineChars="200"/>
        <w:jc w:val="both"/>
        <w:outlineLvl w:val="4"/>
        <w:rPr>
          <w:rFonts w:ascii="仿宋_GB2312" w:hAnsi="仿宋_GB2312" w:eastAsia="仿宋_GB2312" w:cs="仿宋_GB2312"/>
          <w:color w:val="auto"/>
          <w:kern w:val="10"/>
          <w:sz w:val="32"/>
          <w:szCs w:val="32"/>
          <w:lang w:eastAsia="zh-CN"/>
        </w:rPr>
      </w:pPr>
    </w:p>
    <w:p w14:paraId="3F28713F">
      <w:pPr>
        <w:pStyle w:val="5"/>
        <w:kinsoku/>
        <w:topLinePunct/>
        <w:autoSpaceDE/>
        <w:autoSpaceDN/>
        <w:adjustRightInd/>
        <w:snapToGrid/>
        <w:spacing w:line="560" w:lineRule="exact"/>
        <w:ind w:right="1289" w:rightChars="614" w:firstLine="640" w:firstLineChars="200"/>
        <w:jc w:val="right"/>
        <w:outlineLvl w:val="4"/>
        <w:rPr>
          <w:rFonts w:ascii="Times New Roman" w:hAnsi="Times New Roman" w:eastAsia="仿宋_GB2312" w:cs="Times New Roman"/>
          <w:color w:val="auto"/>
          <w:kern w:val="10"/>
          <w:sz w:val="32"/>
          <w:szCs w:val="32"/>
          <w:lang w:eastAsia="zh-CN"/>
        </w:rPr>
      </w:pPr>
    </w:p>
    <w:p w14:paraId="3F3D3AB9">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p>
    <w:p w14:paraId="0554FC2E">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p>
    <w:p w14:paraId="0D9D360D">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p>
    <w:p w14:paraId="02268B86">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p>
    <w:p w14:paraId="7543505A">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p>
    <w:p w14:paraId="32908FF1">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p>
    <w:p w14:paraId="104315CB">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p>
    <w:p w14:paraId="1C560F78">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p>
    <w:p w14:paraId="25C66BE9">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p>
    <w:p w14:paraId="4E44CB27">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p>
    <w:p w14:paraId="7ACE51FA">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p>
    <w:p w14:paraId="19E72EBB">
      <w:pPr>
        <w:pStyle w:val="5"/>
        <w:kinsoku/>
        <w:topLinePunct/>
        <w:autoSpaceDE/>
        <w:autoSpaceDN/>
        <w:adjustRightInd/>
        <w:snapToGrid/>
        <w:spacing w:line="560" w:lineRule="exact"/>
        <w:outlineLvl w:val="4"/>
        <w:rPr>
          <w:rFonts w:hint="eastAsia" w:ascii="黑体" w:hAnsi="黑体" w:eastAsia="黑体" w:cs="黑体"/>
          <w:color w:val="auto"/>
          <w:kern w:val="10"/>
          <w:sz w:val="32"/>
          <w:szCs w:val="32"/>
          <w:lang w:eastAsia="zh-CN"/>
        </w:rPr>
      </w:pPr>
    </w:p>
    <w:p w14:paraId="3F557B83">
      <w:pPr>
        <w:pStyle w:val="5"/>
        <w:kinsoku/>
        <w:topLinePunct/>
        <w:autoSpaceDE/>
        <w:autoSpaceDN/>
        <w:adjustRightInd/>
        <w:snapToGrid/>
        <w:spacing w:line="560" w:lineRule="exact"/>
        <w:outlineLvl w:val="4"/>
        <w:rPr>
          <w:rFonts w:ascii="黑体" w:hAnsi="黑体" w:eastAsia="黑体" w:cs="黑体"/>
          <w:color w:val="auto"/>
          <w:kern w:val="10"/>
          <w:sz w:val="32"/>
          <w:szCs w:val="32"/>
          <w:lang w:eastAsia="zh-CN"/>
        </w:rPr>
      </w:pPr>
      <w:r>
        <w:rPr>
          <w:rFonts w:hint="eastAsia" w:ascii="黑体" w:hAnsi="黑体" w:eastAsia="黑体" w:cs="黑体"/>
          <w:color w:val="auto"/>
          <w:kern w:val="10"/>
          <w:sz w:val="32"/>
          <w:szCs w:val="32"/>
          <w:lang w:eastAsia="zh-CN"/>
        </w:rPr>
        <w:t>附件 1</w:t>
      </w:r>
    </w:p>
    <w:p w14:paraId="0589902B">
      <w:pPr>
        <w:pStyle w:val="5"/>
        <w:kinsoku/>
        <w:topLinePunct/>
        <w:autoSpaceDE/>
        <w:autoSpaceDN/>
        <w:adjustRightInd/>
        <w:snapToGrid/>
        <w:spacing w:line="560" w:lineRule="exact"/>
        <w:ind w:firstLine="640" w:firstLineChars="200"/>
        <w:outlineLvl w:val="4"/>
        <w:rPr>
          <w:rFonts w:ascii="黑体" w:hAnsi="黑体" w:eastAsia="黑体" w:cs="黑体"/>
          <w:color w:val="auto"/>
          <w:kern w:val="10"/>
          <w:sz w:val="32"/>
          <w:szCs w:val="32"/>
          <w:lang w:eastAsia="zh-CN"/>
        </w:rPr>
      </w:pPr>
    </w:p>
    <w:p w14:paraId="5EFD83E6">
      <w:pPr>
        <w:pStyle w:val="5"/>
        <w:kinsoku/>
        <w:topLinePunct/>
        <w:autoSpaceDE/>
        <w:autoSpaceDN/>
        <w:adjustRightInd/>
        <w:snapToGrid/>
        <w:spacing w:line="560" w:lineRule="exact"/>
        <w:jc w:val="center"/>
        <w:outlineLvl w:val="4"/>
        <w:rPr>
          <w:rFonts w:ascii="方正小标宋简体" w:hAnsi="方正小标宋简体" w:eastAsia="方正小标宋简体" w:cs="方正小标宋简体"/>
          <w:color w:val="auto"/>
          <w:kern w:val="10"/>
          <w:sz w:val="44"/>
          <w:szCs w:val="44"/>
          <w:lang w:eastAsia="zh-CN"/>
        </w:rPr>
      </w:pPr>
      <w:r>
        <w:rPr>
          <w:rFonts w:hint="eastAsia" w:ascii="方正小标宋简体" w:hAnsi="方正小标宋简体" w:eastAsia="方正小标宋简体" w:cs="方正小标宋简体"/>
          <w:color w:val="auto"/>
          <w:kern w:val="10"/>
          <w:sz w:val="44"/>
          <w:szCs w:val="44"/>
          <w:lang w:eastAsia="zh-CN"/>
        </w:rPr>
        <w:t>拟出让矿区的基本情况及相关要求</w:t>
      </w:r>
    </w:p>
    <w:p w14:paraId="3880F3F9">
      <w:pPr>
        <w:pStyle w:val="5"/>
        <w:kinsoku/>
        <w:topLinePunct/>
        <w:autoSpaceDE/>
        <w:autoSpaceDN/>
        <w:adjustRightInd/>
        <w:snapToGrid/>
        <w:spacing w:line="560" w:lineRule="exact"/>
        <w:ind w:firstLine="880" w:firstLineChars="200"/>
        <w:jc w:val="center"/>
        <w:outlineLvl w:val="4"/>
        <w:rPr>
          <w:rFonts w:ascii="方正小标宋简体" w:hAnsi="方正小标宋简体" w:eastAsia="方正小标宋简体" w:cs="方正小标宋简体"/>
          <w:color w:val="auto"/>
          <w:kern w:val="10"/>
          <w:sz w:val="44"/>
          <w:szCs w:val="44"/>
          <w:lang w:eastAsia="zh-CN"/>
        </w:rPr>
      </w:pPr>
    </w:p>
    <w:p w14:paraId="27D87B59">
      <w:pPr>
        <w:pStyle w:val="4"/>
        <w:keepNext w:val="0"/>
        <w:keepLines w:val="0"/>
        <w:numPr>
          <w:ilvl w:val="0"/>
          <w:numId w:val="11"/>
        </w:numPr>
        <w:kinsoku/>
        <w:topLinePunct/>
        <w:autoSpaceDE/>
        <w:autoSpaceDN/>
        <w:adjustRightInd/>
        <w:snapToGrid/>
        <w:spacing w:line="560" w:lineRule="exact"/>
        <w:ind w:firstLine="640"/>
        <w:rPr>
          <w:rFonts w:ascii="黑体" w:hAnsi="黑体" w:eastAsia="黑体" w:cs="黑体"/>
          <w:b w:val="0"/>
          <w:color w:val="auto"/>
          <w:kern w:val="10"/>
          <w:sz w:val="32"/>
          <w:szCs w:val="32"/>
          <w:lang w:eastAsia="zh-CN"/>
        </w:rPr>
      </w:pPr>
      <w:bookmarkStart w:id="24" w:name="_Toc1389"/>
      <w:r>
        <w:rPr>
          <w:rFonts w:hint="eastAsia" w:ascii="黑体" w:hAnsi="黑体" w:eastAsia="黑体" w:cs="黑体"/>
          <w:b w:val="0"/>
          <w:color w:val="auto"/>
          <w:kern w:val="10"/>
          <w:sz w:val="32"/>
          <w:szCs w:val="32"/>
          <w:lang w:eastAsia="zh-CN"/>
        </w:rPr>
        <w:t>矿区地理位置及范围</w:t>
      </w:r>
      <w:bookmarkEnd w:id="24"/>
    </w:p>
    <w:p w14:paraId="246240CE">
      <w:pPr>
        <w:kinsoku/>
        <w:topLinePunct/>
        <w:autoSpaceDE/>
        <w:autoSpaceDN/>
        <w:adjustRightInd/>
        <w:snapToGrid/>
        <w:spacing w:line="570" w:lineRule="exact"/>
        <w:ind w:firstLine="640" w:firstLineChars="200"/>
        <w:textAlignment w:val="auto"/>
        <w:outlineLvl w:val="4"/>
        <w:rPr>
          <w:rFonts w:ascii="仿宋_GB2312" w:hAnsi="仿宋_GB2312" w:eastAsia="仿宋_GB2312" w:cs="仿宋_GB2312"/>
          <w:kern w:val="32"/>
          <w:sz w:val="32"/>
          <w:szCs w:val="32"/>
          <w:lang w:eastAsia="zh-CN" w:bidi="ar"/>
        </w:rPr>
      </w:pPr>
      <w:r>
        <w:rPr>
          <w:rFonts w:hint="eastAsia" w:ascii="仿宋_GB2312" w:hAnsi="仿宋_GB2312" w:eastAsia="仿宋_GB2312" w:cs="仿宋_GB2312"/>
          <w:kern w:val="32"/>
          <w:sz w:val="32"/>
          <w:szCs w:val="32"/>
          <w:lang w:eastAsia="zh-CN"/>
        </w:rPr>
        <w:t>矿区</w:t>
      </w:r>
      <w:r>
        <w:rPr>
          <w:rFonts w:hint="eastAsia" w:ascii="仿宋_GB2312" w:hAnsi="仿宋_GB2312" w:eastAsia="仿宋_GB2312" w:cs="仿宋_GB2312"/>
          <w:kern w:val="32"/>
          <w:sz w:val="32"/>
          <w:szCs w:val="32"/>
          <w:lang w:eastAsia="zh-CN" w:bidi="ar"/>
        </w:rPr>
        <w:t xml:space="preserve">位于遂溪县城区257°方向，直距22km处，行政区划隶属遂溪县杨柑镇管辖。拟设矿区中心地理坐标：北纬21°20′31.34″，东经 110°02′05.78″。 </w:t>
      </w:r>
    </w:p>
    <w:p w14:paraId="37AC9719">
      <w:pPr>
        <w:wordWrap w:val="0"/>
        <w:topLinePunct/>
        <w:spacing w:line="570" w:lineRule="exact"/>
        <w:ind w:firstLine="640" w:firstLineChars="200"/>
        <w:rPr>
          <w:rFonts w:ascii="仿宋" w:hAnsi="仿宋" w:eastAsia="仿宋"/>
          <w:color w:val="auto"/>
          <w:sz w:val="32"/>
          <w:szCs w:val="32"/>
          <w:lang w:eastAsia="zh-CN"/>
        </w:rPr>
      </w:pPr>
      <w:r>
        <w:rPr>
          <w:rFonts w:hint="eastAsia" w:ascii="仿宋_GB2312" w:hAnsi="仿宋_GB2312" w:eastAsia="仿宋_GB2312" w:cs="仿宋_GB2312"/>
          <w:kern w:val="32"/>
          <w:sz w:val="32"/>
          <w:szCs w:val="32"/>
          <w:lang w:eastAsia="zh-CN"/>
        </w:rPr>
        <w:t>矿区由12个拐点圈定，开采标高：</w:t>
      </w:r>
      <w:r>
        <w:rPr>
          <w:rFonts w:hint="eastAsia" w:ascii="仿宋_GB2312" w:hAnsi="仿宋_GB2312" w:eastAsia="仿宋_GB2312" w:cs="仿宋_GB2312"/>
          <w:sz w:val="32"/>
          <w:szCs w:val="32"/>
          <w:lang w:eastAsia="zh-CN"/>
        </w:rPr>
        <w:t>26.83m～-25m</w:t>
      </w:r>
      <w:r>
        <w:rPr>
          <w:rFonts w:hint="eastAsia" w:ascii="仿宋_GB2312" w:hAnsi="仿宋_GB2312" w:eastAsia="仿宋_GB2312" w:cs="仿宋_GB2312"/>
          <w:kern w:val="32"/>
          <w:sz w:val="32"/>
          <w:szCs w:val="32"/>
          <w:lang w:eastAsia="zh-CN"/>
        </w:rPr>
        <w:t>，拟设置采矿权面积：</w:t>
      </w:r>
      <w:r>
        <w:rPr>
          <w:rFonts w:hint="eastAsia" w:ascii="仿宋_GB2312" w:hAnsi="仿宋_GB2312" w:eastAsia="仿宋_GB2312" w:cs="仿宋_GB2312"/>
          <w:sz w:val="32"/>
          <w:szCs w:val="32"/>
          <w:lang w:eastAsia="zh-CN"/>
        </w:rPr>
        <w:t>0.1725</w:t>
      </w:r>
      <w:r>
        <w:rPr>
          <w:rFonts w:hint="eastAsia" w:ascii="仿宋_GB2312" w:hAnsi="仿宋_GB2312" w:eastAsia="仿宋_GB2312" w:cs="仿宋_GB2312"/>
          <w:kern w:val="32"/>
          <w:sz w:val="32"/>
          <w:szCs w:val="32"/>
          <w:lang w:eastAsia="zh-CN"/>
        </w:rPr>
        <w:t>km</w:t>
      </w:r>
      <w:r>
        <w:rPr>
          <w:rFonts w:hint="eastAsia" w:ascii="仿宋_GB2312" w:hAnsi="仿宋_GB2312" w:eastAsia="仿宋_GB2312" w:cs="仿宋_GB2312"/>
          <w:kern w:val="32"/>
          <w:sz w:val="32"/>
          <w:szCs w:val="32"/>
          <w:vertAlign w:val="superscript"/>
          <w:lang w:eastAsia="zh-CN"/>
        </w:rPr>
        <w:t>2</w:t>
      </w:r>
      <w:r>
        <w:rPr>
          <w:rFonts w:hint="eastAsia" w:ascii="仿宋_GB2312" w:hAnsi="仿宋_GB2312" w:eastAsia="仿宋_GB2312" w:cs="仿宋_GB2312"/>
          <w:kern w:val="32"/>
          <w:sz w:val="32"/>
          <w:szCs w:val="32"/>
          <w:lang w:eastAsia="zh-CN"/>
        </w:rPr>
        <w:t>，其拐点坐标（2000国家大地坐标系）为：</w:t>
      </w:r>
    </w:p>
    <w:tbl>
      <w:tblPr>
        <w:tblStyle w:val="10"/>
        <w:tblpPr w:leftFromText="180" w:rightFromText="180" w:vertAnchor="text" w:horzAnchor="page" w:tblpX="1650" w:tblpY="629"/>
        <w:tblOverlap w:val="never"/>
        <w:tblW w:w="8790" w:type="dxa"/>
        <w:tblInd w:w="0" w:type="dxa"/>
        <w:tblLayout w:type="fixed"/>
        <w:tblCellMar>
          <w:top w:w="0" w:type="dxa"/>
          <w:left w:w="108" w:type="dxa"/>
          <w:bottom w:w="0" w:type="dxa"/>
          <w:right w:w="108" w:type="dxa"/>
        </w:tblCellMar>
      </w:tblPr>
      <w:tblGrid>
        <w:gridCol w:w="825"/>
        <w:gridCol w:w="1620"/>
        <w:gridCol w:w="1875"/>
        <w:gridCol w:w="900"/>
        <w:gridCol w:w="1695"/>
        <w:gridCol w:w="1875"/>
      </w:tblGrid>
      <w:tr w14:paraId="2676B5A9">
        <w:tblPrEx>
          <w:tblCellMar>
            <w:top w:w="0" w:type="dxa"/>
            <w:left w:w="108" w:type="dxa"/>
            <w:bottom w:w="0" w:type="dxa"/>
            <w:right w:w="108" w:type="dxa"/>
          </w:tblCellMar>
        </w:tblPrEx>
        <w:trPr>
          <w:trHeight w:val="363" w:hRule="atLeast"/>
        </w:trPr>
        <w:tc>
          <w:tcPr>
            <w:tcW w:w="825" w:type="dxa"/>
            <w:tcBorders>
              <w:top w:val="single" w:color="auto" w:sz="4" w:space="0"/>
              <w:left w:val="single" w:color="auto" w:sz="4" w:space="0"/>
              <w:bottom w:val="single" w:color="auto" w:sz="4" w:space="0"/>
              <w:right w:val="single" w:color="auto" w:sz="4" w:space="0"/>
            </w:tcBorders>
            <w:vAlign w:val="center"/>
          </w:tcPr>
          <w:p w14:paraId="0501137E">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lang w:eastAsia="zh-CN"/>
              </w:rPr>
              <w:t>拐点编号</w:t>
            </w:r>
          </w:p>
        </w:tc>
        <w:tc>
          <w:tcPr>
            <w:tcW w:w="1620" w:type="dxa"/>
            <w:tcBorders>
              <w:top w:val="single" w:color="auto" w:sz="4" w:space="0"/>
              <w:left w:val="nil"/>
              <w:bottom w:val="single" w:color="auto" w:sz="4" w:space="0"/>
              <w:right w:val="single" w:color="auto" w:sz="4" w:space="0"/>
            </w:tcBorders>
            <w:vAlign w:val="center"/>
          </w:tcPr>
          <w:p w14:paraId="444FD77F">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X</w:t>
            </w:r>
          </w:p>
        </w:tc>
        <w:tc>
          <w:tcPr>
            <w:tcW w:w="1875" w:type="dxa"/>
            <w:tcBorders>
              <w:top w:val="single" w:color="auto" w:sz="4" w:space="0"/>
              <w:left w:val="nil"/>
              <w:bottom w:val="single" w:color="auto" w:sz="4" w:space="0"/>
              <w:right w:val="single" w:color="auto" w:sz="4" w:space="0"/>
            </w:tcBorders>
            <w:vAlign w:val="center"/>
          </w:tcPr>
          <w:p w14:paraId="1EF189EC">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Y</w:t>
            </w:r>
          </w:p>
        </w:tc>
        <w:tc>
          <w:tcPr>
            <w:tcW w:w="900" w:type="dxa"/>
            <w:tcBorders>
              <w:top w:val="single" w:color="auto" w:sz="4" w:space="0"/>
              <w:left w:val="nil"/>
              <w:bottom w:val="single" w:color="auto" w:sz="4" w:space="0"/>
              <w:right w:val="single" w:color="auto" w:sz="4" w:space="0"/>
            </w:tcBorders>
            <w:vAlign w:val="center"/>
          </w:tcPr>
          <w:p w14:paraId="45293112">
            <w:pPr>
              <w:wordWrap w:val="0"/>
              <w:topLinePunct/>
              <w:jc w:val="center"/>
              <w:rPr>
                <w:rFonts w:ascii="仿宋_GB2312" w:hAnsi="仿宋_GB2312" w:eastAsia="仿宋_GB2312" w:cs="仿宋_GB2312"/>
                <w:kern w:val="32"/>
                <w:sz w:val="28"/>
                <w:szCs w:val="28"/>
                <w:lang w:eastAsia="zh-CN"/>
              </w:rPr>
            </w:pPr>
            <w:r>
              <w:rPr>
                <w:rFonts w:hint="eastAsia" w:ascii="仿宋_GB2312" w:hAnsi="仿宋_GB2312" w:eastAsia="仿宋_GB2312" w:cs="仿宋_GB2312"/>
                <w:kern w:val="32"/>
                <w:sz w:val="28"/>
                <w:szCs w:val="28"/>
              </w:rPr>
              <w:t>拐点</w:t>
            </w:r>
            <w:r>
              <w:rPr>
                <w:rFonts w:hint="eastAsia" w:ascii="仿宋_GB2312" w:hAnsi="仿宋_GB2312" w:eastAsia="仿宋_GB2312" w:cs="仿宋_GB2312"/>
                <w:kern w:val="32"/>
                <w:sz w:val="28"/>
                <w:szCs w:val="28"/>
                <w:lang w:eastAsia="zh-CN"/>
              </w:rPr>
              <w:t>编号</w:t>
            </w:r>
          </w:p>
        </w:tc>
        <w:tc>
          <w:tcPr>
            <w:tcW w:w="1695" w:type="dxa"/>
            <w:tcBorders>
              <w:top w:val="single" w:color="auto" w:sz="4" w:space="0"/>
              <w:left w:val="nil"/>
              <w:bottom w:val="single" w:color="auto" w:sz="4" w:space="0"/>
              <w:right w:val="single" w:color="auto" w:sz="4" w:space="0"/>
            </w:tcBorders>
            <w:vAlign w:val="center"/>
          </w:tcPr>
          <w:p w14:paraId="0F98E54D">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X</w:t>
            </w:r>
          </w:p>
        </w:tc>
        <w:tc>
          <w:tcPr>
            <w:tcW w:w="1875" w:type="dxa"/>
            <w:tcBorders>
              <w:top w:val="single" w:color="auto" w:sz="4" w:space="0"/>
              <w:left w:val="nil"/>
              <w:bottom w:val="single" w:color="auto" w:sz="4" w:space="0"/>
              <w:right w:val="single" w:color="auto" w:sz="4" w:space="0"/>
            </w:tcBorders>
            <w:vAlign w:val="center"/>
          </w:tcPr>
          <w:p w14:paraId="554CC372">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Y</w:t>
            </w:r>
          </w:p>
        </w:tc>
      </w:tr>
      <w:tr w14:paraId="66619C56">
        <w:tblPrEx>
          <w:tblCellMar>
            <w:top w:w="0" w:type="dxa"/>
            <w:left w:w="108" w:type="dxa"/>
            <w:bottom w:w="0" w:type="dxa"/>
            <w:right w:w="108" w:type="dxa"/>
          </w:tblCellMar>
        </w:tblPrEx>
        <w:trPr>
          <w:trHeight w:val="363" w:hRule="atLeast"/>
        </w:trPr>
        <w:tc>
          <w:tcPr>
            <w:tcW w:w="825" w:type="dxa"/>
            <w:tcBorders>
              <w:top w:val="single" w:color="auto" w:sz="4" w:space="0"/>
              <w:left w:val="single" w:color="auto" w:sz="4" w:space="0"/>
              <w:bottom w:val="single" w:color="auto" w:sz="4" w:space="0"/>
              <w:right w:val="single" w:color="auto" w:sz="4" w:space="0"/>
            </w:tcBorders>
            <w:vAlign w:val="center"/>
          </w:tcPr>
          <w:p w14:paraId="123EF0E8">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J1</w:t>
            </w:r>
          </w:p>
        </w:tc>
        <w:tc>
          <w:tcPr>
            <w:tcW w:w="1620" w:type="dxa"/>
            <w:tcBorders>
              <w:top w:val="single" w:color="auto" w:sz="4" w:space="0"/>
              <w:left w:val="single" w:color="auto" w:sz="4" w:space="0"/>
              <w:bottom w:val="single" w:color="auto" w:sz="4" w:space="0"/>
              <w:right w:val="single" w:color="auto" w:sz="4" w:space="0"/>
            </w:tcBorders>
            <w:vAlign w:val="center"/>
          </w:tcPr>
          <w:p w14:paraId="5207F9CF">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2361446.99</w:t>
            </w:r>
          </w:p>
        </w:tc>
        <w:tc>
          <w:tcPr>
            <w:tcW w:w="1875" w:type="dxa"/>
            <w:tcBorders>
              <w:top w:val="single" w:color="auto" w:sz="4" w:space="0"/>
              <w:left w:val="single" w:color="auto" w:sz="4" w:space="0"/>
              <w:bottom w:val="single" w:color="auto" w:sz="4" w:space="0"/>
              <w:right w:val="single" w:color="auto" w:sz="4" w:space="0"/>
            </w:tcBorders>
            <w:vAlign w:val="center"/>
          </w:tcPr>
          <w:p w14:paraId="55F90FA3">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37399727.56</w:t>
            </w:r>
          </w:p>
        </w:tc>
        <w:tc>
          <w:tcPr>
            <w:tcW w:w="900" w:type="dxa"/>
            <w:tcBorders>
              <w:top w:val="single" w:color="auto" w:sz="4" w:space="0"/>
              <w:left w:val="single" w:color="auto" w:sz="4" w:space="0"/>
              <w:bottom w:val="single" w:color="auto" w:sz="4" w:space="0"/>
              <w:right w:val="single" w:color="auto" w:sz="4" w:space="0"/>
            </w:tcBorders>
            <w:vAlign w:val="center"/>
          </w:tcPr>
          <w:p w14:paraId="34664248">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J7</w:t>
            </w:r>
          </w:p>
        </w:tc>
        <w:tc>
          <w:tcPr>
            <w:tcW w:w="1695" w:type="dxa"/>
            <w:tcBorders>
              <w:top w:val="single" w:color="auto" w:sz="4" w:space="0"/>
              <w:left w:val="single" w:color="auto" w:sz="4" w:space="0"/>
              <w:bottom w:val="single" w:color="auto" w:sz="4" w:space="0"/>
              <w:right w:val="single" w:color="auto" w:sz="4" w:space="0"/>
            </w:tcBorders>
            <w:vAlign w:val="center"/>
          </w:tcPr>
          <w:p w14:paraId="68FCB0FA">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2361031.08</w:t>
            </w:r>
          </w:p>
        </w:tc>
        <w:tc>
          <w:tcPr>
            <w:tcW w:w="1875" w:type="dxa"/>
            <w:tcBorders>
              <w:top w:val="single" w:color="auto" w:sz="4" w:space="0"/>
              <w:left w:val="single" w:color="auto" w:sz="4" w:space="0"/>
              <w:bottom w:val="single" w:color="auto" w:sz="4" w:space="0"/>
              <w:right w:val="single" w:color="auto" w:sz="4" w:space="0"/>
            </w:tcBorders>
            <w:vAlign w:val="center"/>
          </w:tcPr>
          <w:p w14:paraId="623E6445">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37400138.36</w:t>
            </w:r>
          </w:p>
        </w:tc>
      </w:tr>
      <w:tr w14:paraId="1137267D">
        <w:tblPrEx>
          <w:tblCellMar>
            <w:top w:w="0" w:type="dxa"/>
            <w:left w:w="108" w:type="dxa"/>
            <w:bottom w:w="0" w:type="dxa"/>
            <w:right w:w="108" w:type="dxa"/>
          </w:tblCellMar>
        </w:tblPrEx>
        <w:trPr>
          <w:trHeight w:val="363" w:hRule="atLeast"/>
        </w:trPr>
        <w:tc>
          <w:tcPr>
            <w:tcW w:w="825" w:type="dxa"/>
            <w:tcBorders>
              <w:top w:val="single" w:color="auto" w:sz="4" w:space="0"/>
              <w:left w:val="single" w:color="auto" w:sz="4" w:space="0"/>
              <w:bottom w:val="single" w:color="auto" w:sz="4" w:space="0"/>
              <w:right w:val="single" w:color="auto" w:sz="4" w:space="0"/>
            </w:tcBorders>
            <w:vAlign w:val="center"/>
          </w:tcPr>
          <w:p w14:paraId="71E33C33">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J2</w:t>
            </w:r>
          </w:p>
        </w:tc>
        <w:tc>
          <w:tcPr>
            <w:tcW w:w="1620" w:type="dxa"/>
            <w:tcBorders>
              <w:top w:val="single" w:color="auto" w:sz="4" w:space="0"/>
              <w:left w:val="single" w:color="auto" w:sz="4" w:space="0"/>
              <w:bottom w:val="single" w:color="auto" w:sz="4" w:space="0"/>
              <w:right w:val="single" w:color="auto" w:sz="4" w:space="0"/>
            </w:tcBorders>
            <w:vAlign w:val="center"/>
          </w:tcPr>
          <w:p w14:paraId="6840187B">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2361411.61</w:t>
            </w:r>
          </w:p>
        </w:tc>
        <w:tc>
          <w:tcPr>
            <w:tcW w:w="1875" w:type="dxa"/>
            <w:tcBorders>
              <w:top w:val="single" w:color="auto" w:sz="4" w:space="0"/>
              <w:left w:val="single" w:color="auto" w:sz="4" w:space="0"/>
              <w:bottom w:val="single" w:color="auto" w:sz="4" w:space="0"/>
              <w:right w:val="single" w:color="auto" w:sz="4" w:space="0"/>
            </w:tcBorders>
            <w:vAlign w:val="center"/>
          </w:tcPr>
          <w:p w14:paraId="14AFE78F">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37400025.85</w:t>
            </w:r>
          </w:p>
        </w:tc>
        <w:tc>
          <w:tcPr>
            <w:tcW w:w="900" w:type="dxa"/>
            <w:tcBorders>
              <w:top w:val="single" w:color="auto" w:sz="4" w:space="0"/>
              <w:left w:val="single" w:color="auto" w:sz="4" w:space="0"/>
              <w:bottom w:val="single" w:color="auto" w:sz="4" w:space="0"/>
              <w:right w:val="single" w:color="auto" w:sz="4" w:space="0"/>
            </w:tcBorders>
            <w:vAlign w:val="center"/>
          </w:tcPr>
          <w:p w14:paraId="5A58B334">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J8</w:t>
            </w:r>
          </w:p>
        </w:tc>
        <w:tc>
          <w:tcPr>
            <w:tcW w:w="1695" w:type="dxa"/>
            <w:tcBorders>
              <w:top w:val="single" w:color="auto" w:sz="4" w:space="0"/>
              <w:left w:val="single" w:color="auto" w:sz="4" w:space="0"/>
              <w:bottom w:val="single" w:color="auto" w:sz="4" w:space="0"/>
              <w:right w:val="single" w:color="auto" w:sz="4" w:space="0"/>
            </w:tcBorders>
            <w:vAlign w:val="center"/>
          </w:tcPr>
          <w:p w14:paraId="1E1FA616">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2361033.48</w:t>
            </w:r>
          </w:p>
        </w:tc>
        <w:tc>
          <w:tcPr>
            <w:tcW w:w="1875" w:type="dxa"/>
            <w:tcBorders>
              <w:top w:val="single" w:color="auto" w:sz="4" w:space="0"/>
              <w:left w:val="single" w:color="auto" w:sz="4" w:space="0"/>
              <w:bottom w:val="single" w:color="auto" w:sz="4" w:space="0"/>
              <w:right w:val="single" w:color="auto" w:sz="4" w:space="0"/>
            </w:tcBorders>
            <w:vAlign w:val="center"/>
          </w:tcPr>
          <w:p w14:paraId="70CEE367">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37399986.29</w:t>
            </w:r>
          </w:p>
        </w:tc>
      </w:tr>
      <w:tr w14:paraId="2CD65B6C">
        <w:tblPrEx>
          <w:tblCellMar>
            <w:top w:w="0" w:type="dxa"/>
            <w:left w:w="108" w:type="dxa"/>
            <w:bottom w:w="0" w:type="dxa"/>
            <w:right w:w="108" w:type="dxa"/>
          </w:tblCellMar>
        </w:tblPrEx>
        <w:trPr>
          <w:trHeight w:val="363" w:hRule="atLeast"/>
        </w:trPr>
        <w:tc>
          <w:tcPr>
            <w:tcW w:w="825" w:type="dxa"/>
            <w:tcBorders>
              <w:top w:val="single" w:color="auto" w:sz="4" w:space="0"/>
              <w:left w:val="single" w:color="auto" w:sz="4" w:space="0"/>
              <w:bottom w:val="single" w:color="auto" w:sz="4" w:space="0"/>
              <w:right w:val="single" w:color="auto" w:sz="4" w:space="0"/>
            </w:tcBorders>
            <w:vAlign w:val="center"/>
          </w:tcPr>
          <w:p w14:paraId="3E35BCBC">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J3</w:t>
            </w:r>
          </w:p>
        </w:tc>
        <w:tc>
          <w:tcPr>
            <w:tcW w:w="1620" w:type="dxa"/>
            <w:tcBorders>
              <w:top w:val="single" w:color="auto" w:sz="4" w:space="0"/>
              <w:left w:val="single" w:color="auto" w:sz="4" w:space="0"/>
              <w:bottom w:val="single" w:color="auto" w:sz="4" w:space="0"/>
              <w:right w:val="single" w:color="auto" w:sz="4" w:space="0"/>
            </w:tcBorders>
            <w:vAlign w:val="center"/>
          </w:tcPr>
          <w:p w14:paraId="43D0357B">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2361398.44</w:t>
            </w:r>
          </w:p>
        </w:tc>
        <w:tc>
          <w:tcPr>
            <w:tcW w:w="1875" w:type="dxa"/>
            <w:tcBorders>
              <w:top w:val="single" w:color="auto" w:sz="4" w:space="0"/>
              <w:left w:val="single" w:color="auto" w:sz="4" w:space="0"/>
              <w:bottom w:val="single" w:color="auto" w:sz="4" w:space="0"/>
              <w:right w:val="single" w:color="auto" w:sz="4" w:space="0"/>
            </w:tcBorders>
            <w:vAlign w:val="center"/>
          </w:tcPr>
          <w:p w14:paraId="002BF2AD">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37400041.06</w:t>
            </w:r>
          </w:p>
        </w:tc>
        <w:tc>
          <w:tcPr>
            <w:tcW w:w="900" w:type="dxa"/>
            <w:tcBorders>
              <w:top w:val="single" w:color="auto" w:sz="4" w:space="0"/>
              <w:left w:val="single" w:color="auto" w:sz="4" w:space="0"/>
              <w:bottom w:val="single" w:color="auto" w:sz="4" w:space="0"/>
              <w:right w:val="single" w:color="auto" w:sz="4" w:space="0"/>
            </w:tcBorders>
            <w:vAlign w:val="center"/>
          </w:tcPr>
          <w:p w14:paraId="1A78BDE8">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J9</w:t>
            </w:r>
          </w:p>
        </w:tc>
        <w:tc>
          <w:tcPr>
            <w:tcW w:w="1695" w:type="dxa"/>
            <w:tcBorders>
              <w:top w:val="single" w:color="auto" w:sz="4" w:space="0"/>
              <w:left w:val="single" w:color="auto" w:sz="4" w:space="0"/>
              <w:bottom w:val="single" w:color="auto" w:sz="4" w:space="0"/>
              <w:right w:val="single" w:color="auto" w:sz="4" w:space="0"/>
            </w:tcBorders>
            <w:vAlign w:val="center"/>
          </w:tcPr>
          <w:p w14:paraId="4E205EE0">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2361111.40</w:t>
            </w:r>
          </w:p>
        </w:tc>
        <w:tc>
          <w:tcPr>
            <w:tcW w:w="1875" w:type="dxa"/>
            <w:tcBorders>
              <w:top w:val="single" w:color="auto" w:sz="4" w:space="0"/>
              <w:left w:val="single" w:color="auto" w:sz="4" w:space="0"/>
              <w:bottom w:val="single" w:color="auto" w:sz="4" w:space="0"/>
              <w:right w:val="single" w:color="auto" w:sz="4" w:space="0"/>
            </w:tcBorders>
            <w:vAlign w:val="center"/>
          </w:tcPr>
          <w:p w14:paraId="65C06410">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37399628.00</w:t>
            </w:r>
          </w:p>
        </w:tc>
      </w:tr>
      <w:tr w14:paraId="7EA63A68">
        <w:tblPrEx>
          <w:tblCellMar>
            <w:top w:w="0" w:type="dxa"/>
            <w:left w:w="108" w:type="dxa"/>
            <w:bottom w:w="0" w:type="dxa"/>
            <w:right w:w="108" w:type="dxa"/>
          </w:tblCellMar>
        </w:tblPrEx>
        <w:trPr>
          <w:trHeight w:val="363" w:hRule="atLeast"/>
        </w:trPr>
        <w:tc>
          <w:tcPr>
            <w:tcW w:w="825" w:type="dxa"/>
            <w:tcBorders>
              <w:top w:val="single" w:color="auto" w:sz="4" w:space="0"/>
              <w:left w:val="single" w:color="auto" w:sz="4" w:space="0"/>
              <w:bottom w:val="single" w:color="auto" w:sz="4" w:space="0"/>
              <w:right w:val="single" w:color="auto" w:sz="4" w:space="0"/>
            </w:tcBorders>
            <w:vAlign w:val="center"/>
          </w:tcPr>
          <w:p w14:paraId="69F33E5E">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J4</w:t>
            </w:r>
          </w:p>
        </w:tc>
        <w:tc>
          <w:tcPr>
            <w:tcW w:w="1620" w:type="dxa"/>
            <w:tcBorders>
              <w:top w:val="single" w:color="auto" w:sz="4" w:space="0"/>
              <w:left w:val="single" w:color="auto" w:sz="4" w:space="0"/>
              <w:bottom w:val="single" w:color="auto" w:sz="4" w:space="0"/>
              <w:right w:val="single" w:color="auto" w:sz="4" w:space="0"/>
            </w:tcBorders>
            <w:vAlign w:val="center"/>
          </w:tcPr>
          <w:p w14:paraId="50472D72">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2361330.65</w:t>
            </w:r>
          </w:p>
        </w:tc>
        <w:tc>
          <w:tcPr>
            <w:tcW w:w="1875" w:type="dxa"/>
            <w:tcBorders>
              <w:top w:val="single" w:color="auto" w:sz="4" w:space="0"/>
              <w:left w:val="single" w:color="auto" w:sz="4" w:space="0"/>
              <w:bottom w:val="single" w:color="auto" w:sz="4" w:space="0"/>
              <w:right w:val="single" w:color="auto" w:sz="4" w:space="0"/>
            </w:tcBorders>
            <w:vAlign w:val="center"/>
          </w:tcPr>
          <w:p w14:paraId="559A8176">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37400076.14</w:t>
            </w:r>
          </w:p>
        </w:tc>
        <w:tc>
          <w:tcPr>
            <w:tcW w:w="900" w:type="dxa"/>
            <w:tcBorders>
              <w:top w:val="single" w:color="auto" w:sz="4" w:space="0"/>
              <w:left w:val="single" w:color="auto" w:sz="4" w:space="0"/>
              <w:bottom w:val="single" w:color="auto" w:sz="4" w:space="0"/>
              <w:right w:val="single" w:color="auto" w:sz="4" w:space="0"/>
            </w:tcBorders>
            <w:vAlign w:val="center"/>
          </w:tcPr>
          <w:p w14:paraId="595578EE">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J10</w:t>
            </w:r>
          </w:p>
        </w:tc>
        <w:tc>
          <w:tcPr>
            <w:tcW w:w="1695" w:type="dxa"/>
            <w:tcBorders>
              <w:top w:val="single" w:color="auto" w:sz="4" w:space="0"/>
              <w:left w:val="single" w:color="auto" w:sz="4" w:space="0"/>
              <w:bottom w:val="single" w:color="auto" w:sz="4" w:space="0"/>
              <w:right w:val="single" w:color="auto" w:sz="4" w:space="0"/>
            </w:tcBorders>
            <w:vAlign w:val="center"/>
          </w:tcPr>
          <w:p w14:paraId="3F08F69E">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2361182.65</w:t>
            </w:r>
          </w:p>
        </w:tc>
        <w:tc>
          <w:tcPr>
            <w:tcW w:w="1875" w:type="dxa"/>
            <w:tcBorders>
              <w:top w:val="single" w:color="auto" w:sz="4" w:space="0"/>
              <w:left w:val="single" w:color="auto" w:sz="4" w:space="0"/>
              <w:bottom w:val="single" w:color="auto" w:sz="4" w:space="0"/>
              <w:right w:val="single" w:color="auto" w:sz="4" w:space="0"/>
            </w:tcBorders>
            <w:vAlign w:val="center"/>
          </w:tcPr>
          <w:p w14:paraId="61EDD9ED">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37399639.66</w:t>
            </w:r>
          </w:p>
        </w:tc>
      </w:tr>
      <w:tr w14:paraId="2B07CEF8">
        <w:tblPrEx>
          <w:tblCellMar>
            <w:top w:w="0" w:type="dxa"/>
            <w:left w:w="108" w:type="dxa"/>
            <w:bottom w:w="0" w:type="dxa"/>
            <w:right w:w="108" w:type="dxa"/>
          </w:tblCellMar>
        </w:tblPrEx>
        <w:trPr>
          <w:trHeight w:val="363" w:hRule="atLeast"/>
        </w:trPr>
        <w:tc>
          <w:tcPr>
            <w:tcW w:w="825" w:type="dxa"/>
            <w:tcBorders>
              <w:top w:val="single" w:color="auto" w:sz="4" w:space="0"/>
              <w:left w:val="single" w:color="auto" w:sz="4" w:space="0"/>
              <w:bottom w:val="single" w:color="auto" w:sz="4" w:space="0"/>
              <w:right w:val="single" w:color="auto" w:sz="4" w:space="0"/>
            </w:tcBorders>
            <w:vAlign w:val="center"/>
          </w:tcPr>
          <w:p w14:paraId="5F873E6A">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J5</w:t>
            </w:r>
          </w:p>
        </w:tc>
        <w:tc>
          <w:tcPr>
            <w:tcW w:w="1620" w:type="dxa"/>
            <w:tcBorders>
              <w:top w:val="single" w:color="auto" w:sz="4" w:space="0"/>
              <w:left w:val="single" w:color="auto" w:sz="4" w:space="0"/>
              <w:bottom w:val="single" w:color="auto" w:sz="4" w:space="0"/>
              <w:right w:val="single" w:color="auto" w:sz="4" w:space="0"/>
            </w:tcBorders>
            <w:vAlign w:val="center"/>
          </w:tcPr>
          <w:p w14:paraId="0FEC8EB9">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2361311.33</w:t>
            </w:r>
          </w:p>
        </w:tc>
        <w:tc>
          <w:tcPr>
            <w:tcW w:w="1875" w:type="dxa"/>
            <w:tcBorders>
              <w:top w:val="single" w:color="auto" w:sz="4" w:space="0"/>
              <w:left w:val="single" w:color="auto" w:sz="4" w:space="0"/>
              <w:bottom w:val="single" w:color="auto" w:sz="4" w:space="0"/>
              <w:right w:val="single" w:color="auto" w:sz="4" w:space="0"/>
            </w:tcBorders>
            <w:vAlign w:val="center"/>
          </w:tcPr>
          <w:p w14:paraId="51F8343C">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37400075.77</w:t>
            </w:r>
          </w:p>
        </w:tc>
        <w:tc>
          <w:tcPr>
            <w:tcW w:w="900" w:type="dxa"/>
            <w:tcBorders>
              <w:top w:val="single" w:color="auto" w:sz="4" w:space="0"/>
              <w:left w:val="single" w:color="auto" w:sz="4" w:space="0"/>
              <w:bottom w:val="single" w:color="auto" w:sz="4" w:space="0"/>
              <w:right w:val="single" w:color="auto" w:sz="4" w:space="0"/>
            </w:tcBorders>
            <w:vAlign w:val="center"/>
          </w:tcPr>
          <w:p w14:paraId="5C153BA7">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J11</w:t>
            </w:r>
          </w:p>
        </w:tc>
        <w:tc>
          <w:tcPr>
            <w:tcW w:w="1695" w:type="dxa"/>
            <w:tcBorders>
              <w:top w:val="single" w:color="auto" w:sz="4" w:space="0"/>
              <w:left w:val="single" w:color="auto" w:sz="4" w:space="0"/>
              <w:bottom w:val="single" w:color="auto" w:sz="4" w:space="0"/>
              <w:right w:val="single" w:color="auto" w:sz="4" w:space="0"/>
            </w:tcBorders>
            <w:vAlign w:val="center"/>
          </w:tcPr>
          <w:p w14:paraId="4A40C382">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2361314.78</w:t>
            </w:r>
          </w:p>
        </w:tc>
        <w:tc>
          <w:tcPr>
            <w:tcW w:w="1875" w:type="dxa"/>
            <w:tcBorders>
              <w:top w:val="single" w:color="auto" w:sz="4" w:space="0"/>
              <w:left w:val="single" w:color="auto" w:sz="4" w:space="0"/>
              <w:bottom w:val="single" w:color="auto" w:sz="4" w:space="0"/>
              <w:right w:val="single" w:color="auto" w:sz="4" w:space="0"/>
            </w:tcBorders>
            <w:vAlign w:val="center"/>
          </w:tcPr>
          <w:p w14:paraId="7D4485C2">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37399581.89</w:t>
            </w:r>
          </w:p>
        </w:tc>
      </w:tr>
      <w:tr w14:paraId="1693D763">
        <w:tblPrEx>
          <w:tblCellMar>
            <w:top w:w="0" w:type="dxa"/>
            <w:left w:w="108" w:type="dxa"/>
            <w:bottom w:w="0" w:type="dxa"/>
            <w:right w:w="108" w:type="dxa"/>
          </w:tblCellMar>
        </w:tblPrEx>
        <w:trPr>
          <w:trHeight w:val="363" w:hRule="atLeast"/>
        </w:trPr>
        <w:tc>
          <w:tcPr>
            <w:tcW w:w="825" w:type="dxa"/>
            <w:tcBorders>
              <w:top w:val="single" w:color="auto" w:sz="4" w:space="0"/>
              <w:left w:val="single" w:color="auto" w:sz="4" w:space="0"/>
              <w:bottom w:val="single" w:color="auto" w:sz="4" w:space="0"/>
              <w:right w:val="single" w:color="auto" w:sz="4" w:space="0"/>
            </w:tcBorders>
            <w:vAlign w:val="center"/>
          </w:tcPr>
          <w:p w14:paraId="06B18C7C">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J6</w:t>
            </w:r>
          </w:p>
        </w:tc>
        <w:tc>
          <w:tcPr>
            <w:tcW w:w="1620" w:type="dxa"/>
            <w:tcBorders>
              <w:top w:val="single" w:color="auto" w:sz="4" w:space="0"/>
              <w:left w:val="single" w:color="auto" w:sz="4" w:space="0"/>
              <w:bottom w:val="single" w:color="auto" w:sz="4" w:space="0"/>
              <w:right w:val="single" w:color="auto" w:sz="4" w:space="0"/>
            </w:tcBorders>
            <w:vAlign w:val="center"/>
          </w:tcPr>
          <w:p w14:paraId="16BE0B73">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2361280.04</w:t>
            </w:r>
          </w:p>
        </w:tc>
        <w:tc>
          <w:tcPr>
            <w:tcW w:w="1875" w:type="dxa"/>
            <w:tcBorders>
              <w:top w:val="single" w:color="auto" w:sz="4" w:space="0"/>
              <w:left w:val="single" w:color="auto" w:sz="4" w:space="0"/>
              <w:bottom w:val="single" w:color="auto" w:sz="4" w:space="0"/>
              <w:right w:val="single" w:color="auto" w:sz="4" w:space="0"/>
            </w:tcBorders>
            <w:vAlign w:val="center"/>
          </w:tcPr>
          <w:p w14:paraId="737EF55D">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37400138.36</w:t>
            </w:r>
          </w:p>
        </w:tc>
        <w:tc>
          <w:tcPr>
            <w:tcW w:w="900" w:type="dxa"/>
            <w:tcBorders>
              <w:top w:val="single" w:color="auto" w:sz="4" w:space="0"/>
              <w:left w:val="single" w:color="auto" w:sz="4" w:space="0"/>
              <w:bottom w:val="single" w:color="auto" w:sz="4" w:space="0"/>
              <w:right w:val="single" w:color="auto" w:sz="4" w:space="0"/>
            </w:tcBorders>
            <w:vAlign w:val="center"/>
          </w:tcPr>
          <w:p w14:paraId="5E51823E">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J12</w:t>
            </w:r>
          </w:p>
        </w:tc>
        <w:tc>
          <w:tcPr>
            <w:tcW w:w="1695" w:type="dxa"/>
            <w:tcBorders>
              <w:top w:val="single" w:color="auto" w:sz="4" w:space="0"/>
              <w:left w:val="single" w:color="auto" w:sz="4" w:space="0"/>
              <w:bottom w:val="single" w:color="auto" w:sz="4" w:space="0"/>
              <w:right w:val="single" w:color="auto" w:sz="4" w:space="0"/>
            </w:tcBorders>
            <w:vAlign w:val="center"/>
          </w:tcPr>
          <w:p w14:paraId="4870AF13">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2361373.39</w:t>
            </w:r>
          </w:p>
        </w:tc>
        <w:tc>
          <w:tcPr>
            <w:tcW w:w="1875" w:type="dxa"/>
            <w:tcBorders>
              <w:top w:val="single" w:color="auto" w:sz="4" w:space="0"/>
              <w:left w:val="single" w:color="auto" w:sz="4" w:space="0"/>
              <w:bottom w:val="single" w:color="auto" w:sz="4" w:space="0"/>
              <w:right w:val="single" w:color="auto" w:sz="4" w:space="0"/>
            </w:tcBorders>
            <w:vAlign w:val="center"/>
          </w:tcPr>
          <w:p w14:paraId="0808A218">
            <w:pPr>
              <w:wordWrap w:val="0"/>
              <w:topLinePunct/>
              <w:jc w:val="center"/>
              <w:rPr>
                <w:rFonts w:ascii="仿宋_GB2312" w:hAnsi="仿宋_GB2312" w:eastAsia="仿宋_GB2312" w:cs="仿宋_GB2312"/>
                <w:kern w:val="32"/>
                <w:sz w:val="28"/>
                <w:szCs w:val="28"/>
              </w:rPr>
            </w:pPr>
            <w:r>
              <w:rPr>
                <w:rFonts w:hint="eastAsia" w:ascii="仿宋_GB2312" w:hAnsi="仿宋_GB2312" w:eastAsia="仿宋_GB2312" w:cs="仿宋_GB2312"/>
                <w:kern w:val="32"/>
                <w:sz w:val="28"/>
                <w:szCs w:val="28"/>
              </w:rPr>
              <w:t>37399719.72</w:t>
            </w:r>
          </w:p>
        </w:tc>
      </w:tr>
      <w:tr w14:paraId="65909B6D">
        <w:tblPrEx>
          <w:tblCellMar>
            <w:top w:w="0" w:type="dxa"/>
            <w:left w:w="108" w:type="dxa"/>
            <w:bottom w:w="0" w:type="dxa"/>
            <w:right w:w="108" w:type="dxa"/>
          </w:tblCellMar>
        </w:tblPrEx>
        <w:trPr>
          <w:trHeight w:val="363" w:hRule="atLeast"/>
        </w:trPr>
        <w:tc>
          <w:tcPr>
            <w:tcW w:w="8790" w:type="dxa"/>
            <w:gridSpan w:val="6"/>
            <w:tcBorders>
              <w:top w:val="single" w:color="auto" w:sz="4" w:space="0"/>
              <w:left w:val="single" w:color="auto" w:sz="4" w:space="0"/>
              <w:bottom w:val="single" w:color="auto" w:sz="4" w:space="0"/>
              <w:right w:val="single" w:color="auto" w:sz="4" w:space="0"/>
            </w:tcBorders>
            <w:vAlign w:val="center"/>
          </w:tcPr>
          <w:p w14:paraId="06C5CFED">
            <w:pPr>
              <w:wordWrap w:val="0"/>
              <w:topLinePunct/>
              <w:jc w:val="center"/>
              <w:rPr>
                <w:rFonts w:ascii="仿宋_GB2312" w:hAnsi="仿宋_GB2312" w:eastAsia="仿宋_GB2312" w:cs="仿宋_GB2312"/>
                <w:kern w:val="32"/>
                <w:sz w:val="28"/>
                <w:szCs w:val="28"/>
                <w:lang w:eastAsia="zh-CN"/>
              </w:rPr>
            </w:pPr>
            <w:r>
              <w:rPr>
                <w:rFonts w:hint="eastAsia" w:ascii="仿宋_GB2312" w:hAnsi="仿宋_GB2312" w:eastAsia="仿宋_GB2312" w:cs="仿宋_GB2312"/>
                <w:kern w:val="32"/>
                <w:sz w:val="28"/>
                <w:szCs w:val="28"/>
                <w:lang w:eastAsia="zh-CN"/>
              </w:rPr>
              <w:t>矿区面积：</w:t>
            </w:r>
            <w:r>
              <w:rPr>
                <w:rFonts w:hint="eastAsia" w:ascii="仿宋_GB2312" w:hAnsi="仿宋_GB2312" w:eastAsia="仿宋_GB2312" w:cs="仿宋_GB2312"/>
                <w:sz w:val="28"/>
                <w:szCs w:val="28"/>
                <w:lang w:eastAsia="zh-CN"/>
              </w:rPr>
              <w:t>0.1725</w:t>
            </w:r>
            <w:r>
              <w:rPr>
                <w:rFonts w:hint="eastAsia" w:ascii="仿宋_GB2312" w:hAnsi="仿宋_GB2312" w:eastAsia="仿宋_GB2312" w:cs="仿宋_GB2312"/>
                <w:kern w:val="32"/>
                <w:sz w:val="28"/>
                <w:szCs w:val="28"/>
                <w:lang w:eastAsia="zh-CN"/>
              </w:rPr>
              <w:t>km</w:t>
            </w:r>
            <w:r>
              <w:rPr>
                <w:rFonts w:hint="eastAsia" w:ascii="仿宋_GB2312" w:hAnsi="仿宋_GB2312" w:eastAsia="仿宋_GB2312" w:cs="仿宋_GB2312"/>
                <w:kern w:val="32"/>
                <w:sz w:val="28"/>
                <w:szCs w:val="28"/>
                <w:vertAlign w:val="superscript"/>
                <w:lang w:eastAsia="zh-CN"/>
              </w:rPr>
              <w:t>2</w:t>
            </w:r>
            <w:r>
              <w:rPr>
                <w:rFonts w:hint="eastAsia" w:ascii="仿宋_GB2312" w:hAnsi="仿宋_GB2312" w:eastAsia="仿宋_GB2312" w:cs="仿宋_GB2312"/>
                <w:kern w:val="32"/>
                <w:sz w:val="28"/>
                <w:szCs w:val="28"/>
                <w:lang w:eastAsia="zh-CN"/>
              </w:rPr>
              <w:t>，开采标高：</w:t>
            </w:r>
            <w:r>
              <w:rPr>
                <w:rFonts w:hint="eastAsia" w:ascii="仿宋_GB2312" w:hAnsi="仿宋_GB2312" w:eastAsia="仿宋_GB2312" w:cs="仿宋_GB2312"/>
                <w:sz w:val="28"/>
                <w:szCs w:val="28"/>
                <w:lang w:eastAsia="zh-CN"/>
              </w:rPr>
              <w:t>26.83m～-25m</w:t>
            </w:r>
          </w:p>
        </w:tc>
      </w:tr>
    </w:tbl>
    <w:p w14:paraId="498F6FF3">
      <w:pPr>
        <w:pStyle w:val="4"/>
        <w:keepNext w:val="0"/>
        <w:keepLines w:val="0"/>
        <w:widowControl w:val="0"/>
        <w:numPr>
          <w:ilvl w:val="0"/>
          <w:numId w:val="11"/>
        </w:numPr>
        <w:kinsoku/>
        <w:topLinePunct/>
        <w:autoSpaceDE/>
        <w:autoSpaceDN/>
        <w:adjustRightInd/>
        <w:snapToGrid/>
        <w:spacing w:line="600" w:lineRule="exact"/>
        <w:ind w:firstLine="641"/>
        <w:jc w:val="both"/>
        <w:rPr>
          <w:rFonts w:ascii="Times New Roman" w:hAnsi="Times New Roman" w:eastAsia="黑体" w:cs="Times New Roman"/>
          <w:b w:val="0"/>
          <w:color w:val="auto"/>
          <w:kern w:val="10"/>
          <w:sz w:val="32"/>
          <w:szCs w:val="32"/>
          <w:lang w:eastAsia="zh-CN"/>
        </w:rPr>
      </w:pPr>
      <w:bookmarkStart w:id="25" w:name="_Toc15933"/>
      <w:r>
        <w:rPr>
          <w:rFonts w:hint="eastAsia" w:ascii="黑体" w:hAnsi="黑体" w:eastAsia="黑体" w:cs="黑体"/>
          <w:b w:val="0"/>
          <w:color w:val="auto"/>
          <w:kern w:val="10"/>
          <w:sz w:val="32"/>
          <w:szCs w:val="32"/>
          <w:lang w:eastAsia="zh-CN"/>
        </w:rPr>
        <w:t>拟出让矿区</w:t>
      </w:r>
      <w:r>
        <w:rPr>
          <w:rFonts w:ascii="Times New Roman" w:hAnsi="黑体" w:eastAsia="黑体" w:cs="Times New Roman"/>
          <w:b w:val="0"/>
          <w:color w:val="auto"/>
          <w:kern w:val="10"/>
          <w:sz w:val="32"/>
          <w:szCs w:val="32"/>
          <w:lang w:eastAsia="zh-CN"/>
        </w:rPr>
        <w:t>资源储量情况及拟出让年限</w:t>
      </w:r>
      <w:bookmarkEnd w:id="25"/>
    </w:p>
    <w:p w14:paraId="47D89E8F">
      <w:pPr>
        <w:numPr>
          <w:ilvl w:val="0"/>
          <w:numId w:val="12"/>
        </w:num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bCs/>
          <w:kern w:val="32"/>
          <w:sz w:val="32"/>
          <w:szCs w:val="32"/>
          <w:lang w:eastAsia="zh-CN"/>
        </w:rPr>
        <w:t>矿产资源储量：矿区范围内累计查明玻璃用石英砂矿控制资源量原矿矿石量617.9万吨，推断资源量原矿矿石量58.1万吨、含砂率83.28%，淘洗后控制资源量矿石量514.6万吨，推断资源量矿石量48.4万吨。剥离总量133.7万方（覆盖层北海组粘土73.4万方；湛江组夹层60.3万方），剥离比为0.35:1。</w:t>
      </w:r>
    </w:p>
    <w:p w14:paraId="00208043">
      <w:pPr>
        <w:numPr>
          <w:ilvl w:val="0"/>
          <w:numId w:val="12"/>
        </w:numPr>
        <w:wordWrap w:val="0"/>
        <w:topLinePunct/>
        <w:spacing w:line="600" w:lineRule="exact"/>
        <w:ind w:firstLine="640" w:firstLineChars="200"/>
        <w:rPr>
          <w:rFonts w:ascii="仿宋_GB2312" w:hAnsi="仿宋_GB2312" w:eastAsia="仿宋_GB2312" w:cs="仿宋_GB2312"/>
          <w:kern w:val="32"/>
          <w:sz w:val="32"/>
          <w:szCs w:val="32"/>
        </w:rPr>
      </w:pPr>
      <w:r>
        <w:rPr>
          <w:rFonts w:hint="eastAsia" w:ascii="仿宋_GB2312" w:hAnsi="仿宋_GB2312" w:eastAsia="仿宋_GB2312" w:cs="仿宋_GB2312"/>
          <w:bCs/>
          <w:kern w:val="32"/>
          <w:sz w:val="32"/>
          <w:szCs w:val="32"/>
          <w:lang w:eastAsia="zh-CN"/>
        </w:rPr>
        <w:t>设计利用的矿产资源储量：按照《广东省遂溪县杨柑镇青水村矿区玻璃用石英砂矿矿产资源开发方案审查意见书》（湛矿开审字［2024]7号），本矿区内控制和推断资源量可信度系数均取1.0，设计利用玻璃用石英砂原矿矿石量为676.0万吨，含砂率83.28%，淘洗后石英砂为563.0万吨。</w:t>
      </w:r>
      <w:r>
        <w:rPr>
          <w:rFonts w:hint="eastAsia" w:ascii="仿宋_GB2312" w:hAnsi="仿宋_GB2312" w:eastAsia="仿宋_GB2312" w:cs="仿宋_GB2312"/>
          <w:bCs/>
          <w:kern w:val="32"/>
          <w:sz w:val="32"/>
          <w:szCs w:val="32"/>
        </w:rPr>
        <w:t>剥离总量为133.7万方。</w:t>
      </w:r>
    </w:p>
    <w:p w14:paraId="07E81CB9">
      <w:pPr>
        <w:numPr>
          <w:ilvl w:val="0"/>
          <w:numId w:val="12"/>
        </w:numPr>
        <w:wordWrap w:val="0"/>
        <w:topLinePunct/>
        <w:spacing w:line="600" w:lineRule="exact"/>
        <w:ind w:firstLine="640" w:firstLineChars="200"/>
        <w:rPr>
          <w:rFonts w:ascii="仿宋_GB2312" w:hAnsi="仿宋_GB2312" w:eastAsia="仿宋_GB2312" w:cs="仿宋_GB2312"/>
          <w:color w:val="auto"/>
          <w:kern w:val="32"/>
          <w:sz w:val="32"/>
          <w:szCs w:val="32"/>
          <w:lang w:eastAsia="zh-CN"/>
        </w:rPr>
      </w:pPr>
      <w:r>
        <w:rPr>
          <w:rFonts w:hint="eastAsia" w:ascii="仿宋_GB2312" w:hAnsi="仿宋_GB2312" w:eastAsia="仿宋_GB2312" w:cs="仿宋_GB2312"/>
          <w:bCs/>
          <w:kern w:val="32"/>
          <w:sz w:val="32"/>
          <w:szCs w:val="32"/>
          <w:lang w:eastAsia="zh-CN"/>
        </w:rPr>
        <w:t>按台阶开采圈定终了境界后，最终确定开采玻璃用石英砂原矿矿石量为664.36万吨，含砂率为83.28%，淘洗后的石英砂为553.28万吨；总剥离量126.51万方</w:t>
      </w:r>
      <w:r>
        <w:rPr>
          <w:rFonts w:hint="eastAsia" w:ascii="仿宋_GB2312" w:hAnsi="仿宋_GB2312" w:eastAsia="仿宋_GB2312" w:cs="仿宋_GB2312"/>
          <w:bCs/>
          <w:color w:val="auto"/>
          <w:kern w:val="32"/>
          <w:sz w:val="32"/>
          <w:szCs w:val="32"/>
          <w:lang w:eastAsia="zh-CN"/>
        </w:rPr>
        <w:t>（覆盖层北海组粘土69.42万方；湛江组夹层57.08万方）。</w:t>
      </w:r>
    </w:p>
    <w:p w14:paraId="4AE4865E">
      <w:pPr>
        <w:numPr>
          <w:ilvl w:val="0"/>
          <w:numId w:val="12"/>
        </w:num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bCs/>
          <w:kern w:val="32"/>
          <w:sz w:val="32"/>
          <w:szCs w:val="32"/>
          <w:lang w:eastAsia="zh-CN"/>
        </w:rPr>
        <w:t>根据</w:t>
      </w:r>
      <w:r>
        <w:rPr>
          <w:rFonts w:hint="eastAsia" w:ascii="仿宋_GB2312" w:eastAsia="仿宋_GB2312"/>
          <w:sz w:val="32"/>
          <w:szCs w:val="32"/>
          <w:lang w:eastAsia="zh-CN"/>
        </w:rPr>
        <w:t>《广东省遂溪县杨柑镇青水村矿区玻璃用石英砂矿采矿权出让收益评估报告》（恒品矿评报字</w:t>
      </w:r>
      <w:r>
        <w:rPr>
          <w:rFonts w:hint="eastAsia" w:hAnsi="宋体" w:cs="宋体"/>
          <w:sz w:val="32"/>
          <w:szCs w:val="32"/>
          <w:lang w:eastAsia="zh-CN"/>
        </w:rPr>
        <w:t>﹝</w:t>
      </w:r>
      <w:r>
        <w:rPr>
          <w:rFonts w:hint="eastAsia" w:ascii="仿宋_GB2312" w:eastAsia="仿宋_GB2312"/>
          <w:sz w:val="32"/>
          <w:szCs w:val="32"/>
          <w:lang w:eastAsia="zh-CN"/>
        </w:rPr>
        <w:t>2024</w:t>
      </w:r>
      <w:r>
        <w:rPr>
          <w:rFonts w:hint="eastAsia" w:hAnsi="宋体" w:cs="宋体"/>
          <w:sz w:val="32"/>
          <w:szCs w:val="32"/>
          <w:lang w:eastAsia="zh-CN"/>
        </w:rPr>
        <w:t>﹞</w:t>
      </w:r>
      <w:r>
        <w:rPr>
          <w:rFonts w:hint="eastAsia" w:ascii="仿宋_GB2312" w:hAnsi="仿宋_GB2312" w:eastAsia="仿宋_GB2312" w:cs="仿宋_GB2312"/>
          <w:sz w:val="32"/>
          <w:szCs w:val="32"/>
          <w:lang w:eastAsia="zh-CN"/>
        </w:rPr>
        <w:t>第</w:t>
      </w:r>
      <w:r>
        <w:rPr>
          <w:rFonts w:hint="eastAsia" w:ascii="仿宋_GB2312" w:eastAsia="仿宋_GB2312"/>
          <w:sz w:val="32"/>
          <w:szCs w:val="32"/>
          <w:lang w:eastAsia="zh-CN"/>
        </w:rPr>
        <w:t>052号），</w:t>
      </w:r>
      <w:r>
        <w:rPr>
          <w:rFonts w:hint="eastAsia" w:ascii="仿宋_GB2312" w:hAnsi="仿宋_GB2312" w:eastAsia="仿宋_GB2312" w:cs="仿宋_GB2312"/>
          <w:bCs/>
          <w:kern w:val="32"/>
          <w:sz w:val="32"/>
          <w:szCs w:val="32"/>
          <w:lang w:eastAsia="zh-CN"/>
        </w:rPr>
        <w:t>矿区范围内最终可采出的矿石量为651.07万吨；综合利用剥离层及夹层粘土123.97万方。</w:t>
      </w:r>
    </w:p>
    <w:p w14:paraId="67A8A86B">
      <w:pPr>
        <w:numPr>
          <w:ilvl w:val="0"/>
          <w:numId w:val="12"/>
        </w:num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bCs/>
          <w:kern w:val="32"/>
          <w:sz w:val="32"/>
          <w:szCs w:val="32"/>
          <w:lang w:eastAsia="zh-CN"/>
        </w:rPr>
        <w:t>按可比条件，玻璃用石英砂原矿设计资源利用率98%。</w:t>
      </w:r>
    </w:p>
    <w:p w14:paraId="58E873C6">
      <w:pPr>
        <w:numPr>
          <w:ilvl w:val="0"/>
          <w:numId w:val="12"/>
        </w:numPr>
        <w:wordWrap w:val="0"/>
        <w:topLinePunct/>
        <w:spacing w:line="600" w:lineRule="exact"/>
        <w:ind w:firstLine="640" w:firstLineChars="200"/>
        <w:rPr>
          <w:rFonts w:ascii="仿宋_GB2312" w:hAnsi="仿宋_GB2312" w:eastAsia="仿宋_GB2312" w:cs="仿宋_GB2312"/>
          <w:kern w:val="32"/>
          <w:sz w:val="32"/>
          <w:szCs w:val="32"/>
          <w:lang w:eastAsia="zh-CN"/>
        </w:rPr>
      </w:pPr>
      <w:r>
        <w:rPr>
          <w:rStyle w:val="15"/>
          <w:rFonts w:hint="default" w:ascii="仿宋_GB2312" w:hAnsi="仿宋_GB2312" w:eastAsia="仿宋_GB2312" w:cs="仿宋_GB2312"/>
          <w:b w:val="0"/>
          <w:kern w:val="32"/>
          <w:sz w:val="32"/>
          <w:szCs w:val="32"/>
          <w:lang w:eastAsia="zh-CN"/>
        </w:rPr>
        <w:t>矿山生产规模</w:t>
      </w:r>
      <w:r>
        <w:rPr>
          <w:rFonts w:hint="eastAsia" w:ascii="仿宋_GB2312" w:hAnsi="仿宋_GB2312" w:eastAsia="仿宋_GB2312" w:cs="仿宋_GB2312"/>
          <w:kern w:val="32"/>
          <w:sz w:val="32"/>
          <w:szCs w:val="32"/>
          <w:lang w:eastAsia="zh-CN"/>
        </w:rPr>
        <w:t>：60万吨/年</w:t>
      </w:r>
      <w:r>
        <w:rPr>
          <w:rFonts w:hint="eastAsia" w:ascii="仿宋_GB2312" w:hAnsi="仿宋_GB2312" w:eastAsia="仿宋_GB2312" w:cs="仿宋_GB2312"/>
          <w:color w:val="auto"/>
          <w:kern w:val="32"/>
          <w:sz w:val="32"/>
          <w:szCs w:val="32"/>
          <w:lang w:eastAsia="zh-CN"/>
        </w:rPr>
        <w:t>（34.09万方/年）</w:t>
      </w:r>
      <w:r>
        <w:rPr>
          <w:rFonts w:hint="eastAsia" w:ascii="仿宋_GB2312" w:hAnsi="仿宋_GB2312" w:eastAsia="仿宋_GB2312" w:cs="仿宋_GB2312"/>
          <w:kern w:val="32"/>
          <w:sz w:val="32"/>
          <w:szCs w:val="32"/>
          <w:lang w:eastAsia="zh-CN"/>
        </w:rPr>
        <w:t>。</w:t>
      </w:r>
    </w:p>
    <w:p w14:paraId="298F7B54">
      <w:pPr>
        <w:numPr>
          <w:ilvl w:val="0"/>
          <w:numId w:val="12"/>
        </w:num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采矿权出让总服务年限：13年（含基建期和闭坑治理期</w:t>
      </w:r>
    </w:p>
    <w:p w14:paraId="28A31430">
      <w:pPr>
        <w:wordWrap w:val="0"/>
        <w:topLinePunct/>
        <w:spacing w:line="600" w:lineRule="exact"/>
        <w:rPr>
          <w:lang w:eastAsia="zh-CN"/>
        </w:rPr>
      </w:pPr>
      <w:r>
        <w:rPr>
          <w:rFonts w:hint="eastAsia" w:ascii="仿宋_GB2312" w:hAnsi="仿宋_GB2312" w:eastAsia="仿宋_GB2312" w:cs="仿宋_GB2312"/>
          <w:kern w:val="32"/>
          <w:sz w:val="32"/>
          <w:szCs w:val="32"/>
          <w:lang w:eastAsia="zh-CN"/>
        </w:rPr>
        <w:t>各1年，生产服务年限约11年）。</w:t>
      </w:r>
    </w:p>
    <w:p w14:paraId="09418CFD">
      <w:pPr>
        <w:pStyle w:val="4"/>
        <w:keepNext w:val="0"/>
        <w:keepLines w:val="0"/>
        <w:widowControl w:val="0"/>
        <w:numPr>
          <w:ilvl w:val="0"/>
          <w:numId w:val="11"/>
        </w:numPr>
        <w:kinsoku/>
        <w:topLinePunct/>
        <w:autoSpaceDE/>
        <w:autoSpaceDN/>
        <w:adjustRightInd/>
        <w:snapToGrid/>
        <w:spacing w:line="600" w:lineRule="exact"/>
        <w:ind w:firstLine="641"/>
        <w:jc w:val="both"/>
        <w:rPr>
          <w:rFonts w:ascii="Times New Roman" w:hAnsi="Times New Roman" w:eastAsia="黑体" w:cs="Times New Roman"/>
          <w:b w:val="0"/>
          <w:color w:val="auto"/>
          <w:kern w:val="10"/>
          <w:sz w:val="32"/>
          <w:szCs w:val="32"/>
          <w:lang w:eastAsia="zh-CN"/>
        </w:rPr>
      </w:pPr>
      <w:bookmarkStart w:id="26" w:name="_Toc832"/>
      <w:r>
        <w:rPr>
          <w:rFonts w:ascii="Times New Roman" w:hAnsi="黑体" w:eastAsia="黑体" w:cs="Times New Roman"/>
          <w:b w:val="0"/>
          <w:color w:val="auto"/>
          <w:kern w:val="10"/>
          <w:sz w:val="32"/>
          <w:szCs w:val="32"/>
          <w:lang w:eastAsia="zh-CN"/>
        </w:rPr>
        <w:t>拟出让矿区矿产资源开发利用情况</w:t>
      </w:r>
      <w:bookmarkEnd w:id="26"/>
    </w:p>
    <w:p w14:paraId="119DB878">
      <w:pPr>
        <w:wordWrap w:val="0"/>
        <w:topLinePunct/>
        <w:spacing w:line="600" w:lineRule="exact"/>
        <w:ind w:firstLine="627" w:firstLineChars="196"/>
        <w:rPr>
          <w:rFonts w:ascii="仿宋_GB2312" w:hAnsi="仿宋_GB2312" w:eastAsia="仿宋_GB2312" w:cs="仿宋_GB2312"/>
          <w:kern w:val="32"/>
          <w:sz w:val="32"/>
          <w:szCs w:val="32"/>
          <w:lang w:eastAsia="zh-CN"/>
        </w:rPr>
      </w:pPr>
      <w:bookmarkStart w:id="27" w:name="_Toc9744"/>
      <w:r>
        <w:rPr>
          <w:rFonts w:hint="eastAsia" w:ascii="仿宋_GB2312" w:hAnsi="仿宋_GB2312" w:eastAsia="仿宋_GB2312" w:cs="仿宋_GB2312"/>
          <w:kern w:val="32"/>
          <w:sz w:val="32"/>
          <w:szCs w:val="32"/>
          <w:lang w:eastAsia="zh-CN"/>
        </w:rPr>
        <w:t>本矿山为新建矿山，以往未设置过矿业权。根据现场调查，在矿区范围内，未发现有采矿活动。</w:t>
      </w:r>
    </w:p>
    <w:bookmarkEnd w:id="27"/>
    <w:p w14:paraId="1DF5A40B">
      <w:pPr>
        <w:pStyle w:val="4"/>
        <w:keepNext w:val="0"/>
        <w:keepLines w:val="0"/>
        <w:widowControl w:val="0"/>
        <w:numPr>
          <w:ilvl w:val="0"/>
          <w:numId w:val="11"/>
        </w:numPr>
        <w:kinsoku/>
        <w:topLinePunct/>
        <w:autoSpaceDE/>
        <w:autoSpaceDN/>
        <w:adjustRightInd/>
        <w:snapToGrid/>
        <w:spacing w:line="600" w:lineRule="exact"/>
        <w:ind w:firstLine="641"/>
        <w:jc w:val="both"/>
        <w:rPr>
          <w:rFonts w:ascii="Times New Roman" w:hAnsi="黑体" w:eastAsia="黑体" w:cs="Times New Roman"/>
          <w:b w:val="0"/>
          <w:color w:val="auto"/>
          <w:kern w:val="10"/>
          <w:sz w:val="32"/>
          <w:szCs w:val="32"/>
          <w:lang w:eastAsia="zh-CN"/>
        </w:rPr>
      </w:pPr>
      <w:r>
        <w:rPr>
          <w:rFonts w:hint="eastAsia" w:ascii="Times New Roman" w:hAnsi="黑体" w:eastAsia="黑体" w:cs="Times New Roman"/>
          <w:b w:val="0"/>
          <w:color w:val="auto"/>
          <w:kern w:val="10"/>
          <w:sz w:val="32"/>
          <w:szCs w:val="32"/>
          <w:lang w:eastAsia="zh-CN"/>
        </w:rPr>
        <w:t>开采技术、土地使用、生态环境保护和安全生产及矿地和谐要求</w:t>
      </w:r>
    </w:p>
    <w:p w14:paraId="3DB5D195">
      <w:pPr>
        <w:numPr>
          <w:ilvl w:val="0"/>
          <w:numId w:val="13"/>
        </w:numPr>
        <w:wordWrap w:val="0"/>
        <w:topLinePunct/>
        <w:spacing w:line="600" w:lineRule="exact"/>
        <w:rPr>
          <w:rFonts w:ascii="楷体_GB2312" w:hAnsi="楷体_GB2312" w:eastAsia="楷体_GB2312" w:cs="楷体_GB2312"/>
          <w:kern w:val="32"/>
          <w:sz w:val="32"/>
          <w:szCs w:val="32"/>
        </w:rPr>
      </w:pPr>
      <w:r>
        <w:rPr>
          <w:rFonts w:hint="eastAsia" w:ascii="楷体_GB2312" w:hAnsi="楷体_GB2312" w:eastAsia="楷体_GB2312" w:cs="楷体_GB2312"/>
          <w:kern w:val="32"/>
          <w:sz w:val="32"/>
          <w:szCs w:val="32"/>
          <w:lang w:eastAsia="zh-CN"/>
        </w:rPr>
        <w:t xml:space="preserve"> </w:t>
      </w:r>
      <w:r>
        <w:rPr>
          <w:rFonts w:hint="eastAsia" w:ascii="楷体_GB2312" w:hAnsi="楷体_GB2312" w:eastAsia="楷体_GB2312" w:cs="楷体_GB2312"/>
          <w:kern w:val="32"/>
          <w:sz w:val="32"/>
          <w:szCs w:val="32"/>
        </w:rPr>
        <w:t>开采技术条件要求</w:t>
      </w:r>
    </w:p>
    <w:p w14:paraId="66E4ABA3">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矿区主要采用露天水下开采方式。根据矿山开采技术条件、地形地貌，结合加工场和各类堆场选址等因素，确定开采水位线（静止水位线以上2m,约2.63m）以上采用公路开拓-汽车开拓运输方案、开采水位线（2.63m）以下采用基坑船采、管道水力输送方案。</w:t>
      </w:r>
    </w:p>
    <w:p w14:paraId="07F746DC">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水文地质条件：本矿区北部最低处，标高3.43m视为本区的侵蚀基准面。拟设矿区主要工业矿体位于当地侵蚀基准面以下，矿坑不能自然排水，疏干排水可能引起地面塌陷、地面沉降等不良地质问题，拟设矿区水文地质勘查类型为第一类第二型，以孔隙含水层为主的矿床，拟设矿区水文地质条件复杂程度属中等。</w:t>
      </w:r>
    </w:p>
    <w:p w14:paraId="49A321EE">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工程地质条件：拟设矿区地层岩性中等，地质构造简单，但矿坑不能自然排水，饱砂层抗冲刷侵蚀能力差，矿坑边坡土体稳定性差，易发生局部边坡崩塌、滑坡的可能性。拟设矿区地质勘查类型为第一类，松散、软弱岩类，工程地质条件复杂程度为中等。</w:t>
      </w:r>
    </w:p>
    <w:p w14:paraId="54BB985A">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环境地质条件：拟设矿区地貌类型单一，地形简单，低缓平坦，有利于自然排水，年均降雨量小，气温温差变化小，地质构造简单，断裂构造不发育，矿层产状平缓稳定，地层岩性较简单；主要矿层位于当地侵蚀基准面以下，充水含水层富水性中等，透水性好，地下水补给条件良好，地表水体弱发育。矿山采用露天开采，开采过程需要大量水，丰富的地下水对矿床开采有利；矿体围岩以松散岩类为主，强度低，稳定性差。矿山开采深度较大，采矿引发的地质灾害规模中等，对地质环境影响轻微。矿石不易分解有害组分，矿坑水水质良好，对水土资源无污染，矿山的地质环境质量中等。</w:t>
      </w:r>
    </w:p>
    <w:p w14:paraId="151F1A0F">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综上所述，矿床开采技术条件属水文地质、工程地质和环境质量均有的复合型中等类型（Ⅱ-4）。</w:t>
      </w:r>
    </w:p>
    <w:p w14:paraId="609600E3">
      <w:pPr>
        <w:numPr>
          <w:ilvl w:val="0"/>
          <w:numId w:val="13"/>
        </w:numPr>
        <w:wordWrap w:val="0"/>
        <w:topLinePunct/>
        <w:spacing w:line="600" w:lineRule="exact"/>
        <w:rPr>
          <w:rFonts w:ascii="楷体_GB2312" w:hAnsi="楷体_GB2312" w:eastAsia="楷体_GB2312" w:cs="楷体_GB2312"/>
          <w:kern w:val="32"/>
          <w:sz w:val="32"/>
          <w:szCs w:val="32"/>
          <w:lang w:eastAsia="zh-CN"/>
        </w:rPr>
      </w:pPr>
      <w:r>
        <w:rPr>
          <w:rFonts w:hint="eastAsia" w:ascii="楷体_GB2312" w:hAnsi="楷体_GB2312" w:eastAsia="楷体_GB2312" w:cs="楷体_GB2312"/>
          <w:kern w:val="32"/>
          <w:sz w:val="32"/>
          <w:szCs w:val="32"/>
          <w:lang w:eastAsia="zh-CN"/>
        </w:rPr>
        <w:t xml:space="preserve"> 土地使用要求</w:t>
      </w:r>
    </w:p>
    <w:p w14:paraId="21D38EEE">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bCs/>
          <w:kern w:val="32"/>
          <w:sz w:val="32"/>
          <w:szCs w:val="32"/>
          <w:lang w:eastAsia="zh-CN"/>
        </w:rPr>
        <w:t>采矿权</w:t>
      </w:r>
      <w:r>
        <w:rPr>
          <w:rFonts w:hint="eastAsia" w:ascii="仿宋_GB2312" w:hAnsi="仿宋_GB2312" w:eastAsia="仿宋_GB2312" w:cs="仿宋_GB2312"/>
          <w:kern w:val="32"/>
          <w:sz w:val="32"/>
          <w:szCs w:val="32"/>
          <w:lang w:eastAsia="zh-CN"/>
        </w:rPr>
        <w:t>竞得人与土地权属人</w:t>
      </w:r>
      <w:r>
        <w:rPr>
          <w:rFonts w:hint="eastAsia" w:ascii="仿宋_GB2312" w:hAnsi="仿宋_GB2312" w:eastAsia="仿宋_GB2312" w:cs="仿宋_GB2312"/>
          <w:bCs/>
          <w:kern w:val="32"/>
          <w:sz w:val="32"/>
          <w:szCs w:val="32"/>
          <w:lang w:eastAsia="zh-CN"/>
        </w:rPr>
        <w:t>签订</w:t>
      </w:r>
      <w:r>
        <w:rPr>
          <w:rFonts w:hint="eastAsia" w:ascii="仿宋_GB2312" w:hAnsi="仿宋_GB2312" w:eastAsia="仿宋_GB2312" w:cs="仿宋_GB2312"/>
          <w:color w:val="auto"/>
          <w:kern w:val="10"/>
          <w:sz w:val="32"/>
          <w:szCs w:val="32"/>
          <w:lang w:eastAsia="zh-CN"/>
        </w:rPr>
        <w:t>《采矿用地出租合同》</w:t>
      </w:r>
      <w:r>
        <w:rPr>
          <w:rFonts w:hint="eastAsia" w:ascii="仿宋_GB2312" w:hAnsi="仿宋_GB2312" w:eastAsia="仿宋_GB2312" w:cs="仿宋_GB2312"/>
          <w:bCs/>
          <w:kern w:val="32"/>
          <w:sz w:val="32"/>
          <w:szCs w:val="32"/>
          <w:lang w:eastAsia="zh-CN"/>
        </w:rPr>
        <w:t>时，必须约定配合土地权属人依法申请办理采矿用地相关手续。遂溪县自然资源局依法保障开采矿产资源的用地、用林指标，依法配合采矿权竞得人办理采矿用地相关手续，</w:t>
      </w:r>
      <w:r>
        <w:rPr>
          <w:rFonts w:hint="eastAsia" w:ascii="仿宋_GB2312" w:hAnsi="仿宋_GB2312" w:eastAsia="仿宋_GB2312" w:cs="仿宋_GB2312"/>
          <w:kern w:val="32"/>
          <w:sz w:val="32"/>
          <w:szCs w:val="32"/>
          <w:lang w:eastAsia="zh-CN"/>
        </w:rPr>
        <w:t>产生的一切费用均由采矿权竞得人承担。</w:t>
      </w:r>
    </w:p>
    <w:p w14:paraId="591A99BA">
      <w:pPr>
        <w:numPr>
          <w:ilvl w:val="0"/>
          <w:numId w:val="13"/>
        </w:numPr>
        <w:wordWrap w:val="0"/>
        <w:topLinePunct/>
        <w:spacing w:line="600" w:lineRule="exact"/>
        <w:rPr>
          <w:rFonts w:ascii="楷体_GB2312" w:hAnsi="楷体_GB2312" w:eastAsia="楷体_GB2312" w:cs="楷体_GB2312"/>
          <w:kern w:val="32"/>
          <w:sz w:val="32"/>
          <w:szCs w:val="32"/>
          <w:lang w:eastAsia="zh-CN"/>
        </w:rPr>
      </w:pPr>
      <w:r>
        <w:rPr>
          <w:rFonts w:hint="eastAsia" w:ascii="楷体_GB2312" w:hAnsi="楷体_GB2312" w:eastAsia="楷体_GB2312" w:cs="楷体_GB2312"/>
          <w:kern w:val="32"/>
          <w:sz w:val="32"/>
          <w:szCs w:val="32"/>
          <w:lang w:eastAsia="zh-CN"/>
        </w:rPr>
        <w:t xml:space="preserve"> 生态环境保护要求</w:t>
      </w:r>
    </w:p>
    <w:p w14:paraId="100D5317">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1.竞得人必须按照现行规定编写《矿山地质环境保护与土地复垦方案》，并按照程序做好方案的审查公示工作，严格按照方案要求做好矿区地质灾害防治、地质环境恢复治理和土地复垦工作，参照《广东省自然资源厅矿山地质环境治理恢复基金管理暂行办法》（粤自然资规字〔2020〕6号）的要求，在取得采矿权登记后1个月内设立矿山地质环境治理恢复基金账户，统一计提使用矿山地质环境治理恢复基金。</w:t>
      </w:r>
    </w:p>
    <w:p w14:paraId="0BB11948">
      <w:pPr>
        <w:wordWrap w:val="0"/>
        <w:topLinePunct/>
        <w:spacing w:line="600" w:lineRule="exact"/>
        <w:ind w:firstLine="640" w:firstLineChars="200"/>
        <w:rPr>
          <w:rFonts w:ascii="仿宋_GB2312" w:hAnsi="仿宋_GB2312" w:eastAsia="仿宋_GB2312" w:cs="仿宋_GB2312"/>
          <w:bCs/>
          <w:kern w:val="32"/>
          <w:sz w:val="32"/>
          <w:szCs w:val="32"/>
          <w:lang w:eastAsia="zh-CN"/>
        </w:rPr>
      </w:pPr>
      <w:r>
        <w:rPr>
          <w:rFonts w:hint="eastAsia" w:ascii="仿宋_GB2312" w:hAnsi="仿宋_GB2312" w:eastAsia="仿宋_GB2312" w:cs="仿宋_GB2312"/>
          <w:kern w:val="32"/>
          <w:sz w:val="32"/>
          <w:szCs w:val="32"/>
          <w:lang w:eastAsia="zh-CN"/>
        </w:rPr>
        <w:t>2.竞得人按照“谁开发、谁保护，边开发、边治理”的原则，承担矿山地质环境保护与治理恢复责任，落实企业监测主体责任，加强矿山地质环境监测。并于</w:t>
      </w:r>
      <w:r>
        <w:rPr>
          <w:rFonts w:hint="eastAsia" w:ascii="仿宋_GB2312" w:hAnsi="仿宋_GB2312" w:eastAsia="仿宋_GB2312" w:cs="仿宋_GB2312"/>
          <w:bCs/>
          <w:kern w:val="32"/>
          <w:sz w:val="32"/>
          <w:szCs w:val="32"/>
          <w:lang w:eastAsia="zh-CN"/>
        </w:rPr>
        <w:t>每年12月31日前将年度矿山地质环境治理恢复与土地复垦工程实施情况、基金计提与使用及下一步年度计划使用情况等，书面报告遂溪县自然资源局。</w:t>
      </w:r>
    </w:p>
    <w:p w14:paraId="01E5CE64">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bCs/>
          <w:kern w:val="32"/>
          <w:sz w:val="32"/>
          <w:szCs w:val="32"/>
          <w:lang w:eastAsia="zh-CN"/>
        </w:rPr>
        <w:t>3.矿山</w:t>
      </w:r>
      <w:r>
        <w:rPr>
          <w:rFonts w:hint="eastAsia" w:ascii="仿宋_GB2312" w:hAnsi="仿宋_GB2312" w:eastAsia="仿宋_GB2312" w:cs="仿宋_GB2312"/>
          <w:kern w:val="32"/>
          <w:sz w:val="32"/>
          <w:szCs w:val="32"/>
          <w:lang w:eastAsia="zh-CN"/>
        </w:rPr>
        <w:t>正式投产后1年内，竞得人应严格按照《广东省自然资源厅关于全面推进绿色矿山建设工作的通知》（粤自然资函〔2021〕497号）《广东省自然资源厅关于常态化推进绿色矿山建设达标工作的通知》（粤自然资矿管〔2024〕211号）《自然资源部 生态环境部 财政部  国家市场监督管理总局 国家金融监督管理总局 中国证劵监督管理委员会  国家林业和草原局 关于进一步加强绿色矿山建设的通知》（自然资规〔2024〕1号）的要求建设绿色矿山，达到绿色矿山标准，并经自然资源主管部门评审通过，否则管理机关将按规定追究相关违约责任。</w:t>
      </w:r>
    </w:p>
    <w:p w14:paraId="1BEC4709">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4.竞得人需自行按照生态环境、水务、林业等主管部门的要求办理环境影响评价、水土保持、用林手续，并根据各主管部门的要求落实好环境保护、水土保持各项措施。</w:t>
      </w:r>
    </w:p>
    <w:p w14:paraId="316144D3">
      <w:pPr>
        <w:numPr>
          <w:ilvl w:val="0"/>
          <w:numId w:val="13"/>
        </w:numPr>
        <w:wordWrap w:val="0"/>
        <w:topLinePunct/>
        <w:spacing w:line="600" w:lineRule="exact"/>
        <w:rPr>
          <w:rFonts w:ascii="楷体_GB2312" w:hAnsi="楷体_GB2312" w:eastAsia="楷体_GB2312" w:cs="楷体_GB2312"/>
          <w:kern w:val="32"/>
          <w:sz w:val="32"/>
          <w:szCs w:val="32"/>
          <w:lang w:eastAsia="zh-CN"/>
        </w:rPr>
      </w:pPr>
      <w:r>
        <w:rPr>
          <w:rFonts w:hint="eastAsia" w:ascii="楷体_GB2312" w:hAnsi="楷体_GB2312" w:eastAsia="楷体_GB2312" w:cs="楷体_GB2312"/>
          <w:kern w:val="32"/>
          <w:sz w:val="32"/>
          <w:szCs w:val="32"/>
          <w:lang w:eastAsia="zh-CN"/>
        </w:rPr>
        <w:t xml:space="preserve"> 安全生产要求</w:t>
      </w:r>
    </w:p>
    <w:p w14:paraId="64441C69">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矿山要贯彻实施“安全第一，预防为主、综合治理”的方针，业主应委托有资质的设计部门进行安全专项设计并经监管部门审查。针对矿山工作中存在的职业危害特点，采取有效的防范措施，确保矿山安全和员工身体健康,符合劳动安全卫生的要求，能够保障劳动者在生产过程中的安全与健康。</w:t>
      </w:r>
    </w:p>
    <w:p w14:paraId="3698BCD3">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1.矿山开采属于高危险性行业，必须重视安全生产。矿山应制定相应的严格的安全生产规章制度：建立、健全主要负责人、分管负责人、安全生产管理人员、职能部门等岗位安全生产责任制；制定安全生产管理制度、安全检查制度、职业危害预防制度、安全教育培训制度、生产安全事故管理制度、重大危险源监控和重大隐患整改制度、设备安全事故管理制度、劳动防护用品使用管理制度、安全技术措施费用的提取和使用制度、安全生产档案管理制度、安全生产奖惩制度等规章制度；制定作业安全规程和各工种操作规程。</w:t>
      </w:r>
    </w:p>
    <w:p w14:paraId="35D56138">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2.安全生产投入符合安全生产要求，并按照有关规定提取安全技术措施专项经费；设置安全生产管理机构，配备专职安全生产管理人员；主要负责人和安全生产管理人员的安全生产知识和管理能力经考核合格；特种作业人员必须取得特种作业操作资格证书方能上岗；其他从业人员按照规定接受安全生产教育和培训，并经考试合格；依法参加工伤保险，为从业人员缴纳工伤保险费；对有职业危害的场所进行定期检测，有防治职业危害的具体措施，并按规定为从业人员配备符合国家标准或行业标准的劳动防护用品；按有关要求编制矿山开采设计及安全设施设计专篇，依法进行安全评价；对作业环境安全条件和危险性较大的设备进行定期检测检验，有预防事故的安全技术保障措施；露天边坡等易发生事故的场所、设施、设备，有登记档案和检测、评估报告及监控措施；制订中毒窒息、边坡坍塌以及采矿诱发地质灾害等事故的应急救援预案，保证发生事故后能及时处理，减少人身、财产损失。在事故发生后及时总结经验教训，尽可能杜绝发生类似事故；编制完善矿山生产事故应急救援预案。配备必要的应急救援器材、设备；指定兼职的应急救援人员，并与邻近的事故应急救援组织签订救护协议。</w:t>
      </w:r>
    </w:p>
    <w:p w14:paraId="4024CC37">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3.竞得人需自行按照应急部门的要求办理相关手续。</w:t>
      </w:r>
    </w:p>
    <w:p w14:paraId="4E455D70">
      <w:pPr>
        <w:numPr>
          <w:ilvl w:val="0"/>
          <w:numId w:val="13"/>
        </w:numPr>
        <w:wordWrap w:val="0"/>
        <w:topLinePunct/>
        <w:spacing w:line="600" w:lineRule="exact"/>
        <w:rPr>
          <w:rFonts w:ascii="楷体_GB2312" w:hAnsi="楷体_GB2312" w:eastAsia="楷体_GB2312" w:cs="楷体_GB2312"/>
          <w:kern w:val="32"/>
          <w:sz w:val="32"/>
          <w:szCs w:val="32"/>
        </w:rPr>
      </w:pPr>
      <w:r>
        <w:rPr>
          <w:rFonts w:hint="eastAsia" w:ascii="楷体_GB2312" w:hAnsi="楷体_GB2312" w:eastAsia="楷体_GB2312" w:cs="楷体_GB2312"/>
          <w:kern w:val="32"/>
          <w:sz w:val="32"/>
          <w:szCs w:val="32"/>
          <w:lang w:eastAsia="zh-CN"/>
        </w:rPr>
        <w:t xml:space="preserve"> </w:t>
      </w:r>
      <w:r>
        <w:rPr>
          <w:rFonts w:hint="eastAsia" w:ascii="楷体_GB2312" w:hAnsi="楷体_GB2312" w:eastAsia="楷体_GB2312" w:cs="楷体_GB2312"/>
          <w:kern w:val="32"/>
          <w:sz w:val="32"/>
          <w:szCs w:val="32"/>
        </w:rPr>
        <w:t>矿地和谐要求</w:t>
      </w:r>
    </w:p>
    <w:p w14:paraId="6BB237D8">
      <w:pPr>
        <w:wordWrap w:val="0"/>
        <w:topLinePunct/>
        <w:spacing w:line="600" w:lineRule="exact"/>
        <w:ind w:firstLine="640" w:firstLineChars="200"/>
        <w:rPr>
          <w:rFonts w:ascii="仿宋_GB2312" w:hAnsi="仿宋_GB2312" w:eastAsia="仿宋_GB2312" w:cs="仿宋_GB2312"/>
          <w:kern w:val="32"/>
          <w:sz w:val="32"/>
          <w:szCs w:val="32"/>
          <w:lang w:eastAsia="zh-CN"/>
        </w:rPr>
      </w:pPr>
      <w:r>
        <w:rPr>
          <w:rFonts w:hint="eastAsia" w:ascii="仿宋_GB2312" w:hAnsi="仿宋_GB2312" w:eastAsia="仿宋_GB2312" w:cs="仿宋_GB2312"/>
          <w:kern w:val="32"/>
          <w:sz w:val="32"/>
          <w:szCs w:val="32"/>
          <w:lang w:eastAsia="zh-CN"/>
        </w:rPr>
        <w:t>竞得人须积极履行社会责任，与相关单位和农村友好协商签订相关土地，山林使用协议，坚持企地共建，利益共享，共同绿色发展的办矿理念，加大对矿区群众的教育、就业、交通、生活、生态环境保护的支持力度，促进社区和谐、社会稳定。</w:t>
      </w:r>
    </w:p>
    <w:p w14:paraId="07FC82CC">
      <w:pPr>
        <w:kinsoku/>
        <w:topLinePunct/>
        <w:autoSpaceDE/>
        <w:autoSpaceDN/>
        <w:adjustRightInd/>
        <w:snapToGrid/>
        <w:spacing w:line="560" w:lineRule="exact"/>
        <w:rPr>
          <w:rFonts w:ascii="Times New Roman" w:hAnsi="Times New Roman" w:eastAsia="宋体" w:cs="Times New Roman"/>
          <w:b/>
          <w:bCs/>
          <w:color w:val="000000" w:themeColor="text1"/>
          <w:sz w:val="39"/>
          <w:szCs w:val="39"/>
          <w:lang w:eastAsia="zh-CN"/>
          <w14:textFill>
            <w14:solidFill>
              <w14:schemeClr w14:val="tx1"/>
            </w14:solidFill>
          </w14:textFill>
        </w:rPr>
      </w:pPr>
      <w:r>
        <w:rPr>
          <w:rFonts w:ascii="Times New Roman" w:hAnsi="Times New Roman" w:eastAsia="宋体" w:cs="Times New Roman"/>
          <w:b/>
          <w:bCs/>
          <w:color w:val="000000" w:themeColor="text1"/>
          <w:sz w:val="39"/>
          <w:szCs w:val="39"/>
          <w:lang w:eastAsia="zh-CN"/>
          <w14:textFill>
            <w14:solidFill>
              <w14:schemeClr w14:val="tx1"/>
            </w14:solidFill>
          </w14:textFill>
        </w:rPr>
        <w:br w:type="page"/>
      </w:r>
    </w:p>
    <w:p w14:paraId="0E260597">
      <w:pPr>
        <w:pStyle w:val="2"/>
        <w:rPr>
          <w:rFonts w:ascii="黑体" w:hAnsi="黑体" w:cs="黑体"/>
          <w:b w:val="0"/>
          <w:color w:val="000000" w:themeColor="text1"/>
          <w:sz w:val="32"/>
          <w:szCs w:val="32"/>
          <w:lang w:eastAsia="zh-CN"/>
          <w14:textFill>
            <w14:solidFill>
              <w14:schemeClr w14:val="tx1"/>
            </w14:solidFill>
          </w14:textFill>
        </w:rPr>
      </w:pPr>
      <w:r>
        <w:rPr>
          <w:rFonts w:hint="eastAsia" w:ascii="黑体" w:hAnsi="黑体" w:cs="黑体"/>
          <w:b w:val="0"/>
          <w:color w:val="000000" w:themeColor="text1"/>
          <w:sz w:val="32"/>
          <w:szCs w:val="32"/>
          <w:lang w:eastAsia="zh-CN"/>
          <w14:textFill>
            <w14:solidFill>
              <w14:schemeClr w14:val="tx1"/>
            </w14:solidFill>
          </w14:textFill>
        </w:rPr>
        <w:t>附件 2</w:t>
      </w:r>
    </w:p>
    <w:p w14:paraId="51781520">
      <w:pPr>
        <w:kinsoku/>
        <w:topLinePunct/>
        <w:autoSpaceDE/>
        <w:autoSpaceDN/>
        <w:adjustRightInd/>
        <w:snapToGrid/>
        <w:spacing w:line="560" w:lineRule="exact"/>
        <w:jc w:val="center"/>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申请人一般情况表</w:t>
      </w:r>
    </w:p>
    <w:p w14:paraId="2125B14B">
      <w:pPr>
        <w:pStyle w:val="2"/>
        <w:rPr>
          <w:color w:val="000000" w:themeColor="text1"/>
          <w:lang w:eastAsia="zh-CN"/>
          <w14:textFill>
            <w14:solidFill>
              <w14:schemeClr w14:val="tx1"/>
            </w14:solidFill>
          </w14:textFill>
        </w:rPr>
      </w:pPr>
    </w:p>
    <w:tbl>
      <w:tblPr>
        <w:tblStyle w:val="10"/>
        <w:tblW w:w="83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17"/>
        <w:gridCol w:w="1984"/>
        <w:gridCol w:w="2126"/>
        <w:gridCol w:w="2127"/>
      </w:tblGrid>
      <w:tr w14:paraId="66259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26" w:hRule="atLeast"/>
          <w:jc w:val="center"/>
        </w:trPr>
        <w:tc>
          <w:tcPr>
            <w:tcW w:w="2117" w:type="dxa"/>
            <w:tcBorders>
              <w:top w:val="single" w:color="auto" w:sz="6" w:space="0"/>
              <w:left w:val="single" w:color="auto" w:sz="6" w:space="0"/>
              <w:bottom w:val="single" w:color="auto" w:sz="6" w:space="0"/>
              <w:right w:val="single" w:color="auto" w:sz="6" w:space="0"/>
            </w:tcBorders>
            <w:noWrap/>
            <w:vAlign w:val="center"/>
          </w:tcPr>
          <w:p w14:paraId="46597907">
            <w:pPr>
              <w:spacing w:line="600" w:lineRule="exact"/>
              <w:jc w:val="center"/>
              <w:rPr>
                <w:rFonts w:ascii="仿宋" w:hAnsi="仿宋" w:eastAsia="仿宋"/>
                <w:b/>
                <w:color w:val="000000" w:themeColor="text1"/>
                <w:sz w:val="30"/>
                <w:szCs w:val="30"/>
                <w14:textFill>
                  <w14:solidFill>
                    <w14:schemeClr w14:val="tx1"/>
                  </w14:solidFill>
                </w14:textFill>
              </w:rPr>
            </w:pPr>
            <w:r>
              <w:rPr>
                <w:rFonts w:ascii="仿宋" w:hAnsi="仿宋" w:eastAsia="仿宋"/>
                <w:bCs/>
                <w:color w:val="000000" w:themeColor="text1"/>
                <w:sz w:val="30"/>
                <w:szCs w:val="30"/>
                <w14:textFill>
                  <w14:solidFill>
                    <w14:schemeClr w14:val="tx1"/>
                  </w14:solidFill>
                </w14:textFill>
              </w:rPr>
              <w:t>企业名称</w:t>
            </w:r>
          </w:p>
        </w:tc>
        <w:tc>
          <w:tcPr>
            <w:tcW w:w="6237" w:type="dxa"/>
            <w:gridSpan w:val="3"/>
            <w:tcBorders>
              <w:top w:val="single" w:color="auto" w:sz="6" w:space="0"/>
              <w:left w:val="single" w:color="auto" w:sz="6" w:space="0"/>
              <w:bottom w:val="single" w:color="auto" w:sz="6" w:space="0"/>
              <w:right w:val="single" w:color="auto" w:sz="6" w:space="0"/>
            </w:tcBorders>
            <w:noWrap/>
            <w:vAlign w:val="center"/>
          </w:tcPr>
          <w:p w14:paraId="6CFEBB2B">
            <w:pPr>
              <w:spacing w:line="600" w:lineRule="exact"/>
              <w:jc w:val="center"/>
              <w:rPr>
                <w:rFonts w:ascii="仿宋" w:hAnsi="仿宋" w:eastAsia="仿宋"/>
                <w:color w:val="000000" w:themeColor="text1"/>
                <w:sz w:val="30"/>
                <w:szCs w:val="30"/>
                <w14:textFill>
                  <w14:solidFill>
                    <w14:schemeClr w14:val="tx1"/>
                  </w14:solidFill>
                </w14:textFill>
              </w:rPr>
            </w:pPr>
          </w:p>
        </w:tc>
      </w:tr>
      <w:tr w14:paraId="4AF13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2" w:hRule="atLeast"/>
          <w:jc w:val="center"/>
        </w:trPr>
        <w:tc>
          <w:tcPr>
            <w:tcW w:w="2117" w:type="dxa"/>
            <w:tcBorders>
              <w:bottom w:val="single" w:color="auto" w:sz="4" w:space="0"/>
            </w:tcBorders>
            <w:noWrap/>
            <w:vAlign w:val="center"/>
          </w:tcPr>
          <w:p w14:paraId="1EFDF0FE">
            <w:pPr>
              <w:spacing w:line="60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统一社会信用</w:t>
            </w:r>
          </w:p>
          <w:p w14:paraId="03A2EF79">
            <w:pPr>
              <w:spacing w:line="60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代码</w:t>
            </w:r>
          </w:p>
        </w:tc>
        <w:tc>
          <w:tcPr>
            <w:tcW w:w="6237" w:type="dxa"/>
            <w:gridSpan w:val="3"/>
            <w:tcBorders>
              <w:bottom w:val="single" w:color="auto" w:sz="4" w:space="0"/>
            </w:tcBorders>
            <w:noWrap/>
            <w:vAlign w:val="center"/>
          </w:tcPr>
          <w:p w14:paraId="263CCAA9">
            <w:pPr>
              <w:spacing w:line="600" w:lineRule="exact"/>
              <w:jc w:val="center"/>
              <w:rPr>
                <w:rFonts w:ascii="仿宋" w:hAnsi="仿宋" w:eastAsia="仿宋"/>
                <w:color w:val="000000" w:themeColor="text1"/>
                <w:sz w:val="30"/>
                <w:szCs w:val="30"/>
                <w14:textFill>
                  <w14:solidFill>
                    <w14:schemeClr w14:val="tx1"/>
                  </w14:solidFill>
                </w14:textFill>
              </w:rPr>
            </w:pPr>
          </w:p>
        </w:tc>
      </w:tr>
      <w:tr w14:paraId="2332E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0" w:hRule="atLeast"/>
          <w:jc w:val="center"/>
        </w:trPr>
        <w:tc>
          <w:tcPr>
            <w:tcW w:w="2117" w:type="dxa"/>
            <w:tcBorders>
              <w:top w:val="single" w:color="auto" w:sz="4" w:space="0"/>
            </w:tcBorders>
            <w:noWrap/>
            <w:vAlign w:val="center"/>
          </w:tcPr>
          <w:p w14:paraId="41372126">
            <w:pPr>
              <w:spacing w:line="60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注册地址</w:t>
            </w:r>
          </w:p>
        </w:tc>
        <w:tc>
          <w:tcPr>
            <w:tcW w:w="1984" w:type="dxa"/>
            <w:tcBorders>
              <w:top w:val="single" w:color="auto" w:sz="4" w:space="0"/>
              <w:right w:val="single" w:color="auto" w:sz="4" w:space="0"/>
            </w:tcBorders>
            <w:noWrap/>
            <w:vAlign w:val="center"/>
          </w:tcPr>
          <w:p w14:paraId="691D4C24">
            <w:pPr>
              <w:spacing w:line="600" w:lineRule="exact"/>
              <w:ind w:firstLine="600" w:firstLineChars="200"/>
              <w:jc w:val="center"/>
              <w:rPr>
                <w:rFonts w:ascii="仿宋" w:hAnsi="仿宋" w:eastAsia="仿宋"/>
                <w:color w:val="000000" w:themeColor="text1"/>
                <w:sz w:val="30"/>
                <w:szCs w:val="30"/>
                <w14:textFill>
                  <w14:solidFill>
                    <w14:schemeClr w14:val="tx1"/>
                  </w14:solidFill>
                </w14:textFill>
              </w:rPr>
            </w:pPr>
          </w:p>
        </w:tc>
        <w:tc>
          <w:tcPr>
            <w:tcW w:w="2126" w:type="dxa"/>
            <w:tcBorders>
              <w:top w:val="single" w:color="auto" w:sz="4" w:space="0"/>
              <w:left w:val="single" w:color="auto" w:sz="4" w:space="0"/>
              <w:right w:val="single" w:color="auto" w:sz="4" w:space="0"/>
            </w:tcBorders>
            <w:noWrap/>
            <w:vAlign w:val="center"/>
          </w:tcPr>
          <w:p w14:paraId="3B31177D">
            <w:pPr>
              <w:spacing w:line="60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注册时间</w:t>
            </w:r>
          </w:p>
        </w:tc>
        <w:tc>
          <w:tcPr>
            <w:tcW w:w="2127" w:type="dxa"/>
            <w:tcBorders>
              <w:top w:val="single" w:color="auto" w:sz="4" w:space="0"/>
              <w:left w:val="single" w:color="auto" w:sz="4" w:space="0"/>
            </w:tcBorders>
            <w:noWrap/>
            <w:vAlign w:val="center"/>
          </w:tcPr>
          <w:p w14:paraId="456078DD">
            <w:pPr>
              <w:spacing w:line="600" w:lineRule="exact"/>
              <w:jc w:val="center"/>
              <w:rPr>
                <w:rFonts w:ascii="仿宋" w:hAnsi="仿宋" w:eastAsia="仿宋"/>
                <w:color w:val="000000" w:themeColor="text1"/>
                <w:sz w:val="30"/>
                <w:szCs w:val="30"/>
                <w14:textFill>
                  <w14:solidFill>
                    <w14:schemeClr w14:val="tx1"/>
                  </w14:solidFill>
                </w14:textFill>
              </w:rPr>
            </w:pPr>
          </w:p>
        </w:tc>
      </w:tr>
      <w:tr w14:paraId="68CA0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5" w:hRule="atLeast"/>
          <w:jc w:val="center"/>
        </w:trPr>
        <w:tc>
          <w:tcPr>
            <w:tcW w:w="2117" w:type="dxa"/>
            <w:noWrap/>
            <w:vAlign w:val="center"/>
          </w:tcPr>
          <w:p w14:paraId="32282739">
            <w:pPr>
              <w:spacing w:line="60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法定代表人</w:t>
            </w:r>
          </w:p>
        </w:tc>
        <w:tc>
          <w:tcPr>
            <w:tcW w:w="1984" w:type="dxa"/>
            <w:tcBorders>
              <w:right w:val="single" w:color="auto" w:sz="4" w:space="0"/>
            </w:tcBorders>
            <w:noWrap/>
            <w:vAlign w:val="center"/>
          </w:tcPr>
          <w:p w14:paraId="037C42CF">
            <w:pPr>
              <w:spacing w:line="600" w:lineRule="exact"/>
              <w:jc w:val="center"/>
              <w:rPr>
                <w:rFonts w:ascii="仿宋" w:hAnsi="仿宋" w:eastAsia="仿宋"/>
                <w:color w:val="000000" w:themeColor="text1"/>
                <w:sz w:val="30"/>
                <w:szCs w:val="30"/>
                <w14:textFill>
                  <w14:solidFill>
                    <w14:schemeClr w14:val="tx1"/>
                  </w14:solidFill>
                </w14:textFill>
              </w:rPr>
            </w:pPr>
          </w:p>
        </w:tc>
        <w:tc>
          <w:tcPr>
            <w:tcW w:w="2126" w:type="dxa"/>
            <w:tcBorders>
              <w:left w:val="single" w:color="auto" w:sz="4" w:space="0"/>
              <w:right w:val="single" w:color="auto" w:sz="4" w:space="0"/>
            </w:tcBorders>
            <w:noWrap/>
            <w:vAlign w:val="center"/>
          </w:tcPr>
          <w:p w14:paraId="4025B0E0">
            <w:pPr>
              <w:spacing w:line="60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联系人</w:t>
            </w:r>
          </w:p>
        </w:tc>
        <w:tc>
          <w:tcPr>
            <w:tcW w:w="2127" w:type="dxa"/>
            <w:tcBorders>
              <w:left w:val="single" w:color="auto" w:sz="4" w:space="0"/>
            </w:tcBorders>
            <w:noWrap/>
            <w:vAlign w:val="center"/>
          </w:tcPr>
          <w:p w14:paraId="029DEEAA">
            <w:pPr>
              <w:spacing w:line="600" w:lineRule="exact"/>
              <w:jc w:val="center"/>
              <w:rPr>
                <w:rFonts w:ascii="仿宋" w:hAnsi="仿宋" w:eastAsia="仿宋"/>
                <w:color w:val="000000" w:themeColor="text1"/>
                <w:sz w:val="30"/>
                <w:szCs w:val="30"/>
                <w14:textFill>
                  <w14:solidFill>
                    <w14:schemeClr w14:val="tx1"/>
                  </w14:solidFill>
                </w14:textFill>
              </w:rPr>
            </w:pPr>
          </w:p>
        </w:tc>
      </w:tr>
      <w:tr w14:paraId="7B2A3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1" w:hRule="atLeast"/>
          <w:jc w:val="center"/>
        </w:trPr>
        <w:tc>
          <w:tcPr>
            <w:tcW w:w="2117" w:type="dxa"/>
            <w:noWrap/>
            <w:vAlign w:val="center"/>
          </w:tcPr>
          <w:p w14:paraId="04E67AA4">
            <w:pPr>
              <w:spacing w:line="60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联系电话</w:t>
            </w:r>
          </w:p>
        </w:tc>
        <w:tc>
          <w:tcPr>
            <w:tcW w:w="1984" w:type="dxa"/>
            <w:tcBorders>
              <w:right w:val="single" w:color="auto" w:sz="4" w:space="0"/>
            </w:tcBorders>
            <w:noWrap/>
            <w:vAlign w:val="center"/>
          </w:tcPr>
          <w:p w14:paraId="1FF850A9">
            <w:pPr>
              <w:spacing w:line="600" w:lineRule="exact"/>
              <w:jc w:val="center"/>
              <w:rPr>
                <w:rFonts w:ascii="仿宋" w:hAnsi="仿宋" w:eastAsia="仿宋"/>
                <w:color w:val="000000" w:themeColor="text1"/>
                <w:sz w:val="30"/>
                <w:szCs w:val="30"/>
                <w14:textFill>
                  <w14:solidFill>
                    <w14:schemeClr w14:val="tx1"/>
                  </w14:solidFill>
                </w14:textFill>
              </w:rPr>
            </w:pPr>
          </w:p>
        </w:tc>
        <w:tc>
          <w:tcPr>
            <w:tcW w:w="2126" w:type="dxa"/>
            <w:tcBorders>
              <w:left w:val="single" w:color="auto" w:sz="4" w:space="0"/>
              <w:right w:val="single" w:color="auto" w:sz="4" w:space="0"/>
            </w:tcBorders>
            <w:noWrap/>
            <w:vAlign w:val="center"/>
          </w:tcPr>
          <w:p w14:paraId="6420BC18">
            <w:pPr>
              <w:spacing w:line="600" w:lineRule="exact"/>
              <w:jc w:val="cente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传  真</w:t>
            </w:r>
          </w:p>
        </w:tc>
        <w:tc>
          <w:tcPr>
            <w:tcW w:w="2127" w:type="dxa"/>
            <w:tcBorders>
              <w:left w:val="single" w:color="auto" w:sz="4" w:space="0"/>
            </w:tcBorders>
            <w:noWrap/>
            <w:vAlign w:val="center"/>
          </w:tcPr>
          <w:p w14:paraId="0DA51939">
            <w:pPr>
              <w:spacing w:line="600" w:lineRule="exact"/>
              <w:jc w:val="center"/>
              <w:rPr>
                <w:rFonts w:ascii="仿宋" w:hAnsi="仿宋" w:eastAsia="仿宋"/>
                <w:color w:val="000000" w:themeColor="text1"/>
                <w:sz w:val="30"/>
                <w:szCs w:val="30"/>
                <w14:textFill>
                  <w14:solidFill>
                    <w14:schemeClr w14:val="tx1"/>
                  </w14:solidFill>
                </w14:textFill>
              </w:rPr>
            </w:pPr>
          </w:p>
        </w:tc>
      </w:tr>
      <w:tr w14:paraId="45451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8" w:hRule="atLeast"/>
          <w:jc w:val="center"/>
        </w:trPr>
        <w:tc>
          <w:tcPr>
            <w:tcW w:w="8354" w:type="dxa"/>
            <w:gridSpan w:val="4"/>
            <w:noWrap/>
            <w:vAlign w:val="center"/>
          </w:tcPr>
          <w:p w14:paraId="7F33D8CC">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主营范围</w:t>
            </w:r>
          </w:p>
          <w:p w14:paraId="1A1B6270">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1． _______________________________</w:t>
            </w:r>
          </w:p>
          <w:p w14:paraId="2ECB7BD3">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2． _______________________________</w:t>
            </w:r>
          </w:p>
          <w:p w14:paraId="0050A0C0">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3． _______________________________</w:t>
            </w:r>
          </w:p>
          <w:p w14:paraId="23E6F295">
            <w:pPr>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 xml:space="preserve">  …</w:t>
            </w:r>
          </w:p>
        </w:tc>
      </w:tr>
      <w:tr w14:paraId="1C9A3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39" w:hRule="atLeast"/>
          <w:jc w:val="center"/>
        </w:trPr>
        <w:tc>
          <w:tcPr>
            <w:tcW w:w="8354" w:type="dxa"/>
            <w:gridSpan w:val="4"/>
            <w:noWrap/>
          </w:tcPr>
          <w:p w14:paraId="5573C7A2">
            <w:pPr>
              <w:spacing w:line="600" w:lineRule="exact"/>
              <w:rPr>
                <w:rFonts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lang w:eastAsia="zh-CN"/>
                <w14:textFill>
                  <w14:solidFill>
                    <w14:schemeClr w14:val="tx1"/>
                  </w14:solidFill>
                </w14:textFill>
              </w:rPr>
              <w:t>其他需要说明的情况</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s="黑体"/>
                <w:color w:val="000000" w:themeColor="text1"/>
                <w:sz w:val="30"/>
                <w:szCs w:val="30"/>
                <w:lang w:eastAsia="zh-CN"/>
                <w14:textFill>
                  <w14:solidFill>
                    <w14:schemeClr w14:val="tx1"/>
                  </w14:solidFill>
                </w14:textFill>
              </w:rPr>
              <w:t>（</w:t>
            </w:r>
            <w:r>
              <w:rPr>
                <w:rFonts w:ascii="仿宋" w:hAnsi="仿宋" w:eastAsia="仿宋" w:cs="黑体"/>
                <w:color w:val="000000" w:themeColor="text1"/>
                <w:sz w:val="30"/>
                <w:szCs w:val="30"/>
                <w:lang w:eastAsia="zh-CN"/>
                <w14:textFill>
                  <w14:solidFill>
                    <w14:schemeClr w14:val="tx1"/>
                  </w14:solidFill>
                </w14:textFill>
              </w:rPr>
              <w:t>竞买人</w:t>
            </w:r>
            <w:r>
              <w:rPr>
                <w:rFonts w:hint="eastAsia" w:ascii="仿宋" w:hAnsi="仿宋" w:eastAsia="仿宋" w:cs="黑体"/>
                <w:color w:val="000000" w:themeColor="text1"/>
                <w:sz w:val="30"/>
                <w:szCs w:val="30"/>
                <w:lang w:eastAsia="zh-CN"/>
                <w14:textFill>
                  <w14:solidFill>
                    <w14:schemeClr w14:val="tx1"/>
                  </w14:solidFill>
                </w14:textFill>
              </w:rPr>
              <w:t>需对</w:t>
            </w:r>
            <w:r>
              <w:rPr>
                <w:rFonts w:ascii="仿宋" w:hAnsi="仿宋" w:eastAsia="仿宋" w:cs="黑体"/>
                <w:color w:val="000000" w:themeColor="text1"/>
                <w:sz w:val="30"/>
                <w:szCs w:val="30"/>
                <w:lang w:eastAsia="zh-CN"/>
                <w14:textFill>
                  <w14:solidFill>
                    <w14:schemeClr w14:val="tx1"/>
                  </w14:solidFill>
                </w14:textFill>
              </w:rPr>
              <w:t>资格条件中第</w:t>
            </w:r>
            <w:r>
              <w:rPr>
                <w:rFonts w:hint="eastAsia" w:ascii="仿宋" w:hAnsi="仿宋" w:eastAsia="仿宋" w:cs="黑体"/>
                <w:color w:val="000000" w:themeColor="text1"/>
                <w:sz w:val="30"/>
                <w:szCs w:val="30"/>
                <w:lang w:eastAsia="zh-CN"/>
                <w14:textFill>
                  <w14:solidFill>
                    <w14:schemeClr w14:val="tx1"/>
                  </w14:solidFill>
                </w14:textFill>
              </w:rPr>
              <w:t>3、4、5、6条</w:t>
            </w:r>
            <w:r>
              <w:rPr>
                <w:rFonts w:ascii="仿宋" w:hAnsi="仿宋" w:eastAsia="仿宋" w:cs="黑体"/>
                <w:color w:val="000000" w:themeColor="text1"/>
                <w:sz w:val="30"/>
                <w:szCs w:val="30"/>
                <w:lang w:eastAsia="zh-CN"/>
                <w14:textFill>
                  <w14:solidFill>
                    <w14:schemeClr w14:val="tx1"/>
                  </w14:solidFill>
                </w14:textFill>
              </w:rPr>
              <w:t>作出承诺</w:t>
            </w:r>
            <w:r>
              <w:rPr>
                <w:rFonts w:hint="eastAsia" w:ascii="仿宋" w:hAnsi="仿宋" w:eastAsia="仿宋" w:cs="黑体"/>
                <w:color w:val="000000" w:themeColor="text1"/>
                <w:sz w:val="30"/>
                <w:szCs w:val="30"/>
                <w:lang w:eastAsia="zh-CN"/>
                <w14:textFill>
                  <w14:solidFill>
                    <w14:schemeClr w14:val="tx1"/>
                  </w14:solidFill>
                </w14:textFill>
              </w:rPr>
              <w:t>）</w:t>
            </w:r>
          </w:p>
          <w:p w14:paraId="1C740D93">
            <w:pPr>
              <w:spacing w:line="600" w:lineRule="exact"/>
              <w:rPr>
                <w:rFonts w:ascii="仿宋" w:hAnsi="仿宋" w:eastAsia="仿宋"/>
                <w:color w:val="000000" w:themeColor="text1"/>
                <w:sz w:val="30"/>
                <w:szCs w:val="30"/>
                <w:lang w:eastAsia="zh-CN"/>
                <w14:textFill>
                  <w14:solidFill>
                    <w14:schemeClr w14:val="tx1"/>
                  </w14:solidFill>
                </w14:textFill>
              </w:rPr>
            </w:pPr>
          </w:p>
        </w:tc>
      </w:tr>
      <w:tr w14:paraId="4E4B5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 w:hRule="atLeast"/>
          <w:jc w:val="center"/>
        </w:trPr>
        <w:tc>
          <w:tcPr>
            <w:tcW w:w="8354" w:type="dxa"/>
            <w:gridSpan w:val="4"/>
            <w:noWrap/>
            <w:vAlign w:val="center"/>
          </w:tcPr>
          <w:p w14:paraId="31D18F22">
            <w:pPr>
              <w:spacing w:line="500" w:lineRule="exact"/>
              <w:ind w:firstLine="600" w:firstLineChars="200"/>
              <w:rPr>
                <w:rFonts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lang w:eastAsia="zh-CN"/>
                <w14:textFill>
                  <w14:solidFill>
                    <w14:schemeClr w14:val="tx1"/>
                  </w14:solidFill>
                </w14:textFill>
              </w:rPr>
              <w:t>我公司承诺以上信息真实、准确、可靠,将承担信息不实产生的责任。</w:t>
            </w:r>
          </w:p>
          <w:p w14:paraId="3EE0A8D7">
            <w:pPr>
              <w:spacing w:line="500" w:lineRule="exact"/>
              <w:ind w:left="210" w:leftChars="100"/>
              <w:rPr>
                <w:rFonts w:ascii="仿宋" w:hAnsi="仿宋" w:eastAsia="仿宋"/>
                <w:color w:val="000000" w:themeColor="text1"/>
                <w:sz w:val="30"/>
                <w:szCs w:val="30"/>
                <w:lang w:eastAsia="zh-CN"/>
                <w14:textFill>
                  <w14:solidFill>
                    <w14:schemeClr w14:val="tx1"/>
                  </w14:solidFill>
                </w14:textFill>
              </w:rPr>
            </w:pPr>
          </w:p>
          <w:p w14:paraId="75C4DEC4">
            <w:pPr>
              <w:spacing w:line="500" w:lineRule="exact"/>
              <w:rPr>
                <w:rFonts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lang w:eastAsia="zh-CN"/>
                <w14:textFill>
                  <w14:solidFill>
                    <w14:schemeClr w14:val="tx1"/>
                  </w14:solidFill>
                </w14:textFill>
              </w:rPr>
              <w:t xml:space="preserve">      申请人：       （公章）</w:t>
            </w:r>
          </w:p>
          <w:p w14:paraId="0BFD774F">
            <w:pPr>
              <w:spacing w:line="500" w:lineRule="exact"/>
              <w:jc w:val="center"/>
              <w:rPr>
                <w:rFonts w:ascii="仿宋" w:hAnsi="仿宋" w:eastAsia="仿宋"/>
                <w:color w:val="000000" w:themeColor="text1"/>
                <w:sz w:val="30"/>
                <w:szCs w:val="30"/>
                <w:lang w:eastAsia="zh-CN"/>
                <w14:textFill>
                  <w14:solidFill>
                    <w14:schemeClr w14:val="tx1"/>
                  </w14:solidFill>
                </w14:textFill>
              </w:rPr>
            </w:pPr>
          </w:p>
          <w:p w14:paraId="7BC91DDB">
            <w:pPr>
              <w:spacing w:line="600" w:lineRule="exact"/>
              <w:jc w:val="center"/>
              <w:rPr>
                <w:rFonts w:ascii="仿宋" w:hAnsi="仿宋" w:eastAsia="仿宋"/>
                <w:color w:val="000000" w:themeColor="text1"/>
                <w:sz w:val="30"/>
                <w:szCs w:val="30"/>
                <w:lang w:eastAsia="zh-CN"/>
                <w14:textFill>
                  <w14:solidFill>
                    <w14:schemeClr w14:val="tx1"/>
                  </w14:solidFill>
                </w14:textFill>
              </w:rPr>
            </w:pPr>
            <w:r>
              <w:rPr>
                <w:rFonts w:ascii="仿宋" w:hAnsi="仿宋" w:eastAsia="仿宋"/>
                <w:color w:val="000000" w:themeColor="text1"/>
                <w:sz w:val="30"/>
                <w:szCs w:val="30"/>
                <w:lang w:eastAsia="zh-CN"/>
                <w14:textFill>
                  <w14:solidFill>
                    <w14:schemeClr w14:val="tx1"/>
                  </w14:solidFill>
                </w14:textFill>
              </w:rPr>
              <w:t xml:space="preserve">                             年       月      日</w:t>
            </w:r>
          </w:p>
        </w:tc>
      </w:tr>
    </w:tbl>
    <w:p w14:paraId="5B5049D9">
      <w:pPr>
        <w:pStyle w:val="2"/>
        <w:rPr>
          <w:color w:val="000000" w:themeColor="text1"/>
          <w:lang w:eastAsia="zh-CN"/>
          <w14:textFill>
            <w14:solidFill>
              <w14:schemeClr w14:val="tx1"/>
            </w14:solidFill>
          </w14:textFill>
        </w:rPr>
        <w:sectPr>
          <w:footerReference r:id="rId3" w:type="default"/>
          <w:pgSz w:w="11906" w:h="16838"/>
          <w:pgMar w:top="1588" w:right="1474" w:bottom="1474" w:left="1474" w:header="851" w:footer="992" w:gutter="0"/>
          <w:cols w:space="425" w:num="1"/>
          <w:docGrid w:type="lines" w:linePitch="312" w:charSpace="0"/>
        </w:sectPr>
      </w:pPr>
    </w:p>
    <w:p w14:paraId="39C05D81">
      <w:pPr>
        <w:kinsoku/>
        <w:topLinePunct/>
        <w:autoSpaceDE/>
        <w:autoSpaceDN/>
        <w:adjustRightInd/>
        <w:snapToGrid/>
        <w:spacing w:line="560" w:lineRule="exact"/>
        <w:outlineLvl w:val="0"/>
        <w:rPr>
          <w:rFonts w:ascii="黑体" w:hAnsi="黑体" w:eastAsia="黑体" w:cs="黑体"/>
          <w:color w:val="000000" w:themeColor="text1"/>
          <w:sz w:val="32"/>
          <w:szCs w:val="32"/>
          <w:lang w:eastAsia="zh-CN"/>
          <w14:textFill>
            <w14:solidFill>
              <w14:schemeClr w14:val="tx1"/>
            </w14:solidFill>
          </w14:textFill>
        </w:rPr>
      </w:pPr>
      <w:bookmarkStart w:id="28" w:name="_Toc8177"/>
      <w:r>
        <w:rPr>
          <w:rFonts w:hint="eastAsia" w:ascii="黑体" w:hAnsi="黑体" w:eastAsia="黑体" w:cs="黑体"/>
          <w:color w:val="000000" w:themeColor="text1"/>
          <w:sz w:val="32"/>
          <w:szCs w:val="32"/>
          <w:lang w:eastAsia="zh-CN"/>
          <w14:textFill>
            <w14:solidFill>
              <w14:schemeClr w14:val="tx1"/>
            </w14:solidFill>
          </w14:textFill>
        </w:rPr>
        <w:t>附件 3</w:t>
      </w:r>
      <w:bookmarkEnd w:id="28"/>
    </w:p>
    <w:p w14:paraId="641907DD">
      <w:pPr>
        <w:kinsoku/>
        <w:topLinePunct/>
        <w:autoSpaceDE/>
        <w:autoSpaceDN/>
        <w:adjustRightInd/>
        <w:snapToGrid/>
        <w:spacing w:line="560" w:lineRule="exact"/>
        <w:rPr>
          <w:rFonts w:ascii="Times New Roman" w:hAnsi="Times New Roman" w:cs="Times New Roman"/>
          <w:color w:val="000000" w:themeColor="text1"/>
          <w:lang w:eastAsia="zh-CN"/>
          <w14:textFill>
            <w14:solidFill>
              <w14:schemeClr w14:val="tx1"/>
            </w14:solidFill>
          </w14:textFill>
        </w:rPr>
      </w:pPr>
    </w:p>
    <w:p w14:paraId="6335DCE7">
      <w:pPr>
        <w:kinsoku/>
        <w:topLinePunct/>
        <w:autoSpaceDE/>
        <w:autoSpaceDN/>
        <w:adjustRightInd/>
        <w:snapToGrid/>
        <w:spacing w:line="560" w:lineRule="exact"/>
        <w:jc w:val="center"/>
        <w:outlineLvl w:val="4"/>
        <w:rPr>
          <w:rFonts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竞买声明</w:t>
      </w:r>
    </w:p>
    <w:p w14:paraId="304468CA">
      <w:pPr>
        <w:kinsoku/>
        <w:topLinePunct/>
        <w:autoSpaceDE/>
        <w:autoSpaceDN/>
        <w:adjustRightInd/>
        <w:snapToGrid/>
        <w:spacing w:line="600" w:lineRule="exact"/>
        <w:rPr>
          <w:rFonts w:ascii="Times New Roman" w:hAnsi="Times New Roman" w:cs="Times New Roman"/>
          <w:color w:val="000000" w:themeColor="text1"/>
          <w:lang w:eastAsia="zh-CN"/>
          <w14:textFill>
            <w14:solidFill>
              <w14:schemeClr w14:val="tx1"/>
            </w14:solidFill>
          </w14:textFill>
        </w:rPr>
      </w:pPr>
    </w:p>
    <w:p w14:paraId="65472C72">
      <w:pPr>
        <w:pStyle w:val="5"/>
        <w:kinsoku/>
        <w:topLinePunct/>
        <w:autoSpaceDE/>
        <w:autoSpaceDN/>
        <w:adjustRightInd/>
        <w:snapToGrid/>
        <w:spacing w:line="600" w:lineRule="exact"/>
        <w:ind w:firstLine="640" w:firstLineChars="200"/>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我单位拟参与遂溪县自然资源局组织的遂自然资网出（采矿）告字〔2024〕第</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号公告中“广东省遂溪县杨柑镇青水村矿区玻璃用石英砂矿”采矿权网上挂牌竞买，现将有关事宜声明如下：</w:t>
      </w:r>
    </w:p>
    <w:p w14:paraId="27366504">
      <w:pPr>
        <w:pStyle w:val="5"/>
        <w:numPr>
          <w:ilvl w:val="0"/>
          <w:numId w:val="14"/>
        </w:numPr>
        <w:kinsoku/>
        <w:topLinePunct/>
        <w:autoSpaceDE/>
        <w:autoSpaceDN/>
        <w:adjustRightInd/>
        <w:snapToGrid/>
        <w:spacing w:line="600" w:lineRule="exact"/>
        <w:ind w:left="0"/>
        <w:outlineLvl w:val="4"/>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自愿申请</w:t>
      </w:r>
    </w:p>
    <w:p w14:paraId="4AA370DC">
      <w:pPr>
        <w:pStyle w:val="5"/>
        <w:kinsoku/>
        <w:topLinePunct/>
        <w:autoSpaceDE/>
        <w:autoSpaceDN/>
        <w:adjustRightInd/>
        <w:snapToGrid/>
        <w:spacing w:line="600" w:lineRule="exact"/>
        <w:ind w:firstLine="640" w:firstLineChars="200"/>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我单位已充分阅读并理解本项目《出让公告》,对采矿权挂牌出让公告内容清楚并愿意受其约束，对出让采矿权范围无异议，自愿接受相关约定。</w:t>
      </w:r>
    </w:p>
    <w:p w14:paraId="506491B7">
      <w:pPr>
        <w:pStyle w:val="5"/>
        <w:numPr>
          <w:ilvl w:val="0"/>
          <w:numId w:val="14"/>
        </w:numPr>
        <w:kinsoku/>
        <w:topLinePunct/>
        <w:autoSpaceDE/>
        <w:autoSpaceDN/>
        <w:adjustRightInd/>
        <w:snapToGrid/>
        <w:spacing w:line="600" w:lineRule="exact"/>
        <w:ind w:left="0" w:firstLine="640"/>
        <w:outlineLvl w:val="4"/>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交易风险认知</w:t>
      </w:r>
    </w:p>
    <w:p w14:paraId="0C302DB9">
      <w:pPr>
        <w:pStyle w:val="5"/>
        <w:numPr>
          <w:ilvl w:val="0"/>
          <w:numId w:val="15"/>
        </w:numPr>
        <w:kinsoku/>
        <w:topLinePunct/>
        <w:autoSpaceDE/>
        <w:autoSpaceDN/>
        <w:adjustRightInd/>
        <w:snapToGrid/>
        <w:spacing w:line="60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作为竞买申请人已充分了解矿产资源开采具有较大投资风险性，经慎重决策，决定投资风险自行承担。</w:t>
      </w:r>
    </w:p>
    <w:p w14:paraId="05AD96FC">
      <w:pPr>
        <w:pStyle w:val="5"/>
        <w:numPr>
          <w:ilvl w:val="0"/>
          <w:numId w:val="15"/>
        </w:numPr>
        <w:kinsoku/>
        <w:topLinePunct/>
        <w:autoSpaceDE/>
        <w:autoSpaceDN/>
        <w:adjustRightInd/>
        <w:snapToGrid/>
        <w:spacing w:line="60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作为竞买申请人知晓必须通过CA数字证书登录网上交易系统，登录后所有操作均为我单位操作或授权操作。</w:t>
      </w:r>
    </w:p>
    <w:p w14:paraId="0E3F9A7C">
      <w:pPr>
        <w:pStyle w:val="5"/>
        <w:numPr>
          <w:ilvl w:val="0"/>
          <w:numId w:val="15"/>
        </w:numPr>
        <w:kinsoku/>
        <w:topLinePunct/>
        <w:autoSpaceDE/>
        <w:autoSpaceDN/>
        <w:adjustRightInd/>
        <w:snapToGrid/>
        <w:spacing w:line="60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知晓因参加竞买使用计算机遭遇网络堵塞、病毒入侵、硬件故障或者遗失数字证书、遗忘或泄露密码、操作不当等原因造成的后果，并愿意自行承担。参加竞买活动使用的计算机或网络环境遭到人为攻击和干扰，将会及时向当地公安机关报案。</w:t>
      </w:r>
    </w:p>
    <w:p w14:paraId="0E66CB9D">
      <w:pPr>
        <w:pStyle w:val="5"/>
        <w:numPr>
          <w:ilvl w:val="0"/>
          <w:numId w:val="14"/>
        </w:numPr>
        <w:kinsoku/>
        <w:topLinePunct/>
        <w:autoSpaceDE/>
        <w:autoSpaceDN/>
        <w:adjustRightInd/>
        <w:snapToGrid/>
        <w:spacing w:line="600" w:lineRule="exact"/>
        <w:ind w:left="0" w:firstLine="630"/>
        <w:outlineLvl w:val="4"/>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委托事宜</w:t>
      </w:r>
    </w:p>
    <w:p w14:paraId="6AD58C65">
      <w:pPr>
        <w:pStyle w:val="5"/>
        <w:kinsoku/>
        <w:topLinePunct/>
        <w:autoSpaceDE/>
        <w:autoSpaceDN/>
        <w:adjustRightInd/>
        <w:snapToGrid/>
        <w:spacing w:line="600" w:lineRule="exact"/>
        <w:ind w:firstLine="640" w:firstLineChars="200"/>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参加本次采矿权挂牌竞买相关手续办理将由我单位法定代表</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亲自办理交易过程中相关事宜，无委托代理人（选填）。</w:t>
      </w:r>
    </w:p>
    <w:p w14:paraId="430911AE">
      <w:pPr>
        <w:pStyle w:val="5"/>
        <w:kinsoku/>
        <w:topLinePunct/>
        <w:autoSpaceDE/>
        <w:autoSpaceDN/>
        <w:adjustRightInd/>
        <w:snapToGrid/>
        <w:spacing w:line="600" w:lineRule="exact"/>
        <w:ind w:firstLine="640" w:firstLineChars="200"/>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参加本次采矿权挂牌竞买相关手续办理将由我单位法定代表人</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委托</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办理交易过程中相关事宜,代理人无转委托权。（选填）</w:t>
      </w:r>
    </w:p>
    <w:p w14:paraId="636875B6">
      <w:pPr>
        <w:pStyle w:val="5"/>
        <w:kinsoku/>
        <w:topLinePunct/>
        <w:autoSpaceDE/>
        <w:autoSpaceDN/>
        <w:adjustRightInd/>
        <w:snapToGrid/>
        <w:spacing w:line="60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单位名称：</w:t>
      </w:r>
    </w:p>
    <w:p w14:paraId="6F833993">
      <w:pPr>
        <w:pStyle w:val="5"/>
        <w:kinsoku/>
        <w:topLinePunct/>
        <w:autoSpaceDE/>
        <w:autoSpaceDN/>
        <w:adjustRightInd/>
        <w:snapToGrid/>
        <w:spacing w:line="60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p>
    <w:p w14:paraId="1DD92E3C">
      <w:pPr>
        <w:pStyle w:val="5"/>
        <w:kinsoku/>
        <w:topLinePunct/>
        <w:autoSpaceDE/>
        <w:autoSpaceDN/>
        <w:adjustRightInd/>
        <w:snapToGrid/>
        <w:spacing w:line="60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地址：                       邮编：</w:t>
      </w:r>
    </w:p>
    <w:p w14:paraId="4D9E02F3">
      <w:pPr>
        <w:pStyle w:val="5"/>
        <w:kinsoku/>
        <w:topLinePunct/>
        <w:autoSpaceDE/>
        <w:autoSpaceDN/>
        <w:adjustRightInd/>
        <w:snapToGrid/>
        <w:spacing w:line="60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法定代表人：（姓名）         职务：</w:t>
      </w:r>
    </w:p>
    <w:p w14:paraId="30880CC7">
      <w:pPr>
        <w:pStyle w:val="5"/>
        <w:kinsoku/>
        <w:topLinePunct/>
        <w:autoSpaceDE/>
        <w:autoSpaceDN/>
        <w:adjustRightInd/>
        <w:snapToGrid/>
        <w:spacing w:line="60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身份证号：                   手机：</w:t>
      </w:r>
    </w:p>
    <w:p w14:paraId="3671BD68">
      <w:pPr>
        <w:pStyle w:val="5"/>
        <w:kinsoku/>
        <w:topLinePunct/>
        <w:autoSpaceDE/>
        <w:autoSpaceDN/>
        <w:adjustRightInd/>
        <w:snapToGrid/>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p>
    <w:p w14:paraId="02B41745">
      <w:pPr>
        <w:pStyle w:val="5"/>
        <w:kinsoku/>
        <w:topLinePunct/>
        <w:autoSpaceDE/>
        <w:autoSpaceDN/>
        <w:adjustRightInd/>
        <w:snapToGrid/>
        <w:spacing w:line="60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委托代理人：（姓名）         职务：</w:t>
      </w:r>
    </w:p>
    <w:p w14:paraId="3AAAE916">
      <w:pPr>
        <w:pStyle w:val="5"/>
        <w:kinsoku/>
        <w:topLinePunct/>
        <w:autoSpaceDE/>
        <w:autoSpaceDN/>
        <w:adjustRightInd/>
        <w:snapToGrid/>
        <w:spacing w:line="60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身份证号：                   手机：</w:t>
      </w:r>
    </w:p>
    <w:p w14:paraId="3E0D5F4D">
      <w:pPr>
        <w:pStyle w:val="5"/>
        <w:kinsoku/>
        <w:topLinePunct/>
        <w:autoSpaceDE/>
        <w:autoSpaceDN/>
        <w:adjustRightInd/>
        <w:snapToGrid/>
        <w:spacing w:line="600" w:lineRule="exact"/>
        <w:rPr>
          <w:rFonts w:ascii="仿宋_GB2312" w:hAnsi="仿宋_GB2312" w:eastAsia="仿宋_GB2312" w:cs="仿宋_GB2312"/>
          <w:color w:val="000000" w:themeColor="text1"/>
          <w:sz w:val="32"/>
          <w:szCs w:val="32"/>
          <w:lang w:eastAsia="zh-CN"/>
          <w14:textFill>
            <w14:solidFill>
              <w14:schemeClr w14:val="tx1"/>
            </w14:solidFill>
          </w14:textFill>
        </w:rPr>
      </w:pPr>
    </w:p>
    <w:p w14:paraId="140B320F">
      <w:pPr>
        <w:pStyle w:val="5"/>
        <w:kinsoku/>
        <w:topLinePunct/>
        <w:autoSpaceDE/>
        <w:autoSpaceDN/>
        <w:adjustRightInd/>
        <w:snapToGrid/>
        <w:spacing w:line="60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2024年   月   日</w:t>
      </w:r>
    </w:p>
    <w:p w14:paraId="5CB42709">
      <w:pPr>
        <w:pStyle w:val="5"/>
        <w:kinsoku/>
        <w:topLinePunct/>
        <w:autoSpaceDE/>
        <w:autoSpaceDN/>
        <w:adjustRightInd/>
        <w:snapToGrid/>
        <w:spacing w:line="560" w:lineRule="exact"/>
        <w:rPr>
          <w:rFonts w:ascii="仿宋_GB2312" w:hAnsi="仿宋_GB2312" w:eastAsia="仿宋_GB2312" w:cs="仿宋_GB2312"/>
          <w:color w:val="000000" w:themeColor="text1"/>
          <w:sz w:val="32"/>
          <w:szCs w:val="32"/>
          <w:lang w:eastAsia="zh-CN"/>
          <w14:textFill>
            <w14:solidFill>
              <w14:schemeClr w14:val="tx1"/>
            </w14:solidFill>
          </w14:textFill>
        </w:rPr>
      </w:pPr>
    </w:p>
    <w:p w14:paraId="392DB21E">
      <w:pPr>
        <w:pStyle w:val="5"/>
        <w:kinsoku/>
        <w:topLinePunct/>
        <w:autoSpaceDE/>
        <w:autoSpaceDN/>
        <w:adjustRightInd/>
        <w:snapToGrid/>
        <w:spacing w:line="560" w:lineRule="exact"/>
        <w:outlineLvl w:val="4"/>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法定代表人身份证复印件：      委托代理人身份证复印件：</w:t>
      </w:r>
    </w:p>
    <w:p w14:paraId="00F91802">
      <w:pPr>
        <w:pStyle w:val="5"/>
        <w:kinsoku/>
        <w:topLinePunct/>
        <w:autoSpaceDE/>
        <w:autoSpaceDN/>
        <w:adjustRightInd/>
        <w:snapToGrid/>
        <w:spacing w:line="560" w:lineRule="exact"/>
        <w:rPr>
          <w:rFonts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   （正反面）                       （正反面）</w:t>
      </w:r>
    </w:p>
    <w:p w14:paraId="096DC1C1">
      <w:pPr>
        <w:kinsoku/>
        <w:topLinePunct/>
        <w:autoSpaceDE/>
        <w:autoSpaceDN/>
        <w:adjustRightInd/>
        <w:snapToGrid/>
        <w:spacing w:line="560" w:lineRule="exact"/>
        <w:ind w:left="300" w:hanging="300" w:hangingChars="100"/>
        <w:rPr>
          <w:rFonts w:ascii="Times New Roman" w:hAnsi="Times New Roman" w:eastAsia="宋体" w:cs="Times New Roman"/>
          <w:b/>
          <w:bCs/>
          <w:color w:val="000000" w:themeColor="text1"/>
          <w:sz w:val="44"/>
          <w:szCs w:val="44"/>
          <w:lang w:eastAsia="zh-CN"/>
          <w14:textFill>
            <w14:solidFill>
              <w14:schemeClr w14:val="tx1"/>
            </w14:solidFill>
          </w14:textFill>
        </w:rPr>
      </w:pPr>
      <w:r>
        <w:rPr>
          <w:rFonts w:ascii="仿宋" w:hAnsi="仿宋" w:eastAsia="仿宋"/>
          <w:color w:val="000000" w:themeColor="text1"/>
          <w:sz w:val="30"/>
          <w:szCs w:val="30"/>
          <w:lang w:eastAsia="zh-CN"/>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243840</wp:posOffset>
                </wp:positionV>
                <wp:extent cx="2414270" cy="1579245"/>
                <wp:effectExtent l="4445" t="4445" r="19685" b="16510"/>
                <wp:wrapNone/>
                <wp:docPr id="1" name="文本框 2"/>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96AD8B">
                            <w:pPr>
                              <w:ind w:firstLine="640" w:firstLineChars="200"/>
                              <w:rPr>
                                <w:rFonts w:eastAsia="仿宋" w:cs="黑体"/>
                                <w:sz w:val="32"/>
                              </w:rPr>
                            </w:pPr>
                          </w:p>
                        </w:txbxContent>
                      </wps:txbx>
                      <wps:bodyPr upright="1"/>
                    </wps:wsp>
                  </a:graphicData>
                </a:graphic>
              </wp:anchor>
            </w:drawing>
          </mc:Choice>
          <mc:Fallback>
            <w:pict>
              <v:shape id="文本框 2" o:spid="_x0000_s1026" o:spt="202" type="#_x0000_t202" style="position:absolute;left:0pt;margin-left:5.7pt;margin-top:19.2pt;height:124.35pt;width:190.1pt;z-index:251660288;mso-width-relative:page;mso-height-relative:page;" fillcolor="#FFFFFF" filled="t" stroked="t" coordsize="21600,21600" o:gfxdata="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QQhRNkAAAAJAQAADwAAAAAAAAAB&#10;ACAAAAAiAAAAZHJzL2Rvd25yZXYueG1sUEsBAhQAFAAAAAgAh07iQBPF6KEPAgAARQQAAA4AAAAA&#10;AAAAAQAgAAAAKAEAAGRycy9lMm9Eb2MueG1sUEsFBgAAAAAGAAYAWQEAAKkFAAAAAA==&#10;">
                <v:fill on="t" focussize="0,0"/>
                <v:stroke color="#000000" joinstyle="miter"/>
                <v:imagedata o:title=""/>
                <o:lock v:ext="edit" aspectratio="f"/>
                <v:textbox>
                  <w:txbxContent>
                    <w:p w14:paraId="6E96AD8B">
                      <w:pPr>
                        <w:ind w:firstLine="640" w:firstLineChars="200"/>
                        <w:rPr>
                          <w:rFonts w:eastAsia="仿宋" w:cs="黑体"/>
                          <w:sz w:val="32"/>
                        </w:rPr>
                      </w:pPr>
                    </w:p>
                  </w:txbxContent>
                </v:textbox>
              </v:shape>
            </w:pict>
          </mc:Fallback>
        </mc:AlternateContent>
      </w:r>
      <w:r>
        <w:rPr>
          <w:rFonts w:ascii="仿宋" w:hAnsi="仿宋" w:eastAsia="仿宋"/>
          <w:color w:val="000000" w:themeColor="text1"/>
          <w:sz w:val="30"/>
          <w:szCs w:val="30"/>
          <w:lang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3212465</wp:posOffset>
                </wp:positionH>
                <wp:positionV relativeFrom="paragraph">
                  <wp:posOffset>253365</wp:posOffset>
                </wp:positionV>
                <wp:extent cx="2426970" cy="1569720"/>
                <wp:effectExtent l="4445" t="4445" r="6985" b="6985"/>
                <wp:wrapNone/>
                <wp:docPr id="2" name="文本框 2"/>
                <wp:cNvGraphicFramePr/>
                <a:graphic xmlns:a="http://schemas.openxmlformats.org/drawingml/2006/main">
                  <a:graphicData uri="http://schemas.microsoft.com/office/word/2010/wordprocessingShape">
                    <wps:wsp>
                      <wps:cNvSpPr txBox="1"/>
                      <wps:spPr>
                        <a:xfrm>
                          <a:off x="0" y="0"/>
                          <a:ext cx="2247265" cy="1110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76786CE">
                            <w:pPr>
                              <w:ind w:firstLine="640" w:firstLineChars="200"/>
                              <w:rPr>
                                <w:rFonts w:eastAsia="仿宋" w:cs="黑体"/>
                                <w:sz w:val="32"/>
                              </w:rPr>
                            </w:pPr>
                          </w:p>
                        </w:txbxContent>
                      </wps:txbx>
                      <wps:bodyPr upright="1"/>
                    </wps:wsp>
                  </a:graphicData>
                </a:graphic>
              </wp:anchor>
            </w:drawing>
          </mc:Choice>
          <mc:Fallback>
            <w:pict>
              <v:shape id="_x0000_s1026" o:spid="_x0000_s1026" o:spt="202" type="#_x0000_t202" style="position:absolute;left:0pt;margin-left:252.95pt;margin-top:19.95pt;height:123.6pt;width:191.1pt;z-index:251661312;mso-width-relative:page;mso-height-relative:page;" fillcolor="#FFFFFF" filled="t" stroked="t" coordsize="21600,21600" o:gfxdata="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HxI2A2gAAAAoBAAAPAAAAAAAA&#10;AAEAIAAAACIAAABkcnMvZG93bnJldi54bWxQSwECFAAUAAAACACHTuJAbdJ0ABACAABFBAAADgAA&#10;AAAAAAABACAAAAApAQAAZHJzL2Uyb0RvYy54bWxQSwUGAAAAAAYABgBZAQAAqwUAAAAA&#10;">
                <v:fill on="t" focussize="0,0"/>
                <v:stroke color="#000000" joinstyle="miter"/>
                <v:imagedata o:title=""/>
                <o:lock v:ext="edit" aspectratio="f"/>
                <v:textbox>
                  <w:txbxContent>
                    <w:p w14:paraId="076786CE">
                      <w:pPr>
                        <w:ind w:firstLine="640" w:firstLineChars="200"/>
                        <w:rPr>
                          <w:rFonts w:eastAsia="仿宋" w:cs="黑体"/>
                          <w:sz w:val="32"/>
                        </w:rPr>
                      </w:pPr>
                    </w:p>
                  </w:txbxContent>
                </v:textbox>
              </v:shape>
            </w:pict>
          </mc:Fallback>
        </mc:AlternateContent>
      </w:r>
    </w:p>
    <w:p w14:paraId="164D0DCB">
      <w:pPr>
        <w:kinsoku/>
        <w:topLinePunct/>
        <w:autoSpaceDE/>
        <w:autoSpaceDN/>
        <w:adjustRightInd/>
        <w:snapToGrid/>
        <w:spacing w:line="560" w:lineRule="exact"/>
        <w:ind w:left="442" w:hanging="442" w:hangingChars="100"/>
        <w:rPr>
          <w:rFonts w:ascii="Times New Roman" w:hAnsi="Times New Roman" w:eastAsia="宋体" w:cs="Times New Roman"/>
          <w:b/>
          <w:bCs/>
          <w:color w:val="000000" w:themeColor="text1"/>
          <w:sz w:val="44"/>
          <w:szCs w:val="44"/>
          <w:lang w:eastAsia="zh-CN"/>
          <w14:textFill>
            <w14:solidFill>
              <w14:schemeClr w14:val="tx1"/>
            </w14:solidFill>
          </w14:textFill>
        </w:rPr>
      </w:pPr>
    </w:p>
    <w:p w14:paraId="6D781470">
      <w:pPr>
        <w:kinsoku/>
        <w:topLinePunct/>
        <w:autoSpaceDE/>
        <w:autoSpaceDN/>
        <w:adjustRightInd/>
        <w:snapToGrid/>
        <w:spacing w:line="560" w:lineRule="exact"/>
        <w:ind w:left="442" w:hanging="442" w:hangingChars="100"/>
        <w:outlineLvl w:val="4"/>
        <w:rPr>
          <w:rFonts w:ascii="Times New Roman" w:hAnsi="Times New Roman" w:eastAsia="宋体" w:cs="Times New Roman"/>
          <w:b/>
          <w:bCs/>
          <w:color w:val="000000" w:themeColor="text1"/>
          <w:sz w:val="44"/>
          <w:szCs w:val="44"/>
          <w:lang w:eastAsia="zh-CN"/>
          <w14:textFill>
            <w14:solidFill>
              <w14:schemeClr w14:val="tx1"/>
            </w14:solidFill>
          </w14:textFill>
        </w:rPr>
      </w:pPr>
    </w:p>
    <w:sectPr>
      <w:footerReference r:id="rId4" w:type="default"/>
      <w:pgSz w:w="11906" w:h="16838"/>
      <w:pgMar w:top="1587" w:right="1474" w:bottom="1587" w:left="1474" w:header="0" w:footer="96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4C93">
    <w:pPr>
      <w:pStyle w:val="8"/>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986268">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4D986268">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6114A">
    <w:pPr>
      <w:pStyle w:val="8"/>
      <w:ind w:firstLine="353"/>
      <w:jc w:val="cente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7BA468">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087BA468">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40A135"/>
    <w:multiLevelType w:val="singleLevel"/>
    <w:tmpl w:val="9040A135"/>
    <w:lvl w:ilvl="0" w:tentative="0">
      <w:start w:val="1"/>
      <w:numFmt w:val="chineseCounting"/>
      <w:suff w:val="nothing"/>
      <w:lvlText w:val="（%1）"/>
      <w:lvlJc w:val="left"/>
      <w:pPr>
        <w:ind w:left="0" w:firstLine="420"/>
      </w:pPr>
      <w:rPr>
        <w:rFonts w:hint="eastAsia" w:ascii="Times New Roman" w:hAnsi="Times New Roman" w:cs="Times New Roman"/>
        <w:sz w:val="32"/>
        <w:szCs w:val="32"/>
      </w:rPr>
    </w:lvl>
  </w:abstractNum>
  <w:abstractNum w:abstractNumId="1">
    <w:nsid w:val="A34A8FED"/>
    <w:multiLevelType w:val="singleLevel"/>
    <w:tmpl w:val="A34A8FED"/>
    <w:lvl w:ilvl="0" w:tentative="0">
      <w:start w:val="1"/>
      <w:numFmt w:val="decimal"/>
      <w:lvlText w:val="%1."/>
      <w:lvlJc w:val="left"/>
      <w:pPr>
        <w:tabs>
          <w:tab w:val="left" w:pos="312"/>
        </w:tabs>
      </w:pPr>
    </w:lvl>
  </w:abstractNum>
  <w:abstractNum w:abstractNumId="2">
    <w:nsid w:val="A633F430"/>
    <w:multiLevelType w:val="singleLevel"/>
    <w:tmpl w:val="A633F430"/>
    <w:lvl w:ilvl="0" w:tentative="0">
      <w:start w:val="1"/>
      <w:numFmt w:val="decimal"/>
      <w:suff w:val="space"/>
      <w:lvlText w:val="（%1）"/>
      <w:lvlJc w:val="left"/>
    </w:lvl>
  </w:abstractNum>
  <w:abstractNum w:abstractNumId="3">
    <w:nsid w:val="B0A7781C"/>
    <w:multiLevelType w:val="singleLevel"/>
    <w:tmpl w:val="B0A7781C"/>
    <w:lvl w:ilvl="0" w:tentative="0">
      <w:start w:val="1"/>
      <w:numFmt w:val="decimal"/>
      <w:suff w:val="space"/>
      <w:lvlText w:val="%1."/>
      <w:lvlJc w:val="left"/>
    </w:lvl>
  </w:abstractNum>
  <w:abstractNum w:abstractNumId="4">
    <w:nsid w:val="C6548777"/>
    <w:multiLevelType w:val="singleLevel"/>
    <w:tmpl w:val="C6548777"/>
    <w:lvl w:ilvl="0" w:tentative="0">
      <w:start w:val="1"/>
      <w:numFmt w:val="decimal"/>
      <w:lvlText w:val="%1."/>
      <w:lvlJc w:val="left"/>
      <w:pPr>
        <w:tabs>
          <w:tab w:val="left" w:pos="312"/>
        </w:tabs>
      </w:pPr>
    </w:lvl>
  </w:abstractNum>
  <w:abstractNum w:abstractNumId="5">
    <w:nsid w:val="CA16FDFA"/>
    <w:multiLevelType w:val="singleLevel"/>
    <w:tmpl w:val="CA16FDFA"/>
    <w:lvl w:ilvl="0" w:tentative="0">
      <w:start w:val="1"/>
      <w:numFmt w:val="chineseCounting"/>
      <w:suff w:val="nothing"/>
      <w:lvlText w:val="%1、"/>
      <w:lvlJc w:val="left"/>
      <w:pPr>
        <w:ind w:left="0" w:firstLine="420"/>
      </w:pPr>
      <w:rPr>
        <w:rFonts w:hint="eastAsia"/>
        <w:strike w:val="0"/>
        <w:dstrike w:val="0"/>
        <w:color w:val="auto"/>
      </w:rPr>
    </w:lvl>
  </w:abstractNum>
  <w:abstractNum w:abstractNumId="6">
    <w:nsid w:val="D9B61A7A"/>
    <w:multiLevelType w:val="singleLevel"/>
    <w:tmpl w:val="D9B61A7A"/>
    <w:lvl w:ilvl="0" w:tentative="0">
      <w:start w:val="1"/>
      <w:numFmt w:val="chineseCounting"/>
      <w:suff w:val="nothing"/>
      <w:lvlText w:val="（%1）"/>
      <w:lvlJc w:val="left"/>
      <w:pPr>
        <w:ind w:left="0" w:firstLine="420"/>
      </w:pPr>
      <w:rPr>
        <w:rFonts w:hint="eastAsia"/>
      </w:rPr>
    </w:lvl>
  </w:abstractNum>
  <w:abstractNum w:abstractNumId="7">
    <w:nsid w:val="DAE42A38"/>
    <w:multiLevelType w:val="singleLevel"/>
    <w:tmpl w:val="DAE42A38"/>
    <w:lvl w:ilvl="0" w:tentative="0">
      <w:start w:val="1"/>
      <w:numFmt w:val="chineseCounting"/>
      <w:suff w:val="nothing"/>
      <w:lvlText w:val="（%1）"/>
      <w:lvlJc w:val="left"/>
      <w:pPr>
        <w:ind w:left="0" w:firstLine="420"/>
      </w:pPr>
      <w:rPr>
        <w:rFonts w:hint="eastAsia"/>
      </w:rPr>
    </w:lvl>
  </w:abstractNum>
  <w:abstractNum w:abstractNumId="8">
    <w:nsid w:val="E0D92E52"/>
    <w:multiLevelType w:val="singleLevel"/>
    <w:tmpl w:val="E0D92E52"/>
    <w:lvl w:ilvl="0" w:tentative="0">
      <w:start w:val="1"/>
      <w:numFmt w:val="chineseCounting"/>
      <w:suff w:val="nothing"/>
      <w:lvlText w:val="%1、"/>
      <w:lvlJc w:val="left"/>
      <w:pPr>
        <w:ind w:left="210" w:firstLine="420"/>
      </w:pPr>
      <w:rPr>
        <w:rFonts w:hint="eastAsia"/>
      </w:rPr>
    </w:lvl>
  </w:abstractNum>
  <w:abstractNum w:abstractNumId="9">
    <w:nsid w:val="F7C973F7"/>
    <w:multiLevelType w:val="singleLevel"/>
    <w:tmpl w:val="F7C973F7"/>
    <w:lvl w:ilvl="0" w:tentative="0">
      <w:start w:val="1"/>
      <w:numFmt w:val="decimal"/>
      <w:suff w:val="space"/>
      <w:lvlText w:val="%1."/>
      <w:lvlJc w:val="left"/>
    </w:lvl>
  </w:abstractNum>
  <w:abstractNum w:abstractNumId="10">
    <w:nsid w:val="0A0378BF"/>
    <w:multiLevelType w:val="singleLevel"/>
    <w:tmpl w:val="0A0378BF"/>
    <w:lvl w:ilvl="0" w:tentative="0">
      <w:start w:val="1"/>
      <w:numFmt w:val="chineseCounting"/>
      <w:suff w:val="nothing"/>
      <w:lvlText w:val="（%1）"/>
      <w:lvlJc w:val="left"/>
      <w:pPr>
        <w:ind w:left="0" w:firstLine="420"/>
      </w:pPr>
      <w:rPr>
        <w:rFonts w:hint="eastAsia" w:ascii="Times New Roman" w:hAnsi="Times New Roman" w:cs="Times New Roman"/>
        <w:sz w:val="32"/>
        <w:szCs w:val="32"/>
      </w:rPr>
    </w:lvl>
  </w:abstractNum>
  <w:abstractNum w:abstractNumId="11">
    <w:nsid w:val="0CA6F4BE"/>
    <w:multiLevelType w:val="singleLevel"/>
    <w:tmpl w:val="0CA6F4BE"/>
    <w:lvl w:ilvl="0" w:tentative="0">
      <w:start w:val="1"/>
      <w:numFmt w:val="decimal"/>
      <w:suff w:val="space"/>
      <w:lvlText w:val="%1."/>
      <w:lvlJc w:val="left"/>
    </w:lvl>
  </w:abstractNum>
  <w:abstractNum w:abstractNumId="12">
    <w:nsid w:val="4F178BA0"/>
    <w:multiLevelType w:val="singleLevel"/>
    <w:tmpl w:val="4F178BA0"/>
    <w:lvl w:ilvl="0" w:tentative="0">
      <w:start w:val="1"/>
      <w:numFmt w:val="chineseCounting"/>
      <w:suff w:val="nothing"/>
      <w:lvlText w:val="%1、"/>
      <w:lvlJc w:val="left"/>
      <w:pPr>
        <w:ind w:left="0" w:firstLine="420"/>
      </w:pPr>
      <w:rPr>
        <w:rFonts w:hint="eastAsia"/>
      </w:rPr>
    </w:lvl>
  </w:abstractNum>
  <w:abstractNum w:abstractNumId="13">
    <w:nsid w:val="537AD69D"/>
    <w:multiLevelType w:val="singleLevel"/>
    <w:tmpl w:val="537AD69D"/>
    <w:lvl w:ilvl="0" w:tentative="0">
      <w:start w:val="1"/>
      <w:numFmt w:val="decimal"/>
      <w:lvlText w:val="%1."/>
      <w:lvlJc w:val="left"/>
      <w:pPr>
        <w:tabs>
          <w:tab w:val="left" w:pos="312"/>
        </w:tabs>
      </w:pPr>
    </w:lvl>
  </w:abstractNum>
  <w:abstractNum w:abstractNumId="14">
    <w:nsid w:val="7F64A080"/>
    <w:multiLevelType w:val="singleLevel"/>
    <w:tmpl w:val="7F64A080"/>
    <w:lvl w:ilvl="0" w:tentative="0">
      <w:start w:val="1"/>
      <w:numFmt w:val="decimal"/>
      <w:suff w:val="space"/>
      <w:lvlText w:val="%1."/>
      <w:lvlJc w:val="left"/>
    </w:lvl>
  </w:abstractNum>
  <w:num w:numId="1">
    <w:abstractNumId w:val="5"/>
  </w:num>
  <w:num w:numId="2">
    <w:abstractNumId w:val="4"/>
  </w:num>
  <w:num w:numId="3">
    <w:abstractNumId w:val="14"/>
  </w:num>
  <w:num w:numId="4">
    <w:abstractNumId w:val="0"/>
  </w:num>
  <w:num w:numId="5">
    <w:abstractNumId w:val="11"/>
  </w:num>
  <w:num w:numId="6">
    <w:abstractNumId w:val="2"/>
  </w:num>
  <w:num w:numId="7">
    <w:abstractNumId w:val="10"/>
  </w:num>
  <w:num w:numId="8">
    <w:abstractNumId w:val="1"/>
  </w:num>
  <w:num w:numId="9">
    <w:abstractNumId w:val="13"/>
  </w:num>
  <w:num w:numId="10">
    <w:abstractNumId w:val="9"/>
  </w:num>
  <w:num w:numId="11">
    <w:abstractNumId w:val="12"/>
  </w:num>
  <w:num w:numId="12">
    <w:abstractNumId w:val="3"/>
  </w:num>
  <w:num w:numId="13">
    <w:abstractNumId w:val="7"/>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DQzNDEyN2U2NDUxZjJlZWQxYmU2NjFkMTIwOWIifQ=="/>
  </w:docVars>
  <w:rsids>
    <w:rsidRoot w:val="00172A27"/>
    <w:rsid w:val="000D4630"/>
    <w:rsid w:val="00172A27"/>
    <w:rsid w:val="00182646"/>
    <w:rsid w:val="002C1ADB"/>
    <w:rsid w:val="003158F9"/>
    <w:rsid w:val="003625FF"/>
    <w:rsid w:val="003D3D90"/>
    <w:rsid w:val="00485221"/>
    <w:rsid w:val="004B22B7"/>
    <w:rsid w:val="00516B10"/>
    <w:rsid w:val="005836EA"/>
    <w:rsid w:val="00844A58"/>
    <w:rsid w:val="00923032"/>
    <w:rsid w:val="00992F1D"/>
    <w:rsid w:val="00A14CE7"/>
    <w:rsid w:val="00B21B1A"/>
    <w:rsid w:val="00BC2CAA"/>
    <w:rsid w:val="00BD2DD2"/>
    <w:rsid w:val="00C932FD"/>
    <w:rsid w:val="00CF41B7"/>
    <w:rsid w:val="00CF6615"/>
    <w:rsid w:val="00CF67A7"/>
    <w:rsid w:val="00D03EA7"/>
    <w:rsid w:val="00ED249D"/>
    <w:rsid w:val="00EF3790"/>
    <w:rsid w:val="00F77786"/>
    <w:rsid w:val="00FC6E27"/>
    <w:rsid w:val="020837DD"/>
    <w:rsid w:val="02FE5D80"/>
    <w:rsid w:val="03F4380B"/>
    <w:rsid w:val="04D44BAB"/>
    <w:rsid w:val="052878D5"/>
    <w:rsid w:val="053849C1"/>
    <w:rsid w:val="056D751F"/>
    <w:rsid w:val="06F15AA5"/>
    <w:rsid w:val="088C54FB"/>
    <w:rsid w:val="094E5430"/>
    <w:rsid w:val="09506EC8"/>
    <w:rsid w:val="0AFF2497"/>
    <w:rsid w:val="0B607AD8"/>
    <w:rsid w:val="0B7B5325"/>
    <w:rsid w:val="0B891380"/>
    <w:rsid w:val="0C365696"/>
    <w:rsid w:val="0C4B2C1B"/>
    <w:rsid w:val="0C517711"/>
    <w:rsid w:val="0CD520F0"/>
    <w:rsid w:val="0DF92DAC"/>
    <w:rsid w:val="0E277F52"/>
    <w:rsid w:val="0E545297"/>
    <w:rsid w:val="0ED87C76"/>
    <w:rsid w:val="10044B12"/>
    <w:rsid w:val="10CD485A"/>
    <w:rsid w:val="11967DA4"/>
    <w:rsid w:val="126E5189"/>
    <w:rsid w:val="12EC4418"/>
    <w:rsid w:val="12EC7044"/>
    <w:rsid w:val="13250FB0"/>
    <w:rsid w:val="138A779A"/>
    <w:rsid w:val="15F06CBF"/>
    <w:rsid w:val="16096967"/>
    <w:rsid w:val="166444E5"/>
    <w:rsid w:val="17130C4C"/>
    <w:rsid w:val="178001CE"/>
    <w:rsid w:val="17C074F9"/>
    <w:rsid w:val="17D102BC"/>
    <w:rsid w:val="186D0013"/>
    <w:rsid w:val="18E141DB"/>
    <w:rsid w:val="193177C0"/>
    <w:rsid w:val="199D4302"/>
    <w:rsid w:val="19F0117F"/>
    <w:rsid w:val="1A400BC7"/>
    <w:rsid w:val="1A585D2A"/>
    <w:rsid w:val="1AE93FA2"/>
    <w:rsid w:val="1AFC1190"/>
    <w:rsid w:val="1B4D72F6"/>
    <w:rsid w:val="1B75235A"/>
    <w:rsid w:val="1C345F12"/>
    <w:rsid w:val="1C922562"/>
    <w:rsid w:val="1CD610A4"/>
    <w:rsid w:val="1CD75119"/>
    <w:rsid w:val="1D9743D8"/>
    <w:rsid w:val="1E1D2CC6"/>
    <w:rsid w:val="1E4F5A7B"/>
    <w:rsid w:val="1E5F09DF"/>
    <w:rsid w:val="1F322DF1"/>
    <w:rsid w:val="1F597C48"/>
    <w:rsid w:val="1FCF5C4F"/>
    <w:rsid w:val="1FD1634C"/>
    <w:rsid w:val="209E23A2"/>
    <w:rsid w:val="20B123D5"/>
    <w:rsid w:val="20C75D9C"/>
    <w:rsid w:val="22394A78"/>
    <w:rsid w:val="22571743"/>
    <w:rsid w:val="22F07043"/>
    <w:rsid w:val="23902EAD"/>
    <w:rsid w:val="23B01174"/>
    <w:rsid w:val="23C12F77"/>
    <w:rsid w:val="24037900"/>
    <w:rsid w:val="25BD5273"/>
    <w:rsid w:val="264B6B28"/>
    <w:rsid w:val="26A618A4"/>
    <w:rsid w:val="26A84219"/>
    <w:rsid w:val="27545EB0"/>
    <w:rsid w:val="28681DD5"/>
    <w:rsid w:val="28767691"/>
    <w:rsid w:val="28904331"/>
    <w:rsid w:val="28E950F4"/>
    <w:rsid w:val="2997401D"/>
    <w:rsid w:val="29B0319E"/>
    <w:rsid w:val="29DF7CB3"/>
    <w:rsid w:val="2A6E11EC"/>
    <w:rsid w:val="2A936AB0"/>
    <w:rsid w:val="2AA30FF9"/>
    <w:rsid w:val="2C8241CD"/>
    <w:rsid w:val="2C850598"/>
    <w:rsid w:val="2CA86582"/>
    <w:rsid w:val="2CCA2E9C"/>
    <w:rsid w:val="2DC0117C"/>
    <w:rsid w:val="2DF3348F"/>
    <w:rsid w:val="2E0B34FB"/>
    <w:rsid w:val="2E1819E5"/>
    <w:rsid w:val="2E595B92"/>
    <w:rsid w:val="2E987D9C"/>
    <w:rsid w:val="2ED50F73"/>
    <w:rsid w:val="2F367395"/>
    <w:rsid w:val="2F5D5A71"/>
    <w:rsid w:val="2FA26872"/>
    <w:rsid w:val="31C72CB1"/>
    <w:rsid w:val="31D9637F"/>
    <w:rsid w:val="320E4DE5"/>
    <w:rsid w:val="32A65EA8"/>
    <w:rsid w:val="33287A90"/>
    <w:rsid w:val="33875E13"/>
    <w:rsid w:val="339844A9"/>
    <w:rsid w:val="33B10912"/>
    <w:rsid w:val="34600668"/>
    <w:rsid w:val="35C45791"/>
    <w:rsid w:val="362A435C"/>
    <w:rsid w:val="36BD312A"/>
    <w:rsid w:val="36F31241"/>
    <w:rsid w:val="38341B11"/>
    <w:rsid w:val="393977E3"/>
    <w:rsid w:val="39CA106F"/>
    <w:rsid w:val="39DF0585"/>
    <w:rsid w:val="3A573895"/>
    <w:rsid w:val="3BA42B0A"/>
    <w:rsid w:val="3BDB4052"/>
    <w:rsid w:val="3BE949C1"/>
    <w:rsid w:val="3BFE66BE"/>
    <w:rsid w:val="3C5205D1"/>
    <w:rsid w:val="3E3E5A11"/>
    <w:rsid w:val="3E675770"/>
    <w:rsid w:val="3F9F42C5"/>
    <w:rsid w:val="3FC96FE3"/>
    <w:rsid w:val="3FE41A4F"/>
    <w:rsid w:val="40855546"/>
    <w:rsid w:val="416D5845"/>
    <w:rsid w:val="42613503"/>
    <w:rsid w:val="4462023E"/>
    <w:rsid w:val="447B499E"/>
    <w:rsid w:val="44C2544F"/>
    <w:rsid w:val="457F04B4"/>
    <w:rsid w:val="46496D33"/>
    <w:rsid w:val="46A75C45"/>
    <w:rsid w:val="474E40E5"/>
    <w:rsid w:val="48783354"/>
    <w:rsid w:val="48D2544F"/>
    <w:rsid w:val="49287619"/>
    <w:rsid w:val="498F443F"/>
    <w:rsid w:val="49BA5642"/>
    <w:rsid w:val="4A5043FB"/>
    <w:rsid w:val="4C521DCB"/>
    <w:rsid w:val="4C653BF0"/>
    <w:rsid w:val="4C7E7C9F"/>
    <w:rsid w:val="4EBC10DA"/>
    <w:rsid w:val="4F204746"/>
    <w:rsid w:val="50351CA1"/>
    <w:rsid w:val="50395962"/>
    <w:rsid w:val="50792360"/>
    <w:rsid w:val="50E52447"/>
    <w:rsid w:val="51012F0D"/>
    <w:rsid w:val="51723672"/>
    <w:rsid w:val="518A7CDF"/>
    <w:rsid w:val="51BA216E"/>
    <w:rsid w:val="52602DF5"/>
    <w:rsid w:val="52981F4C"/>
    <w:rsid w:val="53511372"/>
    <w:rsid w:val="54BF3555"/>
    <w:rsid w:val="54EF2944"/>
    <w:rsid w:val="55BE0D02"/>
    <w:rsid w:val="56031AAA"/>
    <w:rsid w:val="57554FFD"/>
    <w:rsid w:val="587F072F"/>
    <w:rsid w:val="58B2640F"/>
    <w:rsid w:val="58E40592"/>
    <w:rsid w:val="5947124D"/>
    <w:rsid w:val="59815163"/>
    <w:rsid w:val="59B12B6A"/>
    <w:rsid w:val="5A6220B6"/>
    <w:rsid w:val="5A9F6E67"/>
    <w:rsid w:val="5B241283"/>
    <w:rsid w:val="5B6D0D13"/>
    <w:rsid w:val="5BEF0E0D"/>
    <w:rsid w:val="5C240D8E"/>
    <w:rsid w:val="5CE9782A"/>
    <w:rsid w:val="5D3C2CC2"/>
    <w:rsid w:val="5DC52483"/>
    <w:rsid w:val="5EA55F01"/>
    <w:rsid w:val="5EEB4428"/>
    <w:rsid w:val="5F166FCB"/>
    <w:rsid w:val="5F294F51"/>
    <w:rsid w:val="5F6E6E08"/>
    <w:rsid w:val="5F8960B6"/>
    <w:rsid w:val="5FB0016E"/>
    <w:rsid w:val="601E25DC"/>
    <w:rsid w:val="607641C6"/>
    <w:rsid w:val="60A8193E"/>
    <w:rsid w:val="60FC3939"/>
    <w:rsid w:val="614A35AB"/>
    <w:rsid w:val="62211293"/>
    <w:rsid w:val="6313603F"/>
    <w:rsid w:val="644C614C"/>
    <w:rsid w:val="6486408C"/>
    <w:rsid w:val="66150C06"/>
    <w:rsid w:val="6640095E"/>
    <w:rsid w:val="667C3462"/>
    <w:rsid w:val="66897F5C"/>
    <w:rsid w:val="6751081D"/>
    <w:rsid w:val="67700044"/>
    <w:rsid w:val="67786951"/>
    <w:rsid w:val="68165D32"/>
    <w:rsid w:val="68A61BF4"/>
    <w:rsid w:val="6A2922A9"/>
    <w:rsid w:val="6B811C71"/>
    <w:rsid w:val="6CCA459B"/>
    <w:rsid w:val="6D260D22"/>
    <w:rsid w:val="6D6C2BD8"/>
    <w:rsid w:val="6D745F31"/>
    <w:rsid w:val="6D9C3D5A"/>
    <w:rsid w:val="6DCD28FC"/>
    <w:rsid w:val="6F5A4CB2"/>
    <w:rsid w:val="7036127C"/>
    <w:rsid w:val="70A02B99"/>
    <w:rsid w:val="70CE3BAA"/>
    <w:rsid w:val="717C7162"/>
    <w:rsid w:val="71DB63DB"/>
    <w:rsid w:val="71ED0060"/>
    <w:rsid w:val="72416A78"/>
    <w:rsid w:val="72655E48"/>
    <w:rsid w:val="72936E59"/>
    <w:rsid w:val="72F5541E"/>
    <w:rsid w:val="737335D2"/>
    <w:rsid w:val="738A4F1A"/>
    <w:rsid w:val="739E7864"/>
    <w:rsid w:val="73C80D84"/>
    <w:rsid w:val="73E060CE"/>
    <w:rsid w:val="73F77193"/>
    <w:rsid w:val="755D54FC"/>
    <w:rsid w:val="75660FA8"/>
    <w:rsid w:val="762A7AD4"/>
    <w:rsid w:val="764C09B6"/>
    <w:rsid w:val="7693567A"/>
    <w:rsid w:val="772F73DB"/>
    <w:rsid w:val="77737762"/>
    <w:rsid w:val="778D031B"/>
    <w:rsid w:val="77F923B0"/>
    <w:rsid w:val="796302E2"/>
    <w:rsid w:val="7A2A1566"/>
    <w:rsid w:val="7AEC0B80"/>
    <w:rsid w:val="7B4B685B"/>
    <w:rsid w:val="7B6C3070"/>
    <w:rsid w:val="7B805526"/>
    <w:rsid w:val="7B936F84"/>
    <w:rsid w:val="7BE646EE"/>
    <w:rsid w:val="7CBB3234"/>
    <w:rsid w:val="7D0D2ED3"/>
    <w:rsid w:val="7D0F43F1"/>
    <w:rsid w:val="7DB402EA"/>
    <w:rsid w:val="7DFD5ACF"/>
    <w:rsid w:val="7E18726D"/>
    <w:rsid w:val="7ED245F0"/>
    <w:rsid w:val="7EEC1DCB"/>
    <w:rsid w:val="7F22771F"/>
    <w:rsid w:val="7F581556"/>
    <w:rsid w:val="7F62208D"/>
    <w:rsid w:val="7F962F62"/>
    <w:rsid w:val="7FF723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3"/>
    <w:qFormat/>
    <w:uiPriority w:val="9"/>
    <w:pPr>
      <w:keepNext/>
      <w:keepLines/>
      <w:spacing w:line="413" w:lineRule="auto"/>
      <w:outlineLvl w:val="1"/>
    </w:pPr>
    <w:rPr>
      <w:rFonts w:eastAsia="黑体" w:cs="Times New Roman"/>
      <w:b/>
      <w:sz w:val="36"/>
      <w:szCs w:val="20"/>
    </w:rPr>
  </w:style>
  <w:style w:type="paragraph" w:styleId="4">
    <w:name w:val="heading 5"/>
    <w:basedOn w:val="1"/>
    <w:next w:val="1"/>
    <w:semiHidden/>
    <w:unhideWhenUsed/>
    <w:qFormat/>
    <w:uiPriority w:val="0"/>
    <w:pPr>
      <w:keepNext/>
      <w:keepLines/>
      <w:spacing w:line="372" w:lineRule="auto"/>
      <w:outlineLvl w:val="4"/>
    </w:pPr>
    <w:rPr>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styleId="5">
    <w:name w:val="Body Text"/>
    <w:basedOn w:val="1"/>
    <w:qFormat/>
    <w:uiPriority w:val="0"/>
    <w:rPr>
      <w:rFonts w:ascii="仿宋" w:hAnsi="仿宋" w:eastAsia="仿宋" w:cs="仿宋"/>
      <w:sz w:val="31"/>
      <w:szCs w:val="31"/>
    </w:rPr>
  </w:style>
  <w:style w:type="paragraph" w:styleId="6">
    <w:name w:val="Plain Text"/>
    <w:basedOn w:val="1"/>
    <w:unhideWhenUsed/>
    <w:qFormat/>
    <w:uiPriority w:val="99"/>
    <w:rPr>
      <w:rFonts w:ascii="宋体" w:hAnsi="Courier New" w:eastAsia="宋体" w:cs="Courier New"/>
    </w:rPr>
  </w:style>
  <w:style w:type="paragraph" w:styleId="7">
    <w:name w:val="Balloon Text"/>
    <w:basedOn w:val="1"/>
    <w:link w:val="14"/>
    <w:qFormat/>
    <w:uiPriority w:val="0"/>
    <w:rPr>
      <w:sz w:val="18"/>
      <w:szCs w:val="18"/>
    </w:rPr>
  </w:style>
  <w:style w:type="paragraph" w:styleId="8">
    <w:name w:val="footer"/>
    <w:basedOn w:val="1"/>
    <w:unhideWhenUsed/>
    <w:qFormat/>
    <w:uiPriority w:val="99"/>
    <w:pPr>
      <w:tabs>
        <w:tab w:val="center" w:pos="4153"/>
        <w:tab w:val="right" w:pos="8306"/>
      </w:tabs>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character" w:customStyle="1" w:styleId="13">
    <w:name w:val="16"/>
    <w:basedOn w:val="11"/>
    <w:qFormat/>
    <w:uiPriority w:val="0"/>
    <w:rPr>
      <w:rFonts w:hint="default" w:ascii="Calibri" w:hAnsi="Calibri" w:eastAsiaTheme="minorEastAsia" w:cstheme="minorBidi"/>
      <w:b/>
      <w:bCs/>
    </w:rPr>
  </w:style>
  <w:style w:type="character" w:customStyle="1" w:styleId="14">
    <w:name w:val="批注框文本 字符"/>
    <w:basedOn w:val="11"/>
    <w:link w:val="7"/>
    <w:qFormat/>
    <w:uiPriority w:val="0"/>
    <w:rPr>
      <w:rFonts w:ascii="Arial" w:hAnsi="Arial" w:eastAsia="Arial" w:cs="Arial"/>
      <w:snapToGrid w:val="0"/>
      <w:color w:val="000000"/>
      <w:sz w:val="18"/>
      <w:szCs w:val="18"/>
      <w:lang w:eastAsia="en-US"/>
    </w:rPr>
  </w:style>
  <w:style w:type="character" w:customStyle="1" w:styleId="15">
    <w:name w:val="标题 #3_"/>
    <w:basedOn w:val="11"/>
    <w:link w:val="16"/>
    <w:unhideWhenUsed/>
    <w:qFormat/>
    <w:uiPriority w:val="99"/>
    <w:rPr>
      <w:rFonts w:hint="eastAsia" w:ascii="MingLiU" w:hAnsi="MingLiU" w:eastAsia="MingLiU"/>
      <w:b/>
      <w:sz w:val="24"/>
      <w:lang w:val="zh-CN"/>
    </w:rPr>
  </w:style>
  <w:style w:type="paragraph" w:customStyle="1" w:styleId="16">
    <w:name w:val="标题 #3"/>
    <w:basedOn w:val="1"/>
    <w:link w:val="15"/>
    <w:unhideWhenUsed/>
    <w:qFormat/>
    <w:uiPriority w:val="99"/>
    <w:pPr>
      <w:shd w:val="clear" w:color="auto" w:fill="FFFFFF"/>
      <w:spacing w:line="560" w:lineRule="exact"/>
      <w:ind w:firstLine="580"/>
      <w:outlineLvl w:val="2"/>
    </w:pPr>
    <w:rPr>
      <w:rFonts w:hint="eastAsia" w:ascii="MingLiU" w:hAnsi="MingLiU" w:eastAsia="MingLiU"/>
      <w:b/>
      <w:sz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9174</Words>
  <Characters>10250</Characters>
  <Lines>15</Lines>
  <Paragraphs>22</Paragraphs>
  <TotalTime>6</TotalTime>
  <ScaleCrop>false</ScaleCrop>
  <LinksUpToDate>false</LinksUpToDate>
  <CharactersWithSpaces>10545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2024-11-06T09:17:00Z</dcterms:created>
  <dc:creator>Administrator</dc:creator>
  <cp:lastModifiedBy>陈连球（电磁疗艾炙贴，艾眼贴）</cp:lastModifiedBy>
  <cp:lastPrinted>2024-11-15T02:41:10Z</cp:lastPrinted>
  <dcterms:modified xsi:type="dcterms:W3CDTF">2024-11-15T02:42:41Z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40D0FB121CE04B2B891A19710F4FC895_13</vt:lpwstr>
  </property>
</Properties>
</file>