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ind w:firstLine="760"/>
        <w:jc w:val="center"/>
        <w:outlineLvl w:val="0"/>
        <w:rPr>
          <w:rFonts w:ascii="仿宋_GB2312" w:hAnsi="仿宋" w:eastAsia="方正小标宋简体"/>
          <w:sz w:val="30"/>
          <w:szCs w:val="30"/>
          <w:lang w:eastAsia="zh-CN"/>
        </w:rPr>
      </w:pPr>
      <w:bookmarkStart w:id="0" w:name="_Toc17611"/>
      <w:r>
        <w:rPr>
          <w:rFonts w:hint="eastAsia" w:ascii="方正小标宋简体" w:eastAsia="方正小标宋简体"/>
          <w:bCs/>
          <w:sz w:val="38"/>
          <w:szCs w:val="38"/>
          <w:lang w:eastAsia="zh-CN"/>
        </w:rPr>
        <w:t>湛江市学校生活垃圾分类</w:t>
      </w:r>
      <w:bookmarkEnd w:id="0"/>
      <w:r>
        <w:rPr>
          <w:rFonts w:hint="eastAsia" w:ascii="方正小标宋简体" w:eastAsia="方正小标宋简体"/>
          <w:bCs/>
          <w:sz w:val="38"/>
          <w:szCs w:val="38"/>
          <w:lang w:eastAsia="zh-CN"/>
        </w:rPr>
        <w:t>指南</w:t>
      </w:r>
    </w:p>
    <w:p>
      <w:pPr>
        <w:ind w:firstLine="420"/>
        <w:jc w:val="both"/>
        <w:rPr>
          <w:lang w:eastAsia="zh-CN"/>
        </w:rPr>
      </w:pPr>
    </w:p>
    <w:p>
      <w:pPr>
        <w:spacing w:line="540" w:lineRule="exact"/>
        <w:ind w:firstLine="600"/>
        <w:jc w:val="both"/>
        <w:outlineLvl w:val="0"/>
        <w:rPr>
          <w:rFonts w:ascii="黑体" w:hAnsi="黑体" w:eastAsia="黑体"/>
          <w:bCs/>
          <w:sz w:val="30"/>
          <w:szCs w:val="30"/>
          <w:lang w:eastAsia="zh-CN"/>
        </w:rPr>
      </w:pPr>
      <w:bookmarkStart w:id="1" w:name="_Toc25927"/>
      <w:r>
        <w:rPr>
          <w:rFonts w:hint="eastAsia" w:ascii="黑体" w:hAnsi="黑体" w:eastAsia="黑体"/>
          <w:bCs/>
          <w:sz w:val="30"/>
          <w:szCs w:val="30"/>
          <w:lang w:eastAsia="zh-CN"/>
        </w:rPr>
        <w:t>1 总则</w:t>
      </w:r>
      <w:bookmarkEnd w:id="1"/>
    </w:p>
    <w:p>
      <w:pPr>
        <w:spacing w:line="540" w:lineRule="exact"/>
        <w:ind w:firstLine="600"/>
        <w:jc w:val="both"/>
        <w:outlineLvl w:val="1"/>
        <w:rPr>
          <w:rFonts w:ascii="楷体_GB2312" w:eastAsia="楷体_GB2312"/>
          <w:bCs/>
          <w:sz w:val="30"/>
          <w:szCs w:val="30"/>
          <w:lang w:eastAsia="zh-CN"/>
        </w:rPr>
      </w:pPr>
      <w:bookmarkStart w:id="2" w:name="_Toc5566"/>
      <w:r>
        <w:rPr>
          <w:rFonts w:hint="eastAsia" w:ascii="楷体_GB2312" w:eastAsia="楷体_GB2312"/>
          <w:bCs/>
          <w:sz w:val="30"/>
          <w:szCs w:val="30"/>
          <w:lang w:eastAsia="zh-CN"/>
        </w:rPr>
        <w:t>1.1</w:t>
      </w:r>
      <w:r>
        <w:rPr>
          <w:rFonts w:hint="eastAsia" w:ascii="楷体_GB2312" w:hAnsi="宋体" w:eastAsia="楷体_GB2312"/>
          <w:bCs/>
          <w:sz w:val="30"/>
          <w:szCs w:val="30"/>
          <w:lang w:eastAsia="zh-CN"/>
        </w:rPr>
        <w:t>目的意义</w:t>
      </w:r>
      <w:bookmarkEnd w:id="2"/>
    </w:p>
    <w:p>
      <w:pPr>
        <w:spacing w:line="540" w:lineRule="exact"/>
        <w:ind w:firstLine="600" w:firstLineChars="200"/>
        <w:jc w:val="both"/>
        <w:rPr>
          <w:rFonts w:ascii="仿宋_GB2312" w:eastAsia="仿宋_GB2312"/>
          <w:bCs/>
          <w:sz w:val="30"/>
          <w:szCs w:val="30"/>
          <w:lang w:eastAsia="zh-CN"/>
        </w:rPr>
      </w:pPr>
      <w:r>
        <w:rPr>
          <w:rFonts w:hint="eastAsia" w:ascii="仿宋_GB2312" w:hAnsi="宋体" w:eastAsia="仿宋_GB2312"/>
          <w:bCs/>
          <w:sz w:val="30"/>
          <w:szCs w:val="30"/>
          <w:lang w:eastAsia="zh-CN"/>
        </w:rPr>
        <w:t>为加强湛江市学校生活垃圾管理，规范生活垃圾分类投放，改善校园环境，促进精细化管理，维护生态安全，保障可持续发展，根据《中华人民共和国固体废物污染环境防治法》《湛江市生活垃圾管理条例》和《广东省城市生活垃圾分类指引（试行）》《广东省城市生活垃圾分类投放与收集设施设置指引》等相关法律法规和政策文件，结合学校实际情况，制定本指南。</w:t>
      </w:r>
    </w:p>
    <w:p>
      <w:pPr>
        <w:spacing w:line="540" w:lineRule="exact"/>
        <w:ind w:firstLine="600"/>
        <w:jc w:val="both"/>
        <w:outlineLvl w:val="1"/>
        <w:rPr>
          <w:rFonts w:ascii="楷体_GB2312" w:eastAsia="楷体_GB2312"/>
          <w:bCs/>
          <w:sz w:val="30"/>
          <w:szCs w:val="30"/>
          <w:lang w:eastAsia="zh-CN"/>
        </w:rPr>
      </w:pPr>
      <w:bookmarkStart w:id="3" w:name="_Toc12999"/>
      <w:r>
        <w:rPr>
          <w:rFonts w:hint="eastAsia" w:ascii="楷体_GB2312" w:eastAsia="楷体_GB2312"/>
          <w:bCs/>
          <w:sz w:val="30"/>
          <w:szCs w:val="30"/>
          <w:lang w:eastAsia="zh-CN"/>
        </w:rPr>
        <w:t>1.2适用范围</w:t>
      </w:r>
      <w:bookmarkEnd w:id="3"/>
    </w:p>
    <w:p>
      <w:pPr>
        <w:spacing w:line="540" w:lineRule="exact"/>
        <w:ind w:firstLine="600" w:firstLineChars="200"/>
        <w:jc w:val="both"/>
        <w:rPr>
          <w:rFonts w:ascii="仿宋_GB2312" w:hAnsi="宋体" w:eastAsia="仿宋_GB2312"/>
          <w:sz w:val="30"/>
          <w:szCs w:val="30"/>
          <w:lang w:eastAsia="zh-CN"/>
        </w:rPr>
      </w:pPr>
      <w:r>
        <w:rPr>
          <w:rFonts w:hint="eastAsia" w:ascii="仿宋_GB2312" w:hAnsi="宋体" w:eastAsia="仿宋_GB2312"/>
          <w:sz w:val="30"/>
          <w:szCs w:val="30"/>
          <w:lang w:eastAsia="zh-CN"/>
        </w:rPr>
        <w:t>本指南适用于湛江市各级各类学校（以下简称学校）。本市培训机构参照执行。</w:t>
      </w:r>
    </w:p>
    <w:p>
      <w:pPr>
        <w:spacing w:line="540" w:lineRule="exact"/>
        <w:ind w:firstLine="600"/>
        <w:jc w:val="both"/>
        <w:outlineLvl w:val="1"/>
        <w:rPr>
          <w:rFonts w:ascii="楷体_GB2312" w:eastAsia="楷体_GB2312"/>
          <w:bCs/>
          <w:sz w:val="30"/>
          <w:szCs w:val="30"/>
          <w:lang w:eastAsia="zh-CN"/>
        </w:rPr>
      </w:pPr>
      <w:bookmarkStart w:id="4" w:name="_Toc25554"/>
      <w:r>
        <w:rPr>
          <w:rFonts w:hint="eastAsia" w:ascii="楷体_GB2312" w:eastAsia="楷体_GB2312"/>
          <w:bCs/>
          <w:sz w:val="30"/>
          <w:szCs w:val="30"/>
          <w:lang w:eastAsia="zh-CN"/>
        </w:rPr>
        <w:t>1.3基本原则</w:t>
      </w:r>
      <w:bookmarkEnd w:id="4"/>
    </w:p>
    <w:p>
      <w:pPr>
        <w:spacing w:line="540" w:lineRule="exact"/>
        <w:ind w:firstLine="600"/>
        <w:jc w:val="both"/>
        <w:rPr>
          <w:rFonts w:ascii="仿宋_GB2312" w:eastAsia="仿宋_GB2312"/>
          <w:bCs/>
          <w:sz w:val="30"/>
          <w:szCs w:val="30"/>
          <w:lang w:eastAsia="zh-CN"/>
        </w:rPr>
      </w:pPr>
      <w:r>
        <w:rPr>
          <w:rFonts w:hint="eastAsia" w:ascii="楷体_GB2312" w:eastAsia="楷体_GB2312"/>
          <w:bCs/>
          <w:sz w:val="30"/>
          <w:szCs w:val="30"/>
          <w:lang w:eastAsia="zh-CN"/>
        </w:rPr>
        <w:t>1.3.1高度重视。</w:t>
      </w:r>
      <w:r>
        <w:rPr>
          <w:rFonts w:hint="eastAsia" w:ascii="仿宋_GB2312" w:hAnsi="宋体" w:eastAsia="仿宋_GB2312"/>
          <w:bCs/>
          <w:sz w:val="30"/>
          <w:szCs w:val="30"/>
          <w:lang w:eastAsia="zh-CN"/>
        </w:rPr>
        <w:t>学校应成立生活垃圾分类工作领导小组，由校长或分管副校长担任组长，由</w:t>
      </w:r>
      <w:r>
        <w:rPr>
          <w:rFonts w:hint="eastAsia" w:ascii="仿宋_GB2312" w:hAnsi="仿宋" w:eastAsia="仿宋_GB2312"/>
          <w:sz w:val="32"/>
          <w:szCs w:val="32"/>
          <w:lang w:eastAsia="zh-CN"/>
        </w:rPr>
        <w:t>教学、德育、资产管理、团委、后勤</w:t>
      </w:r>
      <w:r>
        <w:rPr>
          <w:rFonts w:hint="eastAsia" w:ascii="仿宋_GB2312" w:hAnsi="宋体" w:eastAsia="仿宋_GB2312"/>
          <w:bCs/>
          <w:sz w:val="30"/>
          <w:szCs w:val="30"/>
          <w:lang w:eastAsia="zh-CN"/>
        </w:rPr>
        <w:t>等部门组成，明确内部管理岗位和职责，落实专（兼）职工作人员。从制度、组织、宣传、人员、经费、设施等多方面综合推进。</w:t>
      </w:r>
    </w:p>
    <w:p>
      <w:pPr>
        <w:spacing w:line="540" w:lineRule="exact"/>
        <w:ind w:firstLine="600"/>
        <w:jc w:val="both"/>
        <w:rPr>
          <w:rFonts w:ascii="仿宋_GB2312" w:eastAsia="仿宋_GB2312"/>
          <w:bCs/>
          <w:sz w:val="30"/>
          <w:szCs w:val="30"/>
          <w:lang w:eastAsia="zh-CN"/>
        </w:rPr>
      </w:pPr>
      <w:r>
        <w:rPr>
          <w:rFonts w:hint="eastAsia" w:ascii="楷体_GB2312" w:eastAsia="楷体_GB2312"/>
          <w:bCs/>
          <w:sz w:val="30"/>
          <w:szCs w:val="30"/>
          <w:lang w:eastAsia="zh-CN"/>
        </w:rPr>
        <w:t>1.3.2依法执行。</w:t>
      </w:r>
      <w:r>
        <w:rPr>
          <w:rFonts w:hint="eastAsia" w:ascii="仿宋_GB2312" w:hAnsi="宋体" w:eastAsia="仿宋_GB2312"/>
          <w:bCs/>
          <w:sz w:val="30"/>
          <w:szCs w:val="30"/>
          <w:lang w:eastAsia="zh-CN"/>
        </w:rPr>
        <w:t>按照省、市最新出台的垃圾分类指引规定要求进行宣传、配置容器。应在校园内醒目位置常设垃圾分类宣传内容，并根据国家、省、市垃圾分类最新动态进行更新；应按生活垃圾产生量和产生特征、投放和管理需要，在各功能区域的建筑单体、道路、广场合理配置分类容器（四类垃圾分类投放容器数量比例原则上不能为1：1：1：1）。收集容器的规格应统一、规范、协调、美观。生活垃圾分类收集容器需符合广东省和湛江市标准。</w:t>
      </w:r>
    </w:p>
    <w:p>
      <w:pPr>
        <w:spacing w:line="540" w:lineRule="exact"/>
        <w:ind w:firstLine="600"/>
        <w:jc w:val="both"/>
        <w:rPr>
          <w:rFonts w:ascii="仿宋_GB2312" w:eastAsia="仿宋_GB2312"/>
          <w:bCs/>
          <w:sz w:val="30"/>
          <w:szCs w:val="30"/>
          <w:lang w:eastAsia="zh-CN"/>
        </w:rPr>
      </w:pPr>
      <w:r>
        <w:rPr>
          <w:rFonts w:hint="eastAsia" w:ascii="楷体_GB2312" w:eastAsia="楷体_GB2312"/>
          <w:bCs/>
          <w:sz w:val="30"/>
          <w:szCs w:val="30"/>
          <w:lang w:eastAsia="zh-CN"/>
        </w:rPr>
        <w:t>1.3.3统一部署。</w:t>
      </w:r>
      <w:r>
        <w:rPr>
          <w:rFonts w:hint="eastAsia" w:ascii="仿宋_GB2312" w:hAnsi="宋体" w:eastAsia="仿宋_GB2312"/>
          <w:bCs/>
          <w:sz w:val="30"/>
          <w:szCs w:val="30"/>
          <w:lang w:eastAsia="zh-CN"/>
        </w:rPr>
        <w:t>学校应与全社会和所在街镇的生活垃圾分类工作相衔接。若学校有多个校区分布在不同行政区或街镇，当各行政区、街镇对学校的垃圾分类管理具体要求存在差异时，可依据本指南统一推进本校的垃圾分类工作。</w:t>
      </w:r>
    </w:p>
    <w:p>
      <w:pPr>
        <w:spacing w:line="540" w:lineRule="exact"/>
        <w:ind w:firstLine="600"/>
        <w:jc w:val="both"/>
        <w:rPr>
          <w:rFonts w:ascii="仿宋_GB2312" w:eastAsia="仿宋_GB2312"/>
          <w:bCs/>
          <w:sz w:val="30"/>
          <w:szCs w:val="30"/>
          <w:lang w:eastAsia="zh-CN"/>
        </w:rPr>
      </w:pPr>
      <w:r>
        <w:rPr>
          <w:rFonts w:hint="eastAsia" w:ascii="楷体_GB2312" w:eastAsia="楷体_GB2312"/>
          <w:bCs/>
          <w:sz w:val="30"/>
          <w:szCs w:val="30"/>
          <w:lang w:eastAsia="zh-CN"/>
        </w:rPr>
        <w:t>1.3.4源头减量。</w:t>
      </w:r>
      <w:r>
        <w:rPr>
          <w:rFonts w:hint="eastAsia" w:ascii="仿宋_GB2312" w:hAnsi="宋体" w:eastAsia="仿宋_GB2312"/>
          <w:bCs/>
          <w:sz w:val="30"/>
          <w:szCs w:val="30"/>
          <w:lang w:eastAsia="zh-CN"/>
        </w:rPr>
        <w:t>学校应当结合“文明校园”“绿色学校”建设等工作，制定鼓励生活垃圾源头减量的措施，如制止餐饮浪费，倡导健康饮食，适度点餐；落实校内禁限塑举措，减少外卖就餐，减少食堂外带或推荐使用非一次性餐盒；鼓励智能化管理和无纸化办公，推动教材、快递包装物等循环再利用等。</w:t>
      </w:r>
    </w:p>
    <w:p>
      <w:pPr>
        <w:spacing w:line="540" w:lineRule="exact"/>
        <w:ind w:firstLine="600"/>
        <w:jc w:val="both"/>
        <w:rPr>
          <w:rFonts w:ascii="仿宋_GB2312" w:eastAsia="仿宋_GB2312"/>
          <w:bCs/>
          <w:sz w:val="30"/>
          <w:szCs w:val="30"/>
          <w:lang w:eastAsia="zh-CN"/>
        </w:rPr>
      </w:pPr>
      <w:r>
        <w:rPr>
          <w:rFonts w:hint="eastAsia" w:ascii="楷体_GB2312" w:eastAsia="楷体_GB2312"/>
          <w:bCs/>
          <w:sz w:val="30"/>
          <w:szCs w:val="30"/>
          <w:lang w:eastAsia="zh-CN"/>
        </w:rPr>
        <w:t>1.3.5因地制宜。</w:t>
      </w:r>
      <w:r>
        <w:rPr>
          <w:rFonts w:hint="eastAsia" w:ascii="仿宋_GB2312" w:hAnsi="宋体" w:eastAsia="仿宋_GB2312"/>
          <w:bCs/>
          <w:sz w:val="30"/>
          <w:szCs w:val="30"/>
          <w:lang w:eastAsia="zh-CN"/>
        </w:rPr>
        <w:t>学校内配置的垃圾分类容器数量、容积，应与垃圾产生量和产生特征、投放量相匹配。</w:t>
      </w:r>
    </w:p>
    <w:p>
      <w:pPr>
        <w:spacing w:line="540" w:lineRule="exact"/>
        <w:ind w:firstLine="600"/>
        <w:jc w:val="both"/>
        <w:outlineLvl w:val="0"/>
        <w:rPr>
          <w:rFonts w:ascii="黑体" w:hAnsi="黑体" w:eastAsia="黑体"/>
          <w:bCs/>
          <w:sz w:val="30"/>
          <w:szCs w:val="30"/>
          <w:lang w:eastAsia="zh-CN"/>
        </w:rPr>
      </w:pPr>
      <w:bookmarkStart w:id="5" w:name="_Toc15854"/>
      <w:r>
        <w:rPr>
          <w:rFonts w:hint="eastAsia" w:ascii="黑体" w:hAnsi="黑体" w:eastAsia="黑体"/>
          <w:bCs/>
          <w:sz w:val="30"/>
          <w:szCs w:val="30"/>
          <w:lang w:eastAsia="zh-CN"/>
        </w:rPr>
        <w:t>2 分类投放标准</w:t>
      </w:r>
      <w:bookmarkEnd w:id="5"/>
    </w:p>
    <w:p>
      <w:pPr>
        <w:spacing w:line="540" w:lineRule="exact"/>
        <w:ind w:firstLine="600"/>
        <w:jc w:val="both"/>
        <w:outlineLvl w:val="1"/>
        <w:rPr>
          <w:rFonts w:ascii="楷体_GB2312" w:eastAsia="楷体_GB2312"/>
          <w:bCs/>
          <w:sz w:val="30"/>
          <w:szCs w:val="30"/>
          <w:lang w:eastAsia="zh-CN"/>
        </w:rPr>
      </w:pPr>
      <w:bookmarkStart w:id="6" w:name="_Toc5839"/>
      <w:r>
        <w:rPr>
          <w:rFonts w:hint="eastAsia" w:ascii="楷体_GB2312" w:eastAsia="楷体_GB2312"/>
          <w:bCs/>
          <w:sz w:val="30"/>
          <w:szCs w:val="30"/>
          <w:lang w:eastAsia="zh-CN"/>
        </w:rPr>
        <w:t>2.1基本分类类别</w:t>
      </w:r>
      <w:bookmarkEnd w:id="6"/>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城市生活垃圾应当分为可回收物、有害垃圾、厨余垃圾和其他垃圾四大类。</w:t>
      </w:r>
      <w:r>
        <w:rPr>
          <w:rFonts w:hint="eastAsia" w:ascii="仿宋_GB2312" w:hAnsi="宋体" w:eastAsia="仿宋_GB2312"/>
          <w:b/>
          <w:sz w:val="30"/>
          <w:szCs w:val="30"/>
          <w:lang w:eastAsia="zh-CN"/>
        </w:rPr>
        <w:t>严禁工业固体废物、危险废物、医疗垃圾、建筑垃圾等混入生活垃圾处理体系。</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（1）可回收物，是指适宜回收和可资源化利用的生活垃圾，包括纸制品、塑料制品、玻璃制品、纺织品和金属等。</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（2）有害垃圾，是指纳入《国家危险废物名录》中的家庭源危险废物，属于有害物质、需要特殊安全处理的生活垃圾，包括：对人体健康或自然环境造成直接或潜在危害的灯管、家用化学品和医药用品等。</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（3）厨余垃圾，是指以有机质为主要成分，具有易腐烂发酵发臭等特点的生活垃圾，包括餐厨垃圾和其他厨余垃圾，也包括学校产生的小型树枝、花草、落叶等。</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（4）其他垃圾，是指除可回收物、厨余垃圾、有害垃圾以外的其他生活垃圾。</w:t>
      </w:r>
    </w:p>
    <w:p>
      <w:pPr>
        <w:spacing w:line="219" w:lineRule="auto"/>
        <w:ind w:firstLine="560"/>
        <w:jc w:val="both"/>
        <w:rPr>
          <w:rFonts w:ascii="仿宋" w:hAnsi="仿宋" w:eastAsia="仿宋" w:cs="仿宋"/>
          <w:sz w:val="28"/>
          <w:szCs w:val="28"/>
          <w:lang w:eastAsia="zh-CN"/>
        </w:rPr>
      </w:pPr>
    </w:p>
    <w:p>
      <w:pPr>
        <w:spacing w:line="540" w:lineRule="exact"/>
        <w:ind w:firstLine="600"/>
        <w:jc w:val="both"/>
        <w:outlineLvl w:val="1"/>
        <w:rPr>
          <w:rFonts w:ascii="楷体_GB2312" w:eastAsia="楷体_GB2312"/>
          <w:bCs/>
          <w:sz w:val="30"/>
          <w:szCs w:val="30"/>
          <w:lang w:eastAsia="zh-CN"/>
        </w:rPr>
      </w:pPr>
      <w:r>
        <w:rPr>
          <w:rFonts w:hint="eastAsia" w:ascii="楷体_GB2312" w:eastAsia="楷体_GB2312"/>
          <w:bCs/>
          <w:sz w:val="30"/>
          <w:szCs w:val="30"/>
          <w:lang w:eastAsia="zh-CN"/>
        </w:rPr>
        <w:t>2.2日常生活垃圾主要分类目录</w:t>
      </w:r>
    </w:p>
    <w:p>
      <w:pPr>
        <w:spacing w:line="219" w:lineRule="auto"/>
        <w:ind w:firstLine="560"/>
        <w:jc w:val="both"/>
        <w:rPr>
          <w:rFonts w:ascii="仿宋" w:hAnsi="仿宋" w:eastAsia="仿宋" w:cs="仿宋"/>
          <w:sz w:val="28"/>
          <w:szCs w:val="28"/>
          <w:lang w:eastAsia="zh-CN"/>
        </w:rPr>
        <w:sectPr>
          <w:footerReference r:id="rId5" w:type="default"/>
          <w:pgSz w:w="11906" w:h="16839"/>
          <w:pgMar w:top="1431" w:right="1400" w:bottom="1219" w:left="1592" w:header="0" w:footer="1032" w:gutter="0"/>
          <w:cols w:space="720" w:num="1"/>
        </w:sectPr>
      </w:pPr>
    </w:p>
    <w:p>
      <w:pPr>
        <w:pStyle w:val="5"/>
        <w:spacing w:line="330" w:lineRule="auto"/>
        <w:ind w:firstLine="300"/>
        <w:jc w:val="both"/>
        <w:rPr>
          <w:lang w:eastAsia="zh-CN"/>
        </w:rPr>
      </w:pPr>
    </w:p>
    <w:p>
      <w:pPr>
        <w:spacing w:before="120" w:line="180" w:lineRule="auto"/>
        <w:ind w:left="2869" w:firstLine="540"/>
        <w:jc w:val="both"/>
        <w:rPr>
          <w:rFonts w:ascii="微软雅黑" w:hAnsi="微软雅黑" w:eastAsia="微软雅黑" w:cs="微软雅黑"/>
          <w:sz w:val="28"/>
          <w:szCs w:val="28"/>
        </w:rPr>
      </w:pPr>
      <w:r>
        <w:rPr>
          <w:rFonts w:ascii="微软雅黑" w:hAnsi="微软雅黑" w:eastAsia="微软雅黑" w:cs="微软雅黑"/>
          <w:b/>
          <w:bCs/>
          <w:spacing w:val="-5"/>
          <w:sz w:val="28"/>
          <w:szCs w:val="28"/>
        </w:rPr>
        <w:t>表</w:t>
      </w:r>
      <w:r>
        <w:rPr>
          <w:rFonts w:hint="eastAsia" w:ascii="Times New Roman" w:hAnsi="Times New Roman" w:eastAsia="宋体" w:cs="Times New Roman"/>
          <w:b/>
          <w:bCs/>
          <w:spacing w:val="-5"/>
          <w:sz w:val="28"/>
          <w:szCs w:val="28"/>
          <w:lang w:eastAsia="zh-CN"/>
        </w:rPr>
        <w:t>1</w:t>
      </w:r>
      <w:r>
        <w:rPr>
          <w:rFonts w:ascii="Times New Roman" w:hAnsi="Times New Roman" w:eastAsia="Times New Roman" w:cs="Times New Roman"/>
          <w:b/>
          <w:bCs/>
          <w:spacing w:val="-5"/>
          <w:sz w:val="28"/>
          <w:szCs w:val="28"/>
        </w:rPr>
        <w:t>-1</w:t>
      </w:r>
      <w:r>
        <w:rPr>
          <w:rFonts w:ascii="微软雅黑" w:hAnsi="微软雅黑" w:eastAsia="微软雅黑" w:cs="微软雅黑"/>
          <w:b/>
          <w:bCs/>
          <w:spacing w:val="-5"/>
          <w:sz w:val="28"/>
          <w:szCs w:val="28"/>
        </w:rPr>
        <w:t>生活垃圾分类目录</w:t>
      </w:r>
    </w:p>
    <w:tbl>
      <w:tblPr>
        <w:tblStyle w:val="14"/>
        <w:tblW w:w="8226" w:type="dxa"/>
        <w:tblInd w:w="-3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9"/>
        <w:gridCol w:w="1882"/>
        <w:gridCol w:w="50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309" w:type="dxa"/>
            <w:shd w:val="clear" w:color="auto" w:fill="8EAADB"/>
          </w:tcPr>
          <w:p>
            <w:pPr>
              <w:spacing w:before="112" w:line="185" w:lineRule="auto"/>
              <w:ind w:left="0" w:firstLine="0"/>
              <w:jc w:val="both"/>
              <w:rPr>
                <w:rFonts w:ascii="微软雅黑" w:hAnsi="微软雅黑" w:eastAsia="微软雅黑" w:cs="微软雅黑"/>
                <w:sz w:val="24"/>
                <w:szCs w:val="24"/>
              </w:rPr>
            </w:pPr>
            <w:r>
              <w:rPr>
                <w:rFonts w:ascii="微软雅黑" w:hAnsi="微软雅黑" w:eastAsia="微软雅黑" w:cs="微软雅黑"/>
                <w:b/>
                <w:bCs/>
                <w:spacing w:val="-4"/>
                <w:sz w:val="24"/>
                <w:szCs w:val="24"/>
              </w:rPr>
              <w:t>分类类别</w:t>
            </w:r>
          </w:p>
        </w:tc>
        <w:tc>
          <w:tcPr>
            <w:tcW w:w="1882" w:type="dxa"/>
            <w:shd w:val="clear" w:color="auto" w:fill="8EAADB"/>
          </w:tcPr>
          <w:p>
            <w:pPr>
              <w:spacing w:before="112" w:line="185" w:lineRule="auto"/>
              <w:ind w:left="0" w:firstLine="0"/>
              <w:jc w:val="both"/>
              <w:rPr>
                <w:rFonts w:ascii="微软雅黑" w:hAnsi="微软雅黑" w:eastAsia="微软雅黑" w:cs="微软雅黑"/>
                <w:sz w:val="24"/>
                <w:szCs w:val="24"/>
              </w:rPr>
            </w:pPr>
            <w:r>
              <w:rPr>
                <w:rFonts w:ascii="微软雅黑" w:hAnsi="微软雅黑" w:eastAsia="微软雅黑" w:cs="微软雅黑"/>
                <w:b/>
                <w:bCs/>
                <w:spacing w:val="-5"/>
                <w:sz w:val="24"/>
                <w:szCs w:val="24"/>
              </w:rPr>
              <w:t>主要品种</w:t>
            </w:r>
          </w:p>
        </w:tc>
        <w:tc>
          <w:tcPr>
            <w:tcW w:w="5035" w:type="dxa"/>
            <w:shd w:val="clear" w:color="auto" w:fill="8EAADB"/>
          </w:tcPr>
          <w:p>
            <w:pPr>
              <w:spacing w:before="113" w:line="185" w:lineRule="auto"/>
              <w:ind w:left="1800" w:firstLine="464"/>
              <w:jc w:val="both"/>
              <w:rPr>
                <w:rFonts w:ascii="微软雅黑" w:hAnsi="微软雅黑" w:eastAsia="微软雅黑" w:cs="微软雅黑"/>
                <w:sz w:val="24"/>
                <w:szCs w:val="24"/>
              </w:rPr>
            </w:pPr>
            <w:r>
              <w:rPr>
                <w:rFonts w:ascii="微软雅黑" w:hAnsi="微软雅黑" w:eastAsia="微软雅黑" w:cs="微软雅黑"/>
                <w:b/>
                <w:bCs/>
                <w:spacing w:val="-4"/>
                <w:sz w:val="24"/>
                <w:szCs w:val="24"/>
              </w:rPr>
              <w:t>详细内容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1309" w:type="dxa"/>
            <w:vMerge w:val="restart"/>
            <w:tcBorders>
              <w:bottom w:val="nil"/>
            </w:tcBorders>
          </w:tcPr>
          <w:p>
            <w:pPr>
              <w:pStyle w:val="13"/>
              <w:spacing w:line="270" w:lineRule="auto"/>
              <w:ind w:firstLine="360"/>
              <w:jc w:val="both"/>
            </w:pPr>
          </w:p>
          <w:p>
            <w:pPr>
              <w:pStyle w:val="13"/>
              <w:spacing w:line="270" w:lineRule="auto"/>
              <w:ind w:firstLine="360"/>
              <w:jc w:val="both"/>
            </w:pPr>
          </w:p>
          <w:p>
            <w:pPr>
              <w:pStyle w:val="13"/>
              <w:spacing w:line="270" w:lineRule="auto"/>
              <w:ind w:firstLine="360"/>
              <w:jc w:val="both"/>
            </w:pPr>
          </w:p>
          <w:p>
            <w:pPr>
              <w:pStyle w:val="13"/>
              <w:spacing w:line="271" w:lineRule="auto"/>
              <w:ind w:firstLine="360"/>
              <w:jc w:val="both"/>
            </w:pPr>
          </w:p>
          <w:p>
            <w:pPr>
              <w:pStyle w:val="13"/>
              <w:spacing w:line="271" w:lineRule="auto"/>
              <w:ind w:firstLine="360"/>
              <w:jc w:val="both"/>
            </w:pPr>
          </w:p>
          <w:p>
            <w:pPr>
              <w:pStyle w:val="13"/>
              <w:spacing w:line="271" w:lineRule="auto"/>
              <w:ind w:firstLine="360"/>
              <w:jc w:val="both"/>
            </w:pPr>
          </w:p>
          <w:p>
            <w:pPr>
              <w:spacing w:before="78" w:line="225" w:lineRule="auto"/>
              <w:ind w:left="0" w:firstLine="0"/>
              <w:jc w:val="both"/>
              <w:rPr>
                <w:rFonts w:ascii="楷体" w:hAnsi="楷体" w:eastAsia="楷体" w:cs="楷体"/>
                <w:sz w:val="24"/>
                <w:szCs w:val="24"/>
              </w:rPr>
            </w:pPr>
            <w:r>
              <w:rPr>
                <w:rFonts w:hint="eastAsia" w:ascii="仿宋_GB2312" w:hAnsi="宋体" w:eastAsia="仿宋_GB2312" w:cs="Arial"/>
                <w:bCs/>
                <w:spacing w:val="0"/>
                <w:sz w:val="28"/>
                <w:szCs w:val="28"/>
                <w:lang w:eastAsia="zh-CN"/>
              </w:rPr>
              <w:t>可回收物</w:t>
            </w:r>
          </w:p>
        </w:tc>
        <w:tc>
          <w:tcPr>
            <w:tcW w:w="1882" w:type="dxa"/>
          </w:tcPr>
          <w:p>
            <w:pPr>
              <w:spacing w:before="240" w:line="226" w:lineRule="auto"/>
              <w:ind w:left="0" w:firstLine="0"/>
              <w:jc w:val="both"/>
              <w:rPr>
                <w:rFonts w:ascii="楷体" w:hAnsi="楷体" w:eastAsia="楷体" w:cs="楷体"/>
                <w:sz w:val="24"/>
                <w:szCs w:val="24"/>
              </w:rPr>
            </w:pPr>
            <w:r>
              <w:rPr>
                <w:rFonts w:ascii="楷体" w:hAnsi="楷体" w:eastAsia="楷体" w:cs="楷体"/>
                <w:spacing w:val="-5"/>
                <w:sz w:val="24"/>
                <w:szCs w:val="24"/>
              </w:rPr>
              <w:t>纸类</w:t>
            </w:r>
          </w:p>
        </w:tc>
        <w:tc>
          <w:tcPr>
            <w:tcW w:w="5035" w:type="dxa"/>
          </w:tcPr>
          <w:p>
            <w:pPr>
              <w:spacing w:before="60" w:line="247" w:lineRule="auto"/>
              <w:ind w:left="0" w:right="206" w:firstLine="0"/>
              <w:jc w:val="both"/>
              <w:rPr>
                <w:rFonts w:ascii="楷体" w:hAnsi="楷体" w:eastAsia="楷体" w:cs="楷体"/>
                <w:sz w:val="24"/>
                <w:szCs w:val="24"/>
                <w:lang w:eastAsia="zh-CN"/>
              </w:rPr>
            </w:pPr>
            <w:r>
              <w:rPr>
                <w:rFonts w:ascii="楷体" w:hAnsi="楷体" w:eastAsia="楷体" w:cs="楷体"/>
                <w:spacing w:val="-12"/>
                <w:sz w:val="24"/>
                <w:szCs w:val="24"/>
                <w:lang w:eastAsia="zh-CN"/>
              </w:rPr>
              <w:t>旧报书本、箱板纸（旧纸板箱）、废纸、</w:t>
            </w:r>
            <w:r>
              <w:rPr>
                <w:rFonts w:ascii="楷体" w:hAnsi="楷体" w:eastAsia="楷体" w:cs="楷体"/>
                <w:spacing w:val="-3"/>
                <w:sz w:val="24"/>
                <w:szCs w:val="24"/>
                <w:lang w:eastAsia="zh-CN"/>
              </w:rPr>
              <w:t>其它废纸张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09" w:type="dxa"/>
            <w:vMerge w:val="continue"/>
            <w:tcBorders>
              <w:top w:val="nil"/>
              <w:bottom w:val="nil"/>
            </w:tcBorders>
          </w:tcPr>
          <w:p>
            <w:pPr>
              <w:pStyle w:val="13"/>
              <w:ind w:firstLine="360"/>
              <w:jc w:val="both"/>
              <w:rPr>
                <w:lang w:eastAsia="zh-CN"/>
              </w:rPr>
            </w:pPr>
          </w:p>
        </w:tc>
        <w:tc>
          <w:tcPr>
            <w:tcW w:w="1882" w:type="dxa"/>
          </w:tcPr>
          <w:p>
            <w:pPr>
              <w:spacing w:before="108" w:line="220" w:lineRule="auto"/>
              <w:ind w:left="0" w:firstLine="0"/>
              <w:jc w:val="both"/>
              <w:rPr>
                <w:rFonts w:ascii="楷体" w:hAnsi="楷体" w:eastAsia="楷体" w:cs="楷体"/>
                <w:sz w:val="24"/>
                <w:szCs w:val="24"/>
              </w:rPr>
            </w:pPr>
            <w:r>
              <w:rPr>
                <w:rFonts w:ascii="楷体" w:hAnsi="楷体" w:eastAsia="楷体" w:cs="楷体"/>
                <w:spacing w:val="-7"/>
                <w:sz w:val="24"/>
                <w:szCs w:val="24"/>
              </w:rPr>
              <w:t>塑料</w:t>
            </w:r>
          </w:p>
        </w:tc>
        <w:tc>
          <w:tcPr>
            <w:tcW w:w="5035" w:type="dxa"/>
          </w:tcPr>
          <w:p>
            <w:pPr>
              <w:spacing w:before="108" w:line="217" w:lineRule="auto"/>
              <w:ind w:left="0" w:firstLine="0"/>
              <w:jc w:val="both"/>
              <w:rPr>
                <w:rFonts w:ascii="楷体" w:hAnsi="楷体" w:eastAsia="楷体" w:cs="楷体"/>
                <w:sz w:val="24"/>
                <w:szCs w:val="24"/>
                <w:lang w:eastAsia="zh-CN"/>
              </w:rPr>
            </w:pPr>
            <w:r>
              <w:rPr>
                <w:rFonts w:ascii="Times New Roman" w:hAnsi="Times New Roman" w:eastAsia="Times New Roman" w:cs="Times New Roman"/>
                <w:spacing w:val="-2"/>
                <w:sz w:val="24"/>
                <w:szCs w:val="24"/>
                <w:lang w:eastAsia="zh-CN"/>
              </w:rPr>
              <w:t>PET</w:t>
            </w:r>
            <w:r>
              <w:rPr>
                <w:rFonts w:ascii="楷体" w:hAnsi="楷体" w:eastAsia="楷体" w:cs="楷体"/>
                <w:spacing w:val="-2"/>
                <w:sz w:val="24"/>
                <w:szCs w:val="24"/>
                <w:lang w:eastAsia="zh-CN"/>
              </w:rPr>
              <w:t>瓶、塑料包装物、其它废塑料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309" w:type="dxa"/>
            <w:vMerge w:val="continue"/>
            <w:tcBorders>
              <w:top w:val="nil"/>
              <w:bottom w:val="nil"/>
            </w:tcBorders>
          </w:tcPr>
          <w:p>
            <w:pPr>
              <w:pStyle w:val="13"/>
              <w:ind w:firstLine="360"/>
              <w:jc w:val="both"/>
              <w:rPr>
                <w:lang w:eastAsia="zh-CN"/>
              </w:rPr>
            </w:pPr>
          </w:p>
        </w:tc>
        <w:tc>
          <w:tcPr>
            <w:tcW w:w="1882" w:type="dxa"/>
          </w:tcPr>
          <w:p>
            <w:pPr>
              <w:spacing w:before="108" w:line="220" w:lineRule="auto"/>
              <w:ind w:left="0" w:firstLine="0"/>
              <w:jc w:val="both"/>
              <w:rPr>
                <w:rFonts w:ascii="楷体" w:hAnsi="楷体" w:eastAsia="楷体" w:cs="楷体"/>
                <w:sz w:val="24"/>
                <w:szCs w:val="24"/>
              </w:rPr>
            </w:pPr>
            <w:r>
              <w:rPr>
                <w:rFonts w:ascii="楷体" w:hAnsi="楷体" w:eastAsia="楷体" w:cs="楷体"/>
                <w:spacing w:val="-4"/>
                <w:sz w:val="24"/>
                <w:szCs w:val="24"/>
              </w:rPr>
              <w:t>玻璃制品</w:t>
            </w:r>
          </w:p>
        </w:tc>
        <w:tc>
          <w:tcPr>
            <w:tcW w:w="5035" w:type="dxa"/>
          </w:tcPr>
          <w:p>
            <w:pPr>
              <w:spacing w:before="108" w:line="216" w:lineRule="auto"/>
              <w:ind w:left="0" w:firstLine="0"/>
              <w:jc w:val="both"/>
              <w:rPr>
                <w:rFonts w:ascii="楷体" w:hAnsi="楷体" w:eastAsia="楷体" w:cs="楷体"/>
                <w:sz w:val="24"/>
                <w:szCs w:val="24"/>
                <w:lang w:eastAsia="zh-CN"/>
              </w:rPr>
            </w:pPr>
            <w:r>
              <w:rPr>
                <w:rFonts w:ascii="楷体" w:hAnsi="楷体" w:eastAsia="楷体" w:cs="楷体"/>
                <w:spacing w:val="-5"/>
                <w:sz w:val="24"/>
                <w:szCs w:val="24"/>
                <w:lang w:eastAsia="zh-CN"/>
              </w:rPr>
              <w:t>平板玻璃、瓶料玻璃、其它废玻璃制品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trPr>
        <w:tc>
          <w:tcPr>
            <w:tcW w:w="1309" w:type="dxa"/>
            <w:vMerge w:val="continue"/>
            <w:tcBorders>
              <w:top w:val="nil"/>
              <w:bottom w:val="nil"/>
            </w:tcBorders>
          </w:tcPr>
          <w:p>
            <w:pPr>
              <w:pStyle w:val="13"/>
              <w:ind w:firstLine="360"/>
              <w:jc w:val="both"/>
              <w:rPr>
                <w:lang w:eastAsia="zh-CN"/>
              </w:rPr>
            </w:pPr>
          </w:p>
        </w:tc>
        <w:tc>
          <w:tcPr>
            <w:tcW w:w="1882" w:type="dxa"/>
          </w:tcPr>
          <w:p>
            <w:pPr>
              <w:pStyle w:val="13"/>
              <w:spacing w:line="341" w:lineRule="auto"/>
              <w:ind w:firstLine="360"/>
              <w:jc w:val="both"/>
              <w:rPr>
                <w:lang w:eastAsia="zh-CN"/>
              </w:rPr>
            </w:pPr>
          </w:p>
          <w:p>
            <w:pPr>
              <w:spacing w:before="78" w:line="217" w:lineRule="auto"/>
              <w:ind w:left="0" w:firstLine="0"/>
              <w:jc w:val="both"/>
              <w:rPr>
                <w:rFonts w:ascii="楷体" w:hAnsi="楷体" w:eastAsia="楷体" w:cs="楷体"/>
                <w:sz w:val="24"/>
                <w:szCs w:val="24"/>
              </w:rPr>
            </w:pPr>
            <w:r>
              <w:rPr>
                <w:rFonts w:ascii="楷体" w:hAnsi="楷体" w:eastAsia="楷体" w:cs="楷体"/>
                <w:w w:val="98"/>
                <w:sz w:val="24"/>
                <w:szCs w:val="24"/>
              </w:rPr>
              <w:t>金属</w:t>
            </w:r>
          </w:p>
        </w:tc>
        <w:tc>
          <w:tcPr>
            <w:tcW w:w="5035" w:type="dxa"/>
          </w:tcPr>
          <w:p>
            <w:pPr>
              <w:spacing w:before="61" w:line="217" w:lineRule="auto"/>
              <w:ind w:left="0" w:firstLine="0"/>
              <w:jc w:val="both"/>
              <w:rPr>
                <w:rFonts w:ascii="楷体" w:hAnsi="楷体" w:eastAsia="楷体" w:cs="楷体"/>
                <w:sz w:val="24"/>
                <w:szCs w:val="24"/>
              </w:rPr>
            </w:pPr>
            <w:r>
              <w:rPr>
                <w:rFonts w:ascii="楷体" w:hAnsi="楷体" w:eastAsia="楷体" w:cs="楷体"/>
                <w:spacing w:val="-10"/>
                <w:sz w:val="24"/>
                <w:szCs w:val="24"/>
                <w:lang w:eastAsia="zh-CN"/>
              </w:rPr>
              <w:t>黑色金属（废钢、废铁）、有色金属（废铜、废铝、废锡、废不锈钢）、其它金属</w:t>
            </w:r>
            <w:r>
              <w:rPr>
                <w:rFonts w:ascii="楷体" w:hAnsi="楷体" w:eastAsia="楷体" w:cs="楷体"/>
                <w:spacing w:val="-4"/>
                <w:sz w:val="24"/>
                <w:szCs w:val="24"/>
              </w:rPr>
              <w:t>（包括稀贵金属）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309" w:type="dxa"/>
            <w:vMerge w:val="continue"/>
            <w:tcBorders>
              <w:top w:val="nil"/>
              <w:bottom w:val="nil"/>
            </w:tcBorders>
          </w:tcPr>
          <w:p>
            <w:pPr>
              <w:pStyle w:val="13"/>
              <w:ind w:firstLine="360"/>
              <w:jc w:val="both"/>
            </w:pPr>
          </w:p>
        </w:tc>
        <w:tc>
          <w:tcPr>
            <w:tcW w:w="1882" w:type="dxa"/>
          </w:tcPr>
          <w:p>
            <w:pPr>
              <w:spacing w:before="109" w:line="230" w:lineRule="auto"/>
              <w:ind w:left="0" w:firstLine="0"/>
              <w:jc w:val="both"/>
              <w:rPr>
                <w:rFonts w:ascii="楷体" w:hAnsi="楷体" w:eastAsia="楷体" w:cs="楷体"/>
                <w:sz w:val="24"/>
                <w:szCs w:val="24"/>
              </w:rPr>
            </w:pPr>
            <w:r>
              <w:rPr>
                <w:rFonts w:ascii="楷体" w:hAnsi="楷体" w:eastAsia="楷体" w:cs="楷体"/>
                <w:spacing w:val="-5"/>
                <w:sz w:val="24"/>
                <w:szCs w:val="24"/>
              </w:rPr>
              <w:t>织物</w:t>
            </w:r>
          </w:p>
        </w:tc>
        <w:tc>
          <w:tcPr>
            <w:tcW w:w="5035" w:type="dxa"/>
          </w:tcPr>
          <w:p>
            <w:pPr>
              <w:spacing w:before="110" w:line="214" w:lineRule="auto"/>
              <w:ind w:left="0" w:firstLine="0"/>
              <w:jc w:val="both"/>
              <w:rPr>
                <w:rFonts w:ascii="楷体" w:hAnsi="楷体" w:eastAsia="楷体" w:cs="楷体"/>
                <w:sz w:val="24"/>
                <w:szCs w:val="24"/>
                <w:lang w:eastAsia="zh-CN"/>
              </w:rPr>
            </w:pPr>
            <w:r>
              <w:rPr>
                <w:rFonts w:ascii="楷体" w:hAnsi="楷体" w:eastAsia="楷体" w:cs="楷体"/>
                <w:spacing w:val="-3"/>
                <w:sz w:val="24"/>
                <w:szCs w:val="24"/>
                <w:lang w:eastAsia="zh-CN"/>
              </w:rPr>
              <w:t>旧衣服、旧棉被、其它废织物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309" w:type="dxa"/>
            <w:vMerge w:val="continue"/>
            <w:tcBorders>
              <w:top w:val="nil"/>
            </w:tcBorders>
          </w:tcPr>
          <w:p>
            <w:pPr>
              <w:pStyle w:val="13"/>
              <w:ind w:firstLine="360"/>
              <w:jc w:val="both"/>
              <w:rPr>
                <w:lang w:eastAsia="zh-CN"/>
              </w:rPr>
            </w:pPr>
          </w:p>
        </w:tc>
        <w:tc>
          <w:tcPr>
            <w:tcW w:w="1882" w:type="dxa"/>
          </w:tcPr>
          <w:p>
            <w:pPr>
              <w:spacing w:before="109" w:line="217" w:lineRule="auto"/>
              <w:ind w:left="0" w:firstLine="0"/>
              <w:jc w:val="both"/>
              <w:rPr>
                <w:rFonts w:ascii="楷体" w:hAnsi="楷体" w:eastAsia="楷体" w:cs="楷体"/>
                <w:sz w:val="24"/>
                <w:szCs w:val="24"/>
              </w:rPr>
            </w:pPr>
            <w:r>
              <w:rPr>
                <w:rFonts w:ascii="楷体" w:hAnsi="楷体" w:eastAsia="楷体" w:cs="楷体"/>
                <w:spacing w:val="-3"/>
                <w:sz w:val="24"/>
                <w:szCs w:val="24"/>
              </w:rPr>
              <w:t>小型废弃家电</w:t>
            </w:r>
          </w:p>
        </w:tc>
        <w:tc>
          <w:tcPr>
            <w:tcW w:w="5035" w:type="dxa"/>
          </w:tcPr>
          <w:p>
            <w:pPr>
              <w:spacing w:before="109" w:line="213" w:lineRule="auto"/>
              <w:ind w:left="0" w:firstLine="0"/>
              <w:jc w:val="both"/>
              <w:rPr>
                <w:rFonts w:ascii="楷体" w:hAnsi="楷体" w:eastAsia="楷体" w:cs="楷体"/>
                <w:sz w:val="24"/>
                <w:szCs w:val="24"/>
                <w:lang w:eastAsia="zh-CN"/>
              </w:rPr>
            </w:pPr>
            <w:r>
              <w:rPr>
                <w:rFonts w:ascii="楷体" w:hAnsi="楷体" w:eastAsia="楷体" w:cs="楷体"/>
                <w:spacing w:val="-1"/>
                <w:sz w:val="24"/>
                <w:szCs w:val="24"/>
                <w:lang w:eastAsia="zh-CN"/>
              </w:rPr>
              <w:t>熨斗、电吹风、打印机、传真机等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09" w:type="dxa"/>
            <w:vMerge w:val="restart"/>
            <w:tcBorders>
              <w:bottom w:val="nil"/>
            </w:tcBorders>
          </w:tcPr>
          <w:p>
            <w:pPr>
              <w:pStyle w:val="13"/>
              <w:spacing w:line="282" w:lineRule="auto"/>
              <w:ind w:firstLine="360"/>
              <w:jc w:val="both"/>
            </w:pPr>
          </w:p>
          <w:p>
            <w:pPr>
              <w:pStyle w:val="13"/>
              <w:spacing w:line="283" w:lineRule="auto"/>
              <w:ind w:firstLine="360"/>
              <w:jc w:val="both"/>
            </w:pPr>
          </w:p>
          <w:p>
            <w:pPr>
              <w:pStyle w:val="13"/>
              <w:spacing w:line="283" w:lineRule="auto"/>
              <w:ind w:firstLine="360"/>
              <w:jc w:val="both"/>
            </w:pPr>
          </w:p>
          <w:p>
            <w:pPr>
              <w:pStyle w:val="13"/>
              <w:spacing w:line="283" w:lineRule="auto"/>
              <w:ind w:firstLine="360"/>
              <w:jc w:val="both"/>
            </w:pPr>
          </w:p>
          <w:p>
            <w:pPr>
              <w:pStyle w:val="13"/>
              <w:spacing w:line="283" w:lineRule="auto"/>
              <w:ind w:firstLine="360"/>
              <w:jc w:val="both"/>
            </w:pPr>
          </w:p>
          <w:p>
            <w:pPr>
              <w:spacing w:before="78" w:line="217" w:lineRule="auto"/>
              <w:ind w:left="0" w:firstLine="0"/>
              <w:jc w:val="both"/>
              <w:rPr>
                <w:rFonts w:ascii="楷体" w:hAnsi="楷体" w:eastAsia="楷体" w:cs="楷体"/>
                <w:sz w:val="24"/>
                <w:szCs w:val="24"/>
              </w:rPr>
            </w:pPr>
            <w:r>
              <w:rPr>
                <w:rFonts w:hint="eastAsia" w:ascii="仿宋_GB2312" w:hAnsi="宋体" w:eastAsia="仿宋_GB2312" w:cs="Arial"/>
                <w:bCs/>
                <w:spacing w:val="0"/>
                <w:sz w:val="28"/>
                <w:szCs w:val="28"/>
                <w:lang w:eastAsia="zh-CN"/>
              </w:rPr>
              <w:t>有害垃圾</w:t>
            </w:r>
          </w:p>
        </w:tc>
        <w:tc>
          <w:tcPr>
            <w:tcW w:w="1882" w:type="dxa"/>
          </w:tcPr>
          <w:p>
            <w:pPr>
              <w:spacing w:before="109" w:line="223" w:lineRule="auto"/>
              <w:ind w:left="0" w:firstLine="0"/>
              <w:jc w:val="both"/>
              <w:rPr>
                <w:rFonts w:ascii="楷体" w:hAnsi="楷体" w:eastAsia="楷体" w:cs="楷体"/>
                <w:sz w:val="24"/>
                <w:szCs w:val="24"/>
              </w:rPr>
            </w:pPr>
            <w:r>
              <w:rPr>
                <w:rFonts w:ascii="楷体" w:hAnsi="楷体" w:eastAsia="楷体" w:cs="楷体"/>
                <w:spacing w:val="-5"/>
                <w:sz w:val="24"/>
                <w:szCs w:val="24"/>
              </w:rPr>
              <w:t>废电池</w:t>
            </w:r>
          </w:p>
        </w:tc>
        <w:tc>
          <w:tcPr>
            <w:tcW w:w="5035" w:type="dxa"/>
          </w:tcPr>
          <w:p>
            <w:pPr>
              <w:spacing w:before="109" w:line="214" w:lineRule="auto"/>
              <w:ind w:left="0" w:firstLine="0"/>
              <w:jc w:val="both"/>
              <w:rPr>
                <w:rFonts w:ascii="楷体" w:hAnsi="楷体" w:eastAsia="楷体" w:cs="楷体"/>
                <w:sz w:val="24"/>
                <w:szCs w:val="24"/>
                <w:lang w:eastAsia="zh-CN"/>
              </w:rPr>
            </w:pPr>
            <w:r>
              <w:rPr>
                <w:rFonts w:ascii="楷体" w:hAnsi="楷体" w:eastAsia="楷体" w:cs="楷体"/>
                <w:spacing w:val="-1"/>
                <w:sz w:val="24"/>
                <w:szCs w:val="24"/>
                <w:lang w:eastAsia="zh-CN"/>
              </w:rPr>
              <w:t>废镍镉电池、废氧化汞电池、铅蓄电池等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309" w:type="dxa"/>
            <w:vMerge w:val="continue"/>
            <w:tcBorders>
              <w:top w:val="nil"/>
              <w:bottom w:val="nil"/>
            </w:tcBorders>
          </w:tcPr>
          <w:p>
            <w:pPr>
              <w:pStyle w:val="13"/>
              <w:ind w:firstLine="360"/>
              <w:jc w:val="both"/>
              <w:rPr>
                <w:lang w:eastAsia="zh-CN"/>
              </w:rPr>
            </w:pPr>
          </w:p>
        </w:tc>
        <w:tc>
          <w:tcPr>
            <w:tcW w:w="1882" w:type="dxa"/>
          </w:tcPr>
          <w:p>
            <w:pPr>
              <w:spacing w:before="110" w:line="215" w:lineRule="auto"/>
              <w:ind w:left="0" w:firstLine="0"/>
              <w:jc w:val="both"/>
              <w:rPr>
                <w:rFonts w:ascii="楷体" w:hAnsi="楷体" w:eastAsia="楷体" w:cs="楷体"/>
                <w:sz w:val="24"/>
                <w:szCs w:val="24"/>
              </w:rPr>
            </w:pPr>
            <w:r>
              <w:rPr>
                <w:rFonts w:ascii="楷体" w:hAnsi="楷体" w:eastAsia="楷体" w:cs="楷体"/>
                <w:spacing w:val="-5"/>
                <w:sz w:val="24"/>
                <w:szCs w:val="24"/>
              </w:rPr>
              <w:t>废灯管</w:t>
            </w:r>
          </w:p>
        </w:tc>
        <w:tc>
          <w:tcPr>
            <w:tcW w:w="5035" w:type="dxa"/>
          </w:tcPr>
          <w:p>
            <w:pPr>
              <w:spacing w:before="110" w:line="215" w:lineRule="auto"/>
              <w:ind w:left="1444" w:firstLine="468"/>
              <w:jc w:val="both"/>
              <w:rPr>
                <w:rFonts w:ascii="楷体" w:hAnsi="楷体" w:eastAsia="楷体" w:cs="楷体"/>
                <w:sz w:val="24"/>
                <w:szCs w:val="24"/>
              </w:rPr>
            </w:pPr>
            <w:r>
              <w:rPr>
                <w:rFonts w:ascii="楷体" w:hAnsi="楷体" w:eastAsia="楷体" w:cs="楷体"/>
                <w:spacing w:val="-3"/>
                <w:sz w:val="24"/>
                <w:szCs w:val="24"/>
              </w:rPr>
              <w:t>废弃的荧光灯管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309" w:type="dxa"/>
            <w:vMerge w:val="continue"/>
            <w:tcBorders>
              <w:top w:val="nil"/>
              <w:bottom w:val="nil"/>
            </w:tcBorders>
          </w:tcPr>
          <w:p>
            <w:pPr>
              <w:pStyle w:val="13"/>
              <w:ind w:firstLine="360"/>
              <w:jc w:val="both"/>
            </w:pPr>
          </w:p>
        </w:tc>
        <w:tc>
          <w:tcPr>
            <w:tcW w:w="1882" w:type="dxa"/>
          </w:tcPr>
          <w:p>
            <w:pPr>
              <w:spacing w:before="110" w:line="220" w:lineRule="auto"/>
              <w:ind w:left="0" w:firstLine="0"/>
              <w:jc w:val="both"/>
              <w:rPr>
                <w:rFonts w:ascii="楷体" w:hAnsi="楷体" w:eastAsia="楷体" w:cs="楷体"/>
                <w:sz w:val="24"/>
                <w:szCs w:val="24"/>
              </w:rPr>
            </w:pPr>
            <w:r>
              <w:rPr>
                <w:rFonts w:ascii="楷体" w:hAnsi="楷体" w:eastAsia="楷体" w:cs="楷体"/>
                <w:spacing w:val="-7"/>
                <w:sz w:val="24"/>
                <w:szCs w:val="24"/>
              </w:rPr>
              <w:t>医药用品</w:t>
            </w:r>
          </w:p>
        </w:tc>
        <w:tc>
          <w:tcPr>
            <w:tcW w:w="5035" w:type="dxa"/>
          </w:tcPr>
          <w:p>
            <w:pPr>
              <w:spacing w:before="110" w:line="217" w:lineRule="auto"/>
              <w:ind w:left="964" w:firstLine="472"/>
              <w:jc w:val="both"/>
              <w:rPr>
                <w:rFonts w:ascii="楷体" w:hAnsi="楷体" w:eastAsia="楷体" w:cs="楷体"/>
                <w:sz w:val="24"/>
                <w:szCs w:val="24"/>
                <w:lang w:eastAsia="zh-CN"/>
              </w:rPr>
            </w:pPr>
            <w:r>
              <w:rPr>
                <w:rFonts w:ascii="楷体" w:hAnsi="楷体" w:eastAsia="楷体" w:cs="楷体"/>
                <w:spacing w:val="-2"/>
                <w:sz w:val="24"/>
                <w:szCs w:val="24"/>
                <w:lang w:eastAsia="zh-CN"/>
              </w:rPr>
              <w:t>废弃医药用品及其包装物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09" w:type="dxa"/>
            <w:vMerge w:val="continue"/>
            <w:tcBorders>
              <w:top w:val="nil"/>
              <w:bottom w:val="nil"/>
            </w:tcBorders>
          </w:tcPr>
          <w:p>
            <w:pPr>
              <w:pStyle w:val="13"/>
              <w:ind w:firstLine="360"/>
              <w:jc w:val="both"/>
              <w:rPr>
                <w:lang w:eastAsia="zh-CN"/>
              </w:rPr>
            </w:pPr>
          </w:p>
        </w:tc>
        <w:tc>
          <w:tcPr>
            <w:tcW w:w="1882" w:type="dxa"/>
          </w:tcPr>
          <w:p>
            <w:pPr>
              <w:spacing w:before="109" w:line="219" w:lineRule="auto"/>
              <w:ind w:left="0" w:firstLine="0"/>
              <w:jc w:val="both"/>
              <w:rPr>
                <w:rFonts w:ascii="楷体" w:hAnsi="楷体" w:eastAsia="楷体" w:cs="楷体"/>
                <w:sz w:val="24"/>
                <w:szCs w:val="24"/>
              </w:rPr>
            </w:pPr>
            <w:r>
              <w:rPr>
                <w:rFonts w:ascii="楷体" w:hAnsi="楷体" w:eastAsia="楷体" w:cs="楷体"/>
                <w:spacing w:val="-5"/>
                <w:sz w:val="24"/>
                <w:szCs w:val="24"/>
              </w:rPr>
              <w:t>杀虫剂</w:t>
            </w:r>
          </w:p>
        </w:tc>
        <w:tc>
          <w:tcPr>
            <w:tcW w:w="5035" w:type="dxa"/>
          </w:tcPr>
          <w:p>
            <w:pPr>
              <w:spacing w:before="109" w:line="217" w:lineRule="auto"/>
              <w:ind w:left="604" w:firstLine="472"/>
              <w:jc w:val="both"/>
              <w:rPr>
                <w:rFonts w:ascii="楷体" w:hAnsi="楷体" w:eastAsia="楷体" w:cs="楷体"/>
                <w:sz w:val="24"/>
                <w:szCs w:val="24"/>
                <w:lang w:eastAsia="zh-CN"/>
              </w:rPr>
            </w:pPr>
            <w:r>
              <w:rPr>
                <w:rFonts w:ascii="楷体" w:hAnsi="楷体" w:eastAsia="楷体" w:cs="楷体"/>
                <w:spacing w:val="-2"/>
                <w:sz w:val="24"/>
                <w:szCs w:val="24"/>
                <w:lang w:eastAsia="zh-CN"/>
              </w:rPr>
              <w:t>废杀虫剂、消毒剂及其包装物等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309" w:type="dxa"/>
            <w:vMerge w:val="continue"/>
            <w:tcBorders>
              <w:top w:val="nil"/>
              <w:bottom w:val="nil"/>
            </w:tcBorders>
          </w:tcPr>
          <w:p>
            <w:pPr>
              <w:pStyle w:val="13"/>
              <w:ind w:firstLine="360"/>
              <w:jc w:val="both"/>
              <w:rPr>
                <w:lang w:eastAsia="zh-CN"/>
              </w:rPr>
            </w:pPr>
          </w:p>
        </w:tc>
        <w:tc>
          <w:tcPr>
            <w:tcW w:w="1882" w:type="dxa"/>
          </w:tcPr>
          <w:p>
            <w:pPr>
              <w:spacing w:before="111" w:line="215" w:lineRule="auto"/>
              <w:ind w:left="0" w:firstLine="0"/>
              <w:jc w:val="both"/>
              <w:rPr>
                <w:rFonts w:ascii="楷体" w:hAnsi="楷体" w:eastAsia="楷体" w:cs="楷体"/>
                <w:sz w:val="24"/>
                <w:szCs w:val="24"/>
              </w:rPr>
            </w:pPr>
            <w:r>
              <w:rPr>
                <w:rFonts w:ascii="楷体" w:hAnsi="楷体" w:eastAsia="楷体" w:cs="楷体"/>
                <w:spacing w:val="-4"/>
                <w:sz w:val="24"/>
                <w:szCs w:val="24"/>
              </w:rPr>
              <w:t>含汞产品</w:t>
            </w:r>
          </w:p>
        </w:tc>
        <w:tc>
          <w:tcPr>
            <w:tcW w:w="5035" w:type="dxa"/>
          </w:tcPr>
          <w:p>
            <w:pPr>
              <w:spacing w:before="111" w:line="217" w:lineRule="auto"/>
              <w:ind w:left="1083" w:firstLine="472"/>
              <w:jc w:val="both"/>
              <w:rPr>
                <w:rFonts w:ascii="楷体" w:hAnsi="楷体" w:eastAsia="楷体" w:cs="楷体"/>
                <w:sz w:val="24"/>
                <w:szCs w:val="24"/>
                <w:lang w:eastAsia="zh-CN"/>
              </w:rPr>
            </w:pPr>
            <w:r>
              <w:rPr>
                <w:rFonts w:ascii="楷体" w:hAnsi="楷体" w:eastAsia="楷体" w:cs="楷体"/>
                <w:spacing w:val="-2"/>
                <w:sz w:val="24"/>
                <w:szCs w:val="24"/>
                <w:lang w:eastAsia="zh-CN"/>
              </w:rPr>
              <w:t>含汞温度计、血压计等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309" w:type="dxa"/>
            <w:vMerge w:val="continue"/>
            <w:tcBorders>
              <w:top w:val="nil"/>
              <w:bottom w:val="nil"/>
            </w:tcBorders>
          </w:tcPr>
          <w:p>
            <w:pPr>
              <w:pStyle w:val="13"/>
              <w:ind w:firstLine="360"/>
              <w:jc w:val="both"/>
              <w:rPr>
                <w:lang w:eastAsia="zh-CN"/>
              </w:rPr>
            </w:pPr>
          </w:p>
        </w:tc>
        <w:tc>
          <w:tcPr>
            <w:tcW w:w="1882" w:type="dxa"/>
          </w:tcPr>
          <w:p>
            <w:pPr>
              <w:spacing w:before="111" w:line="220" w:lineRule="auto"/>
              <w:ind w:left="0" w:firstLine="0"/>
              <w:jc w:val="both"/>
              <w:rPr>
                <w:rFonts w:ascii="楷体" w:hAnsi="楷体" w:eastAsia="楷体" w:cs="楷体"/>
                <w:sz w:val="24"/>
                <w:szCs w:val="24"/>
              </w:rPr>
            </w:pPr>
            <w:r>
              <w:rPr>
                <w:rFonts w:ascii="楷体" w:hAnsi="楷体" w:eastAsia="楷体" w:cs="楷体"/>
                <w:spacing w:val="-6"/>
                <w:sz w:val="24"/>
                <w:szCs w:val="24"/>
              </w:rPr>
              <w:t>油漆</w:t>
            </w:r>
          </w:p>
        </w:tc>
        <w:tc>
          <w:tcPr>
            <w:tcW w:w="5035" w:type="dxa"/>
          </w:tcPr>
          <w:p>
            <w:pPr>
              <w:spacing w:before="111" w:line="217" w:lineRule="auto"/>
              <w:ind w:left="964" w:firstLine="472"/>
              <w:jc w:val="both"/>
              <w:rPr>
                <w:rFonts w:ascii="楷体" w:hAnsi="楷体" w:eastAsia="楷体" w:cs="楷体"/>
                <w:sz w:val="24"/>
                <w:szCs w:val="24"/>
                <w:lang w:eastAsia="zh-CN"/>
              </w:rPr>
            </w:pPr>
            <w:r>
              <w:rPr>
                <w:rFonts w:ascii="楷体" w:hAnsi="楷体" w:eastAsia="楷体" w:cs="楷体"/>
                <w:spacing w:val="-2"/>
                <w:sz w:val="24"/>
                <w:szCs w:val="24"/>
                <w:lang w:eastAsia="zh-CN"/>
              </w:rPr>
              <w:t>废油漆和溶剂及其包装物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09" w:type="dxa"/>
            <w:vMerge w:val="continue"/>
            <w:tcBorders>
              <w:top w:val="nil"/>
            </w:tcBorders>
          </w:tcPr>
          <w:p>
            <w:pPr>
              <w:pStyle w:val="13"/>
              <w:ind w:firstLine="360"/>
              <w:jc w:val="both"/>
              <w:rPr>
                <w:lang w:eastAsia="zh-CN"/>
              </w:rPr>
            </w:pPr>
          </w:p>
        </w:tc>
        <w:tc>
          <w:tcPr>
            <w:tcW w:w="1882" w:type="dxa"/>
          </w:tcPr>
          <w:p>
            <w:pPr>
              <w:spacing w:before="111" w:line="217" w:lineRule="auto"/>
              <w:ind w:left="0" w:firstLine="0"/>
              <w:jc w:val="both"/>
              <w:rPr>
                <w:rFonts w:ascii="楷体" w:hAnsi="楷体" w:eastAsia="楷体" w:cs="楷体"/>
                <w:sz w:val="24"/>
                <w:szCs w:val="24"/>
              </w:rPr>
            </w:pPr>
            <w:r>
              <w:rPr>
                <w:rFonts w:ascii="楷体" w:hAnsi="楷体" w:eastAsia="楷体" w:cs="楷体"/>
                <w:spacing w:val="-3"/>
                <w:sz w:val="24"/>
                <w:szCs w:val="24"/>
              </w:rPr>
              <w:t>胶片、相纸</w:t>
            </w:r>
          </w:p>
        </w:tc>
        <w:tc>
          <w:tcPr>
            <w:tcW w:w="5035" w:type="dxa"/>
          </w:tcPr>
          <w:p>
            <w:pPr>
              <w:spacing w:before="111" w:line="217" w:lineRule="auto"/>
              <w:ind w:left="1444" w:firstLine="468"/>
              <w:jc w:val="both"/>
              <w:rPr>
                <w:rFonts w:ascii="楷体" w:hAnsi="楷体" w:eastAsia="楷体" w:cs="楷体"/>
                <w:sz w:val="24"/>
                <w:szCs w:val="24"/>
              </w:rPr>
            </w:pPr>
            <w:r>
              <w:rPr>
                <w:rFonts w:ascii="楷体" w:hAnsi="楷体" w:eastAsia="楷体" w:cs="楷体"/>
                <w:spacing w:val="-3"/>
                <w:sz w:val="24"/>
                <w:szCs w:val="24"/>
              </w:rPr>
              <w:t>废胶片、废相纸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1309" w:type="dxa"/>
            <w:vMerge w:val="restart"/>
            <w:tcBorders>
              <w:bottom w:val="nil"/>
            </w:tcBorders>
          </w:tcPr>
          <w:p>
            <w:pPr>
              <w:pStyle w:val="13"/>
              <w:spacing w:line="295" w:lineRule="auto"/>
              <w:ind w:firstLine="360"/>
              <w:jc w:val="both"/>
            </w:pPr>
          </w:p>
          <w:p>
            <w:pPr>
              <w:pStyle w:val="13"/>
              <w:spacing w:line="295" w:lineRule="auto"/>
              <w:ind w:firstLine="360"/>
              <w:jc w:val="both"/>
            </w:pPr>
          </w:p>
          <w:p>
            <w:pPr>
              <w:pStyle w:val="13"/>
              <w:spacing w:line="296" w:lineRule="auto"/>
              <w:ind w:firstLine="360"/>
              <w:jc w:val="both"/>
            </w:pPr>
          </w:p>
          <w:p>
            <w:pPr>
              <w:spacing w:before="78" w:line="216" w:lineRule="auto"/>
              <w:ind w:left="0" w:firstLine="0"/>
              <w:jc w:val="both"/>
              <w:rPr>
                <w:rFonts w:ascii="楷体" w:hAnsi="楷体" w:eastAsia="楷体" w:cs="楷体"/>
                <w:sz w:val="24"/>
                <w:szCs w:val="24"/>
              </w:rPr>
            </w:pPr>
            <w:r>
              <w:rPr>
                <w:rFonts w:hint="eastAsia" w:ascii="仿宋_GB2312" w:hAnsi="宋体" w:eastAsia="仿宋_GB2312" w:cs="Arial"/>
                <w:bCs/>
                <w:spacing w:val="0"/>
                <w:sz w:val="28"/>
                <w:szCs w:val="28"/>
                <w:lang w:eastAsia="zh-CN"/>
              </w:rPr>
              <w:t>厨余垃圾</w:t>
            </w:r>
          </w:p>
        </w:tc>
        <w:tc>
          <w:tcPr>
            <w:tcW w:w="1882" w:type="dxa"/>
          </w:tcPr>
          <w:p>
            <w:pPr>
              <w:spacing w:before="243" w:line="216" w:lineRule="auto"/>
              <w:ind w:left="0" w:firstLine="0"/>
              <w:jc w:val="both"/>
              <w:rPr>
                <w:rFonts w:ascii="楷体" w:hAnsi="楷体" w:eastAsia="楷体" w:cs="楷体"/>
                <w:sz w:val="24"/>
                <w:szCs w:val="24"/>
              </w:rPr>
            </w:pPr>
            <w:r>
              <w:rPr>
                <w:rFonts w:ascii="楷体" w:hAnsi="楷体" w:eastAsia="楷体" w:cs="楷体"/>
                <w:spacing w:val="-3"/>
                <w:sz w:val="24"/>
                <w:szCs w:val="24"/>
              </w:rPr>
              <w:t>家庭厨余垃圾</w:t>
            </w:r>
          </w:p>
        </w:tc>
        <w:tc>
          <w:tcPr>
            <w:tcW w:w="5035" w:type="dxa"/>
          </w:tcPr>
          <w:p>
            <w:pPr>
              <w:spacing w:before="62" w:line="246" w:lineRule="auto"/>
              <w:ind w:left="0" w:right="146" w:firstLine="0"/>
              <w:jc w:val="both"/>
              <w:rPr>
                <w:rFonts w:ascii="楷体" w:hAnsi="楷体" w:eastAsia="楷体" w:cs="楷体"/>
                <w:sz w:val="24"/>
                <w:szCs w:val="24"/>
                <w:lang w:eastAsia="zh-CN"/>
              </w:rPr>
            </w:pPr>
            <w:r>
              <w:rPr>
                <w:rFonts w:ascii="楷体" w:hAnsi="楷体" w:eastAsia="楷体" w:cs="楷体"/>
                <w:spacing w:val="-4"/>
                <w:sz w:val="24"/>
                <w:szCs w:val="24"/>
                <w:lang w:eastAsia="zh-CN"/>
              </w:rPr>
              <w:t>果皮果核、菜根菜叶、肉类、剩饭剩菜、</w:t>
            </w:r>
            <w:r>
              <w:rPr>
                <w:rFonts w:ascii="楷体" w:hAnsi="楷体" w:eastAsia="楷体" w:cs="楷体"/>
                <w:spacing w:val="-2"/>
                <w:sz w:val="24"/>
                <w:szCs w:val="24"/>
                <w:lang w:eastAsia="zh-CN"/>
              </w:rPr>
              <w:t>茶渣、汤渣、过期食品等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1309" w:type="dxa"/>
            <w:vMerge w:val="continue"/>
            <w:tcBorders>
              <w:top w:val="nil"/>
              <w:bottom w:val="nil"/>
            </w:tcBorders>
          </w:tcPr>
          <w:p>
            <w:pPr>
              <w:pStyle w:val="13"/>
              <w:ind w:firstLine="360"/>
              <w:jc w:val="both"/>
              <w:rPr>
                <w:lang w:eastAsia="zh-CN"/>
              </w:rPr>
            </w:pPr>
          </w:p>
        </w:tc>
        <w:tc>
          <w:tcPr>
            <w:tcW w:w="1882" w:type="dxa"/>
          </w:tcPr>
          <w:p>
            <w:pPr>
              <w:spacing w:before="243" w:line="217" w:lineRule="auto"/>
              <w:ind w:left="0" w:firstLine="0"/>
              <w:jc w:val="both"/>
              <w:rPr>
                <w:rFonts w:ascii="楷体" w:hAnsi="楷体" w:eastAsia="楷体" w:cs="楷体"/>
                <w:sz w:val="24"/>
                <w:szCs w:val="24"/>
              </w:rPr>
            </w:pPr>
            <w:r>
              <w:rPr>
                <w:rFonts w:ascii="楷体" w:hAnsi="楷体" w:eastAsia="楷体" w:cs="楷体"/>
                <w:spacing w:val="-4"/>
                <w:sz w:val="24"/>
                <w:szCs w:val="24"/>
              </w:rPr>
              <w:t>餐饮垃圾</w:t>
            </w:r>
          </w:p>
        </w:tc>
        <w:tc>
          <w:tcPr>
            <w:tcW w:w="5035" w:type="dxa"/>
          </w:tcPr>
          <w:p>
            <w:pPr>
              <w:spacing w:before="64" w:line="245" w:lineRule="auto"/>
              <w:ind w:left="0" w:right="108" w:firstLine="0"/>
              <w:jc w:val="both"/>
              <w:rPr>
                <w:rFonts w:ascii="楷体" w:hAnsi="楷体" w:eastAsia="楷体" w:cs="楷体"/>
                <w:sz w:val="24"/>
                <w:szCs w:val="24"/>
                <w:lang w:eastAsia="zh-CN"/>
              </w:rPr>
            </w:pPr>
            <w:r>
              <w:rPr>
                <w:rFonts w:ascii="楷体" w:hAnsi="楷体" w:eastAsia="楷体" w:cs="楷体"/>
                <w:spacing w:val="-2"/>
                <w:sz w:val="24"/>
                <w:szCs w:val="24"/>
                <w:lang w:eastAsia="zh-CN"/>
              </w:rPr>
              <w:t>餐饮业、食堂等产生的废弃食材、剩饭剩</w:t>
            </w:r>
            <w:r>
              <w:rPr>
                <w:rFonts w:ascii="楷体" w:hAnsi="楷体" w:eastAsia="楷体" w:cs="楷体"/>
                <w:spacing w:val="-5"/>
                <w:sz w:val="24"/>
                <w:szCs w:val="24"/>
                <w:lang w:eastAsia="zh-CN"/>
              </w:rPr>
              <w:t>菜等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09" w:type="dxa"/>
            <w:vMerge w:val="continue"/>
            <w:tcBorders>
              <w:top w:val="nil"/>
            </w:tcBorders>
          </w:tcPr>
          <w:p>
            <w:pPr>
              <w:pStyle w:val="13"/>
              <w:ind w:firstLine="360"/>
              <w:jc w:val="both"/>
              <w:rPr>
                <w:lang w:eastAsia="zh-CN"/>
              </w:rPr>
            </w:pPr>
          </w:p>
        </w:tc>
        <w:tc>
          <w:tcPr>
            <w:tcW w:w="1882" w:type="dxa"/>
          </w:tcPr>
          <w:p>
            <w:pPr>
              <w:spacing w:before="64" w:line="247" w:lineRule="auto"/>
              <w:ind w:left="0" w:right="148" w:firstLine="0"/>
              <w:jc w:val="both"/>
              <w:rPr>
                <w:rFonts w:ascii="楷体" w:hAnsi="楷体" w:eastAsia="楷体" w:cs="楷体"/>
                <w:sz w:val="24"/>
                <w:szCs w:val="24"/>
              </w:rPr>
            </w:pPr>
            <w:r>
              <w:rPr>
                <w:rFonts w:ascii="楷体" w:hAnsi="楷体" w:eastAsia="楷体" w:cs="楷体"/>
                <w:spacing w:val="-3"/>
                <w:sz w:val="24"/>
                <w:szCs w:val="24"/>
              </w:rPr>
              <w:t>植物花木（高大</w:t>
            </w:r>
            <w:r>
              <w:rPr>
                <w:rFonts w:ascii="楷体" w:hAnsi="楷体" w:eastAsia="楷体" w:cs="楷体"/>
                <w:spacing w:val="-6"/>
                <w:sz w:val="24"/>
                <w:szCs w:val="24"/>
              </w:rPr>
              <w:t>花木除外）</w:t>
            </w:r>
          </w:p>
        </w:tc>
        <w:tc>
          <w:tcPr>
            <w:tcW w:w="5035" w:type="dxa"/>
          </w:tcPr>
          <w:p>
            <w:pPr>
              <w:spacing w:before="243" w:line="218" w:lineRule="auto"/>
              <w:ind w:left="0" w:firstLine="0"/>
              <w:jc w:val="both"/>
              <w:rPr>
                <w:rFonts w:ascii="楷体" w:hAnsi="楷体" w:eastAsia="楷体" w:cs="楷体"/>
                <w:sz w:val="24"/>
                <w:szCs w:val="24"/>
                <w:lang w:eastAsia="zh-CN"/>
              </w:rPr>
            </w:pPr>
            <w:r>
              <w:rPr>
                <w:rFonts w:ascii="楷体" w:hAnsi="楷体" w:eastAsia="楷体" w:cs="楷体"/>
                <w:spacing w:val="-2"/>
                <w:sz w:val="24"/>
                <w:szCs w:val="24"/>
                <w:lang w:eastAsia="zh-CN"/>
              </w:rPr>
              <w:t>枯枝落叶、残花枯草等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1309" w:type="dxa"/>
          </w:tcPr>
          <w:p>
            <w:pPr>
              <w:pStyle w:val="13"/>
              <w:spacing w:line="349" w:lineRule="auto"/>
              <w:ind w:firstLine="360"/>
              <w:jc w:val="both"/>
            </w:pPr>
          </w:p>
          <w:p>
            <w:pPr>
              <w:pStyle w:val="13"/>
              <w:spacing w:line="350" w:lineRule="auto"/>
              <w:ind w:firstLine="360"/>
              <w:jc w:val="both"/>
            </w:pPr>
          </w:p>
          <w:p>
            <w:pPr>
              <w:spacing w:before="78" w:line="217" w:lineRule="auto"/>
              <w:ind w:left="0" w:firstLine="0"/>
              <w:jc w:val="both"/>
              <w:rPr>
                <w:rFonts w:ascii="楷体" w:hAnsi="楷体" w:eastAsia="楷体" w:cs="楷体"/>
                <w:sz w:val="24"/>
                <w:szCs w:val="24"/>
              </w:rPr>
            </w:pPr>
            <w:r>
              <w:rPr>
                <w:rFonts w:hint="eastAsia" w:ascii="仿宋_GB2312" w:hAnsi="宋体" w:eastAsia="仿宋_GB2312" w:cs="Arial"/>
                <w:bCs/>
                <w:spacing w:val="0"/>
                <w:sz w:val="28"/>
                <w:szCs w:val="28"/>
                <w:lang w:eastAsia="zh-CN"/>
              </w:rPr>
              <w:t>其他垃圾</w:t>
            </w:r>
          </w:p>
        </w:tc>
        <w:tc>
          <w:tcPr>
            <w:tcW w:w="1882" w:type="dxa"/>
          </w:tcPr>
          <w:p>
            <w:pPr>
              <w:spacing w:before="62" w:line="262" w:lineRule="auto"/>
              <w:ind w:left="0" w:right="148" w:firstLine="0"/>
              <w:jc w:val="both"/>
              <w:rPr>
                <w:rFonts w:ascii="楷体" w:hAnsi="楷体" w:eastAsia="楷体" w:cs="楷体"/>
                <w:sz w:val="24"/>
                <w:szCs w:val="24"/>
              </w:rPr>
            </w:pPr>
            <w:r>
              <w:rPr>
                <w:rFonts w:ascii="楷体" w:hAnsi="楷体" w:eastAsia="楷体" w:cs="楷体"/>
                <w:spacing w:val="-9"/>
                <w:sz w:val="24"/>
                <w:szCs w:val="24"/>
                <w:lang w:eastAsia="zh-CN"/>
              </w:rPr>
              <w:t>不可再生利用、</w:t>
            </w:r>
            <w:r>
              <w:rPr>
                <w:rFonts w:ascii="楷体" w:hAnsi="楷体" w:eastAsia="楷体" w:cs="楷体"/>
                <w:spacing w:val="-3"/>
                <w:sz w:val="24"/>
                <w:szCs w:val="24"/>
                <w:lang w:eastAsia="zh-CN"/>
              </w:rPr>
              <w:t>低附加值或混杂且受污染并难以分类的其他类别</w:t>
            </w:r>
            <w:r>
              <w:rPr>
                <w:rFonts w:ascii="楷体" w:hAnsi="楷体" w:eastAsia="楷体" w:cs="楷体"/>
                <w:spacing w:val="-2"/>
                <w:w w:val="98"/>
                <w:sz w:val="24"/>
                <w:szCs w:val="24"/>
              </w:rPr>
              <w:t>垃圾</w:t>
            </w:r>
          </w:p>
        </w:tc>
        <w:tc>
          <w:tcPr>
            <w:tcW w:w="5035" w:type="dxa"/>
          </w:tcPr>
          <w:p>
            <w:pPr>
              <w:spacing w:before="64" w:line="217" w:lineRule="auto"/>
              <w:ind w:left="0" w:firstLine="0"/>
              <w:jc w:val="both"/>
              <w:rPr>
                <w:rFonts w:ascii="楷体" w:hAnsi="楷体" w:eastAsia="楷体" w:cs="楷体"/>
                <w:sz w:val="24"/>
                <w:szCs w:val="24"/>
              </w:rPr>
            </w:pPr>
            <w:r>
              <w:rPr>
                <w:rFonts w:ascii="楷体" w:hAnsi="楷体" w:eastAsia="楷体" w:cs="楷体"/>
                <w:spacing w:val="-1"/>
                <w:sz w:val="24"/>
                <w:szCs w:val="24"/>
                <w:lang w:eastAsia="zh-CN"/>
              </w:rPr>
              <w:t>被污染的纸类、纸塑铝复合包装（利乐</w:t>
            </w:r>
            <w:r>
              <w:rPr>
                <w:rFonts w:ascii="楷体" w:hAnsi="楷体" w:eastAsia="楷体" w:cs="楷体"/>
                <w:spacing w:val="-10"/>
                <w:sz w:val="24"/>
                <w:szCs w:val="24"/>
              </w:rPr>
              <w:t>包）、被污染的塑料制品、受污染的玻璃</w:t>
            </w:r>
            <w:r>
              <w:rPr>
                <w:rFonts w:ascii="楷体" w:hAnsi="楷体" w:eastAsia="楷体" w:cs="楷体"/>
                <w:spacing w:val="-1"/>
                <w:sz w:val="24"/>
                <w:szCs w:val="24"/>
                <w:lang w:eastAsia="zh-CN"/>
              </w:rPr>
              <w:t>及陶瓷制品、受污染的破、损、脏、旧衣物、废弃的一次性低汞或无汞电池、动物</w:t>
            </w:r>
            <w:r>
              <w:rPr>
                <w:rFonts w:ascii="楷体" w:hAnsi="楷体" w:eastAsia="楷体" w:cs="楷体"/>
                <w:spacing w:val="-6"/>
                <w:sz w:val="24"/>
                <w:szCs w:val="24"/>
              </w:rPr>
              <w:t>粪便等</w:t>
            </w:r>
          </w:p>
        </w:tc>
      </w:tr>
    </w:tbl>
    <w:p>
      <w:pPr>
        <w:spacing w:line="540" w:lineRule="exact"/>
        <w:ind w:firstLine="600"/>
        <w:jc w:val="both"/>
        <w:outlineLvl w:val="1"/>
        <w:rPr>
          <w:rFonts w:ascii="楷体_GB2312" w:eastAsia="楷体_GB2312"/>
          <w:bCs/>
          <w:sz w:val="30"/>
          <w:szCs w:val="30"/>
          <w:lang w:eastAsia="zh-CN"/>
        </w:rPr>
      </w:pPr>
      <w:r>
        <w:rPr>
          <w:rFonts w:hint="eastAsia" w:ascii="楷体_GB2312" w:eastAsia="楷体_GB2312"/>
          <w:bCs/>
          <w:sz w:val="30"/>
          <w:szCs w:val="30"/>
          <w:lang w:eastAsia="zh-CN"/>
        </w:rPr>
        <w:t>2.3分类投放总体要求</w:t>
      </w:r>
    </w:p>
    <w:p>
      <w:pPr>
        <w:spacing w:line="540" w:lineRule="exact"/>
        <w:ind w:firstLine="600"/>
        <w:jc w:val="both"/>
        <w:rPr>
          <w:rFonts w:ascii="楷体_GB2312" w:eastAsia="楷体_GB2312"/>
          <w:bCs/>
          <w:sz w:val="30"/>
          <w:szCs w:val="30"/>
          <w:lang w:eastAsia="zh-CN"/>
        </w:rPr>
      </w:pPr>
      <w:r>
        <w:rPr>
          <w:rFonts w:hint="eastAsia" w:ascii="楷体_GB2312" w:eastAsia="楷体_GB2312"/>
          <w:bCs/>
          <w:sz w:val="30"/>
          <w:szCs w:val="30"/>
          <w:lang w:eastAsia="zh-CN"/>
        </w:rPr>
        <w:t>2.3.1可回收物的投放要求</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1）应尽量保持清洁干燥，避免污染。废纸及废包装物应折好、压平、捆牢，回收投放时应避免受到污染。大块纸板、泡沫板等松散大件废品，应规整后置于投放点（容器旁）或预约上门收集。一次性纸碟、墙纸、复写纸和被污染的纸巾、厕纸以及未明确后续回收利用途径的复合材料包装物等应投放至其他垃圾收集容器。</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2）废塑料容器应进行清除残留物、压扁等处理，再投放至可回收物收集容器。废玻璃容器应进行清除残留物再投放至可回收物收集容器，并应防止破损；碎玻璃应先用厚纸包裹好，再投放至其他垃圾收集容器。废金属应投放至可回收物收集容器。金属易拉罐应进行清除残留物、洗净晾干、踩扁压实等处理，金属尖利器物应用硬纸包裹捆绑后或将尖锐面钝化后再投放。</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3）用于捐赠的旧纺织物，宜清洗干净，打包后投放至旧纺织物回收箱或自行送到民政部门设置的捐赠点;废弃纺织物应捆牢后投放至纺织物回收箱或可回收物收集容器（旁）；污损严重的废弃纺织物等应放在其他垃圾收集容器（旁）。</w:t>
      </w:r>
    </w:p>
    <w:p>
      <w:pPr>
        <w:spacing w:line="540" w:lineRule="exact"/>
        <w:ind w:firstLine="600" w:firstLineChars="200"/>
        <w:jc w:val="both"/>
        <w:rPr>
          <w:rFonts w:ascii="仿宋_GB2312" w:hAnsi="宋体" w:eastAsia="仿宋_GB2312"/>
          <w:bCs/>
          <w:sz w:val="30"/>
          <w:szCs w:val="30"/>
          <w:lang w:eastAsia="zh-CN"/>
        </w:rPr>
        <w:sectPr>
          <w:footerReference r:id="rId6" w:type="default"/>
          <w:type w:val="continuous"/>
          <w:pgSz w:w="11906" w:h="16839"/>
          <w:pgMar w:top="1431" w:right="1386" w:bottom="1219" w:left="1592" w:header="0" w:footer="1032" w:gutter="0"/>
          <w:cols w:space="720" w:num="1"/>
        </w:sectPr>
      </w:pPr>
    </w:p>
    <w:p>
      <w:pPr>
        <w:spacing w:line="540" w:lineRule="exact"/>
        <w:ind w:firstLine="600"/>
        <w:jc w:val="both"/>
        <w:rPr>
          <w:rFonts w:ascii="楷体_GB2312" w:eastAsia="楷体_GB2312"/>
          <w:bCs/>
          <w:sz w:val="30"/>
          <w:szCs w:val="30"/>
          <w:lang w:eastAsia="zh-CN"/>
        </w:rPr>
      </w:pPr>
      <w:bookmarkStart w:id="7" w:name="_Toc2498"/>
      <w:r>
        <w:rPr>
          <w:rFonts w:hint="eastAsia" w:ascii="楷体_GB2312" w:eastAsia="楷体_GB2312"/>
          <w:bCs/>
          <w:sz w:val="30"/>
          <w:szCs w:val="30"/>
          <w:lang w:eastAsia="zh-CN"/>
        </w:rPr>
        <w:t>2.3.</w:t>
      </w:r>
      <w:bookmarkEnd w:id="7"/>
      <w:bookmarkStart w:id="8" w:name="_Toc24213"/>
      <w:r>
        <w:rPr>
          <w:rFonts w:hint="eastAsia" w:ascii="楷体_GB2312" w:eastAsia="楷体_GB2312"/>
          <w:bCs/>
          <w:sz w:val="30"/>
          <w:szCs w:val="30"/>
          <w:lang w:eastAsia="zh-CN"/>
        </w:rPr>
        <w:t>2有害垃圾的投放</w:t>
      </w:r>
      <w:bookmarkEnd w:id="8"/>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有害垃圾应按照以下要求分类投放至有害垃圾投放点或收集容</w:t>
      </w:r>
      <w:r>
        <w:rPr>
          <w:rFonts w:hint="eastAsia" w:ascii="楷体_GB2312" w:eastAsia="楷体_GB2312"/>
          <w:bCs/>
          <w:sz w:val="30"/>
          <w:szCs w:val="30"/>
          <w:lang w:eastAsia="zh-CN"/>
        </w:rPr>
        <w:t>器：</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（1）有害垃圾投放时应保持物品的完整性。</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（2）镍镉电池、氧化汞电池、铅蓄电池等投放时应保持完好，投放至有害垃圾收集容器；破损的电池应用透明塑料袋封装后再投放至有害垃圾收集容器。</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（3）废荧光灯管应保持完整、干燥，防止破损，投放至有害垃圾收集容器。破碎的灯管应用较厚的纸张包裹并用胶带缠好，投放至其他垃圾收集容器。</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（4）弃置药品及药具应保持原包装，并应连同包装一并投放至有害垃圾收集容器。未受污染的纸盒等外包装可投放至可回收物收集容器。</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（5）废杀虫剂、清洁剂、空调清洗剂、空气清新剂、油漆等均应与原容器一起密封投放至有害垃圾收集容器。</w:t>
      </w:r>
    </w:p>
    <w:p>
      <w:pPr>
        <w:spacing w:line="540" w:lineRule="exact"/>
        <w:ind w:firstLine="600"/>
        <w:jc w:val="both"/>
        <w:rPr>
          <w:rFonts w:ascii="楷体_GB2312" w:eastAsia="楷体_GB2312"/>
          <w:bCs/>
          <w:sz w:val="30"/>
          <w:szCs w:val="30"/>
          <w:lang w:eastAsia="zh-CN"/>
        </w:rPr>
      </w:pPr>
      <w:r>
        <w:rPr>
          <w:rFonts w:hint="eastAsia" w:ascii="楷体_GB2312" w:eastAsia="楷体_GB2312"/>
          <w:bCs/>
          <w:sz w:val="30"/>
          <w:szCs w:val="30"/>
          <w:lang w:eastAsia="zh-CN"/>
        </w:rPr>
        <w:t>2.3.3厨余垃圾的投放</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厨余垃圾应按照以下要求分类投放至厨余垃圾收集容器：</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（1）厨余垃圾应去除包装物后分类投放，包装物应投放到对应的可回收物或其他垃圾收集容器中。</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（2）厨余垃圾应滤干液体后按分类要求投放至厨余垃圾收集容器，并将盛装厨余垃圾的塑料袋投放至其他垃圾收集容器。</w:t>
      </w:r>
    </w:p>
    <w:p>
      <w:pPr>
        <w:spacing w:line="540" w:lineRule="exact"/>
        <w:ind w:firstLine="600" w:firstLineChars="200"/>
        <w:jc w:val="both"/>
        <w:rPr>
          <w:rFonts w:hint="eastAsia" w:ascii="仿宋_GB2312" w:hAnsi="宋体" w:eastAsia="仿宋_GB2312"/>
          <w:bCs/>
          <w:sz w:val="30"/>
          <w:szCs w:val="30"/>
          <w:lang w:eastAsia="zh-CN"/>
        </w:rPr>
        <w:sectPr>
          <w:footerReference r:id="rId7" w:type="default"/>
          <w:pgSz w:w="11907" w:h="16839"/>
          <w:pgMar w:top="1431" w:right="1474" w:bottom="1182" w:left="1592" w:header="0" w:footer="994" w:gutter="0"/>
          <w:cols w:space="720" w:num="1"/>
        </w:sectPr>
      </w:pP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（3）学校食堂应配置油水分离装置和收集容器，投放前应对厨余垃圾进行固液分离和油水分离处理，一次性餐饮具、酒水饮料容器、塑料台布等不得混入厨余垃圾。</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（4）外卖盒内的残余物应投放至厨余垃圾收集容器，可再生利用的外卖盒宜清洗达到回收要求后投入可回收物收集容器，不适宜回收利用的则投放至其他垃圾收集容器。</w:t>
      </w:r>
    </w:p>
    <w:p>
      <w:pPr>
        <w:spacing w:line="540" w:lineRule="exact"/>
        <w:ind w:firstLine="600"/>
        <w:jc w:val="both"/>
        <w:rPr>
          <w:rFonts w:ascii="楷体_GB2312" w:eastAsia="楷体_GB2312"/>
          <w:bCs/>
          <w:sz w:val="30"/>
          <w:szCs w:val="30"/>
          <w:lang w:eastAsia="zh-CN"/>
        </w:rPr>
      </w:pPr>
      <w:r>
        <w:rPr>
          <w:rFonts w:hint="eastAsia" w:ascii="楷体_GB2312" w:eastAsia="楷体_GB2312"/>
          <w:bCs/>
          <w:sz w:val="30"/>
          <w:szCs w:val="30"/>
          <w:lang w:eastAsia="zh-CN"/>
        </w:rPr>
        <w:t>2.2.4其他垃圾的投放</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其他垃圾应按照以下要求分类投放至其他垃圾收集容器：</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（1）投放至其他垃圾收集容器，不得投入除此以外类别明确的垃圾收集容器中。</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（2）暂时不明确具体分类类别的垃圾，应投放入其他垃圾收集容器内。</w:t>
      </w:r>
    </w:p>
    <w:p>
      <w:pPr>
        <w:spacing w:line="540" w:lineRule="exact"/>
        <w:ind w:firstLine="600"/>
        <w:jc w:val="both"/>
        <w:outlineLvl w:val="0"/>
        <w:rPr>
          <w:rFonts w:ascii="黑体" w:hAnsi="黑体" w:eastAsia="黑体"/>
          <w:bCs/>
          <w:sz w:val="30"/>
          <w:szCs w:val="30"/>
          <w:lang w:eastAsia="zh-CN"/>
        </w:rPr>
      </w:pPr>
      <w:r>
        <w:rPr>
          <w:rFonts w:hint="eastAsia" w:ascii="黑体" w:hAnsi="黑体" w:eastAsia="黑体"/>
          <w:bCs/>
          <w:sz w:val="30"/>
          <w:szCs w:val="30"/>
          <w:lang w:eastAsia="zh-CN"/>
        </w:rPr>
        <w:t>3分类收集容器设置规范</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学校按照《广东省城市生活垃圾分类投放与收集设施设置指引》《湛江市生活垃圾分类条例》《湛江市生活垃圾分类示范创建标准（试行）》要求，结合实际科学设置。学校基本设置要求：每个课室、办公室设置1组分类收集容器(可回收物、其他垃圾);饭堂门口设置厨余垃圾、其他垃圾2类收集容器；后厨设置1组分类收集容器(可回收物、厨余垃圾、其他垃圾)；在教学、活动课室内就餐的，每个课室内增配1个厨余垃圾小型收集容器，仅在就餐期间摆放；其他区域原则上不再设置其他垃圾桶。在学校适合的区域设置1处垃圾分类暂存点或垃圾房，根据垃圾实际量集中设置各类垃圾分类收集容器。</w:t>
      </w:r>
    </w:p>
    <w:p>
      <w:pPr>
        <w:spacing w:line="540" w:lineRule="exact"/>
        <w:ind w:firstLine="600"/>
        <w:jc w:val="both"/>
        <w:outlineLvl w:val="1"/>
        <w:rPr>
          <w:rFonts w:ascii="楷体_GB2312" w:eastAsia="楷体_GB2312"/>
          <w:bCs/>
          <w:sz w:val="30"/>
          <w:szCs w:val="30"/>
          <w:lang w:eastAsia="zh-CN"/>
        </w:rPr>
      </w:pPr>
      <w:r>
        <w:rPr>
          <w:rFonts w:hint="eastAsia" w:ascii="楷体_GB2312" w:eastAsia="楷体_GB2312"/>
          <w:bCs/>
          <w:sz w:val="30"/>
          <w:szCs w:val="30"/>
          <w:lang w:eastAsia="zh-CN"/>
        </w:rPr>
        <w:t>3.1收集点（站）或垃圾房</w:t>
      </w:r>
    </w:p>
    <w:p>
      <w:pPr>
        <w:pStyle w:val="8"/>
        <w:shd w:val="clear" w:color="auto" w:fill="FFFFFF"/>
        <w:spacing w:beforeAutospacing="0" w:afterAutospacing="0" w:line="560" w:lineRule="exact"/>
        <w:ind w:firstLine="640" w:firstLineChars="200"/>
        <w:jc w:val="both"/>
        <w:rPr>
          <w:rFonts w:ascii="仿宋_GB2312" w:hAnsi="仿宋_GB2312" w:eastAsia="仿宋_GB2312" w:cs="仿宋_GB2312"/>
          <w:bCs/>
          <w:sz w:val="32"/>
          <w:szCs w:val="32"/>
        </w:rPr>
      </w:pPr>
      <w:r>
        <w:rPr>
          <w:rFonts w:hint="eastAsia" w:ascii="仿宋_GB2312" w:hAnsi="仿宋_GB2312" w:eastAsia="仿宋_GB2312" w:cs="仿宋_GB2312"/>
          <w:sz w:val="32"/>
          <w:szCs w:val="32"/>
          <w:shd w:val="clear" w:color="auto" w:fill="FFFFFF"/>
        </w:rPr>
        <w:t>分区域设置厨余垃圾、可回收物、其他垃圾和有害垃圾集中收集点（站）（每个学校至少设置1处），其中可回收物和有害垃圾可根据实际情况设置细分类暂存点，露天的暂存点要搭建雨棚，垃圾量较多有条件的学校应设置垃圾房，并适当增设洗手、照明等人性化设施</w:t>
      </w:r>
      <w:r>
        <w:rPr>
          <w:rFonts w:hint="eastAsia" w:ascii="仿宋_GB2312" w:hAnsi="仿宋_GB2312" w:eastAsia="仿宋_GB2312" w:cs="仿宋_GB2312"/>
          <w:bCs/>
          <w:sz w:val="32"/>
          <w:szCs w:val="32"/>
        </w:rPr>
        <w:t>。</w:t>
      </w:r>
    </w:p>
    <w:p>
      <w:pPr>
        <w:spacing w:line="560" w:lineRule="exact"/>
        <w:ind w:firstLine="640" w:firstLineChars="200"/>
        <w:jc w:val="both"/>
        <w:rPr>
          <w:rFonts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收集点</w:t>
      </w:r>
      <w:r>
        <w:rPr>
          <w:rFonts w:hint="eastAsia" w:ascii="仿宋_GB2312" w:hAnsi="仿宋_GB2312" w:eastAsia="仿宋_GB2312" w:cs="仿宋_GB2312"/>
          <w:sz w:val="32"/>
          <w:szCs w:val="32"/>
          <w:shd w:val="clear" w:color="auto" w:fill="FFFFFF"/>
          <w:lang w:eastAsia="zh-CN"/>
        </w:rPr>
        <w:t>（站）</w:t>
      </w:r>
      <w:r>
        <w:rPr>
          <w:rFonts w:hint="eastAsia" w:ascii="仿宋_GB2312" w:hAnsi="仿宋_GB2312" w:eastAsia="仿宋_GB2312" w:cs="仿宋_GB2312"/>
          <w:bCs/>
          <w:sz w:val="32"/>
          <w:szCs w:val="32"/>
          <w:lang w:eastAsia="zh-CN"/>
        </w:rPr>
        <w:t>或垃圾房应张贴或悬挂醒目的四分类标识，明确管理责任人、工作职责和监督投诉电话。公示牌及责任告知书上墙，落实责任主体，明确四分类收运企业、联系电话、车牌号、作业频率及时间、处理去向。</w:t>
      </w:r>
    </w:p>
    <w:p>
      <w:pPr>
        <w:spacing w:line="560" w:lineRule="exact"/>
        <w:ind w:firstLine="640" w:firstLineChars="200"/>
        <w:jc w:val="both"/>
        <w:rPr>
          <w:rFonts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收集点</w:t>
      </w:r>
      <w:r>
        <w:rPr>
          <w:rFonts w:hint="eastAsia" w:ascii="仿宋_GB2312" w:hAnsi="仿宋_GB2312" w:eastAsia="仿宋_GB2312" w:cs="仿宋_GB2312"/>
          <w:sz w:val="32"/>
          <w:szCs w:val="32"/>
          <w:shd w:val="clear" w:color="auto" w:fill="FFFFFF"/>
          <w:lang w:eastAsia="zh-CN"/>
        </w:rPr>
        <w:t>（站）</w:t>
      </w:r>
      <w:r>
        <w:rPr>
          <w:rFonts w:hint="eastAsia" w:ascii="仿宋_GB2312" w:hAnsi="仿宋_GB2312" w:eastAsia="仿宋_GB2312" w:cs="仿宋_GB2312"/>
          <w:bCs/>
          <w:sz w:val="32"/>
          <w:szCs w:val="32"/>
          <w:lang w:eastAsia="zh-CN"/>
        </w:rPr>
        <w:t>或垃圾房的管理人员须建立每日垃圾清运台账，记录工作人员信息、垃圾清运种类、清运单位、清运时间、物流去向、车辆信息等内容。台账资料不得弄虚作假，以备现场检查。</w:t>
      </w:r>
    </w:p>
    <w:p>
      <w:pPr>
        <w:spacing w:line="360" w:lineRule="auto"/>
        <w:ind w:firstLine="640" w:firstLineChars="200"/>
        <w:jc w:val="both"/>
        <w:rPr>
          <w:lang w:eastAsia="zh-CN"/>
        </w:rPr>
      </w:pPr>
      <w:r>
        <w:rPr>
          <w:rFonts w:hint="eastAsia" w:ascii="仿宋_GB2312" w:hAnsi="仿宋_GB2312" w:eastAsia="仿宋_GB2312" w:cs="仿宋_GB2312"/>
          <w:bCs/>
          <w:sz w:val="32"/>
          <w:szCs w:val="32"/>
          <w:lang w:eastAsia="zh-CN"/>
        </w:rPr>
        <w:t>收集点</w:t>
      </w:r>
      <w:r>
        <w:rPr>
          <w:rFonts w:hint="eastAsia" w:ascii="仿宋_GB2312" w:hAnsi="仿宋_GB2312" w:eastAsia="仿宋_GB2312" w:cs="仿宋_GB2312"/>
          <w:sz w:val="32"/>
          <w:szCs w:val="32"/>
          <w:shd w:val="clear" w:color="auto" w:fill="FFFFFF"/>
          <w:lang w:eastAsia="zh-CN"/>
        </w:rPr>
        <w:t>（站）</w:t>
      </w:r>
      <w:r>
        <w:rPr>
          <w:rFonts w:hint="eastAsia" w:ascii="仿宋_GB2312" w:hAnsi="仿宋_GB2312" w:eastAsia="仿宋_GB2312" w:cs="仿宋_GB2312"/>
          <w:bCs/>
          <w:sz w:val="32"/>
          <w:szCs w:val="32"/>
          <w:lang w:eastAsia="zh-CN"/>
        </w:rPr>
        <w:t>或垃圾房的内外墙面应保持整洁。垃圾房内每一类垃圾收集容器的数量，应与垃圾投放量匹配。垃圾房区域应配置清洗设施，及时清洗垃圾桶和地面，确保环境卫生。垃圾房应配置必要的照明、通风、除异味设施。垃圾房须配备灭火器等消防设施。</w:t>
      </w:r>
      <w:r>
        <w:rPr>
          <w:rFonts w:hint="eastAsia" w:ascii="仿宋_GB2312" w:hAnsi="仿宋_GB2312" w:eastAsia="仿宋_GB2312" w:cs="仿宋_GB2312"/>
          <w:bCs/>
          <w:sz w:val="32"/>
          <w:szCs w:val="32"/>
          <w:lang w:eastAsia="zh-CN" w:bidi="ar"/>
        </w:rPr>
        <w:t>暂存点的有害垃圾、可回收物宜分不同品种暂存。</w:t>
      </w:r>
    </w:p>
    <w:p>
      <w:pPr>
        <w:spacing w:line="540" w:lineRule="exact"/>
        <w:ind w:firstLine="600"/>
        <w:jc w:val="both"/>
        <w:outlineLvl w:val="1"/>
        <w:rPr>
          <w:rFonts w:ascii="楷体_GB2312" w:eastAsia="楷体_GB2312"/>
          <w:bCs/>
          <w:sz w:val="30"/>
          <w:szCs w:val="30"/>
          <w:lang w:eastAsia="zh-CN"/>
        </w:rPr>
      </w:pPr>
      <w:r>
        <w:rPr>
          <w:rFonts w:hint="eastAsia" w:ascii="楷体_GB2312" w:eastAsia="楷体_GB2312"/>
          <w:bCs/>
          <w:sz w:val="30"/>
          <w:szCs w:val="30"/>
          <w:lang w:eastAsia="zh-CN"/>
        </w:rPr>
        <w:t>3.2公共区域</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户外活动场所（含人行道、学校操场、休闲区等）应设置可回收物和其他垃圾收集容器，收集容器的数量应根据师生投放行为习惯科学配置，不宜过于密集。</w:t>
      </w:r>
    </w:p>
    <w:p>
      <w:pPr>
        <w:spacing w:line="540" w:lineRule="exact"/>
        <w:ind w:firstLine="600"/>
        <w:jc w:val="both"/>
        <w:outlineLvl w:val="1"/>
        <w:rPr>
          <w:rFonts w:ascii="楷体_GB2312" w:eastAsia="楷体_GB2312"/>
          <w:bCs/>
          <w:sz w:val="30"/>
          <w:szCs w:val="30"/>
          <w:lang w:eastAsia="zh-CN"/>
        </w:rPr>
      </w:pPr>
      <w:r>
        <w:rPr>
          <w:rFonts w:hint="eastAsia" w:ascii="楷体_GB2312" w:eastAsia="楷体_GB2312"/>
          <w:bCs/>
          <w:sz w:val="30"/>
          <w:szCs w:val="30"/>
          <w:lang w:eastAsia="zh-CN"/>
        </w:rPr>
        <w:t>3.3教室、实验室、办公室、宿舍</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教室（含普通教室、专用室、多功能教室等）、办公室应设置可回收物和其他垃圾收集容器。老师、学生将产生的塑料饮料瓶、牛奶盒、废弃的书本、酸奶玻璃瓶投放到可回收物收集容器；用过的纸巾、污染的塑料袋投放到其他垃圾收集容器。原则上，教学、办公室内尽可能减少设置垃圾收集容器，避免影响师生教学环境。根据需求，适当增设湿垃圾收集容器，如在茶水间、卫生间设置过滤茶叶的专用湿垃圾容器，可张贴“湿垃圾（限茶叶渣）”等附加提示文字。</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在教学、活动课室内就餐的，应在每个课室内增配1个厨余垃圾小型收集容器(仅在就餐期间摆放)。由老师指导学生将剩饭剩菜和其他垃圾分别投入相应容器内，再由老师将厨余垃圾小型收集容器倾倒至校内指定厨余垃圾收集点(容器)。</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走廊、洗手间应设置其他垃圾收集容器。教学区域应每栋楼至少设置一处有害垃圾投放点。</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实验室：设置其他垃圾收集容器，可根据具体需要增设可回收物和厨余垃圾收集容器。</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实验楼每层宜按照方便原则设置</w:t>
      </w:r>
      <w:r>
        <w:rPr>
          <w:rFonts w:ascii="仿宋_GB2312" w:hAnsi="宋体" w:eastAsia="仿宋_GB2312"/>
          <w:bCs/>
          <w:sz w:val="30"/>
          <w:szCs w:val="30"/>
          <w:lang w:eastAsia="zh-CN"/>
        </w:rPr>
        <w:t>1</w:t>
      </w:r>
      <w:r>
        <w:rPr>
          <w:rFonts w:hint="eastAsia" w:ascii="仿宋_GB2312" w:hAnsi="宋体" w:eastAsia="仿宋_GB2312"/>
          <w:bCs/>
          <w:sz w:val="30"/>
          <w:szCs w:val="30"/>
          <w:lang w:eastAsia="zh-CN"/>
        </w:rPr>
        <w:t>处分类投放点，设置可回收物、厨余垃圾、其他垃圾收集容器，废弃化学品按照废弃化学品有关规定进行收集处理，严禁混入生活垃圾处理体系。</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宿舍区宜每栋楼设置一处分类投放点，应配置可回收物、有害垃圾、厨余垃圾、其他垃圾收集容器，宿舍区域分类投放点的设置可参照居民区分类投放点设置执行。</w:t>
      </w:r>
    </w:p>
    <w:p>
      <w:pPr>
        <w:spacing w:line="540" w:lineRule="exact"/>
        <w:ind w:firstLine="600"/>
        <w:jc w:val="both"/>
        <w:outlineLvl w:val="1"/>
        <w:rPr>
          <w:rFonts w:ascii="楷体_GB2312" w:eastAsia="楷体_GB2312"/>
          <w:bCs/>
          <w:sz w:val="30"/>
          <w:szCs w:val="30"/>
          <w:lang w:eastAsia="zh-CN"/>
        </w:rPr>
      </w:pPr>
      <w:r>
        <w:rPr>
          <w:rFonts w:hint="eastAsia" w:ascii="楷体_GB2312" w:eastAsia="楷体_GB2312"/>
          <w:bCs/>
          <w:sz w:val="30"/>
          <w:szCs w:val="30"/>
          <w:lang w:eastAsia="zh-CN"/>
        </w:rPr>
        <w:t>3.4后厨和饭堂</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具备饭堂或提供饮食服务的学校应在后厨设置可回收物、厨余垃圾和其他垃圾三类收集容器。厨师将菜帮菜叶、瓜皮、畜禽内脏、投进厨余垃圾桶；酱料瓶、油瓶、纸箱、牛奶盒投进可回收物垃圾桶；用过的纸巾、污染的塑料袋、被污染的抹布投进其他垃圾桶。</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饭堂门口设置厨余和其他垃圾2类收集容器，用餐期间要组织学生志愿者或者老师指导和帮助学生将剩饭剩菜、果皮、果核投放到厨余垃圾收集容器，用过的纸巾、牙签到其他垃圾收集容器。学校要在饭堂设置提醒分类投放、按需点菜、光盘行动、节约粮食等宣传。集中用餐的，不得提供一次性餐具。</w:t>
      </w:r>
    </w:p>
    <w:p>
      <w:pPr>
        <w:spacing w:line="540" w:lineRule="exact"/>
        <w:ind w:firstLine="600"/>
        <w:jc w:val="both"/>
        <w:outlineLvl w:val="1"/>
        <w:rPr>
          <w:rFonts w:ascii="楷体_GB2312" w:eastAsia="楷体_GB2312"/>
          <w:bCs/>
          <w:sz w:val="30"/>
          <w:szCs w:val="30"/>
          <w:lang w:eastAsia="zh-CN"/>
        </w:rPr>
      </w:pPr>
      <w:r>
        <w:rPr>
          <w:rFonts w:hint="eastAsia" w:ascii="楷体_GB2312" w:eastAsia="楷体_GB2312"/>
          <w:bCs/>
          <w:sz w:val="30"/>
          <w:szCs w:val="30"/>
          <w:lang w:eastAsia="zh-CN"/>
        </w:rPr>
        <w:t>3.5设施设置注意事项</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分类收集容器、投放点、暂存点周围环境干净整洁、无其他杂物堆放、无满溢现象；各类垃圾及时收集、转运；所有设施要按规定设置规范清晰的分类标志标识，容器要满足分类投放需求。投放点应设置分类指引牌（至少应注明各类垃圾对应的品种和投放注意事项等信息），应有统一、规范、清晰的标志；容器容积和配置数量应根据垃圾产生量和收运频次合理配置；室外投放点应硬底化、平整，容器应有挡雨功能。幼儿园、小学的收集容器应高度合理，方便低龄学生投放。每</w:t>
      </w:r>
      <w:bookmarkStart w:id="9" w:name="_Toc25364"/>
      <w:r>
        <w:rPr>
          <w:rFonts w:hint="eastAsia" w:ascii="仿宋_GB2312" w:hAnsi="宋体" w:eastAsia="仿宋_GB2312"/>
          <w:bCs/>
          <w:sz w:val="30"/>
          <w:szCs w:val="30"/>
          <w:lang w:eastAsia="zh-CN"/>
        </w:rPr>
        <w:t>个学校至少设置一处有害垃圾收集容器。</w:t>
      </w:r>
      <w:bookmarkEnd w:id="9"/>
      <w:r>
        <w:rPr>
          <w:rFonts w:hint="eastAsia" w:ascii="仿宋_GB2312" w:hAnsi="宋体" w:eastAsia="仿宋_GB2312"/>
          <w:bCs/>
          <w:sz w:val="30"/>
          <w:szCs w:val="30"/>
          <w:lang w:eastAsia="zh-CN"/>
        </w:rPr>
        <w:t>废弃化学品按照废弃化学品有关规定进行收集处理，严禁混入生活垃圾处理体系。</w:t>
      </w:r>
    </w:p>
    <w:p>
      <w:pPr>
        <w:spacing w:line="540" w:lineRule="exact"/>
        <w:ind w:firstLine="600"/>
        <w:jc w:val="both"/>
        <w:outlineLvl w:val="0"/>
        <w:rPr>
          <w:rFonts w:ascii="黑体" w:hAnsi="黑体" w:eastAsia="黑体"/>
          <w:bCs/>
          <w:sz w:val="30"/>
          <w:szCs w:val="30"/>
          <w:lang w:eastAsia="zh-CN"/>
        </w:rPr>
      </w:pPr>
      <w:bookmarkStart w:id="10" w:name="_Toc27865"/>
      <w:r>
        <w:rPr>
          <w:rFonts w:hint="eastAsia" w:ascii="黑体" w:hAnsi="黑体" w:eastAsia="黑体"/>
          <w:bCs/>
          <w:sz w:val="30"/>
          <w:szCs w:val="30"/>
          <w:lang w:val="en-US" w:eastAsia="zh-CN"/>
        </w:rPr>
        <w:t>4</w:t>
      </w:r>
      <w:r>
        <w:rPr>
          <w:rFonts w:hint="eastAsia" w:ascii="黑体" w:hAnsi="黑体" w:eastAsia="黑体"/>
          <w:bCs/>
          <w:sz w:val="30"/>
          <w:szCs w:val="30"/>
          <w:lang w:eastAsia="zh-CN"/>
        </w:rPr>
        <w:t>.垃圾分类收集、</w:t>
      </w:r>
      <w:bookmarkEnd w:id="10"/>
      <w:r>
        <w:rPr>
          <w:rFonts w:hint="eastAsia" w:ascii="黑体" w:hAnsi="黑体" w:eastAsia="黑体"/>
          <w:bCs/>
          <w:sz w:val="30"/>
          <w:szCs w:val="30"/>
          <w:lang w:eastAsia="zh-CN"/>
        </w:rPr>
        <w:t>驳运要求</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学校要不同时段、分别收集各类垃圾送至收集点（站）或垃圾房分类暂存，然后交给环卫清运企业或自行运送至就近的垃圾中转站；投放可回收物前应简单处理并让其保持清洁干燥，将其分好类之后再进行投放，可以交售至回收服务点或回收经营者。投放有害垃圾要尽可能使其保持完整状态，已破碎物品可用纸或布包裹严实后投放，并应执行危险废物其他相关收集管理规定，由环卫管理部门联系本地有害垃圾主管部门上门收集。应做好垃圾分类台账记录，定时向相关部门报送。</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学校将厨余垃圾收集至集中暂存点，投放厨余垃圾前应沥干水分并去除塑料、纸巾等杂物，交由各所在辖区环卫主管部门许可的生活垃圾收集运输企业收集。有食堂的学校必须与辖区政府签订厨余垃圾无偿交由辖区政府统一处置的协议书。每天产生的厨余垃圾要按日产日清的分类要求，全部无偿交由辖区政府统一处置（具体与各区环卫单位对接），不得截留，并做好台账登记，详细记录厨余垃圾的种类、数量、去向等信息,确保厨余垃圾高标准分类投放、应交尽交、做到日产日清，保持分类设施完善整洁。</w:t>
      </w:r>
    </w:p>
    <w:p>
      <w:pPr>
        <w:spacing w:line="560" w:lineRule="exact"/>
        <w:ind w:left="0" w:firstLine="0"/>
        <w:jc w:val="center"/>
        <w:rPr>
          <w:rFonts w:ascii="仿宋_GB2312" w:hAnsi="仿宋_GB2312" w:eastAsia="仿宋_GB2312" w:cs="仿宋_GB2312"/>
          <w:sz w:val="28"/>
          <w:szCs w:val="28"/>
          <w:lang w:eastAsia="zh-CN"/>
        </w:rPr>
      </w:pPr>
      <w:r>
        <w:rPr>
          <w:rFonts w:hint="eastAsia" w:ascii="仿宋_GB2312" w:hAnsi="仿宋_GB2312" w:eastAsia="仿宋_GB2312" w:cs="仿宋_GB2312"/>
          <w:spacing w:val="9"/>
          <w:sz w:val="28"/>
          <w:szCs w:val="28"/>
          <w:lang w:eastAsia="zh-CN"/>
        </w:rPr>
        <w:t>各县（市、区）联络方式</w:t>
      </w:r>
    </w:p>
    <w:tbl>
      <w:tblPr>
        <w:tblStyle w:val="14"/>
        <w:tblW w:w="500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20"/>
        <w:gridCol w:w="3626"/>
        <w:gridCol w:w="1386"/>
        <w:gridCol w:w="21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blHeader/>
          <w:jc w:val="center"/>
        </w:trPr>
        <w:tc>
          <w:tcPr>
            <w:tcW w:w="673" w:type="pct"/>
            <w:vAlign w:val="center"/>
          </w:tcPr>
          <w:p>
            <w:pPr>
              <w:spacing w:line="560" w:lineRule="exact"/>
              <w:ind w:left="0" w:firstLine="0"/>
              <w:jc w:val="center"/>
              <w:rPr>
                <w:rFonts w:ascii="仿宋_GB2312" w:hAnsi="仿宋_GB2312" w:eastAsia="仿宋_GB2312" w:cs="仿宋_GB2312"/>
                <w:sz w:val="28"/>
                <w:szCs w:val="28"/>
              </w:rPr>
            </w:pPr>
            <w:r>
              <w:rPr>
                <w:rFonts w:hint="eastAsia" w:ascii="仿宋_GB2312" w:hAnsi="仿宋_GB2312" w:eastAsia="仿宋_GB2312" w:cs="仿宋_GB2312"/>
                <w:spacing w:val="2"/>
                <w:sz w:val="28"/>
                <w:szCs w:val="28"/>
              </w:rPr>
              <w:t>辖区</w:t>
            </w:r>
          </w:p>
        </w:tc>
        <w:tc>
          <w:tcPr>
            <w:tcW w:w="2179" w:type="pct"/>
            <w:vAlign w:val="center"/>
          </w:tcPr>
          <w:p>
            <w:pPr>
              <w:spacing w:line="560" w:lineRule="exact"/>
              <w:ind w:left="0" w:firstLine="0"/>
              <w:jc w:val="center"/>
              <w:rPr>
                <w:rFonts w:ascii="仿宋_GB2312" w:hAnsi="仿宋_GB2312" w:eastAsia="仿宋_GB2312" w:cs="仿宋_GB2312"/>
                <w:sz w:val="28"/>
                <w:szCs w:val="28"/>
              </w:rPr>
            </w:pPr>
            <w:r>
              <w:rPr>
                <w:rFonts w:hint="eastAsia" w:ascii="仿宋_GB2312" w:hAnsi="仿宋_GB2312" w:eastAsia="仿宋_GB2312" w:cs="仿宋_GB2312"/>
                <w:spacing w:val="2"/>
                <w:sz w:val="28"/>
                <w:szCs w:val="28"/>
              </w:rPr>
              <w:t>职务</w:t>
            </w:r>
          </w:p>
        </w:tc>
        <w:tc>
          <w:tcPr>
            <w:tcW w:w="833" w:type="pct"/>
            <w:vAlign w:val="center"/>
          </w:tcPr>
          <w:p>
            <w:pPr>
              <w:spacing w:line="560" w:lineRule="exact"/>
              <w:ind w:left="0" w:firstLine="0"/>
              <w:jc w:val="center"/>
              <w:rPr>
                <w:rFonts w:ascii="仿宋_GB2312" w:hAnsi="仿宋_GB2312" w:eastAsia="仿宋_GB2312" w:cs="仿宋_GB2312"/>
                <w:sz w:val="28"/>
                <w:szCs w:val="28"/>
              </w:rPr>
            </w:pPr>
            <w:r>
              <w:rPr>
                <w:rFonts w:hint="eastAsia" w:ascii="仿宋_GB2312" w:hAnsi="仿宋_GB2312" w:eastAsia="仿宋_GB2312" w:cs="仿宋_GB2312"/>
                <w:spacing w:val="2"/>
                <w:sz w:val="28"/>
                <w:szCs w:val="28"/>
              </w:rPr>
              <w:t>姓名</w:t>
            </w:r>
          </w:p>
        </w:tc>
        <w:tc>
          <w:tcPr>
            <w:tcW w:w="1312" w:type="pct"/>
            <w:vAlign w:val="center"/>
          </w:tcPr>
          <w:p>
            <w:pPr>
              <w:spacing w:line="560" w:lineRule="exact"/>
              <w:ind w:left="0" w:firstLine="0"/>
              <w:jc w:val="center"/>
              <w:rPr>
                <w:rFonts w:ascii="仿宋_GB2312" w:hAnsi="仿宋_GB2312" w:eastAsia="仿宋_GB2312" w:cs="仿宋_GB2312"/>
                <w:sz w:val="28"/>
                <w:szCs w:val="28"/>
              </w:rPr>
            </w:pPr>
            <w:r>
              <w:rPr>
                <w:rFonts w:hint="eastAsia" w:ascii="仿宋_GB2312" w:hAnsi="仿宋_GB2312" w:eastAsia="仿宋_GB2312" w:cs="仿宋_GB2312"/>
                <w:spacing w:val="6"/>
                <w:sz w:val="28"/>
                <w:szCs w:val="28"/>
              </w:rPr>
              <w:t>联系方式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673" w:type="pct"/>
            <w:vAlign w:val="center"/>
          </w:tcPr>
          <w:p>
            <w:pPr>
              <w:pStyle w:val="13"/>
              <w:spacing w:line="560" w:lineRule="exact"/>
              <w:ind w:left="0" w:firstLine="0"/>
              <w:jc w:val="both"/>
              <w:rPr>
                <w:rFonts w:ascii="仿宋_GB2312" w:hAnsi="仿宋_GB2312" w:eastAsia="仿宋_GB2312" w:cs="仿宋_GB2312"/>
                <w:sz w:val="28"/>
                <w:szCs w:val="28"/>
              </w:rPr>
            </w:pPr>
            <w:r>
              <w:rPr>
                <w:rFonts w:hint="eastAsia" w:ascii="仿宋_GB2312" w:hAnsi="仿宋_GB2312" w:eastAsia="仿宋_GB2312" w:cs="仿宋_GB2312"/>
                <w:spacing w:val="-3"/>
                <w:sz w:val="28"/>
                <w:szCs w:val="28"/>
              </w:rPr>
              <w:t>赤坎区</w:t>
            </w:r>
          </w:p>
        </w:tc>
        <w:tc>
          <w:tcPr>
            <w:tcW w:w="2179" w:type="pct"/>
            <w:vAlign w:val="center"/>
          </w:tcPr>
          <w:p>
            <w:pPr>
              <w:pStyle w:val="13"/>
              <w:spacing w:line="560" w:lineRule="exact"/>
              <w:ind w:firstLine="0"/>
              <w:jc w:val="both"/>
              <w:rPr>
                <w:rFonts w:ascii="仿宋_GB2312" w:hAnsi="仿宋_GB2312" w:eastAsia="仿宋_GB2312" w:cs="仿宋_GB2312"/>
                <w:sz w:val="28"/>
                <w:szCs w:val="28"/>
                <w:lang w:eastAsia="zh-CN"/>
              </w:rPr>
            </w:pPr>
            <w:r>
              <w:rPr>
                <w:rFonts w:hint="eastAsia" w:ascii="仿宋_GB2312" w:hAnsi="仿宋_GB2312" w:eastAsia="仿宋_GB2312" w:cs="仿宋_GB2312"/>
                <w:spacing w:val="5"/>
                <w:sz w:val="28"/>
                <w:szCs w:val="28"/>
                <w:lang w:eastAsia="zh-CN"/>
              </w:rPr>
              <w:t>分类办综合协调组副组长、环卫处副主任</w:t>
            </w:r>
          </w:p>
        </w:tc>
        <w:tc>
          <w:tcPr>
            <w:tcW w:w="833" w:type="pct"/>
            <w:vAlign w:val="center"/>
          </w:tcPr>
          <w:p>
            <w:pPr>
              <w:pStyle w:val="13"/>
              <w:spacing w:line="560" w:lineRule="exact"/>
              <w:ind w:firstLine="0" w:firstLineChars="0"/>
              <w:jc w:val="both"/>
              <w:rPr>
                <w:rFonts w:ascii="仿宋_GB2312" w:hAnsi="仿宋_GB2312" w:eastAsia="仿宋_GB2312" w:cs="仿宋_GB2312"/>
                <w:sz w:val="28"/>
                <w:szCs w:val="28"/>
              </w:rPr>
            </w:pPr>
            <w:r>
              <w:rPr>
                <w:rFonts w:hint="eastAsia" w:ascii="仿宋_GB2312" w:hAnsi="仿宋_GB2312" w:eastAsia="仿宋_GB2312" w:cs="仿宋_GB2312"/>
                <w:spacing w:val="2"/>
                <w:sz w:val="28"/>
                <w:szCs w:val="28"/>
              </w:rPr>
              <w:t>邹华勇</w:t>
            </w:r>
          </w:p>
        </w:tc>
        <w:tc>
          <w:tcPr>
            <w:tcW w:w="1312" w:type="pct"/>
            <w:vAlign w:val="center"/>
          </w:tcPr>
          <w:p>
            <w:pPr>
              <w:pStyle w:val="13"/>
              <w:spacing w:line="560" w:lineRule="exact"/>
              <w:ind w:left="0" w:firstLine="0"/>
              <w:jc w:val="both"/>
              <w:rPr>
                <w:rFonts w:ascii="仿宋_GB2312" w:hAnsi="仿宋_GB2312" w:eastAsia="仿宋_GB2312" w:cs="仿宋_GB2312"/>
                <w:sz w:val="28"/>
                <w:szCs w:val="28"/>
              </w:rPr>
            </w:pPr>
            <w:r>
              <w:rPr>
                <w:rFonts w:hint="eastAsia" w:ascii="仿宋_GB2312" w:hAnsi="仿宋_GB2312" w:eastAsia="仿宋_GB2312" w:cs="仿宋_GB2312"/>
                <w:spacing w:val="1"/>
                <w:sz w:val="28"/>
                <w:szCs w:val="28"/>
              </w:rPr>
              <w:t>13542031820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673" w:type="pct"/>
            <w:vMerge w:val="restart"/>
            <w:tcBorders>
              <w:bottom w:val="nil"/>
            </w:tcBorders>
            <w:vAlign w:val="center"/>
          </w:tcPr>
          <w:p>
            <w:pPr>
              <w:pStyle w:val="13"/>
              <w:spacing w:line="560" w:lineRule="exact"/>
              <w:ind w:left="0" w:firstLine="0"/>
              <w:jc w:val="both"/>
              <w:rPr>
                <w:rFonts w:ascii="仿宋_GB2312" w:hAnsi="仿宋_GB2312" w:eastAsia="仿宋_GB2312" w:cs="仿宋_GB2312"/>
                <w:sz w:val="28"/>
                <w:szCs w:val="28"/>
              </w:rPr>
            </w:pPr>
            <w:r>
              <w:rPr>
                <w:rFonts w:hint="eastAsia" w:ascii="仿宋_GB2312" w:hAnsi="仿宋_GB2312" w:eastAsia="仿宋_GB2312" w:cs="仿宋_GB2312"/>
                <w:spacing w:val="-3"/>
                <w:sz w:val="28"/>
                <w:szCs w:val="28"/>
              </w:rPr>
              <w:t>霞山区</w:t>
            </w:r>
          </w:p>
        </w:tc>
        <w:tc>
          <w:tcPr>
            <w:tcW w:w="2179" w:type="pct"/>
            <w:vAlign w:val="center"/>
          </w:tcPr>
          <w:p>
            <w:pPr>
              <w:pStyle w:val="13"/>
              <w:spacing w:line="560" w:lineRule="exact"/>
              <w:ind w:left="0" w:firstLine="0"/>
              <w:jc w:val="both"/>
              <w:rPr>
                <w:rFonts w:ascii="仿宋_GB2312" w:hAnsi="仿宋_GB2312" w:eastAsia="仿宋_GB2312" w:cs="仿宋_GB2312"/>
                <w:sz w:val="28"/>
                <w:szCs w:val="28"/>
              </w:rPr>
            </w:pPr>
            <w:r>
              <w:rPr>
                <w:rFonts w:hint="eastAsia" w:ascii="仿宋_GB2312" w:hAnsi="仿宋_GB2312" w:eastAsia="仿宋_GB2312" w:cs="仿宋_GB2312"/>
                <w:spacing w:val="5"/>
                <w:sz w:val="28"/>
                <w:szCs w:val="28"/>
              </w:rPr>
              <w:t>分类办副股长</w:t>
            </w:r>
          </w:p>
        </w:tc>
        <w:tc>
          <w:tcPr>
            <w:tcW w:w="833" w:type="pct"/>
            <w:vAlign w:val="center"/>
          </w:tcPr>
          <w:p>
            <w:pPr>
              <w:pStyle w:val="13"/>
              <w:spacing w:line="560" w:lineRule="exact"/>
              <w:ind w:left="0"/>
              <w:jc w:val="both"/>
              <w:rPr>
                <w:rFonts w:ascii="仿宋_GB2312" w:hAnsi="仿宋_GB2312" w:eastAsia="仿宋_GB2312" w:cs="仿宋_GB2312"/>
                <w:sz w:val="28"/>
                <w:szCs w:val="28"/>
              </w:rPr>
            </w:pPr>
            <w:r>
              <w:rPr>
                <w:rFonts w:hint="eastAsia" w:ascii="仿宋_GB2312" w:hAnsi="仿宋_GB2312" w:eastAsia="仿宋_GB2312" w:cs="仿宋_GB2312"/>
                <w:sz w:val="28"/>
                <w:szCs w:val="28"/>
              </w:rPr>
              <w:t>马春剑</w:t>
            </w:r>
          </w:p>
        </w:tc>
        <w:tc>
          <w:tcPr>
            <w:tcW w:w="1312" w:type="pct"/>
            <w:vAlign w:val="center"/>
          </w:tcPr>
          <w:p>
            <w:pPr>
              <w:pStyle w:val="13"/>
              <w:spacing w:line="560" w:lineRule="exact"/>
              <w:ind w:left="0" w:firstLine="0"/>
              <w:jc w:val="both"/>
              <w:rPr>
                <w:rFonts w:ascii="仿宋_GB2312" w:hAnsi="仿宋_GB2312" w:eastAsia="仿宋_GB2312" w:cs="仿宋_GB2312"/>
                <w:sz w:val="28"/>
                <w:szCs w:val="28"/>
              </w:rPr>
            </w:pPr>
            <w:r>
              <w:rPr>
                <w:rFonts w:hint="eastAsia" w:ascii="仿宋_GB2312" w:hAnsi="仿宋_GB2312" w:eastAsia="仿宋_GB2312" w:cs="仿宋_GB2312"/>
                <w:spacing w:val="1"/>
                <w:sz w:val="28"/>
                <w:szCs w:val="28"/>
              </w:rPr>
              <w:t>15816106304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673" w:type="pct"/>
            <w:vMerge w:val="continue"/>
            <w:tcBorders>
              <w:top w:val="nil"/>
            </w:tcBorders>
            <w:vAlign w:val="center"/>
          </w:tcPr>
          <w:p>
            <w:pPr>
              <w:spacing w:line="560" w:lineRule="exact"/>
              <w:jc w:val="both"/>
              <w:rPr>
                <w:rFonts w:ascii="仿宋_GB2312" w:hAnsi="仿宋_GB2312" w:eastAsia="仿宋_GB2312" w:cs="仿宋_GB2312"/>
                <w:sz w:val="28"/>
                <w:szCs w:val="28"/>
              </w:rPr>
            </w:pPr>
          </w:p>
        </w:tc>
        <w:tc>
          <w:tcPr>
            <w:tcW w:w="2179" w:type="pct"/>
            <w:vAlign w:val="center"/>
          </w:tcPr>
          <w:p>
            <w:pPr>
              <w:pStyle w:val="13"/>
              <w:spacing w:line="560" w:lineRule="exact"/>
              <w:ind w:left="0" w:firstLine="0"/>
              <w:jc w:val="both"/>
              <w:rPr>
                <w:rFonts w:ascii="仿宋_GB2312" w:hAnsi="仿宋_GB2312" w:eastAsia="仿宋_GB2312" w:cs="仿宋_GB2312"/>
                <w:sz w:val="28"/>
                <w:szCs w:val="28"/>
              </w:rPr>
            </w:pPr>
            <w:r>
              <w:rPr>
                <w:rFonts w:hint="eastAsia" w:ascii="仿宋_GB2312" w:hAnsi="仿宋_GB2312" w:eastAsia="仿宋_GB2312" w:cs="仿宋_GB2312"/>
                <w:spacing w:val="7"/>
                <w:sz w:val="28"/>
                <w:szCs w:val="28"/>
              </w:rPr>
              <w:t>环卫处分类股股长</w:t>
            </w:r>
          </w:p>
        </w:tc>
        <w:tc>
          <w:tcPr>
            <w:tcW w:w="833" w:type="pct"/>
            <w:vAlign w:val="center"/>
          </w:tcPr>
          <w:p>
            <w:pPr>
              <w:pStyle w:val="13"/>
              <w:spacing w:line="560" w:lineRule="exact"/>
              <w:ind w:left="0" w:firstLine="0"/>
              <w:jc w:val="both"/>
              <w:rPr>
                <w:rFonts w:ascii="仿宋_GB2312" w:hAnsi="仿宋_GB2312" w:eastAsia="仿宋_GB2312" w:cs="仿宋_GB2312"/>
                <w:sz w:val="28"/>
                <w:szCs w:val="28"/>
              </w:rPr>
            </w:pPr>
            <w:r>
              <w:rPr>
                <w:rFonts w:hint="eastAsia" w:ascii="仿宋_GB2312" w:hAnsi="仿宋_GB2312" w:eastAsia="仿宋_GB2312" w:cs="仿宋_GB2312"/>
                <w:spacing w:val="2"/>
                <w:sz w:val="28"/>
                <w:szCs w:val="28"/>
              </w:rPr>
              <w:t>黄晓东</w:t>
            </w:r>
          </w:p>
        </w:tc>
        <w:tc>
          <w:tcPr>
            <w:tcW w:w="1312" w:type="pct"/>
            <w:vAlign w:val="center"/>
          </w:tcPr>
          <w:p>
            <w:pPr>
              <w:pStyle w:val="13"/>
              <w:spacing w:line="560" w:lineRule="exact"/>
              <w:ind w:left="0" w:firstLine="0"/>
              <w:jc w:val="both"/>
              <w:rPr>
                <w:rFonts w:ascii="仿宋_GB2312" w:hAnsi="仿宋_GB2312" w:eastAsia="仿宋_GB2312" w:cs="仿宋_GB2312"/>
                <w:sz w:val="28"/>
                <w:szCs w:val="28"/>
              </w:rPr>
            </w:pPr>
            <w:r>
              <w:rPr>
                <w:rFonts w:hint="eastAsia" w:ascii="仿宋_GB2312" w:hAnsi="仿宋_GB2312" w:eastAsia="仿宋_GB2312" w:cs="仿宋_GB2312"/>
                <w:spacing w:val="1"/>
                <w:sz w:val="28"/>
                <w:szCs w:val="28"/>
              </w:rPr>
              <w:t>13828260078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673" w:type="pct"/>
            <w:vAlign w:val="center"/>
          </w:tcPr>
          <w:p>
            <w:pPr>
              <w:pStyle w:val="13"/>
              <w:spacing w:line="560" w:lineRule="exact"/>
              <w:ind w:left="0" w:firstLine="0"/>
              <w:jc w:val="both"/>
              <w:rPr>
                <w:rFonts w:ascii="仿宋_GB2312" w:hAnsi="仿宋_GB2312" w:eastAsia="仿宋_GB2312" w:cs="仿宋_GB2312"/>
                <w:sz w:val="28"/>
                <w:szCs w:val="28"/>
              </w:rPr>
            </w:pPr>
            <w:r>
              <w:rPr>
                <w:rFonts w:hint="eastAsia" w:ascii="仿宋_GB2312" w:hAnsi="仿宋_GB2312" w:eastAsia="仿宋_GB2312" w:cs="仿宋_GB2312"/>
                <w:spacing w:val="2"/>
                <w:sz w:val="28"/>
                <w:szCs w:val="28"/>
              </w:rPr>
              <w:t>麻章区</w:t>
            </w:r>
          </w:p>
        </w:tc>
        <w:tc>
          <w:tcPr>
            <w:tcW w:w="2179" w:type="pct"/>
            <w:vAlign w:val="center"/>
          </w:tcPr>
          <w:p>
            <w:pPr>
              <w:pStyle w:val="13"/>
              <w:spacing w:line="560" w:lineRule="exact"/>
              <w:ind w:left="0" w:firstLine="0"/>
              <w:jc w:val="both"/>
              <w:rPr>
                <w:rFonts w:ascii="仿宋_GB2312" w:hAnsi="仿宋_GB2312" w:eastAsia="仿宋_GB2312" w:cs="仿宋_GB2312"/>
                <w:sz w:val="28"/>
                <w:szCs w:val="28"/>
                <w:lang w:eastAsia="zh-CN"/>
              </w:rPr>
            </w:pPr>
            <w:r>
              <w:rPr>
                <w:rFonts w:hint="eastAsia" w:ascii="仿宋_GB2312" w:hAnsi="仿宋_GB2312" w:eastAsia="仿宋_GB2312" w:cs="仿宋_GB2312"/>
                <w:spacing w:val="7"/>
                <w:sz w:val="28"/>
                <w:szCs w:val="28"/>
                <w:lang w:eastAsia="zh-CN"/>
              </w:rPr>
              <w:t>分类办、环卫处副股长</w:t>
            </w:r>
          </w:p>
        </w:tc>
        <w:tc>
          <w:tcPr>
            <w:tcW w:w="833" w:type="pct"/>
            <w:vAlign w:val="center"/>
          </w:tcPr>
          <w:p>
            <w:pPr>
              <w:pStyle w:val="13"/>
              <w:spacing w:line="560" w:lineRule="exact"/>
              <w:ind w:left="0" w:firstLine="0"/>
              <w:jc w:val="both"/>
              <w:rPr>
                <w:rFonts w:ascii="仿宋_GB2312" w:hAnsi="仿宋_GB2312" w:eastAsia="仿宋_GB2312" w:cs="仿宋_GB2312"/>
                <w:sz w:val="28"/>
                <w:szCs w:val="28"/>
              </w:rPr>
            </w:pPr>
            <w:r>
              <w:rPr>
                <w:rFonts w:hint="eastAsia" w:ascii="仿宋_GB2312" w:hAnsi="仿宋_GB2312" w:eastAsia="仿宋_GB2312" w:cs="仿宋_GB2312"/>
                <w:spacing w:val="-6"/>
                <w:sz w:val="28"/>
                <w:szCs w:val="28"/>
              </w:rPr>
              <w:t>柯敏</w:t>
            </w:r>
          </w:p>
        </w:tc>
        <w:tc>
          <w:tcPr>
            <w:tcW w:w="1312" w:type="pct"/>
            <w:vAlign w:val="center"/>
          </w:tcPr>
          <w:p>
            <w:pPr>
              <w:pStyle w:val="13"/>
              <w:spacing w:line="560" w:lineRule="exact"/>
              <w:ind w:left="0" w:firstLine="0"/>
              <w:jc w:val="both"/>
              <w:rPr>
                <w:rFonts w:ascii="仿宋_GB2312" w:hAnsi="仿宋_GB2312" w:eastAsia="仿宋_GB2312" w:cs="仿宋_GB2312"/>
                <w:sz w:val="28"/>
                <w:szCs w:val="28"/>
              </w:rPr>
            </w:pPr>
            <w:r>
              <w:rPr>
                <w:rFonts w:hint="eastAsia" w:ascii="仿宋_GB2312" w:hAnsi="仿宋_GB2312" w:eastAsia="仿宋_GB2312" w:cs="仿宋_GB2312"/>
                <w:spacing w:val="1"/>
                <w:sz w:val="28"/>
                <w:szCs w:val="28"/>
              </w:rPr>
              <w:t>13670967551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673" w:type="pct"/>
            <w:vMerge w:val="restart"/>
            <w:tcBorders>
              <w:bottom w:val="nil"/>
            </w:tcBorders>
            <w:vAlign w:val="center"/>
          </w:tcPr>
          <w:p>
            <w:pPr>
              <w:pStyle w:val="13"/>
              <w:spacing w:line="560" w:lineRule="exact"/>
              <w:ind w:left="0" w:firstLine="0"/>
              <w:jc w:val="both"/>
              <w:rPr>
                <w:rFonts w:ascii="仿宋_GB2312" w:hAnsi="仿宋_GB2312" w:eastAsia="仿宋_GB2312" w:cs="仿宋_GB2312"/>
                <w:sz w:val="28"/>
                <w:szCs w:val="28"/>
              </w:rPr>
            </w:pPr>
            <w:r>
              <w:rPr>
                <w:rFonts w:hint="eastAsia" w:ascii="仿宋_GB2312" w:hAnsi="仿宋_GB2312" w:eastAsia="仿宋_GB2312" w:cs="仿宋_GB2312"/>
                <w:spacing w:val="2"/>
                <w:sz w:val="28"/>
                <w:szCs w:val="28"/>
              </w:rPr>
              <w:t>坡头区</w:t>
            </w:r>
          </w:p>
        </w:tc>
        <w:tc>
          <w:tcPr>
            <w:tcW w:w="2179" w:type="pct"/>
            <w:vAlign w:val="center"/>
          </w:tcPr>
          <w:p>
            <w:pPr>
              <w:pStyle w:val="13"/>
              <w:spacing w:line="560" w:lineRule="exact"/>
              <w:ind w:left="0" w:firstLine="0"/>
              <w:jc w:val="both"/>
              <w:rPr>
                <w:rFonts w:ascii="仿宋_GB2312" w:hAnsi="仿宋_GB2312" w:eastAsia="仿宋_GB2312" w:cs="仿宋_GB2312"/>
                <w:sz w:val="28"/>
                <w:szCs w:val="28"/>
              </w:rPr>
            </w:pPr>
            <w:r>
              <w:rPr>
                <w:rFonts w:hint="eastAsia" w:ascii="仿宋_GB2312" w:hAnsi="仿宋_GB2312" w:eastAsia="仿宋_GB2312" w:cs="仿宋_GB2312"/>
                <w:spacing w:val="4"/>
                <w:sz w:val="28"/>
                <w:szCs w:val="28"/>
              </w:rPr>
              <w:t>分类办科员</w:t>
            </w:r>
          </w:p>
        </w:tc>
        <w:tc>
          <w:tcPr>
            <w:tcW w:w="833" w:type="pct"/>
            <w:vAlign w:val="center"/>
          </w:tcPr>
          <w:p>
            <w:pPr>
              <w:pStyle w:val="13"/>
              <w:spacing w:line="560" w:lineRule="exact"/>
              <w:ind w:left="0" w:firstLine="0"/>
              <w:jc w:val="both"/>
              <w:rPr>
                <w:rFonts w:ascii="仿宋_GB2312" w:hAnsi="仿宋_GB2312" w:eastAsia="仿宋_GB2312" w:cs="仿宋_GB2312"/>
                <w:sz w:val="28"/>
                <w:szCs w:val="28"/>
              </w:rPr>
            </w:pPr>
            <w:r>
              <w:rPr>
                <w:rFonts w:hint="eastAsia" w:ascii="仿宋_GB2312" w:hAnsi="仿宋_GB2312" w:eastAsia="仿宋_GB2312" w:cs="仿宋_GB2312"/>
                <w:spacing w:val="-3"/>
                <w:sz w:val="28"/>
                <w:szCs w:val="28"/>
              </w:rPr>
              <w:t>劳成晓</w:t>
            </w:r>
          </w:p>
        </w:tc>
        <w:tc>
          <w:tcPr>
            <w:tcW w:w="1312" w:type="pct"/>
            <w:vAlign w:val="center"/>
          </w:tcPr>
          <w:p>
            <w:pPr>
              <w:pStyle w:val="13"/>
              <w:spacing w:line="560" w:lineRule="exact"/>
              <w:ind w:left="0" w:firstLine="0"/>
              <w:jc w:val="both"/>
              <w:rPr>
                <w:rFonts w:ascii="仿宋_GB2312" w:hAnsi="仿宋_GB2312" w:eastAsia="仿宋_GB2312" w:cs="仿宋_GB2312"/>
                <w:sz w:val="28"/>
                <w:szCs w:val="28"/>
              </w:rPr>
            </w:pPr>
            <w:r>
              <w:rPr>
                <w:rFonts w:hint="eastAsia" w:ascii="仿宋_GB2312" w:hAnsi="仿宋_GB2312" w:eastAsia="仿宋_GB2312" w:cs="仿宋_GB2312"/>
                <w:spacing w:val="1"/>
                <w:sz w:val="28"/>
                <w:szCs w:val="28"/>
              </w:rPr>
              <w:t>18218732138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673" w:type="pct"/>
            <w:vMerge w:val="continue"/>
            <w:tcBorders>
              <w:top w:val="nil"/>
            </w:tcBorders>
            <w:vAlign w:val="center"/>
          </w:tcPr>
          <w:p>
            <w:pPr>
              <w:spacing w:line="560" w:lineRule="exact"/>
              <w:jc w:val="both"/>
              <w:rPr>
                <w:rFonts w:ascii="仿宋_GB2312" w:hAnsi="仿宋_GB2312" w:eastAsia="仿宋_GB2312" w:cs="仿宋_GB2312"/>
                <w:sz w:val="28"/>
                <w:szCs w:val="28"/>
              </w:rPr>
            </w:pPr>
          </w:p>
        </w:tc>
        <w:tc>
          <w:tcPr>
            <w:tcW w:w="2179" w:type="pct"/>
            <w:vAlign w:val="center"/>
          </w:tcPr>
          <w:p>
            <w:pPr>
              <w:pStyle w:val="13"/>
              <w:spacing w:line="560" w:lineRule="exact"/>
              <w:ind w:left="0" w:firstLine="0"/>
              <w:jc w:val="both"/>
              <w:rPr>
                <w:rFonts w:ascii="仿宋_GB2312" w:hAnsi="仿宋_GB2312" w:eastAsia="仿宋_GB2312" w:cs="仿宋_GB2312"/>
                <w:sz w:val="28"/>
                <w:szCs w:val="28"/>
              </w:rPr>
            </w:pPr>
            <w:r>
              <w:rPr>
                <w:rFonts w:hint="eastAsia" w:ascii="仿宋_GB2312" w:hAnsi="仿宋_GB2312" w:eastAsia="仿宋_GB2312" w:cs="仿宋_GB2312"/>
                <w:spacing w:val="6"/>
                <w:sz w:val="28"/>
                <w:szCs w:val="28"/>
              </w:rPr>
              <w:t>环卫处副主任</w:t>
            </w:r>
          </w:p>
        </w:tc>
        <w:tc>
          <w:tcPr>
            <w:tcW w:w="833" w:type="pct"/>
            <w:vAlign w:val="center"/>
          </w:tcPr>
          <w:p>
            <w:pPr>
              <w:pStyle w:val="13"/>
              <w:spacing w:line="560" w:lineRule="exact"/>
              <w:ind w:left="0" w:firstLine="0"/>
              <w:jc w:val="both"/>
              <w:rPr>
                <w:rFonts w:ascii="仿宋_GB2312" w:hAnsi="仿宋_GB2312" w:eastAsia="仿宋_GB2312" w:cs="仿宋_GB2312"/>
                <w:sz w:val="28"/>
                <w:szCs w:val="28"/>
              </w:rPr>
            </w:pPr>
            <w:r>
              <w:rPr>
                <w:rFonts w:hint="eastAsia" w:ascii="仿宋_GB2312" w:hAnsi="仿宋_GB2312" w:eastAsia="仿宋_GB2312" w:cs="仿宋_GB2312"/>
                <w:spacing w:val="1"/>
                <w:sz w:val="28"/>
                <w:szCs w:val="28"/>
              </w:rPr>
              <w:t>梁万强</w:t>
            </w:r>
          </w:p>
        </w:tc>
        <w:tc>
          <w:tcPr>
            <w:tcW w:w="1312" w:type="pct"/>
            <w:vAlign w:val="center"/>
          </w:tcPr>
          <w:p>
            <w:pPr>
              <w:pStyle w:val="13"/>
              <w:spacing w:line="560" w:lineRule="exact"/>
              <w:ind w:left="0" w:firstLine="0"/>
              <w:jc w:val="both"/>
              <w:rPr>
                <w:rFonts w:ascii="仿宋_GB2312" w:hAnsi="仿宋_GB2312" w:eastAsia="仿宋_GB2312" w:cs="仿宋_GB2312"/>
                <w:sz w:val="28"/>
                <w:szCs w:val="28"/>
              </w:rPr>
            </w:pPr>
            <w:r>
              <w:rPr>
                <w:rFonts w:hint="eastAsia" w:ascii="仿宋_GB2312" w:hAnsi="仿宋_GB2312" w:eastAsia="仿宋_GB2312" w:cs="仿宋_GB2312"/>
                <w:spacing w:val="1"/>
                <w:sz w:val="28"/>
                <w:szCs w:val="28"/>
              </w:rPr>
              <w:t>13902504131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jc w:val="center"/>
        </w:trPr>
        <w:tc>
          <w:tcPr>
            <w:tcW w:w="673" w:type="pct"/>
            <w:vAlign w:val="center"/>
          </w:tcPr>
          <w:p>
            <w:pPr>
              <w:pStyle w:val="13"/>
              <w:spacing w:line="560" w:lineRule="exact"/>
              <w:ind w:left="0" w:firstLine="0"/>
              <w:jc w:val="both"/>
              <w:rPr>
                <w:rFonts w:ascii="仿宋_GB2312" w:hAnsi="仿宋_GB2312" w:eastAsia="仿宋_GB2312" w:cs="仿宋_GB2312"/>
                <w:sz w:val="28"/>
                <w:szCs w:val="28"/>
              </w:rPr>
            </w:pPr>
            <w:r>
              <w:rPr>
                <w:rFonts w:hint="eastAsia" w:ascii="仿宋_GB2312" w:hAnsi="仿宋_GB2312" w:eastAsia="仿宋_GB2312" w:cs="仿宋_GB2312"/>
                <w:spacing w:val="2"/>
                <w:sz w:val="28"/>
                <w:szCs w:val="28"/>
              </w:rPr>
              <w:t>经开区</w:t>
            </w:r>
          </w:p>
        </w:tc>
        <w:tc>
          <w:tcPr>
            <w:tcW w:w="2179" w:type="pct"/>
            <w:vAlign w:val="center"/>
          </w:tcPr>
          <w:p>
            <w:pPr>
              <w:pStyle w:val="13"/>
              <w:spacing w:line="560" w:lineRule="exact"/>
              <w:ind w:firstLine="0"/>
              <w:jc w:val="both"/>
              <w:rPr>
                <w:rFonts w:ascii="仿宋_GB2312" w:hAnsi="仿宋_GB2312" w:eastAsia="仿宋_GB2312" w:cs="仿宋_GB2312"/>
                <w:spacing w:val="5"/>
                <w:sz w:val="28"/>
                <w:szCs w:val="28"/>
                <w:lang w:eastAsia="zh-CN"/>
              </w:rPr>
            </w:pPr>
            <w:r>
              <w:rPr>
                <w:rFonts w:hint="eastAsia" w:ascii="仿宋_GB2312" w:hAnsi="仿宋_GB2312" w:eastAsia="仿宋_GB2312" w:cs="仿宋_GB2312"/>
                <w:spacing w:val="5"/>
                <w:sz w:val="28"/>
                <w:szCs w:val="28"/>
                <w:lang w:eastAsia="zh-CN"/>
              </w:rPr>
              <w:t>分类办、市容环卫管理科</w:t>
            </w:r>
          </w:p>
          <w:p>
            <w:pPr>
              <w:pStyle w:val="13"/>
              <w:spacing w:line="560" w:lineRule="exact"/>
              <w:ind w:firstLine="0"/>
              <w:jc w:val="both"/>
              <w:rPr>
                <w:rFonts w:ascii="仿宋_GB2312" w:hAnsi="仿宋_GB2312" w:eastAsia="仿宋_GB2312" w:cs="仿宋_GB2312"/>
                <w:sz w:val="28"/>
                <w:szCs w:val="28"/>
              </w:rPr>
            </w:pPr>
            <w:r>
              <w:rPr>
                <w:rFonts w:hint="eastAsia" w:ascii="仿宋_GB2312" w:hAnsi="仿宋_GB2312" w:eastAsia="仿宋_GB2312" w:cs="仿宋_GB2312"/>
                <w:spacing w:val="5"/>
                <w:sz w:val="28"/>
                <w:szCs w:val="28"/>
              </w:rPr>
              <w:t>四级主办</w:t>
            </w:r>
          </w:p>
        </w:tc>
        <w:tc>
          <w:tcPr>
            <w:tcW w:w="833" w:type="pct"/>
            <w:vAlign w:val="center"/>
          </w:tcPr>
          <w:p>
            <w:pPr>
              <w:pStyle w:val="13"/>
              <w:spacing w:line="560" w:lineRule="exact"/>
              <w:ind w:left="0" w:firstLine="0"/>
              <w:jc w:val="both"/>
              <w:rPr>
                <w:rFonts w:ascii="仿宋_GB2312" w:hAnsi="仿宋_GB2312" w:eastAsia="仿宋_GB2312" w:cs="仿宋_GB2312"/>
                <w:sz w:val="28"/>
                <w:szCs w:val="28"/>
              </w:rPr>
            </w:pPr>
            <w:r>
              <w:rPr>
                <w:rFonts w:hint="eastAsia" w:ascii="仿宋_GB2312" w:hAnsi="仿宋_GB2312" w:eastAsia="仿宋_GB2312" w:cs="仿宋_GB2312"/>
                <w:spacing w:val="-6"/>
                <w:sz w:val="28"/>
                <w:szCs w:val="28"/>
              </w:rPr>
              <w:t>徐滔</w:t>
            </w:r>
          </w:p>
        </w:tc>
        <w:tc>
          <w:tcPr>
            <w:tcW w:w="1312" w:type="pct"/>
            <w:vAlign w:val="center"/>
          </w:tcPr>
          <w:p>
            <w:pPr>
              <w:spacing w:line="560" w:lineRule="exact"/>
              <w:jc w:val="both"/>
              <w:rPr>
                <w:rFonts w:ascii="仿宋_GB2312" w:hAnsi="仿宋_GB2312" w:eastAsia="仿宋_GB2312" w:cs="仿宋_GB2312"/>
                <w:sz w:val="28"/>
                <w:szCs w:val="28"/>
              </w:rPr>
            </w:pPr>
          </w:p>
          <w:p>
            <w:pPr>
              <w:pStyle w:val="13"/>
              <w:spacing w:line="560" w:lineRule="exact"/>
              <w:ind w:left="0" w:firstLine="0"/>
              <w:jc w:val="both"/>
              <w:rPr>
                <w:rFonts w:ascii="仿宋_GB2312" w:hAnsi="仿宋_GB2312" w:eastAsia="仿宋_GB2312" w:cs="仿宋_GB2312"/>
                <w:sz w:val="28"/>
                <w:szCs w:val="28"/>
              </w:rPr>
            </w:pPr>
            <w:r>
              <w:rPr>
                <w:rFonts w:hint="eastAsia" w:ascii="仿宋_GB2312" w:hAnsi="仿宋_GB2312" w:eastAsia="仿宋_GB2312" w:cs="仿宋_GB2312"/>
                <w:spacing w:val="1"/>
                <w:sz w:val="28"/>
                <w:szCs w:val="28"/>
              </w:rPr>
              <w:t>13553518033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673" w:type="pct"/>
            <w:vAlign w:val="center"/>
          </w:tcPr>
          <w:p>
            <w:pPr>
              <w:pStyle w:val="13"/>
              <w:spacing w:line="560" w:lineRule="exact"/>
              <w:ind w:left="0" w:firstLine="0"/>
              <w:jc w:val="both"/>
              <w:rPr>
                <w:rFonts w:ascii="仿宋_GB2312" w:hAnsi="仿宋_GB2312" w:eastAsia="仿宋_GB2312" w:cs="仿宋_GB2312"/>
                <w:spacing w:val="2"/>
                <w:sz w:val="28"/>
                <w:szCs w:val="28"/>
                <w:lang w:eastAsia="zh-CN"/>
              </w:rPr>
            </w:pPr>
            <w:r>
              <w:rPr>
                <w:rFonts w:hint="eastAsia" w:ascii="仿宋_GB2312" w:hAnsi="仿宋_GB2312" w:eastAsia="仿宋_GB2312" w:cs="仿宋_GB2312"/>
                <w:spacing w:val="2"/>
                <w:sz w:val="28"/>
                <w:szCs w:val="28"/>
                <w:lang w:eastAsia="zh-CN"/>
              </w:rPr>
              <w:t>雷州市</w:t>
            </w:r>
          </w:p>
        </w:tc>
        <w:tc>
          <w:tcPr>
            <w:tcW w:w="3623" w:type="dxa"/>
            <w:vAlign w:val="top"/>
          </w:tcPr>
          <w:p>
            <w:pPr>
              <w:pStyle w:val="13"/>
              <w:spacing w:line="560" w:lineRule="exact"/>
              <w:ind w:firstLine="0"/>
              <w:jc w:val="both"/>
              <w:rPr>
                <w:rFonts w:hint="eastAsia"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一级行政执法员</w:t>
            </w:r>
          </w:p>
        </w:tc>
        <w:tc>
          <w:tcPr>
            <w:tcW w:w="1386" w:type="dxa"/>
            <w:vAlign w:val="top"/>
          </w:tcPr>
          <w:p>
            <w:pPr>
              <w:pStyle w:val="13"/>
              <w:spacing w:line="560" w:lineRule="exact"/>
              <w:ind w:left="0" w:firstLine="0"/>
              <w:jc w:val="both"/>
              <w:rPr>
                <w:rFonts w:hint="eastAsia"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陈国超</w:t>
            </w:r>
          </w:p>
        </w:tc>
        <w:tc>
          <w:tcPr>
            <w:tcW w:w="2181" w:type="dxa"/>
            <w:vAlign w:val="top"/>
          </w:tcPr>
          <w:p>
            <w:pPr>
              <w:pStyle w:val="13"/>
              <w:spacing w:line="560" w:lineRule="exact"/>
              <w:ind w:left="0" w:firstLine="0"/>
              <w:jc w:val="both"/>
              <w:rPr>
                <w:rFonts w:hint="eastAsia"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13659706511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jc w:val="center"/>
        </w:trPr>
        <w:tc>
          <w:tcPr>
            <w:tcW w:w="673" w:type="pct"/>
            <w:vMerge w:val="restart"/>
            <w:vAlign w:val="center"/>
          </w:tcPr>
          <w:p>
            <w:pPr>
              <w:pStyle w:val="13"/>
              <w:spacing w:line="560" w:lineRule="exact"/>
              <w:ind w:left="0" w:firstLine="0"/>
              <w:jc w:val="both"/>
              <w:rPr>
                <w:rFonts w:ascii="仿宋_GB2312" w:hAnsi="仿宋_GB2312" w:eastAsia="仿宋_GB2312" w:cs="仿宋_GB2312"/>
                <w:spacing w:val="2"/>
                <w:sz w:val="28"/>
                <w:szCs w:val="28"/>
                <w:lang w:eastAsia="zh-CN"/>
              </w:rPr>
            </w:pPr>
            <w:r>
              <w:rPr>
                <w:rFonts w:hint="eastAsia" w:ascii="仿宋_GB2312" w:hAnsi="仿宋_GB2312" w:eastAsia="仿宋_GB2312" w:cs="仿宋_GB2312"/>
                <w:spacing w:val="2"/>
                <w:sz w:val="28"/>
                <w:szCs w:val="28"/>
                <w:lang w:eastAsia="zh-CN"/>
              </w:rPr>
              <w:t>廉江市</w:t>
            </w:r>
          </w:p>
        </w:tc>
        <w:tc>
          <w:tcPr>
            <w:tcW w:w="3623" w:type="dxa"/>
            <w:vAlign w:val="top"/>
          </w:tcPr>
          <w:p>
            <w:pPr>
              <w:pStyle w:val="13"/>
              <w:spacing w:line="560" w:lineRule="exact"/>
              <w:ind w:firstLine="0"/>
              <w:jc w:val="both"/>
              <w:rPr>
                <w:rFonts w:hint="eastAsia"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市容环卫股负责人</w:t>
            </w:r>
          </w:p>
        </w:tc>
        <w:tc>
          <w:tcPr>
            <w:tcW w:w="1386" w:type="dxa"/>
            <w:vAlign w:val="top"/>
          </w:tcPr>
          <w:p>
            <w:pPr>
              <w:pStyle w:val="13"/>
              <w:spacing w:line="560" w:lineRule="exact"/>
              <w:ind w:left="0" w:firstLine="0"/>
              <w:jc w:val="both"/>
              <w:rPr>
                <w:rFonts w:hint="eastAsia"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苏仁培</w:t>
            </w:r>
          </w:p>
        </w:tc>
        <w:tc>
          <w:tcPr>
            <w:tcW w:w="2181" w:type="dxa"/>
            <w:vAlign w:val="top"/>
          </w:tcPr>
          <w:p>
            <w:pPr>
              <w:pStyle w:val="13"/>
              <w:spacing w:line="560" w:lineRule="exact"/>
              <w:ind w:left="0" w:firstLine="0"/>
              <w:jc w:val="both"/>
              <w:rPr>
                <w:rFonts w:hint="eastAsia"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13543592038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jc w:val="center"/>
        </w:trPr>
        <w:tc>
          <w:tcPr>
            <w:tcW w:w="673" w:type="pct"/>
            <w:vMerge w:val="continue"/>
            <w:vAlign w:val="center"/>
          </w:tcPr>
          <w:p>
            <w:pPr>
              <w:pStyle w:val="13"/>
              <w:spacing w:line="560" w:lineRule="exact"/>
              <w:ind w:left="0" w:firstLine="0"/>
              <w:jc w:val="both"/>
              <w:rPr>
                <w:rFonts w:hint="eastAsia" w:ascii="仿宋_GB2312" w:hAnsi="仿宋_GB2312" w:eastAsia="仿宋_GB2312" w:cs="仿宋_GB2312"/>
                <w:spacing w:val="2"/>
                <w:sz w:val="28"/>
                <w:szCs w:val="28"/>
                <w:lang w:eastAsia="zh-CN"/>
              </w:rPr>
            </w:pPr>
          </w:p>
        </w:tc>
        <w:tc>
          <w:tcPr>
            <w:tcW w:w="3623" w:type="dxa"/>
            <w:vAlign w:val="top"/>
          </w:tcPr>
          <w:p>
            <w:pPr>
              <w:pStyle w:val="13"/>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市容环卫股负</w:t>
            </w:r>
            <w:r>
              <w:rPr>
                <w:rFonts w:hint="eastAsia" w:ascii="仿宋_GB2312" w:hAnsi="仿宋_GB2312" w:eastAsia="仿宋_GB2312" w:cs="仿宋_GB2312"/>
                <w:spacing w:val="4"/>
                <w:sz w:val="28"/>
                <w:szCs w:val="28"/>
                <w:lang w:eastAsia="zh-CN"/>
              </w:rPr>
              <w:t>办事员</w:t>
            </w:r>
          </w:p>
        </w:tc>
        <w:tc>
          <w:tcPr>
            <w:tcW w:w="1386" w:type="dxa"/>
            <w:vAlign w:val="top"/>
          </w:tcPr>
          <w:p>
            <w:pPr>
              <w:pStyle w:val="13"/>
              <w:keepNext w:val="0"/>
              <w:keepLines w:val="0"/>
              <w:pageBreakBefore w:val="0"/>
              <w:widowControl/>
              <w:kinsoku/>
              <w:wordWrap/>
              <w:overflowPunct/>
              <w:topLinePunct w:val="0"/>
              <w:autoSpaceDE/>
              <w:autoSpaceDN/>
              <w:bidi w:val="0"/>
              <w:adjustRightInd/>
              <w:snapToGrid/>
              <w:spacing w:line="560" w:lineRule="exact"/>
              <w:ind w:left="0" w:leftChars="0"/>
              <w:jc w:val="both"/>
              <w:textAlignment w:val="auto"/>
              <w:rPr>
                <w:rFonts w:hint="eastAsia"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lang w:eastAsia="zh-CN"/>
              </w:rPr>
              <w:t>李敏杰</w:t>
            </w:r>
          </w:p>
        </w:tc>
        <w:tc>
          <w:tcPr>
            <w:tcW w:w="2181" w:type="dxa"/>
            <w:vAlign w:val="top"/>
          </w:tcPr>
          <w:p>
            <w:pPr>
              <w:pStyle w:val="13"/>
              <w:keepNext w:val="0"/>
              <w:keepLines w:val="0"/>
              <w:pageBreakBefore w:val="0"/>
              <w:widowControl/>
              <w:kinsoku/>
              <w:wordWrap/>
              <w:overflowPunct/>
              <w:topLinePunct w:val="0"/>
              <w:autoSpaceDE/>
              <w:autoSpaceDN/>
              <w:bidi w:val="0"/>
              <w:adjustRightInd/>
              <w:snapToGrid/>
              <w:spacing w:line="560" w:lineRule="exact"/>
              <w:ind w:left="0" w:leftChars="0"/>
              <w:jc w:val="both"/>
              <w:textAlignment w:val="auto"/>
              <w:rPr>
                <w:rFonts w:hint="eastAsia"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lang w:val="en-US" w:eastAsia="zh-CN"/>
              </w:rPr>
              <w:t>17875789356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jc w:val="center"/>
        </w:trPr>
        <w:tc>
          <w:tcPr>
            <w:tcW w:w="673" w:type="pct"/>
            <w:vAlign w:val="center"/>
          </w:tcPr>
          <w:p>
            <w:pPr>
              <w:pStyle w:val="13"/>
              <w:spacing w:line="560" w:lineRule="exact"/>
              <w:ind w:left="0" w:firstLine="0"/>
              <w:jc w:val="both"/>
              <w:rPr>
                <w:rFonts w:ascii="仿宋_GB2312" w:hAnsi="仿宋_GB2312" w:eastAsia="仿宋_GB2312" w:cs="仿宋_GB2312"/>
                <w:spacing w:val="2"/>
                <w:sz w:val="28"/>
                <w:szCs w:val="28"/>
                <w:lang w:eastAsia="zh-CN"/>
              </w:rPr>
            </w:pPr>
            <w:r>
              <w:rPr>
                <w:rFonts w:hint="eastAsia" w:ascii="仿宋_GB2312" w:hAnsi="仿宋_GB2312" w:eastAsia="仿宋_GB2312" w:cs="仿宋_GB2312"/>
                <w:spacing w:val="2"/>
                <w:sz w:val="28"/>
                <w:szCs w:val="28"/>
                <w:lang w:eastAsia="zh-CN"/>
              </w:rPr>
              <w:t>吴川市</w:t>
            </w:r>
          </w:p>
        </w:tc>
        <w:tc>
          <w:tcPr>
            <w:tcW w:w="3623" w:type="dxa"/>
            <w:vAlign w:val="top"/>
          </w:tcPr>
          <w:p>
            <w:pPr>
              <w:pStyle w:val="13"/>
              <w:spacing w:line="560" w:lineRule="exact"/>
              <w:ind w:firstLine="0"/>
              <w:jc w:val="both"/>
              <w:rPr>
                <w:rFonts w:hint="eastAsia"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市容环卫</w:t>
            </w:r>
            <w:r>
              <w:rPr>
                <w:rFonts w:hint="eastAsia" w:ascii="仿宋_GB2312" w:hAnsi="仿宋_GB2312" w:eastAsia="仿宋_GB2312" w:cs="仿宋_GB2312"/>
                <w:spacing w:val="4"/>
                <w:sz w:val="28"/>
                <w:szCs w:val="28"/>
                <w:lang w:eastAsia="zh-CN"/>
              </w:rPr>
              <w:t>管理</w:t>
            </w:r>
            <w:r>
              <w:rPr>
                <w:rFonts w:hint="eastAsia" w:ascii="仿宋_GB2312" w:hAnsi="仿宋_GB2312" w:eastAsia="仿宋_GB2312" w:cs="仿宋_GB2312"/>
                <w:spacing w:val="4"/>
                <w:sz w:val="28"/>
                <w:szCs w:val="28"/>
              </w:rPr>
              <w:t>股</w:t>
            </w:r>
            <w:r>
              <w:rPr>
                <w:rFonts w:hint="eastAsia" w:ascii="仿宋_GB2312" w:hAnsi="仿宋_GB2312" w:eastAsia="仿宋_GB2312" w:cs="仿宋_GB2312"/>
                <w:spacing w:val="4"/>
                <w:sz w:val="28"/>
                <w:szCs w:val="28"/>
                <w:lang w:eastAsia="zh-CN"/>
              </w:rPr>
              <w:t>副股长</w:t>
            </w:r>
          </w:p>
        </w:tc>
        <w:tc>
          <w:tcPr>
            <w:tcW w:w="1386" w:type="dxa"/>
            <w:vAlign w:val="top"/>
          </w:tcPr>
          <w:p>
            <w:pPr>
              <w:pStyle w:val="13"/>
              <w:spacing w:line="560" w:lineRule="exact"/>
              <w:ind w:left="0" w:firstLine="0"/>
              <w:jc w:val="both"/>
              <w:rPr>
                <w:rFonts w:hint="eastAsia"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陈柏志</w:t>
            </w:r>
          </w:p>
        </w:tc>
        <w:tc>
          <w:tcPr>
            <w:tcW w:w="2181" w:type="dxa"/>
            <w:vAlign w:val="top"/>
          </w:tcPr>
          <w:p>
            <w:pPr>
              <w:pStyle w:val="13"/>
              <w:spacing w:line="560" w:lineRule="exact"/>
              <w:ind w:left="0" w:firstLine="0"/>
              <w:jc w:val="both"/>
              <w:rPr>
                <w:rFonts w:hint="eastAsia"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18664802696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jc w:val="center"/>
        </w:trPr>
        <w:tc>
          <w:tcPr>
            <w:tcW w:w="673" w:type="pct"/>
            <w:vAlign w:val="center"/>
          </w:tcPr>
          <w:p>
            <w:pPr>
              <w:pStyle w:val="13"/>
              <w:spacing w:line="560" w:lineRule="exact"/>
              <w:ind w:left="0" w:firstLine="0"/>
              <w:jc w:val="both"/>
              <w:rPr>
                <w:rFonts w:ascii="仿宋_GB2312" w:hAnsi="仿宋_GB2312" w:eastAsia="仿宋_GB2312" w:cs="仿宋_GB2312"/>
                <w:spacing w:val="2"/>
                <w:sz w:val="28"/>
                <w:szCs w:val="28"/>
                <w:lang w:eastAsia="zh-CN"/>
              </w:rPr>
            </w:pPr>
            <w:r>
              <w:rPr>
                <w:rFonts w:hint="eastAsia" w:ascii="仿宋_GB2312" w:hAnsi="仿宋_GB2312" w:eastAsia="仿宋_GB2312" w:cs="仿宋_GB2312"/>
                <w:spacing w:val="2"/>
                <w:sz w:val="28"/>
                <w:szCs w:val="28"/>
                <w:lang w:eastAsia="zh-CN"/>
              </w:rPr>
              <w:t>遂溪县</w:t>
            </w:r>
          </w:p>
        </w:tc>
        <w:tc>
          <w:tcPr>
            <w:tcW w:w="3623" w:type="dxa"/>
            <w:vAlign w:val="top"/>
          </w:tcPr>
          <w:p>
            <w:pPr>
              <w:pStyle w:val="13"/>
              <w:spacing w:line="560" w:lineRule="exact"/>
              <w:ind w:firstLine="0"/>
              <w:jc w:val="both"/>
              <w:rPr>
                <w:rFonts w:hint="eastAsia"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lang w:eastAsia="zh-CN"/>
              </w:rPr>
              <w:t>市容环卫管理股办事员</w:t>
            </w:r>
          </w:p>
        </w:tc>
        <w:tc>
          <w:tcPr>
            <w:tcW w:w="1386" w:type="dxa"/>
            <w:vAlign w:val="top"/>
          </w:tcPr>
          <w:p>
            <w:pPr>
              <w:pStyle w:val="13"/>
              <w:spacing w:line="560" w:lineRule="exact"/>
              <w:ind w:left="0" w:firstLine="0"/>
              <w:jc w:val="both"/>
              <w:rPr>
                <w:rFonts w:hint="eastAsia"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lang w:eastAsia="zh-CN"/>
              </w:rPr>
              <w:t>陈朝雯</w:t>
            </w:r>
          </w:p>
        </w:tc>
        <w:tc>
          <w:tcPr>
            <w:tcW w:w="2181" w:type="dxa"/>
            <w:vAlign w:val="top"/>
          </w:tcPr>
          <w:p>
            <w:pPr>
              <w:pStyle w:val="13"/>
              <w:spacing w:line="560" w:lineRule="exact"/>
              <w:ind w:left="0" w:firstLine="0"/>
              <w:jc w:val="both"/>
              <w:rPr>
                <w:rFonts w:hint="eastAsia"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15018057333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673" w:type="pct"/>
            <w:vAlign w:val="center"/>
          </w:tcPr>
          <w:p>
            <w:pPr>
              <w:pStyle w:val="13"/>
              <w:spacing w:line="560" w:lineRule="exact"/>
              <w:ind w:left="0" w:firstLine="0"/>
              <w:jc w:val="both"/>
              <w:rPr>
                <w:rFonts w:ascii="仿宋_GB2312" w:hAnsi="仿宋_GB2312" w:eastAsia="仿宋_GB2312" w:cs="仿宋_GB2312"/>
                <w:spacing w:val="2"/>
                <w:sz w:val="28"/>
                <w:szCs w:val="28"/>
                <w:lang w:eastAsia="zh-CN"/>
              </w:rPr>
            </w:pPr>
            <w:r>
              <w:rPr>
                <w:rFonts w:hint="eastAsia" w:ascii="仿宋_GB2312" w:hAnsi="仿宋_GB2312" w:eastAsia="仿宋_GB2312" w:cs="仿宋_GB2312"/>
                <w:spacing w:val="2"/>
                <w:sz w:val="28"/>
                <w:szCs w:val="28"/>
                <w:lang w:eastAsia="zh-CN"/>
              </w:rPr>
              <w:t>徐闻县</w:t>
            </w:r>
          </w:p>
        </w:tc>
        <w:tc>
          <w:tcPr>
            <w:tcW w:w="3623" w:type="dxa"/>
            <w:vAlign w:val="top"/>
          </w:tcPr>
          <w:p>
            <w:pPr>
              <w:pStyle w:val="13"/>
              <w:spacing w:line="560" w:lineRule="exact"/>
              <w:ind w:firstLine="0"/>
              <w:jc w:val="both"/>
              <w:rPr>
                <w:rFonts w:hint="eastAsia"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县分类办办事员</w:t>
            </w:r>
          </w:p>
        </w:tc>
        <w:tc>
          <w:tcPr>
            <w:tcW w:w="1386" w:type="dxa"/>
            <w:vAlign w:val="top"/>
          </w:tcPr>
          <w:p>
            <w:pPr>
              <w:pStyle w:val="13"/>
              <w:spacing w:line="560" w:lineRule="exact"/>
              <w:ind w:left="0" w:firstLine="0"/>
              <w:jc w:val="both"/>
              <w:rPr>
                <w:rFonts w:hint="eastAsia"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詹霞梅</w:t>
            </w:r>
          </w:p>
        </w:tc>
        <w:tc>
          <w:tcPr>
            <w:tcW w:w="2181" w:type="dxa"/>
            <w:vAlign w:val="top"/>
          </w:tcPr>
          <w:p>
            <w:pPr>
              <w:pStyle w:val="13"/>
              <w:spacing w:line="560" w:lineRule="exact"/>
              <w:ind w:left="0" w:firstLine="0"/>
              <w:jc w:val="both"/>
              <w:rPr>
                <w:rFonts w:hint="eastAsia"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18320292812</w:t>
            </w:r>
          </w:p>
        </w:tc>
      </w:tr>
    </w:tbl>
    <w:p>
      <w:pPr>
        <w:spacing w:line="560" w:lineRule="exact"/>
        <w:jc w:val="both"/>
        <w:rPr>
          <w:rFonts w:ascii="仿宋_GB2312" w:hAnsi="仿宋_GB2312" w:eastAsia="仿宋_GB2312" w:cs="仿宋_GB2312"/>
          <w:bCs/>
          <w:sz w:val="32"/>
          <w:szCs w:val="32"/>
          <w:lang w:eastAsia="zh-CN"/>
        </w:rPr>
      </w:pPr>
    </w:p>
    <w:p>
      <w:pPr>
        <w:spacing w:line="540" w:lineRule="exact"/>
        <w:ind w:firstLine="600"/>
        <w:jc w:val="both"/>
        <w:outlineLvl w:val="0"/>
        <w:rPr>
          <w:rFonts w:ascii="黑体" w:hAnsi="黑体" w:eastAsia="黑体"/>
          <w:bCs/>
          <w:sz w:val="30"/>
          <w:szCs w:val="30"/>
          <w:lang w:eastAsia="zh-CN"/>
        </w:rPr>
      </w:pPr>
      <w:r>
        <w:rPr>
          <w:rFonts w:hint="eastAsia" w:ascii="黑体" w:hAnsi="黑体" w:eastAsia="黑体"/>
          <w:bCs/>
          <w:sz w:val="30"/>
          <w:szCs w:val="30"/>
          <w:lang w:val="en-US" w:eastAsia="zh-CN"/>
        </w:rPr>
        <w:t>5</w:t>
      </w:r>
      <w:r>
        <w:rPr>
          <w:rFonts w:hint="eastAsia" w:ascii="黑体" w:hAnsi="黑体" w:eastAsia="黑体"/>
          <w:bCs/>
          <w:sz w:val="30"/>
          <w:szCs w:val="30"/>
          <w:lang w:eastAsia="zh-CN"/>
        </w:rPr>
        <w:t>.垃圾分类管理</w:t>
      </w:r>
    </w:p>
    <w:p>
      <w:pPr>
        <w:spacing w:line="540" w:lineRule="exact"/>
        <w:ind w:firstLine="600" w:firstLineChars="200"/>
        <w:outlineLvl w:val="1"/>
        <w:rPr>
          <w:rFonts w:hint="eastAsia" w:ascii="楷体_GB2312" w:eastAsia="楷体_GB2312"/>
          <w:bCs/>
          <w:color w:val="000000"/>
          <w:sz w:val="30"/>
          <w:szCs w:val="30"/>
          <w:lang w:val="en-US" w:eastAsia="zh-CN"/>
        </w:rPr>
      </w:pPr>
      <w:bookmarkStart w:id="11" w:name="_Toc4904"/>
      <w:r>
        <w:rPr>
          <w:rFonts w:hint="eastAsia" w:ascii="楷体_GB2312" w:eastAsia="楷体_GB2312"/>
          <w:bCs/>
          <w:color w:val="000000"/>
          <w:sz w:val="30"/>
          <w:szCs w:val="30"/>
          <w:lang w:val="en-US" w:eastAsia="zh-CN"/>
        </w:rPr>
        <w:t>5.1生活垃圾分类投放管理人制度</w:t>
      </w:r>
    </w:p>
    <w:p>
      <w:pPr>
        <w:spacing w:line="540" w:lineRule="exact"/>
        <w:ind w:firstLine="600" w:firstLineChars="200"/>
        <w:outlineLvl w:val="1"/>
        <w:rPr>
          <w:rFonts w:hint="eastAsia" w:ascii="楷体_GB2312" w:eastAsia="楷体_GB2312"/>
          <w:bCs/>
          <w:color w:val="000000"/>
          <w:sz w:val="30"/>
          <w:szCs w:val="30"/>
          <w:lang w:val="en-US" w:eastAsia="zh-CN"/>
        </w:rPr>
      </w:pPr>
      <w:r>
        <w:rPr>
          <w:rFonts w:hint="eastAsia" w:ascii="楷体_GB2312" w:eastAsia="楷体_GB2312"/>
          <w:bCs/>
          <w:color w:val="000000"/>
          <w:sz w:val="30"/>
          <w:szCs w:val="30"/>
          <w:lang w:val="en-US" w:eastAsia="zh-CN"/>
        </w:rPr>
        <w:t>5.1.1生活垃圾分类投放管理人定义</w:t>
      </w:r>
    </w:p>
    <w:p>
      <w:pPr>
        <w:spacing w:line="540" w:lineRule="exact"/>
        <w:ind w:firstLine="600" w:firstLineChars="200"/>
        <w:rPr>
          <w:rFonts w:hint="eastAsia" w:ascii="仿宋_GB2312" w:hAnsi="宋体" w:eastAsia="仿宋_GB2312"/>
          <w:bCs/>
          <w:color w:val="000000"/>
          <w:sz w:val="30"/>
          <w:szCs w:val="30"/>
          <w:lang w:val="en-US" w:eastAsia="zh-CN"/>
        </w:rPr>
      </w:pPr>
      <w:r>
        <w:rPr>
          <w:rFonts w:hint="eastAsia" w:ascii="仿宋_GB2312" w:hAnsi="宋体" w:eastAsia="仿宋_GB2312"/>
          <w:bCs/>
          <w:color w:val="000000"/>
          <w:sz w:val="30"/>
          <w:szCs w:val="30"/>
          <w:lang w:val="en-US" w:eastAsia="zh-CN"/>
        </w:rPr>
        <w:t>（1）国家机关、部队、企事业单位、社会团体及其他组织的办公场所，本单位为责任人。</w:t>
      </w:r>
    </w:p>
    <w:p>
      <w:pPr>
        <w:spacing w:line="540" w:lineRule="exact"/>
        <w:ind w:firstLine="600" w:firstLineChars="200"/>
        <w:rPr>
          <w:rFonts w:hint="default" w:ascii="仿宋_GB2312" w:hAnsi="仿宋_GB2312" w:eastAsia="仿宋_GB2312" w:cs="仿宋_GB2312"/>
          <w:i w:val="0"/>
          <w:iCs w:val="0"/>
          <w:caps w:val="0"/>
          <w:snapToGrid w:val="0"/>
          <w:color w:val="000000"/>
          <w:spacing w:val="0"/>
          <w:kern w:val="0"/>
          <w:sz w:val="32"/>
          <w:szCs w:val="32"/>
          <w:shd w:val="clear" w:fill="FFFFFF"/>
          <w:lang w:val="en-US" w:eastAsia="zh-CN" w:bidi="ar"/>
        </w:rPr>
      </w:pPr>
      <w:r>
        <w:rPr>
          <w:rFonts w:hint="eastAsia" w:ascii="仿宋_GB2312" w:hAnsi="宋体" w:eastAsia="仿宋_GB2312"/>
          <w:bCs/>
          <w:color w:val="000000"/>
          <w:sz w:val="30"/>
          <w:szCs w:val="30"/>
          <w:lang w:val="en-US" w:eastAsia="zh-CN"/>
        </w:rPr>
        <w:t>（2）自行管理的，自行管理人为责任人</w:t>
      </w:r>
      <w:r>
        <w:rPr>
          <w:rFonts w:hint="eastAsia" w:ascii="仿宋_GB2312" w:hAnsi="仿宋_GB2312" w:eastAsia="仿宋_GB2312" w:cs="仿宋_GB2312"/>
          <w:i w:val="0"/>
          <w:iCs w:val="0"/>
          <w:caps w:val="0"/>
          <w:snapToGrid w:val="0"/>
          <w:color w:val="000000"/>
          <w:spacing w:val="0"/>
          <w:kern w:val="0"/>
          <w:sz w:val="32"/>
          <w:szCs w:val="32"/>
          <w:shd w:val="clear" w:fill="FFFFFF"/>
          <w:lang w:val="en-US" w:eastAsia="zh-CN" w:bidi="ar"/>
        </w:rPr>
        <w:t>。</w:t>
      </w:r>
    </w:p>
    <w:p>
      <w:pPr>
        <w:spacing w:line="540" w:lineRule="exact"/>
        <w:ind w:firstLine="600" w:firstLineChars="200"/>
        <w:outlineLvl w:val="1"/>
        <w:rPr>
          <w:rFonts w:hint="eastAsia" w:ascii="楷体_GB2312" w:eastAsia="楷体_GB2312"/>
          <w:bCs/>
          <w:color w:val="000000"/>
          <w:sz w:val="30"/>
          <w:szCs w:val="30"/>
          <w:lang w:val="en-US" w:eastAsia="zh-CN"/>
        </w:rPr>
      </w:pPr>
      <w:r>
        <w:rPr>
          <w:rFonts w:hint="eastAsia" w:ascii="楷体_GB2312" w:eastAsia="楷体_GB2312"/>
          <w:bCs/>
          <w:color w:val="000000"/>
          <w:sz w:val="30"/>
          <w:szCs w:val="30"/>
          <w:lang w:val="en-US" w:eastAsia="zh-CN"/>
        </w:rPr>
        <w:t>5.1.2 管理人法定职责</w:t>
      </w:r>
    </w:p>
    <w:p>
      <w:pPr>
        <w:spacing w:line="540" w:lineRule="exact"/>
        <w:ind w:firstLine="600" w:firstLineChars="200"/>
        <w:rPr>
          <w:rFonts w:hint="eastAsia" w:ascii="仿宋_GB2312" w:hAnsi="宋体" w:eastAsia="仿宋_GB2312"/>
          <w:bCs/>
          <w:color w:val="000000"/>
          <w:sz w:val="30"/>
          <w:szCs w:val="30"/>
          <w:lang w:val="en-US" w:eastAsia="zh-CN"/>
        </w:rPr>
      </w:pPr>
      <w:r>
        <w:rPr>
          <w:rFonts w:hint="eastAsia" w:ascii="仿宋_GB2312" w:hAnsi="宋体" w:eastAsia="仿宋_GB2312"/>
          <w:bCs/>
          <w:color w:val="000000"/>
          <w:sz w:val="30"/>
          <w:szCs w:val="30"/>
          <w:lang w:val="en-US" w:eastAsia="zh-CN"/>
        </w:rPr>
        <w:t>根据《湛江市生活垃圾分类管理条例》，生活垃圾分类投放管理责任人负责学校生活垃圾分类投放管理，应当履行以下职责：</w:t>
      </w:r>
    </w:p>
    <w:p>
      <w:pPr>
        <w:spacing w:line="540" w:lineRule="exact"/>
        <w:ind w:firstLine="600" w:firstLineChars="200"/>
        <w:rPr>
          <w:rFonts w:hint="eastAsia" w:ascii="仿宋_GB2312" w:hAnsi="宋体" w:eastAsia="仿宋_GB2312"/>
          <w:bCs/>
          <w:color w:val="000000"/>
          <w:sz w:val="30"/>
          <w:szCs w:val="30"/>
          <w:lang w:val="en-US" w:eastAsia="zh-CN"/>
        </w:rPr>
      </w:pPr>
      <w:r>
        <w:rPr>
          <w:rFonts w:hint="eastAsia" w:ascii="仿宋_GB2312" w:hAnsi="宋体" w:eastAsia="仿宋_GB2312"/>
          <w:bCs/>
          <w:color w:val="000000"/>
          <w:sz w:val="30"/>
          <w:szCs w:val="30"/>
          <w:lang w:val="en-US" w:eastAsia="zh-CN"/>
        </w:rPr>
        <w:t>（1）建立日常制度。建立生活垃圾分类日常管理制度。</w:t>
      </w:r>
    </w:p>
    <w:p>
      <w:pPr>
        <w:spacing w:line="540" w:lineRule="exact"/>
        <w:ind w:firstLine="600" w:firstLineChars="200"/>
        <w:rPr>
          <w:rFonts w:hint="eastAsia" w:ascii="仿宋_GB2312" w:hAnsi="宋体" w:eastAsia="仿宋_GB2312"/>
          <w:bCs/>
          <w:color w:val="000000"/>
          <w:sz w:val="30"/>
          <w:szCs w:val="30"/>
          <w:lang w:val="en-US" w:eastAsia="zh-CN"/>
        </w:rPr>
      </w:pPr>
      <w:r>
        <w:rPr>
          <w:rFonts w:hint="eastAsia" w:ascii="仿宋_GB2312" w:hAnsi="宋体" w:eastAsia="仿宋_GB2312"/>
          <w:bCs/>
          <w:color w:val="000000"/>
          <w:sz w:val="30"/>
          <w:szCs w:val="30"/>
          <w:lang w:val="en-US" w:eastAsia="zh-CN"/>
        </w:rPr>
        <w:drawing>
          <wp:anchor distT="0" distB="0" distL="0" distR="0" simplePos="0" relativeHeight="251664384" behindDoc="0" locked="0" layoutInCell="0" allowOverlap="1">
            <wp:simplePos x="0" y="0"/>
            <wp:positionH relativeFrom="page">
              <wp:posOffset>18173700</wp:posOffset>
            </wp:positionH>
            <wp:positionV relativeFrom="page">
              <wp:posOffset>7501255</wp:posOffset>
            </wp:positionV>
            <wp:extent cx="1684020" cy="1228090"/>
            <wp:effectExtent l="0" t="0" r="11430" b="10160"/>
            <wp:wrapNone/>
            <wp:docPr id="2" name="IM 16"/>
            <wp:cNvGraphicFramePr/>
            <a:graphic xmlns:a="http://schemas.openxmlformats.org/drawingml/2006/main">
              <a:graphicData uri="http://schemas.openxmlformats.org/drawingml/2006/picture">
                <pic:pic xmlns:pic="http://schemas.openxmlformats.org/drawingml/2006/picture">
                  <pic:nvPicPr>
                    <pic:cNvPr id="2" name="IM 16"/>
                    <pic:cNvPicPr/>
                  </pic:nvPicPr>
                  <pic:blipFill>
                    <a:blip r:embed="rId11"/>
                    <a:stretch>
                      <a:fillRect/>
                    </a:stretch>
                  </pic:blipFill>
                  <pic:spPr>
                    <a:xfrm>
                      <a:off x="0" y="0"/>
                      <a:ext cx="1684020" cy="1228090"/>
                    </a:xfrm>
                    <a:prstGeom prst="rect">
                      <a:avLst/>
                    </a:prstGeom>
                  </pic:spPr>
                </pic:pic>
              </a:graphicData>
            </a:graphic>
          </wp:anchor>
        </w:drawing>
      </w:r>
      <w:r>
        <w:rPr>
          <w:rFonts w:hint="eastAsia" w:ascii="仿宋_GB2312" w:hAnsi="宋体" w:eastAsia="仿宋_GB2312"/>
          <w:bCs/>
          <w:color w:val="000000"/>
          <w:sz w:val="30"/>
          <w:szCs w:val="30"/>
          <w:lang w:val="en-US" w:eastAsia="zh-CN"/>
        </w:rPr>
        <w:t>（2）配置设备设施。要根据生活垃圾产生量和分类方法，按照分类标准和分类标志设置责任区内生活垃圾分类收集站点和收集容器，并保持生活垃圾分类收集容器正常使用。按照可回收物、有害垃圾、厨余垃圾、其他垃圾的分类，将生活垃圾分别投入相应标识的收集容器。其中，可回收物还可以交售至回收服务点或者回收经营者。禁止随意倾倒、抛撒、堆放或者焚烧生活垃圾。禁止将实验室危险化学品等混入生活垃圾投放。劝阻不按照分类规定投放生活垃圾，或者混合收集、运输已分类的生活垃圾的行为；</w:t>
      </w:r>
    </w:p>
    <w:p>
      <w:pPr>
        <w:spacing w:line="540" w:lineRule="exact"/>
        <w:ind w:firstLine="600" w:firstLineChars="200"/>
        <w:rPr>
          <w:rFonts w:hint="eastAsia" w:ascii="仿宋_GB2312" w:hAnsi="宋体" w:eastAsia="仿宋_GB2312"/>
          <w:bCs/>
          <w:color w:val="000000"/>
          <w:sz w:val="30"/>
          <w:szCs w:val="30"/>
          <w:lang w:val="en-US" w:eastAsia="zh-CN"/>
        </w:rPr>
      </w:pPr>
      <w:r>
        <w:rPr>
          <w:rFonts w:hint="eastAsia" w:ascii="仿宋_GB2312" w:hAnsi="宋体" w:eastAsia="仿宋_GB2312"/>
          <w:bCs/>
          <w:color w:val="000000"/>
          <w:sz w:val="30"/>
          <w:szCs w:val="30"/>
          <w:lang w:val="en-US" w:eastAsia="zh-CN"/>
        </w:rPr>
        <w:t>（3）宣传指导监督检查。在责任区内开展生活垃圾分类知识宣传，指导、监督、检查生活垃圾分类行为。</w:t>
      </w:r>
    </w:p>
    <w:p>
      <w:pPr>
        <w:spacing w:line="540" w:lineRule="exact"/>
        <w:ind w:firstLine="600" w:firstLineChars="200"/>
        <w:rPr>
          <w:rFonts w:hint="eastAsia" w:ascii="仿宋_GB2312" w:hAnsi="宋体" w:eastAsia="仿宋_GB2312"/>
          <w:bCs/>
          <w:color w:val="000000"/>
          <w:sz w:val="30"/>
          <w:szCs w:val="30"/>
          <w:lang w:val="en-US" w:eastAsia="zh-CN"/>
        </w:rPr>
      </w:pPr>
      <w:r>
        <w:rPr>
          <w:rFonts w:hint="eastAsia" w:ascii="仿宋_GB2312" w:hAnsi="宋体" w:eastAsia="仿宋_GB2312"/>
          <w:bCs/>
          <w:color w:val="000000"/>
          <w:sz w:val="30"/>
          <w:szCs w:val="30"/>
          <w:lang w:val="en-US" w:eastAsia="zh-CN"/>
        </w:rPr>
        <w:t>（4）规范分类移交。将生活垃圾分类后交由具有相关资质或者符合相关规定条件的单位收集、运输、处理。</w:t>
      </w:r>
    </w:p>
    <w:p>
      <w:pPr>
        <w:spacing w:line="540" w:lineRule="exact"/>
        <w:ind w:firstLine="600" w:firstLineChars="200"/>
        <w:rPr>
          <w:rFonts w:hint="eastAsia" w:ascii="仿宋_GB2312" w:hAnsi="宋体" w:eastAsia="仿宋_GB2312"/>
          <w:bCs/>
          <w:color w:val="000000"/>
          <w:sz w:val="30"/>
          <w:szCs w:val="30"/>
          <w:lang w:val="en-US" w:eastAsia="zh-CN"/>
        </w:rPr>
      </w:pPr>
      <w:r>
        <w:rPr>
          <w:rFonts w:hint="eastAsia" w:ascii="仿宋_GB2312" w:hAnsi="宋体" w:eastAsia="仿宋_GB2312"/>
          <w:bCs/>
          <w:color w:val="000000"/>
          <w:sz w:val="30"/>
          <w:szCs w:val="30"/>
          <w:lang w:val="en-US" w:eastAsia="zh-CN"/>
        </w:rPr>
        <w:t>（5）开展知识教育和分类实践。中小学校、职业学校、高等院校应当将生活垃圾分类知识纳入日常教育，培养学生分类投放习惯。学前教育机构应当将生活垃圾分类识别、收集容器标示标识等常识作为教育内容，培养学龄前儿童分类投放的良好习惯。</w:t>
      </w:r>
    </w:p>
    <w:p>
      <w:pPr>
        <w:spacing w:line="540" w:lineRule="exact"/>
        <w:ind w:firstLine="600" w:firstLineChars="200"/>
        <w:outlineLvl w:val="1"/>
        <w:rPr>
          <w:rFonts w:hint="eastAsia" w:ascii="楷体_GB2312" w:eastAsia="楷体_GB2312"/>
          <w:bCs/>
          <w:color w:val="000000"/>
          <w:sz w:val="30"/>
          <w:szCs w:val="30"/>
          <w:lang w:val="en-US" w:eastAsia="zh-CN"/>
        </w:rPr>
      </w:pPr>
      <w:r>
        <w:rPr>
          <w:rFonts w:hint="eastAsia" w:ascii="楷体_GB2312" w:eastAsia="楷体_GB2312"/>
          <w:bCs/>
          <w:color w:val="000000"/>
          <w:sz w:val="30"/>
          <w:szCs w:val="30"/>
          <w:lang w:val="en-US" w:eastAsia="zh-CN"/>
        </w:rPr>
        <w:t>5.2 生活垃圾分类投放义务人职责</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560" w:lineRule="exact"/>
        <w:ind w:right="0" w:rightChars="0" w:firstLine="640" w:firstLineChars="200"/>
        <w:jc w:val="left"/>
        <w:textAlignment w:val="baseline"/>
        <w:rPr>
          <w:rFonts w:hint="eastAsia" w:ascii="仿宋_GB2312" w:hAnsi="仿宋_GB2312" w:eastAsia="仿宋_GB2312" w:cs="仿宋_GB2312"/>
          <w:i w:val="0"/>
          <w:iCs w:val="0"/>
          <w:caps w:val="0"/>
          <w:color w:val="000000"/>
          <w:spacing w:val="0"/>
          <w:sz w:val="32"/>
          <w:szCs w:val="32"/>
          <w:shd w:val="clear" w:fill="FFFFFF"/>
          <w:lang w:eastAsia="zh-CN"/>
        </w:rPr>
      </w:pPr>
      <w:r>
        <w:rPr>
          <w:rFonts w:hint="eastAsia" w:ascii="仿宋_GB2312" w:hAnsi="仿宋_GB2312" w:eastAsia="仿宋_GB2312" w:cs="仿宋_GB2312"/>
          <w:i w:val="0"/>
          <w:iCs w:val="0"/>
          <w:caps w:val="0"/>
          <w:color w:val="000000"/>
          <w:spacing w:val="0"/>
          <w:sz w:val="32"/>
          <w:szCs w:val="32"/>
          <w:shd w:val="clear" w:fill="FFFFFF"/>
          <w:lang w:val="en-US" w:eastAsia="zh-CN"/>
        </w:rPr>
        <w:t>学校全体教职工均为生活垃圾分类投放义务人。</w:t>
      </w:r>
      <w:r>
        <w:rPr>
          <w:rFonts w:hint="eastAsia" w:ascii="仿宋_GB2312" w:hAnsi="仿宋_GB2312" w:eastAsia="仿宋_GB2312" w:cs="仿宋_GB2312"/>
          <w:i w:val="0"/>
          <w:iCs w:val="0"/>
          <w:caps w:val="0"/>
          <w:color w:val="000000"/>
          <w:spacing w:val="0"/>
          <w:sz w:val="32"/>
          <w:szCs w:val="32"/>
          <w:shd w:val="clear" w:fill="FFFFFF"/>
          <w:lang w:eastAsia="zh-CN"/>
        </w:rPr>
        <w:t>应当将生活垃圾</w:t>
      </w:r>
      <w:r>
        <w:rPr>
          <w:rFonts w:hint="eastAsia" w:ascii="仿宋_GB2312" w:hAnsi="仿宋_GB2312" w:eastAsia="仿宋_GB2312" w:cs="仿宋_GB2312"/>
          <w:i w:val="0"/>
          <w:iCs w:val="0"/>
          <w:caps w:val="0"/>
          <w:color w:val="000000"/>
          <w:spacing w:val="0"/>
          <w:sz w:val="32"/>
          <w:szCs w:val="32"/>
          <w:shd w:val="clear" w:fill="FFFFFF"/>
        </w:rPr>
        <w:t>按照可回收物、有害垃圾、厨余垃圾、其他垃圾的分类</w:t>
      </w:r>
      <w:r>
        <w:rPr>
          <w:rFonts w:hint="eastAsia" w:ascii="仿宋_GB2312" w:hAnsi="仿宋_GB2312" w:eastAsia="仿宋_GB2312" w:cs="仿宋_GB2312"/>
          <w:i w:val="0"/>
          <w:iCs w:val="0"/>
          <w:caps w:val="0"/>
          <w:color w:val="000000"/>
          <w:spacing w:val="0"/>
          <w:sz w:val="32"/>
          <w:szCs w:val="32"/>
          <w:shd w:val="clear" w:fill="FFFFFF"/>
          <w:lang w:eastAsia="zh-CN"/>
        </w:rPr>
        <w:t>投放至相应的收集容器或指定地点。教师、行政人员自觉践行低碳办公和绿色生活方式。</w:t>
      </w:r>
    </w:p>
    <w:p>
      <w:pPr>
        <w:spacing w:line="540" w:lineRule="exact"/>
        <w:ind w:firstLine="600" w:firstLineChars="200"/>
        <w:outlineLvl w:val="1"/>
        <w:rPr>
          <w:rFonts w:hint="default" w:ascii="楷体_GB2312" w:eastAsia="楷体_GB2312"/>
          <w:bCs/>
          <w:color w:val="000000"/>
          <w:sz w:val="30"/>
          <w:szCs w:val="30"/>
          <w:lang w:val="en-US" w:eastAsia="zh-CN"/>
        </w:rPr>
      </w:pPr>
      <w:r>
        <w:rPr>
          <w:rFonts w:hint="eastAsia" w:ascii="楷体_GB2312" w:eastAsia="楷体_GB2312"/>
          <w:bCs/>
          <w:color w:val="000000"/>
          <w:sz w:val="30"/>
          <w:szCs w:val="30"/>
          <w:lang w:val="en-US" w:eastAsia="zh-CN"/>
        </w:rPr>
        <w:t>5.3 学校生活垃圾分类管理工作</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560" w:lineRule="exact"/>
        <w:ind w:left="0" w:right="0" w:firstLine="480"/>
        <w:jc w:val="left"/>
        <w:textAlignment w:val="baseline"/>
        <w:rPr>
          <w:rFonts w:hint="eastAsia" w:ascii="仿宋_GB2312" w:hAnsi="仿宋_GB2312" w:eastAsia="仿宋_GB2312" w:cs="仿宋_GB2312"/>
          <w:i w:val="0"/>
          <w:iCs w:val="0"/>
          <w:caps w:val="0"/>
          <w:color w:val="000000"/>
          <w:spacing w:val="0"/>
          <w:sz w:val="32"/>
          <w:szCs w:val="32"/>
          <w:shd w:val="clear" w:fill="FFFFFF"/>
          <w:lang w:eastAsia="zh-CN"/>
        </w:rPr>
      </w:pPr>
      <w:r>
        <w:rPr>
          <w:rFonts w:hint="eastAsia" w:ascii="仿宋_GB2312" w:hAnsi="仿宋_GB2312" w:eastAsia="仿宋_GB2312" w:cs="仿宋_GB2312"/>
          <w:i w:val="0"/>
          <w:iCs w:val="0"/>
          <w:caps w:val="0"/>
          <w:color w:val="000000"/>
          <w:spacing w:val="0"/>
          <w:sz w:val="32"/>
          <w:szCs w:val="32"/>
          <w:shd w:val="clear" w:fill="FFFFFF"/>
          <w:lang w:eastAsia="zh-CN"/>
        </w:rPr>
        <w:t>根据《湛江市生活垃圾分类管理条例》《国家住建部评估细则责任清单》和市有关工作部署，学校要做好以下工作：</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560" w:lineRule="exact"/>
        <w:ind w:right="0" w:rightChars="0" w:firstLine="600" w:firstLineChars="200"/>
        <w:jc w:val="left"/>
        <w:textAlignment w:val="baseline"/>
        <w:rPr>
          <w:rFonts w:hint="eastAsia" w:ascii="楷体_GB2312" w:hAnsi="Arial" w:eastAsia="楷体_GB2312" w:cs="Arial"/>
          <w:bCs/>
          <w:snapToGrid w:val="0"/>
          <w:color w:val="000000"/>
          <w:kern w:val="0"/>
          <w:sz w:val="30"/>
          <w:szCs w:val="30"/>
          <w:lang w:val="en-US" w:eastAsia="zh-CN" w:bidi="ar-SA"/>
        </w:rPr>
      </w:pPr>
      <w:r>
        <w:rPr>
          <w:rFonts w:hint="eastAsia" w:ascii="楷体_GB2312" w:eastAsia="楷体_GB2312" w:cs="Arial"/>
          <w:bCs/>
          <w:snapToGrid w:val="0"/>
          <w:color w:val="000000"/>
          <w:kern w:val="0"/>
          <w:sz w:val="30"/>
          <w:szCs w:val="30"/>
          <w:lang w:val="en-US" w:eastAsia="zh-CN" w:bidi="ar-SA"/>
        </w:rPr>
        <w:t xml:space="preserve">5.3.1 </w:t>
      </w:r>
      <w:r>
        <w:rPr>
          <w:rFonts w:hint="eastAsia" w:ascii="楷体_GB2312" w:hAnsi="Arial" w:eastAsia="楷体_GB2312" w:cs="Arial"/>
          <w:bCs/>
          <w:snapToGrid w:val="0"/>
          <w:color w:val="000000"/>
          <w:kern w:val="0"/>
          <w:sz w:val="30"/>
          <w:szCs w:val="30"/>
          <w:lang w:val="en-US" w:eastAsia="zh-CN" w:bidi="ar-SA"/>
        </w:rPr>
        <w:t>强化组织分工</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560" w:lineRule="exact"/>
        <w:ind w:right="0" w:rightChars="0" w:firstLine="640" w:firstLineChars="200"/>
        <w:jc w:val="left"/>
        <w:textAlignment w:val="baseline"/>
        <w:rPr>
          <w:rFonts w:hint="eastAsia" w:ascii="仿宋_GB2312" w:hAnsi="仿宋_GB2312" w:eastAsia="仿宋_GB2312" w:cs="仿宋_GB2312"/>
          <w:i w:val="0"/>
          <w:iCs w:val="0"/>
          <w:caps w:val="0"/>
          <w:color w:val="000000"/>
          <w:spacing w:val="0"/>
          <w:sz w:val="32"/>
          <w:szCs w:val="32"/>
          <w:shd w:val="clear" w:fill="FFFFFF"/>
          <w:lang w:val="en-US" w:eastAsia="zh-CN"/>
        </w:rPr>
      </w:pPr>
      <w:r>
        <w:rPr>
          <w:rFonts w:hint="eastAsia" w:ascii="仿宋_GB2312" w:hAnsi="仿宋_GB2312" w:eastAsia="仿宋_GB2312" w:cs="仿宋_GB2312"/>
          <w:i w:val="0"/>
          <w:iCs w:val="0"/>
          <w:caps w:val="0"/>
          <w:color w:val="000000"/>
          <w:spacing w:val="0"/>
          <w:sz w:val="32"/>
          <w:szCs w:val="32"/>
          <w:shd w:val="clear" w:fill="FFFFFF"/>
          <w:lang w:val="en-US" w:eastAsia="zh-CN"/>
        </w:rPr>
        <w:t>建立健全生活垃圾分类知识教育长效机制</w:t>
      </w:r>
      <w:r>
        <w:rPr>
          <w:rFonts w:hint="eastAsia" w:ascii="仿宋_GB2312" w:hAnsi="仿宋_GB2312" w:eastAsia="仿宋_GB2312" w:cs="仿宋_GB2312"/>
          <w:bCs/>
          <w:color w:val="000000"/>
          <w:sz w:val="32"/>
          <w:szCs w:val="32"/>
        </w:rPr>
        <w:t>建立垃圾分类工作领导小组，明确</w:t>
      </w:r>
      <w:r>
        <w:rPr>
          <w:rFonts w:hint="eastAsia" w:ascii="仿宋_GB2312" w:hAnsi="仿宋_GB2312" w:eastAsia="仿宋_GB2312" w:cs="仿宋_GB2312"/>
          <w:bCs/>
          <w:color w:val="000000"/>
          <w:sz w:val="32"/>
          <w:szCs w:val="32"/>
          <w:lang w:eastAsia="zh-CN"/>
        </w:rPr>
        <w:t>学校</w:t>
      </w:r>
      <w:r>
        <w:rPr>
          <w:rFonts w:hint="eastAsia" w:ascii="仿宋_GB2312" w:hAnsi="仿宋_GB2312" w:eastAsia="仿宋_GB2312" w:cs="仿宋_GB2312"/>
          <w:bCs/>
          <w:color w:val="000000"/>
          <w:sz w:val="32"/>
          <w:szCs w:val="32"/>
        </w:rPr>
        <w:t>各部门的职责，</w:t>
      </w:r>
      <w:r>
        <w:rPr>
          <w:rFonts w:hint="eastAsia" w:ascii="仿宋_GB2312" w:hAnsi="仿宋_GB2312" w:eastAsia="仿宋_GB2312" w:cs="仿宋_GB2312"/>
          <w:bCs/>
          <w:color w:val="000000"/>
          <w:sz w:val="32"/>
          <w:szCs w:val="32"/>
          <w:lang w:eastAsia="zh-CN"/>
        </w:rPr>
        <w:t>落实专（兼）职工作人员</w:t>
      </w:r>
      <w:r>
        <w:rPr>
          <w:rFonts w:hint="eastAsia" w:ascii="仿宋_GB2312" w:hAnsi="仿宋_GB2312" w:eastAsia="仿宋_GB2312" w:cs="仿宋_GB2312"/>
          <w:i w:val="0"/>
          <w:iCs w:val="0"/>
          <w:caps w:val="0"/>
          <w:color w:val="000000"/>
          <w:spacing w:val="0"/>
          <w:sz w:val="32"/>
          <w:szCs w:val="32"/>
          <w:shd w:val="clear" w:fill="FFFFFF"/>
          <w:lang w:val="en-US" w:eastAsia="zh-CN"/>
        </w:rPr>
        <w:t>，</w:t>
      </w:r>
      <w:r>
        <w:rPr>
          <w:rFonts w:hint="eastAsia" w:ascii="仿宋_GB2312" w:hAnsi="仿宋_GB2312" w:eastAsia="仿宋_GB2312" w:cs="仿宋_GB2312"/>
          <w:bCs/>
          <w:color w:val="000000"/>
          <w:sz w:val="32"/>
          <w:szCs w:val="32"/>
        </w:rPr>
        <w:t>形成相应的会议记录、发文通知、工作方案等材料</w:t>
      </w:r>
      <w:r>
        <w:rPr>
          <w:rFonts w:hint="eastAsia" w:ascii="仿宋_GB2312" w:hAnsi="仿宋_GB2312" w:eastAsia="仿宋_GB2312" w:cs="仿宋_GB2312"/>
          <w:bCs/>
          <w:color w:val="000000"/>
          <w:sz w:val="32"/>
          <w:szCs w:val="32"/>
          <w:lang w:eastAsia="zh-CN"/>
        </w:rPr>
        <w:t>。要特别注重党建引领，充分发挥党员在生活垃圾分类教育中的先锋示范作用。</w:t>
      </w:r>
    </w:p>
    <w:p>
      <w:pPr>
        <w:numPr>
          <w:ilvl w:val="0"/>
          <w:numId w:val="0"/>
        </w:numPr>
        <w:spacing w:line="540" w:lineRule="exact"/>
        <w:ind w:firstLine="600" w:firstLineChars="200"/>
        <w:rPr>
          <w:rFonts w:hint="eastAsia" w:ascii="楷体_GB2312" w:hAnsi="Arial" w:eastAsia="楷体_GB2312" w:cs="Arial"/>
          <w:bCs/>
          <w:snapToGrid w:val="0"/>
          <w:color w:val="000000"/>
          <w:kern w:val="0"/>
          <w:sz w:val="30"/>
          <w:szCs w:val="30"/>
          <w:lang w:val="en-US" w:eastAsia="zh-CN" w:bidi="ar-SA"/>
        </w:rPr>
      </w:pPr>
      <w:r>
        <w:rPr>
          <w:rFonts w:hint="eastAsia" w:ascii="楷体_GB2312" w:eastAsia="楷体_GB2312" w:cs="Arial"/>
          <w:bCs/>
          <w:snapToGrid w:val="0"/>
          <w:color w:val="000000"/>
          <w:kern w:val="0"/>
          <w:sz w:val="30"/>
          <w:szCs w:val="30"/>
          <w:lang w:val="en-US" w:eastAsia="zh-CN" w:bidi="ar-SA"/>
        </w:rPr>
        <w:t xml:space="preserve">5.3.2 </w:t>
      </w:r>
      <w:r>
        <w:rPr>
          <w:rFonts w:hint="eastAsia" w:ascii="楷体_GB2312" w:hAnsi="Arial" w:eastAsia="楷体_GB2312" w:cs="Arial"/>
          <w:bCs/>
          <w:snapToGrid w:val="0"/>
          <w:color w:val="000000"/>
          <w:kern w:val="0"/>
          <w:sz w:val="30"/>
          <w:szCs w:val="30"/>
          <w:lang w:val="en-US" w:eastAsia="zh-CN" w:bidi="ar-SA"/>
        </w:rPr>
        <w:t>加强宣传</w:t>
      </w:r>
      <w:r>
        <w:rPr>
          <w:rFonts w:hint="eastAsia" w:ascii="楷体_GB2312" w:eastAsia="楷体_GB2312" w:cs="Arial"/>
          <w:bCs/>
          <w:snapToGrid w:val="0"/>
          <w:color w:val="000000"/>
          <w:kern w:val="0"/>
          <w:sz w:val="30"/>
          <w:szCs w:val="30"/>
          <w:lang w:val="en-US" w:eastAsia="zh-CN" w:bidi="ar-SA"/>
        </w:rPr>
        <w:t>氛围营造</w:t>
      </w:r>
    </w:p>
    <w:p>
      <w:pPr>
        <w:numPr>
          <w:ilvl w:val="0"/>
          <w:numId w:val="0"/>
        </w:numPr>
        <w:spacing w:line="540" w:lineRule="exact"/>
        <w:rPr>
          <w:rFonts w:hint="default" w:ascii="楷体_GB2312" w:hAnsi="Arial" w:eastAsia="楷体_GB2312" w:cs="Arial"/>
          <w:bCs/>
          <w:snapToGrid w:val="0"/>
          <w:color w:val="000000"/>
          <w:kern w:val="0"/>
          <w:sz w:val="30"/>
          <w:szCs w:val="30"/>
          <w:lang w:val="en-US" w:eastAsia="zh-CN" w:bidi="ar-SA"/>
        </w:rPr>
      </w:pPr>
      <w:r>
        <w:rPr>
          <w:rFonts w:hint="eastAsia" w:ascii="楷体_GB2312" w:eastAsia="楷体_GB2312" w:cs="Arial"/>
          <w:bCs/>
          <w:snapToGrid w:val="0"/>
          <w:color w:val="000000"/>
          <w:kern w:val="0"/>
          <w:sz w:val="30"/>
          <w:szCs w:val="30"/>
          <w:lang w:val="en-US" w:eastAsia="zh-CN" w:bidi="ar-SA"/>
        </w:rPr>
        <w:t xml:space="preserve">    （1）</w:t>
      </w:r>
      <w:r>
        <w:rPr>
          <w:rFonts w:hint="eastAsia" w:ascii="仿宋_GB2312" w:hAnsi="宋体" w:eastAsia="仿宋_GB2312"/>
          <w:bCs/>
          <w:color w:val="000000"/>
          <w:sz w:val="30"/>
          <w:szCs w:val="30"/>
          <w:lang w:eastAsia="zh-CN"/>
        </w:rPr>
        <w:t>丰富宣传载体。</w:t>
      </w:r>
      <w:r>
        <w:rPr>
          <w:rFonts w:hint="eastAsia" w:ascii="仿宋_GB2312" w:hAnsi="宋体" w:eastAsia="仿宋_GB2312"/>
          <w:bCs/>
          <w:color w:val="000000"/>
          <w:sz w:val="30"/>
          <w:szCs w:val="30"/>
          <w:lang w:val="en-US" w:eastAsia="zh-CN"/>
        </w:rPr>
        <w:t>利用标语、黑板报、校园网站、校园广播、校报、饭堂电视、电子显示屏、公示栏等宣传载体，在垃圾分类收集容器张贴准确清晰的标识和投放指引，在学校食堂、宣传栏、主要出入口等地张贴光盘行动宣传海报，</w:t>
      </w:r>
      <w:r>
        <w:rPr>
          <w:rFonts w:hint="eastAsia" w:ascii="仿宋_GB2312" w:hAnsi="宋体" w:eastAsia="仿宋_GB2312"/>
          <w:bCs/>
          <w:color w:val="000000"/>
          <w:sz w:val="30"/>
          <w:szCs w:val="30"/>
          <w:lang w:eastAsia="zh-CN"/>
        </w:rPr>
        <w:t>有条件的可使用电子显示屏不定期播放垃圾分类宣传片和宣传标语等</w:t>
      </w:r>
      <w:r>
        <w:rPr>
          <w:rFonts w:hint="eastAsia" w:ascii="仿宋_GB2312" w:hAnsi="宋体" w:eastAsia="仿宋_GB2312"/>
          <w:bCs/>
          <w:color w:val="000000"/>
          <w:sz w:val="30"/>
          <w:szCs w:val="30"/>
          <w:lang w:val="en-US" w:eastAsia="zh-CN"/>
        </w:rPr>
        <w:t>，</w:t>
      </w:r>
      <w:r>
        <w:rPr>
          <w:rFonts w:hint="eastAsia" w:ascii="仿宋_GB2312" w:hAnsi="宋体" w:eastAsia="仿宋_GB2312"/>
          <w:bCs/>
          <w:color w:val="000000"/>
          <w:sz w:val="30"/>
          <w:szCs w:val="30"/>
        </w:rPr>
        <w:t>将宣传垃圾分类政策、引导垃圾分类行为、营造垃圾分类氛围的相关工作常态化</w:t>
      </w:r>
      <w:r>
        <w:rPr>
          <w:rFonts w:hint="eastAsia" w:ascii="仿宋_GB2312" w:hAnsi="宋体" w:eastAsia="仿宋_GB2312"/>
          <w:bCs/>
          <w:color w:val="000000"/>
          <w:sz w:val="30"/>
          <w:szCs w:val="30"/>
          <w:lang w:val="en-US" w:eastAsia="zh-CN"/>
        </w:rPr>
        <w:t>。</w:t>
      </w:r>
    </w:p>
    <w:p>
      <w:pPr>
        <w:numPr>
          <w:ilvl w:val="0"/>
          <w:numId w:val="0"/>
        </w:numPr>
        <w:spacing w:line="540" w:lineRule="exact"/>
        <w:ind w:firstLine="640" w:firstLineChars="200"/>
        <w:rPr>
          <w:rFonts w:hint="eastAsia" w:ascii="仿宋_GB2312" w:hAnsi="仿宋_GB2312" w:eastAsia="仿宋_GB2312" w:cs="仿宋_GB2312"/>
          <w:i w:val="0"/>
          <w:iCs w:val="0"/>
          <w:caps w:val="0"/>
          <w:color w:val="000000"/>
          <w:spacing w:val="0"/>
          <w:sz w:val="32"/>
          <w:szCs w:val="32"/>
          <w:shd w:val="clear" w:fill="FFFFFF"/>
          <w:lang w:val="en-US" w:eastAsia="zh-CN"/>
        </w:rPr>
      </w:pPr>
      <w:r>
        <w:rPr>
          <w:rFonts w:hint="eastAsia" w:ascii="仿宋_GB2312" w:hAnsi="仿宋_GB2312" w:eastAsia="仿宋_GB2312" w:cs="仿宋_GB2312"/>
          <w:i w:val="0"/>
          <w:iCs w:val="0"/>
          <w:caps w:val="0"/>
          <w:color w:val="000000"/>
          <w:spacing w:val="0"/>
          <w:sz w:val="32"/>
          <w:szCs w:val="32"/>
          <w:shd w:val="clear" w:fill="FFFFFF"/>
          <w:lang w:val="en-US" w:eastAsia="zh-CN"/>
        </w:rPr>
        <w:t>（2）广泛组织动员。</w:t>
      </w:r>
      <w:r>
        <w:rPr>
          <w:rFonts w:hint="eastAsia" w:ascii="仿宋_GB2312" w:hAnsi="宋体" w:eastAsia="仿宋_GB2312"/>
          <w:bCs/>
          <w:color w:val="000000"/>
          <w:sz w:val="30"/>
          <w:szCs w:val="30"/>
          <w:lang w:eastAsia="zh-CN"/>
        </w:rPr>
        <w:t>学校</w:t>
      </w:r>
      <w:r>
        <w:rPr>
          <w:rFonts w:hint="eastAsia" w:ascii="仿宋_GB2312" w:hAnsi="宋体" w:eastAsia="仿宋_GB2312"/>
          <w:bCs/>
          <w:color w:val="000000"/>
          <w:sz w:val="30"/>
          <w:szCs w:val="30"/>
        </w:rPr>
        <w:t>应充分利用新媒体平台（包括但不限于官网、微博、微信、短视频）发布本校的生活垃圾分类制度，通过各条线层层传达、广泛动员。本校垃圾分类相关要求应纳入新生入学教育和教职工年度培训内容，确保全校师生知晓垃圾分类知识和本校的垃圾分类政策、熟悉垃圾分类容器位置、践行垃圾分类新风尚。</w:t>
      </w:r>
      <w:r>
        <w:rPr>
          <w:rFonts w:hint="eastAsia" w:ascii="仿宋_GB2312" w:hAnsi="仿宋_GB2312" w:eastAsia="仿宋_GB2312" w:cs="仿宋_GB2312"/>
          <w:i w:val="0"/>
          <w:iCs w:val="0"/>
          <w:caps w:val="0"/>
          <w:color w:val="000000"/>
          <w:spacing w:val="0"/>
          <w:sz w:val="32"/>
          <w:szCs w:val="32"/>
          <w:shd w:val="clear" w:fill="FFFFFF"/>
          <w:lang w:val="en-US" w:eastAsia="zh-CN"/>
        </w:rPr>
        <w:t>三是提倡绿色办公，优先采购可循环利用的产品，减少使用一次性办公用品，推广无纸化办公，纸张尽量双面书写或双面打印。打印机旁张贴“节约用纸”、“双面打印”等标语。</w:t>
      </w:r>
    </w:p>
    <w:p>
      <w:pPr>
        <w:numPr>
          <w:ilvl w:val="0"/>
          <w:numId w:val="0"/>
        </w:numPr>
        <w:spacing w:line="540" w:lineRule="exact"/>
        <w:ind w:firstLine="600" w:firstLineChars="200"/>
        <w:rPr>
          <w:rFonts w:hint="eastAsia" w:ascii="楷体_GB2312" w:eastAsia="楷体_GB2312" w:cs="Arial"/>
          <w:bCs/>
          <w:snapToGrid w:val="0"/>
          <w:color w:val="000000"/>
          <w:kern w:val="0"/>
          <w:sz w:val="30"/>
          <w:szCs w:val="30"/>
          <w:lang w:val="en-US" w:eastAsia="zh-CN" w:bidi="ar-SA"/>
        </w:rPr>
      </w:pPr>
      <w:r>
        <w:rPr>
          <w:rFonts w:hint="eastAsia" w:ascii="楷体_GB2312" w:eastAsia="楷体_GB2312" w:cs="Arial"/>
          <w:bCs/>
          <w:snapToGrid w:val="0"/>
          <w:color w:val="000000"/>
          <w:kern w:val="0"/>
          <w:sz w:val="30"/>
          <w:szCs w:val="30"/>
          <w:lang w:val="en-US" w:eastAsia="zh-CN" w:bidi="ar-SA"/>
        </w:rPr>
        <w:t>5.3.3 开展垃圾分类知识教育</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560" w:lineRule="exact"/>
        <w:ind w:right="0" w:rightChars="0" w:firstLine="640" w:firstLineChars="200"/>
        <w:jc w:val="left"/>
        <w:textAlignment w:val="baseline"/>
        <w:rPr>
          <w:rFonts w:hint="eastAsia" w:ascii="仿宋_GB2312" w:hAnsi="仿宋_GB2312" w:eastAsia="仿宋_GB2312" w:cs="仿宋_GB2312"/>
          <w:i w:val="0"/>
          <w:iCs w:val="0"/>
          <w:caps w:val="0"/>
          <w:color w:val="000000"/>
          <w:spacing w:val="0"/>
          <w:sz w:val="32"/>
          <w:szCs w:val="32"/>
          <w:shd w:val="clear" w:fill="FFFFFF"/>
          <w:lang w:val="en-US" w:eastAsia="zh-CN"/>
        </w:rPr>
      </w:pPr>
      <w:r>
        <w:rPr>
          <w:rFonts w:hint="eastAsia" w:ascii="仿宋_GB2312" w:hAnsi="仿宋_GB2312" w:eastAsia="仿宋_GB2312" w:cs="仿宋_GB2312"/>
          <w:i w:val="0"/>
          <w:iCs w:val="0"/>
          <w:caps w:val="0"/>
          <w:color w:val="000000"/>
          <w:spacing w:val="0"/>
          <w:sz w:val="32"/>
          <w:szCs w:val="32"/>
          <w:shd w:val="clear" w:fill="FFFFFF"/>
          <w:lang w:val="en-US" w:eastAsia="zh-CN"/>
        </w:rPr>
        <w:t>各级各类学校要根据不同年龄段学生的认知水平和成长规律，</w:t>
      </w:r>
      <w:r>
        <w:rPr>
          <w:rFonts w:hint="eastAsia" w:ascii="仿宋_GB2312" w:hAnsi="仿宋" w:eastAsia="仿宋_GB2312"/>
          <w:sz w:val="32"/>
          <w:szCs w:val="32"/>
          <w:lang w:eastAsia="zh-CN"/>
        </w:rPr>
        <w:t>与环境教育相结合，与劳动教育相结合，与综合实践教育相结合，采取主题班队会、专题讲座、学科教学、综合实践等方式开展教育。小学、初中阶段和高中阶段每学年确保有2个课时用于垃圾分类教育，</w:t>
      </w:r>
      <w:r>
        <w:rPr>
          <w:rFonts w:hint="eastAsia" w:ascii="仿宋_GB2312" w:hAnsi="仿宋" w:eastAsia="仿宋_GB2312"/>
          <w:sz w:val="32"/>
          <w:szCs w:val="32"/>
          <w:lang w:val="en-US" w:eastAsia="zh-CN"/>
        </w:rPr>
        <w:t>且须在课程表清楚标明环境教育（垃圾分类）课</w:t>
      </w:r>
      <w:r>
        <w:rPr>
          <w:rFonts w:hint="eastAsia" w:ascii="仿宋_GB2312" w:hAnsi="仿宋" w:eastAsia="仿宋_GB2312"/>
          <w:sz w:val="32"/>
          <w:szCs w:val="32"/>
          <w:lang w:eastAsia="zh-CN"/>
        </w:rPr>
        <w:t>。各类幼儿园每学年结合实际开展垃圾分类故事会、游戏、文艺表演等相关活动不少于2次。各市直职业院校要采取思政课程和课程思政相结合和党、团课教育、学生社会实践等形式，对学生进行垃圾分类教育，确保教育对象全覆盖。各学校要明确1名专职或兼职垃圾分类教育教师。各校均要上好一节垃圾分类主题班会示范样板课，各班根据垃圾分类样板课上好垃圾分类主题班会。</w:t>
      </w:r>
      <w:r>
        <w:rPr>
          <w:rFonts w:hint="eastAsia" w:ascii="仿宋_GB2312" w:hAnsi="仿宋_GB2312" w:eastAsia="仿宋_GB2312" w:cs="仿宋_GB2312"/>
          <w:bCs/>
          <w:color w:val="000000"/>
          <w:sz w:val="32"/>
          <w:szCs w:val="32"/>
          <w:lang w:eastAsia="zh-CN"/>
        </w:rPr>
        <w:t>学校生活</w:t>
      </w:r>
      <w:r>
        <w:rPr>
          <w:rFonts w:hint="eastAsia" w:ascii="仿宋_GB2312" w:hAnsi="仿宋_GB2312" w:eastAsia="仿宋_GB2312" w:cs="仿宋_GB2312"/>
          <w:bCs/>
          <w:color w:val="000000"/>
          <w:sz w:val="32"/>
          <w:szCs w:val="32"/>
        </w:rPr>
        <w:t>垃圾分类相关要求应纳入新生入学教育和教职工年度培训内容，确保全校师生知晓垃圾分类知识和</w:t>
      </w:r>
      <w:r>
        <w:rPr>
          <w:rFonts w:hint="eastAsia" w:ascii="仿宋_GB2312" w:hAnsi="仿宋_GB2312" w:eastAsia="仿宋_GB2312" w:cs="仿宋_GB2312"/>
          <w:bCs/>
          <w:color w:val="000000"/>
          <w:sz w:val="32"/>
          <w:szCs w:val="32"/>
          <w:lang w:eastAsia="zh-CN"/>
        </w:rPr>
        <w:t>学校</w:t>
      </w:r>
      <w:r>
        <w:rPr>
          <w:rFonts w:hint="eastAsia" w:ascii="仿宋_GB2312" w:hAnsi="仿宋_GB2312" w:eastAsia="仿宋_GB2312" w:cs="仿宋_GB2312"/>
          <w:bCs/>
          <w:color w:val="000000"/>
          <w:sz w:val="32"/>
          <w:szCs w:val="32"/>
        </w:rPr>
        <w:t>的垃圾分类政策、熟悉垃圾分类容器位置、践行垃圾分类新风尚。</w:t>
      </w:r>
      <w:r>
        <w:rPr>
          <w:rFonts w:hint="eastAsia" w:ascii="仿宋_GB2312" w:hAnsi="仿宋" w:eastAsia="仿宋_GB2312"/>
          <w:sz w:val="32"/>
          <w:szCs w:val="32"/>
          <w:lang w:eastAsia="zh-CN"/>
        </w:rPr>
        <w:t>同时，要充分发挥家委会、家长会功能，引导家长积极学习垃圾分类知识，在家庭教育中培养学生特别是低年级学生养成垃圾分类习惯，形成家校齐抓共管的良好氛围。</w:t>
      </w:r>
    </w:p>
    <w:p>
      <w:pPr>
        <w:numPr>
          <w:ilvl w:val="0"/>
          <w:numId w:val="0"/>
        </w:numPr>
        <w:spacing w:line="540" w:lineRule="exact"/>
        <w:ind w:firstLine="600" w:firstLineChars="200"/>
        <w:rPr>
          <w:rFonts w:hint="eastAsia" w:ascii="楷体_GB2312" w:eastAsia="楷体_GB2312" w:cs="Arial"/>
          <w:bCs/>
          <w:snapToGrid w:val="0"/>
          <w:color w:val="000000"/>
          <w:kern w:val="0"/>
          <w:sz w:val="30"/>
          <w:szCs w:val="30"/>
          <w:lang w:val="en-US" w:eastAsia="zh-CN" w:bidi="ar-SA"/>
        </w:rPr>
      </w:pPr>
      <w:r>
        <w:rPr>
          <w:rFonts w:hint="eastAsia" w:ascii="楷体_GB2312" w:eastAsia="楷体_GB2312" w:cs="Arial"/>
          <w:bCs/>
          <w:snapToGrid w:val="0"/>
          <w:color w:val="000000"/>
          <w:kern w:val="0"/>
          <w:sz w:val="30"/>
          <w:szCs w:val="30"/>
          <w:lang w:val="en-US" w:eastAsia="zh-CN" w:bidi="ar-SA"/>
        </w:rPr>
        <w:t>5.3.4 开展校内垃圾分类主题教育活动</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560" w:lineRule="exact"/>
        <w:ind w:right="0" w:rightChars="0" w:firstLine="640" w:firstLineChars="200"/>
        <w:jc w:val="left"/>
        <w:textAlignment w:val="baseline"/>
        <w:rPr>
          <w:rFonts w:hint="eastAsia" w:ascii="仿宋_GB2312" w:hAnsi="仿宋_GB2312" w:eastAsia="仿宋_GB2312" w:cs="仿宋_GB2312"/>
          <w:i w:val="0"/>
          <w:iCs w:val="0"/>
          <w:caps w:val="0"/>
          <w:color w:val="000000"/>
          <w:spacing w:val="0"/>
          <w:sz w:val="32"/>
          <w:szCs w:val="32"/>
          <w:shd w:val="clear" w:fill="FFFFFF"/>
          <w:lang w:val="en-US" w:eastAsia="zh-CN"/>
        </w:rPr>
      </w:pPr>
      <w:r>
        <w:rPr>
          <w:rFonts w:hint="eastAsia" w:ascii="仿宋_GB2312" w:hAnsi="仿宋" w:eastAsia="仿宋_GB2312"/>
          <w:sz w:val="32"/>
          <w:szCs w:val="32"/>
          <w:lang w:val="en-US" w:eastAsia="zh-CN"/>
        </w:rPr>
        <w:t>各学校将垃圾分类和学校德育工作有机结合，</w:t>
      </w:r>
      <w:r>
        <w:rPr>
          <w:rFonts w:hint="eastAsia" w:ascii="仿宋_GB2312" w:hAnsi="仿宋" w:eastAsia="仿宋_GB2312"/>
          <w:sz w:val="32"/>
          <w:szCs w:val="32"/>
          <w:lang w:eastAsia="zh-CN"/>
        </w:rPr>
        <w:t>融入文明校园、绿色学校的考核指标，结合生活垃圾分类宣传周、世界环境日、新生入学教育、校园文化节、科技节等时机，组织演讲、征文、手抄报、知识竞赛、创意大赛等形式多样的校内主题宣传教育活动，逐步培养学生生活垃圾分类意识、养成垃圾分类习惯和践行垃圾分类行为</w:t>
      </w:r>
      <w:r>
        <w:rPr>
          <w:rFonts w:hint="eastAsia" w:ascii="仿宋_GB2312" w:hAnsi="仿宋_GB2312" w:eastAsia="仿宋_GB2312" w:cs="仿宋_GB2312"/>
          <w:i w:val="0"/>
          <w:iCs w:val="0"/>
          <w:caps w:val="0"/>
          <w:color w:val="000000"/>
          <w:spacing w:val="0"/>
          <w:sz w:val="32"/>
          <w:szCs w:val="32"/>
          <w:shd w:val="clear" w:fill="FFFFFF"/>
          <w:lang w:val="en-US" w:eastAsia="zh-CN"/>
        </w:rPr>
        <w:t>。</w:t>
      </w:r>
    </w:p>
    <w:p>
      <w:pPr>
        <w:numPr>
          <w:ilvl w:val="0"/>
          <w:numId w:val="0"/>
        </w:numPr>
        <w:spacing w:line="540" w:lineRule="exact"/>
        <w:ind w:firstLine="600" w:firstLineChars="200"/>
        <w:rPr>
          <w:rFonts w:hint="eastAsia" w:ascii="楷体_GB2312" w:eastAsia="楷体_GB2312" w:cs="Arial"/>
          <w:bCs/>
          <w:snapToGrid w:val="0"/>
          <w:color w:val="000000"/>
          <w:kern w:val="0"/>
          <w:sz w:val="30"/>
          <w:szCs w:val="30"/>
          <w:lang w:val="en-US" w:eastAsia="zh-CN" w:bidi="ar-SA"/>
        </w:rPr>
      </w:pPr>
      <w:r>
        <w:rPr>
          <w:rFonts w:hint="eastAsia" w:ascii="楷体_GB2312" w:eastAsia="楷体_GB2312" w:cs="Arial"/>
          <w:bCs/>
          <w:snapToGrid w:val="0"/>
          <w:color w:val="000000"/>
          <w:kern w:val="0"/>
          <w:sz w:val="30"/>
          <w:szCs w:val="30"/>
          <w:lang w:val="en-US" w:eastAsia="zh-CN" w:bidi="ar-SA"/>
        </w:rPr>
        <w:t>5.3.5 开展校外参观体验和实践活动</w:t>
      </w:r>
    </w:p>
    <w:p>
      <w:pPr>
        <w:numPr>
          <w:ilvl w:val="0"/>
          <w:numId w:val="0"/>
        </w:numPr>
        <w:spacing w:line="560" w:lineRule="exact"/>
        <w:ind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lang w:eastAsia="zh-CN"/>
        </w:rPr>
        <w:t>建立学校垃圾分类向家庭向周边社区辐射影响机制，在学校组建垃圾分类社团和志愿者团队，以学校为单位组织开展“垃圾分类进社区”的互动实践活动，通过多样化的活动形式，带动学生主动履行生活垃圾分类的责任与义务，积极参加生活垃圾分类公益活动，进一步增强学生社会服务意识和环境保护理念。有条件的学校应组织学生实地参观学习生活垃圾处理技术、可回收资源再利用技术等，进行场景式体验，引导学生学以致用。</w:t>
      </w:r>
    </w:p>
    <w:p>
      <w:pPr>
        <w:numPr>
          <w:ilvl w:val="0"/>
          <w:numId w:val="0"/>
        </w:numPr>
        <w:spacing w:line="540" w:lineRule="exact"/>
        <w:ind w:firstLine="600" w:firstLineChars="200"/>
        <w:rPr>
          <w:rFonts w:hint="eastAsia" w:ascii="楷体_GB2312" w:eastAsia="楷体_GB2312" w:cs="Arial"/>
          <w:bCs/>
          <w:snapToGrid w:val="0"/>
          <w:color w:val="000000"/>
          <w:kern w:val="0"/>
          <w:sz w:val="30"/>
          <w:szCs w:val="30"/>
          <w:lang w:val="en-US" w:eastAsia="zh-CN" w:bidi="ar-SA"/>
        </w:rPr>
      </w:pPr>
      <w:r>
        <w:rPr>
          <w:rFonts w:hint="eastAsia" w:ascii="楷体_GB2312" w:eastAsia="楷体_GB2312" w:cs="Arial"/>
          <w:bCs/>
          <w:snapToGrid w:val="0"/>
          <w:color w:val="000000"/>
          <w:kern w:val="0"/>
          <w:sz w:val="30"/>
          <w:szCs w:val="30"/>
          <w:lang w:val="en-US" w:eastAsia="zh-CN" w:bidi="ar-SA"/>
        </w:rPr>
        <w:t>5.3.6 组织开展志愿者行动</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560" w:lineRule="exact"/>
        <w:ind w:right="0" w:rightChars="0" w:firstLine="640" w:firstLineChars="200"/>
        <w:jc w:val="left"/>
        <w:textAlignment w:val="baseline"/>
        <w:rPr>
          <w:rFonts w:hint="eastAsia" w:ascii="仿宋_GB2312" w:hAnsi="仿宋" w:eastAsia="仿宋_GB2312" w:cs="Arial"/>
          <w:snapToGrid w:val="0"/>
          <w:color w:val="000000"/>
          <w:kern w:val="0"/>
          <w:sz w:val="32"/>
          <w:szCs w:val="32"/>
          <w:lang w:val="en-US" w:eastAsia="zh-CN" w:bidi="ar-SA"/>
        </w:rPr>
      </w:pPr>
      <w:r>
        <w:rPr>
          <w:rFonts w:hint="eastAsia" w:ascii="仿宋_GB2312" w:hAnsi="仿宋" w:eastAsia="仿宋_GB2312"/>
          <w:sz w:val="32"/>
          <w:szCs w:val="32"/>
          <w:lang w:eastAsia="zh-CN"/>
        </w:rPr>
        <w:t>学校积极组织动员广大师生加入市垃圾分类志愿者服务队，并在校内组建垃圾分类志愿服务队，并注重整合社会资源，邀请热衷公益事业的志愿者、市垃圾分类达人、高校学生</w:t>
      </w:r>
      <w:r>
        <w:rPr>
          <w:rFonts w:hint="eastAsia" w:ascii="仿宋_GB2312" w:hAnsi="仿宋" w:eastAsia="仿宋_GB2312" w:cs="Arial"/>
          <w:snapToGrid w:val="0"/>
          <w:color w:val="000000"/>
          <w:kern w:val="0"/>
          <w:sz w:val="32"/>
          <w:szCs w:val="32"/>
          <w:lang w:val="en-US" w:eastAsia="zh-CN" w:bidi="ar-SA"/>
        </w:rPr>
        <w:t>社团、社会环保团体和义工组织等到校内或校外一同开展垃圾分类宣传教育活动。各级各类学校要将我市红树林“净滩使者”公益行动、青少年学生“小小护林员”活动和垃圾分类有机结合在一起，要将活动中收集到的垃圾进行分类，并在活动现场面向公众开展好生活垃圾分类宣传活动。</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2" w:firstLineChars="200"/>
        <w:jc w:val="left"/>
        <w:textAlignment w:val="auto"/>
        <w:rPr>
          <w:rFonts w:hint="eastAsia" w:ascii="仿宋_GB2312" w:hAnsi="仿宋" w:eastAsia="仿宋_GB2312" w:cs="Arial"/>
          <w:snapToGrid w:val="0"/>
          <w:color w:val="000000"/>
          <w:kern w:val="0"/>
          <w:sz w:val="32"/>
          <w:szCs w:val="32"/>
          <w:lang w:val="en-US" w:eastAsia="zh-CN" w:bidi="ar-SA"/>
        </w:rPr>
      </w:pPr>
      <w:r>
        <w:rPr>
          <w:rFonts w:hint="eastAsia" w:ascii="仿宋_GB2312" w:hAnsi="仿宋" w:eastAsia="仿宋_GB2312" w:cs="Arial"/>
          <w:b/>
          <w:bCs/>
          <w:snapToGrid w:val="0"/>
          <w:color w:val="000000"/>
          <w:kern w:val="0"/>
          <w:sz w:val="32"/>
          <w:szCs w:val="32"/>
          <w:lang w:val="en-US" w:eastAsia="zh-CN" w:bidi="ar-SA"/>
        </w:rPr>
        <w:t>根据住建部的每月台账报送的要求：</w:t>
      </w:r>
      <w:r>
        <w:rPr>
          <w:rFonts w:hint="eastAsia" w:ascii="仿宋_GB2312" w:hAnsi="仿宋" w:eastAsia="仿宋_GB2312" w:cs="Arial"/>
          <w:snapToGrid w:val="0"/>
          <w:color w:val="000000"/>
          <w:kern w:val="0"/>
          <w:sz w:val="32"/>
          <w:szCs w:val="32"/>
          <w:lang w:val="en-US" w:eastAsia="zh-CN" w:bidi="ar-SA"/>
        </w:rPr>
        <w:t>学校每月至少组织1次垃圾分类教学或互动实践活动，学校每季度至少开展1次社团或志愿者活动。要形成活动的活动内容说明以及活动的通知、照片等佐证材料，并注重利用新媒体资源宣传推广。学校在教育局指导下要合理统筹开展好相关活动。</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00" w:firstLineChars="200"/>
        <w:jc w:val="left"/>
        <w:textAlignment w:val="auto"/>
        <w:rPr>
          <w:rFonts w:hint="eastAsia" w:ascii="楷体_GB2312" w:eastAsia="楷体_GB2312" w:cs="Arial"/>
          <w:bCs/>
          <w:snapToGrid w:val="0"/>
          <w:color w:val="000000"/>
          <w:kern w:val="0"/>
          <w:sz w:val="30"/>
          <w:szCs w:val="30"/>
          <w:lang w:val="en-US" w:eastAsia="zh-CN" w:bidi="ar-SA"/>
        </w:rPr>
      </w:pPr>
      <w:r>
        <w:rPr>
          <w:rFonts w:hint="eastAsia" w:ascii="楷体_GB2312" w:eastAsia="楷体_GB2312" w:cs="Arial"/>
          <w:bCs/>
          <w:snapToGrid w:val="0"/>
          <w:color w:val="000000"/>
          <w:kern w:val="0"/>
          <w:sz w:val="30"/>
          <w:szCs w:val="30"/>
          <w:lang w:val="en-US" w:eastAsia="zh-CN" w:bidi="ar-SA"/>
        </w:rPr>
        <w:t>5.3.7完善监督评价体系</w:t>
      </w:r>
    </w:p>
    <w:p>
      <w:pPr>
        <w:numPr>
          <w:ilvl w:val="0"/>
          <w:numId w:val="0"/>
        </w:numPr>
        <w:spacing w:line="540" w:lineRule="exact"/>
        <w:ind w:firstLine="640" w:firstLineChars="200"/>
        <w:rPr>
          <w:rFonts w:hint="default" w:ascii="仿宋_GB2312" w:hAnsi="仿宋" w:eastAsia="仿宋_GB2312" w:cs="Arial"/>
          <w:snapToGrid w:val="0"/>
          <w:color w:val="000000"/>
          <w:kern w:val="0"/>
          <w:sz w:val="32"/>
          <w:szCs w:val="32"/>
          <w:lang w:val="en-US" w:eastAsia="zh-CN" w:bidi="ar-SA"/>
        </w:rPr>
      </w:pPr>
      <w:r>
        <w:rPr>
          <w:rFonts w:hint="eastAsia" w:ascii="仿宋_GB2312" w:hAnsi="仿宋" w:eastAsia="仿宋_GB2312" w:cs="Arial"/>
          <w:snapToGrid w:val="0"/>
          <w:color w:val="000000"/>
          <w:kern w:val="0"/>
          <w:sz w:val="32"/>
          <w:szCs w:val="32"/>
          <w:lang w:val="en-US" w:eastAsia="zh-CN" w:bidi="ar-SA"/>
        </w:rPr>
        <w:t>学校要建师生组织对全校的垃圾分类情况进行日常监督检查，可探索每班设置垃圾分类监督员轮流值班，对班级学生分类不准确的行为进行及时纠正和指导。学校要建立垃圾分类工作考核机制，将垃圾分类投放纳入班级、个人考核体系，与学校文明班评选、少先队“雏鹰争章”等活动结合起来，评选垃圾分类优秀班级、个人，评选垃圾分类“推广大使”，激励广大学生积极参与垃圾分类。</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00" w:firstLineChars="200"/>
        <w:jc w:val="left"/>
        <w:textAlignment w:val="auto"/>
        <w:rPr>
          <w:rFonts w:hint="eastAsia" w:ascii="楷体_GB2312" w:eastAsia="楷体_GB2312" w:cs="Arial"/>
          <w:bCs/>
          <w:snapToGrid w:val="0"/>
          <w:color w:val="000000"/>
          <w:kern w:val="0"/>
          <w:sz w:val="30"/>
          <w:szCs w:val="30"/>
          <w:lang w:val="en-US" w:eastAsia="zh-CN" w:bidi="ar-SA"/>
        </w:rPr>
      </w:pPr>
      <w:r>
        <w:rPr>
          <w:rFonts w:hint="eastAsia" w:ascii="楷体_GB2312" w:eastAsia="楷体_GB2312" w:cs="Arial"/>
          <w:bCs/>
          <w:snapToGrid w:val="0"/>
          <w:color w:val="000000"/>
          <w:kern w:val="0"/>
          <w:sz w:val="30"/>
          <w:szCs w:val="30"/>
          <w:lang w:val="en-US" w:eastAsia="zh-CN" w:bidi="ar-SA"/>
        </w:rPr>
        <w:t>5.3.8 规范设施建设</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仿宋_GB2312" w:hAnsi="仿宋" w:eastAsia="仿宋_GB2312"/>
          <w:sz w:val="32"/>
          <w:szCs w:val="32"/>
          <w:lang w:eastAsia="zh-CN"/>
        </w:rPr>
      </w:pPr>
      <w:r>
        <w:rPr>
          <w:rFonts w:hint="eastAsia" w:ascii="仿宋_GB2312" w:hAnsi="仿宋" w:eastAsia="仿宋_GB2312"/>
          <w:sz w:val="32"/>
          <w:szCs w:val="32"/>
          <w:lang w:eastAsia="zh-CN"/>
        </w:rPr>
        <w:t>学校要加大资金投入，按照本指南设置生活垃圾分类设施，大力推进生活垃圾分类体系建设。标识要规范准确，要定期对学校设施进行维护更新，确保校园有害垃圾单独投放，厨余垃圾、其他垃圾有效分开，提高可回收物回收比例。</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00" w:firstLineChars="200"/>
        <w:jc w:val="left"/>
        <w:textAlignment w:val="auto"/>
        <w:rPr>
          <w:rFonts w:hint="eastAsia" w:ascii="仿宋_GB2312" w:hAnsi="仿宋" w:eastAsia="仿宋_GB2312"/>
          <w:sz w:val="32"/>
          <w:szCs w:val="32"/>
          <w:lang w:eastAsia="zh-CN"/>
        </w:rPr>
      </w:pPr>
      <w:r>
        <w:rPr>
          <w:rFonts w:hint="eastAsia" w:ascii="楷体_GB2312" w:eastAsia="楷体_GB2312" w:cs="Arial"/>
          <w:bCs/>
          <w:snapToGrid w:val="0"/>
          <w:color w:val="000000"/>
          <w:kern w:val="0"/>
          <w:sz w:val="30"/>
          <w:szCs w:val="30"/>
          <w:lang w:val="en-US" w:eastAsia="zh-CN" w:bidi="ar-SA"/>
        </w:rPr>
        <w:t>5.3.9 明确垃圾去向</w:t>
      </w:r>
    </w:p>
    <w:p>
      <w:pPr>
        <w:spacing w:line="540" w:lineRule="exact"/>
        <w:ind w:firstLine="600" w:firstLineChars="200"/>
        <w:rPr>
          <w:rFonts w:hint="default" w:ascii="仿宋_GB2312" w:hAnsi="仿宋" w:eastAsia="仿宋_GB2312"/>
          <w:sz w:val="32"/>
          <w:szCs w:val="32"/>
          <w:lang w:val="en-US" w:eastAsia="zh-CN"/>
        </w:rPr>
      </w:pPr>
      <w:r>
        <w:rPr>
          <w:rFonts w:hint="eastAsia" w:ascii="仿宋_GB2312" w:hAnsi="宋体" w:eastAsia="仿宋_GB2312"/>
          <w:bCs/>
          <w:color w:val="000000"/>
          <w:sz w:val="30"/>
          <w:szCs w:val="30"/>
          <w:lang w:eastAsia="zh-CN"/>
        </w:rPr>
        <w:t>学校</w:t>
      </w:r>
      <w:r>
        <w:rPr>
          <w:rFonts w:hint="eastAsia" w:ascii="仿宋_GB2312" w:hAnsi="宋体" w:eastAsia="仿宋_GB2312"/>
          <w:bCs/>
          <w:color w:val="000000"/>
          <w:sz w:val="30"/>
          <w:szCs w:val="30"/>
        </w:rPr>
        <w:t>应做到分类驳运规范和清运规范。分类垃圾应及时清运，分类垃圾清运后应及时清理和冲洗；驳运应分类，不得混装混运。</w:t>
      </w:r>
      <w:r>
        <w:rPr>
          <w:rFonts w:hint="eastAsia" w:ascii="仿宋_GB2312" w:hAnsi="宋体" w:eastAsia="仿宋_GB2312"/>
          <w:bCs/>
          <w:color w:val="000000"/>
          <w:sz w:val="30"/>
          <w:szCs w:val="30"/>
          <w:lang w:eastAsia="zh-CN"/>
        </w:rPr>
        <w:t>学校应在</w:t>
      </w:r>
      <w:r>
        <w:rPr>
          <w:rFonts w:hint="eastAsia" w:ascii="仿宋_GB2312" w:hAnsi="宋体" w:eastAsia="仿宋_GB2312"/>
          <w:bCs/>
          <w:color w:val="000000"/>
          <w:sz w:val="30"/>
          <w:szCs w:val="30"/>
        </w:rPr>
        <w:t>本区域属地</w:t>
      </w:r>
      <w:r>
        <w:rPr>
          <w:rFonts w:hint="eastAsia" w:ascii="仿宋_GB2312" w:hAnsi="宋体" w:eastAsia="仿宋_GB2312"/>
          <w:bCs/>
          <w:color w:val="000000"/>
          <w:sz w:val="30"/>
          <w:szCs w:val="30"/>
          <w:lang w:eastAsia="zh-CN"/>
        </w:rPr>
        <w:t>环卫部门的指导下，厨余垃圾无偿交由政府资源化处置并</w:t>
      </w:r>
      <w:r>
        <w:rPr>
          <w:rFonts w:hint="eastAsia" w:ascii="仿宋_GB2312" w:hAnsi="仿宋" w:eastAsia="仿宋_GB2312"/>
          <w:sz w:val="32"/>
          <w:szCs w:val="32"/>
          <w:lang w:eastAsia="zh-CN"/>
        </w:rPr>
        <w:t>详细记录厨余垃圾的种类、数量、去向等信息</w:t>
      </w:r>
      <w:r>
        <w:rPr>
          <w:rFonts w:hint="eastAsia" w:ascii="仿宋_GB2312" w:hAnsi="宋体" w:eastAsia="仿宋_GB2312"/>
          <w:bCs/>
          <w:color w:val="000000"/>
          <w:sz w:val="30"/>
          <w:szCs w:val="30"/>
          <w:lang w:eastAsia="zh-CN"/>
        </w:rPr>
        <w:t>，</w:t>
      </w:r>
      <w:r>
        <w:rPr>
          <w:rFonts w:hint="eastAsia" w:ascii="仿宋_GB2312" w:hAnsi="宋体" w:eastAsia="仿宋_GB2312"/>
          <w:bCs/>
          <w:color w:val="000000"/>
          <w:sz w:val="30"/>
          <w:szCs w:val="30"/>
        </w:rPr>
        <w:t>有害垃圾</w:t>
      </w:r>
      <w:r>
        <w:rPr>
          <w:rFonts w:hint="eastAsia" w:ascii="仿宋_GB2312" w:hAnsi="宋体" w:eastAsia="仿宋_GB2312"/>
          <w:bCs/>
          <w:color w:val="000000"/>
          <w:sz w:val="30"/>
          <w:szCs w:val="30"/>
          <w:lang w:eastAsia="zh-CN"/>
        </w:rPr>
        <w:t>交由有资质的</w:t>
      </w:r>
      <w:r>
        <w:rPr>
          <w:rFonts w:hint="eastAsia" w:ascii="仿宋_GB2312" w:hAnsi="宋体" w:eastAsia="仿宋_GB2312"/>
          <w:bCs/>
          <w:color w:val="000000"/>
          <w:sz w:val="30"/>
          <w:szCs w:val="30"/>
        </w:rPr>
        <w:t>收运作业单位</w:t>
      </w:r>
      <w:r>
        <w:rPr>
          <w:rFonts w:hint="eastAsia" w:ascii="仿宋_GB2312" w:hAnsi="宋体" w:eastAsia="仿宋_GB2312"/>
          <w:bCs/>
          <w:color w:val="000000"/>
          <w:sz w:val="30"/>
          <w:szCs w:val="30"/>
          <w:lang w:eastAsia="zh-CN"/>
        </w:rPr>
        <w:t>处理，</w:t>
      </w:r>
      <w:r>
        <w:rPr>
          <w:rFonts w:hint="eastAsia" w:ascii="仿宋_GB2312" w:hAnsi="宋体" w:eastAsia="仿宋_GB2312"/>
          <w:bCs/>
          <w:color w:val="000000"/>
          <w:sz w:val="30"/>
          <w:szCs w:val="30"/>
          <w:lang w:val="en-US" w:eastAsia="zh-CN"/>
        </w:rPr>
        <w:t>可回收物还可以交售至回收服务点或者回收经营者</w:t>
      </w:r>
      <w:r>
        <w:rPr>
          <w:rFonts w:hint="eastAsia" w:ascii="仿宋_GB2312" w:hAnsi="宋体" w:eastAsia="仿宋_GB2312"/>
          <w:bCs/>
          <w:color w:val="000000"/>
          <w:sz w:val="30"/>
          <w:szCs w:val="30"/>
          <w:lang w:eastAsia="zh-CN"/>
        </w:rPr>
        <w:t>。学校要</w:t>
      </w:r>
      <w:r>
        <w:rPr>
          <w:rFonts w:hint="eastAsia" w:ascii="仿宋_GB2312" w:hAnsi="仿宋" w:eastAsia="仿宋_GB2312"/>
          <w:sz w:val="32"/>
          <w:szCs w:val="32"/>
          <w:lang w:eastAsia="zh-CN"/>
        </w:rPr>
        <w:t>建立完善校内生活垃圾分类台账制度，记录责任范围内产生的生活垃圾的种类、数量等情况，明确运输单位和垃圾去向，并与有资质的收运单位做好交接、登记和统计工作，应在</w:t>
      </w:r>
      <w:r>
        <w:rPr>
          <w:rFonts w:hint="eastAsia" w:ascii="仿宋_GB2312" w:hAnsi="宋体" w:eastAsia="仿宋_GB2312"/>
          <w:bCs/>
          <w:color w:val="000000"/>
          <w:sz w:val="30"/>
          <w:szCs w:val="30"/>
          <w:lang w:eastAsia="zh-CN"/>
        </w:rPr>
        <w:t>学校</w:t>
      </w:r>
      <w:r>
        <w:rPr>
          <w:rFonts w:hint="eastAsia" w:ascii="仿宋_GB2312" w:hAnsi="仿宋" w:eastAsia="仿宋_GB2312"/>
          <w:sz w:val="32"/>
          <w:szCs w:val="32"/>
          <w:lang w:eastAsia="zh-CN"/>
        </w:rPr>
        <w:t>设置生活垃圾分类宣传专栏和公示牌。 </w:t>
      </w:r>
    </w:p>
    <w:p>
      <w:pPr>
        <w:numPr>
          <w:ilvl w:val="0"/>
          <w:numId w:val="0"/>
        </w:numPr>
        <w:spacing w:line="560" w:lineRule="exact"/>
        <w:ind w:firstLine="600" w:firstLineChars="200"/>
        <w:rPr>
          <w:rFonts w:hint="eastAsia" w:ascii="楷体_GB2312" w:hAnsi="Arial" w:eastAsia="楷体_GB2312" w:cs="Arial"/>
          <w:bCs/>
          <w:snapToGrid w:val="0"/>
          <w:color w:val="000000"/>
          <w:kern w:val="0"/>
          <w:sz w:val="30"/>
          <w:szCs w:val="30"/>
          <w:lang w:val="en-US" w:eastAsia="zh-CN" w:bidi="ar-SA"/>
        </w:rPr>
      </w:pPr>
      <w:r>
        <w:rPr>
          <w:rFonts w:hint="eastAsia" w:ascii="楷体_GB2312" w:eastAsia="楷体_GB2312" w:cs="Arial"/>
          <w:bCs/>
          <w:snapToGrid w:val="0"/>
          <w:color w:val="000000"/>
          <w:kern w:val="0"/>
          <w:sz w:val="30"/>
          <w:szCs w:val="30"/>
          <w:lang w:val="en-US" w:eastAsia="zh-CN" w:bidi="ar-SA"/>
        </w:rPr>
        <w:t xml:space="preserve">5.3.10 </w:t>
      </w:r>
      <w:r>
        <w:rPr>
          <w:rFonts w:hint="eastAsia" w:ascii="楷体_GB2312" w:hAnsi="Arial" w:eastAsia="楷体_GB2312" w:cs="Arial"/>
          <w:bCs/>
          <w:snapToGrid w:val="0"/>
          <w:color w:val="000000"/>
          <w:kern w:val="0"/>
          <w:sz w:val="30"/>
          <w:szCs w:val="30"/>
          <w:lang w:val="en-US" w:eastAsia="zh-CN" w:bidi="ar-SA"/>
        </w:rPr>
        <w:t>践行源头减量</w:t>
      </w:r>
    </w:p>
    <w:p>
      <w:pPr>
        <w:numPr>
          <w:ilvl w:val="0"/>
          <w:numId w:val="0"/>
        </w:numPr>
        <w:spacing w:line="560" w:lineRule="exact"/>
        <w:ind w:firstLine="640" w:firstLineChars="200"/>
        <w:rPr>
          <w:rFonts w:hint="eastAsia" w:ascii="仿宋_GB2312" w:hAnsi="仿宋_GB2312" w:eastAsia="仿宋_GB2312" w:cs="仿宋_GB2312"/>
          <w:i w:val="0"/>
          <w:iCs w:val="0"/>
          <w:caps w:val="0"/>
          <w:color w:val="000000"/>
          <w:spacing w:val="0"/>
          <w:sz w:val="32"/>
          <w:szCs w:val="32"/>
          <w:shd w:val="clear" w:fill="FFFFFF"/>
          <w:lang w:val="en-US" w:eastAsia="zh-CN"/>
        </w:rPr>
      </w:pPr>
      <w:r>
        <w:rPr>
          <w:rFonts w:hint="eastAsia" w:ascii="仿宋_GB2312" w:hAnsi="仿宋" w:eastAsia="仿宋_GB2312"/>
          <w:sz w:val="32"/>
          <w:szCs w:val="32"/>
          <w:lang w:eastAsia="zh-CN"/>
        </w:rPr>
        <w:t>学校要从源头上控制垃圾产生，应积极积极倡导不使用一次性用品、纸张双面打印等源头减废行为；倡导减少塑料使用，回收旧纺织物；倡导“光盘行动”等绿色就餐行为，在学校食堂等地张贴“光盘行动”宣传海报；在学校食堂的餐桌、餐盘张贴光盘行动宣传图贴。</w:t>
      </w:r>
    </w:p>
    <w:p>
      <w:pPr>
        <w:numPr>
          <w:ilvl w:val="0"/>
          <w:numId w:val="0"/>
        </w:numPr>
        <w:spacing w:line="560" w:lineRule="exact"/>
        <w:ind w:firstLine="600" w:firstLineChars="200"/>
        <w:rPr>
          <w:rFonts w:hint="eastAsia" w:ascii="楷体_GB2312" w:eastAsia="楷体_GB2312" w:cs="Arial"/>
          <w:bCs/>
          <w:snapToGrid w:val="0"/>
          <w:color w:val="000000"/>
          <w:kern w:val="0"/>
          <w:sz w:val="30"/>
          <w:szCs w:val="30"/>
          <w:lang w:val="en-US" w:eastAsia="zh-CN" w:bidi="ar-SA"/>
        </w:rPr>
      </w:pPr>
      <w:r>
        <w:rPr>
          <w:rFonts w:hint="eastAsia" w:ascii="楷体_GB2312" w:eastAsia="楷体_GB2312" w:cs="Arial"/>
          <w:bCs/>
          <w:snapToGrid w:val="0"/>
          <w:color w:val="000000"/>
          <w:kern w:val="0"/>
          <w:sz w:val="30"/>
          <w:szCs w:val="30"/>
          <w:lang w:val="en-US" w:eastAsia="zh-CN" w:bidi="ar-SA"/>
        </w:rPr>
        <w:t>5.3.11重视分类实效</w:t>
      </w:r>
    </w:p>
    <w:p>
      <w:pPr>
        <w:numPr>
          <w:ilvl w:val="0"/>
          <w:numId w:val="0"/>
        </w:numPr>
        <w:spacing w:line="560" w:lineRule="exact"/>
        <w:ind w:firstLine="640" w:firstLineChars="200"/>
        <w:rPr>
          <w:rFonts w:hint="eastAsia" w:ascii="仿宋_GB2312" w:hAnsi="仿宋_GB2312" w:eastAsia="仿宋_GB2312" w:cs="仿宋_GB2312"/>
          <w:i w:val="0"/>
          <w:iCs w:val="0"/>
          <w:caps w:val="0"/>
          <w:color w:val="000000"/>
          <w:spacing w:val="0"/>
          <w:sz w:val="32"/>
          <w:szCs w:val="32"/>
          <w:shd w:val="clear" w:fill="FFFFFF"/>
          <w:lang w:val="en-US" w:eastAsia="zh-CN"/>
        </w:rPr>
      </w:pPr>
      <w:r>
        <w:rPr>
          <w:rFonts w:hint="eastAsia" w:ascii="仿宋_GB2312" w:hAnsi="仿宋_GB2312" w:eastAsia="仿宋_GB2312" w:cs="仿宋_GB2312"/>
          <w:bCs/>
          <w:color w:val="000000"/>
          <w:sz w:val="32"/>
          <w:szCs w:val="32"/>
          <w:lang w:eastAsia="zh-CN"/>
        </w:rPr>
        <w:t>学校</w:t>
      </w:r>
      <w:r>
        <w:rPr>
          <w:rFonts w:hint="eastAsia" w:ascii="仿宋_GB2312" w:hAnsi="仿宋_GB2312" w:eastAsia="仿宋_GB2312" w:cs="仿宋_GB2312"/>
          <w:bCs/>
          <w:color w:val="000000"/>
          <w:sz w:val="32"/>
          <w:szCs w:val="32"/>
        </w:rPr>
        <w:t>应重视生活垃圾分类的具体成效，宣传氛围浓厚，师生知晓率和参与率高；分类容器配置合理，垃圾容器不满溢，容器内垃圾</w:t>
      </w:r>
      <w:r>
        <w:rPr>
          <w:rFonts w:hint="eastAsia" w:ascii="仿宋_GB2312" w:hAnsi="仿宋_GB2312" w:eastAsia="仿宋_GB2312" w:cs="仿宋_GB2312"/>
          <w:bCs/>
          <w:color w:val="000000"/>
          <w:sz w:val="32"/>
          <w:szCs w:val="32"/>
          <w:lang w:eastAsia="zh-CN"/>
        </w:rPr>
        <w:t>不存在明显混投</w:t>
      </w:r>
      <w:r>
        <w:rPr>
          <w:rFonts w:hint="eastAsia" w:ascii="仿宋_GB2312" w:hAnsi="仿宋_GB2312" w:eastAsia="仿宋_GB2312" w:cs="仿宋_GB2312"/>
          <w:bCs/>
          <w:color w:val="000000"/>
          <w:sz w:val="32"/>
          <w:szCs w:val="32"/>
        </w:rPr>
        <w:t>，垃圾</w:t>
      </w:r>
      <w:r>
        <w:rPr>
          <w:rFonts w:hint="eastAsia" w:ascii="仿宋_GB2312" w:hAnsi="仿宋_GB2312" w:eastAsia="仿宋_GB2312" w:cs="仿宋_GB2312"/>
          <w:bCs/>
          <w:color w:val="000000"/>
          <w:sz w:val="32"/>
          <w:szCs w:val="32"/>
          <w:lang w:eastAsia="zh-CN"/>
        </w:rPr>
        <w:t>暂存点或垃圾</w:t>
      </w:r>
      <w:r>
        <w:rPr>
          <w:rFonts w:hint="eastAsia" w:ascii="仿宋_GB2312" w:hAnsi="仿宋_GB2312" w:eastAsia="仿宋_GB2312" w:cs="仿宋_GB2312"/>
          <w:bCs/>
          <w:color w:val="000000"/>
          <w:sz w:val="32"/>
          <w:szCs w:val="32"/>
        </w:rPr>
        <w:t>房整洁卫生；师生自觉分类投放习惯</w:t>
      </w:r>
      <w:r>
        <w:rPr>
          <w:rFonts w:hint="eastAsia" w:ascii="仿宋_GB2312" w:hAnsi="仿宋_GB2312" w:eastAsia="仿宋_GB2312" w:cs="仿宋_GB2312"/>
          <w:bCs/>
          <w:color w:val="000000"/>
          <w:sz w:val="32"/>
          <w:szCs w:val="32"/>
          <w:lang w:eastAsia="zh-CN"/>
        </w:rPr>
        <w:t>良好</w:t>
      </w:r>
      <w:r>
        <w:rPr>
          <w:rFonts w:hint="eastAsia" w:ascii="仿宋_GB2312" w:hAnsi="仿宋_GB2312" w:eastAsia="仿宋_GB2312" w:cs="仿宋_GB2312"/>
          <w:bCs/>
          <w:color w:val="000000"/>
          <w:sz w:val="32"/>
          <w:szCs w:val="32"/>
        </w:rPr>
        <w:t>。</w:t>
      </w:r>
      <w:r>
        <w:rPr>
          <w:rFonts w:hint="eastAsia" w:ascii="仿宋_GB2312" w:hAnsi="仿宋_GB2312" w:eastAsia="仿宋_GB2312" w:cs="仿宋_GB2312"/>
          <w:i w:val="0"/>
          <w:iCs w:val="0"/>
          <w:caps w:val="0"/>
          <w:color w:val="000000"/>
          <w:spacing w:val="0"/>
          <w:sz w:val="32"/>
          <w:szCs w:val="32"/>
          <w:shd w:val="clear" w:fill="FFFFFF"/>
          <w:lang w:val="en-US" w:eastAsia="zh-CN"/>
        </w:rPr>
        <w:t>学校要建立对学校垃圾分类工作的反馈整改机制，学校生活垃圾分类投放管理人根据巡查员反馈的问题进行整改，完成整改。</w:t>
      </w:r>
      <w:r>
        <w:rPr>
          <w:rFonts w:hint="eastAsia" w:ascii="仿宋_GB2312" w:hAnsi="仿宋_GB2312" w:eastAsia="仿宋_GB2312" w:cs="仿宋_GB2312"/>
          <w:bCs/>
          <w:color w:val="000000"/>
          <w:sz w:val="32"/>
          <w:szCs w:val="32"/>
          <w:lang w:eastAsia="zh-CN"/>
        </w:rPr>
        <w:t>市教育局将加强对各地各校生活垃圾分类工作的检查和考核。</w:t>
      </w:r>
    </w:p>
    <w:p>
      <w:pPr>
        <w:numPr>
          <w:ilvl w:val="0"/>
          <w:numId w:val="0"/>
        </w:numPr>
        <w:spacing w:line="560" w:lineRule="exact"/>
        <w:ind w:firstLine="600" w:firstLineChars="200"/>
        <w:rPr>
          <w:rFonts w:hint="eastAsia" w:ascii="楷体_GB2312" w:eastAsia="楷体_GB2312" w:cs="Arial"/>
          <w:bCs/>
          <w:snapToGrid w:val="0"/>
          <w:color w:val="000000"/>
          <w:kern w:val="0"/>
          <w:sz w:val="30"/>
          <w:szCs w:val="30"/>
          <w:lang w:val="en-US" w:eastAsia="zh-CN" w:bidi="ar-SA"/>
        </w:rPr>
      </w:pPr>
      <w:r>
        <w:rPr>
          <w:rFonts w:hint="eastAsia" w:ascii="楷体_GB2312" w:eastAsia="楷体_GB2312" w:cs="Arial"/>
          <w:bCs/>
          <w:snapToGrid w:val="0"/>
          <w:color w:val="000000"/>
          <w:kern w:val="0"/>
          <w:sz w:val="30"/>
          <w:szCs w:val="30"/>
          <w:lang w:val="en-US" w:eastAsia="zh-CN" w:bidi="ar-SA"/>
        </w:rPr>
        <w:t>5.3.12 做好台账管理和报送</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仿宋_GB2312" w:hAnsi="仿宋_GB2312" w:eastAsia="仿宋_GB2312" w:cs="仿宋_GB2312"/>
          <w:i w:val="0"/>
          <w:iCs w:val="0"/>
          <w:caps w:val="0"/>
          <w:color w:val="000000"/>
          <w:spacing w:val="0"/>
          <w:sz w:val="32"/>
          <w:szCs w:val="32"/>
          <w:shd w:val="clear" w:fill="FFFFFF"/>
          <w:lang w:val="en-US" w:eastAsia="zh-CN"/>
        </w:rPr>
      </w:pPr>
      <w:r>
        <w:rPr>
          <w:rFonts w:hint="eastAsia" w:ascii="仿宋_GB2312" w:hAnsi="仿宋_GB2312" w:eastAsia="仿宋_GB2312" w:cs="仿宋_GB2312"/>
          <w:i w:val="0"/>
          <w:iCs w:val="0"/>
          <w:caps w:val="0"/>
          <w:color w:val="000000"/>
          <w:spacing w:val="0"/>
          <w:sz w:val="32"/>
          <w:szCs w:val="32"/>
          <w:shd w:val="clear" w:fill="FFFFFF"/>
          <w:lang w:val="en-US" w:eastAsia="zh-CN"/>
        </w:rPr>
        <w:t>建立每月报台账、每季度总结的工作机制。学校可根据市生活垃圾分类示范校的指标体系建立工作台账目录，注重工作台账的日常管理和更新，特别要做好建立学校长效工作机制、垃圾分类教学、校园知识普及和互动实践、学生社团或志愿团队活动、学校培训、垃圾分类产生量和收运记录等方面的档案。</w:t>
      </w:r>
    </w:p>
    <w:p>
      <w:pPr>
        <w:numPr>
          <w:ilvl w:val="0"/>
          <w:numId w:val="0"/>
        </w:numPr>
        <w:spacing w:line="560" w:lineRule="exact"/>
        <w:ind w:firstLine="600" w:firstLineChars="200"/>
        <w:rPr>
          <w:rFonts w:hint="eastAsia" w:ascii="楷体_GB2312" w:eastAsia="楷体_GB2312" w:cs="Arial"/>
          <w:bCs/>
          <w:snapToGrid w:val="0"/>
          <w:color w:val="000000"/>
          <w:kern w:val="0"/>
          <w:sz w:val="30"/>
          <w:szCs w:val="30"/>
          <w:lang w:val="en-US" w:eastAsia="zh-CN" w:bidi="ar-SA"/>
        </w:rPr>
      </w:pPr>
      <w:r>
        <w:rPr>
          <w:rFonts w:hint="eastAsia" w:ascii="楷体_GB2312" w:eastAsia="楷体_GB2312" w:cs="Arial"/>
          <w:bCs/>
          <w:snapToGrid w:val="0"/>
          <w:color w:val="000000"/>
          <w:kern w:val="0"/>
          <w:sz w:val="30"/>
          <w:szCs w:val="30"/>
          <w:lang w:val="en-US" w:eastAsia="zh-CN" w:bidi="ar-SA"/>
        </w:rPr>
        <w:t>5.3.13 鼓励创新</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仿宋_GB2312" w:hAnsi="仿宋_GB2312" w:eastAsia="仿宋_GB2312" w:cs="仿宋_GB2312"/>
          <w:bCs/>
          <w:color w:val="000000"/>
          <w:sz w:val="32"/>
          <w:szCs w:val="32"/>
          <w:lang w:val="en-US" w:eastAsia="zh-CN"/>
        </w:rPr>
      </w:pPr>
      <w:r>
        <w:rPr>
          <w:rFonts w:hint="eastAsia" w:ascii="仿宋_GB2312" w:hAnsi="仿宋_GB2312" w:eastAsia="仿宋_GB2312" w:cs="仿宋_GB2312"/>
          <w:i w:val="0"/>
          <w:iCs w:val="0"/>
          <w:caps w:val="0"/>
          <w:color w:val="000000"/>
          <w:spacing w:val="0"/>
          <w:sz w:val="32"/>
          <w:szCs w:val="32"/>
          <w:shd w:val="clear" w:fill="FFFFFF"/>
          <w:lang w:eastAsia="zh-CN"/>
        </w:rPr>
        <w:t>市教育局将面向全市学校开展生活垃圾分类示范校建设。</w:t>
      </w:r>
      <w:r>
        <w:rPr>
          <w:rFonts w:hint="eastAsia" w:ascii="仿宋_GB2312" w:hAnsi="仿宋_GB2312" w:eastAsia="仿宋_GB2312" w:cs="仿宋_GB2312"/>
          <w:i w:val="0"/>
          <w:iCs w:val="0"/>
          <w:caps w:val="0"/>
          <w:color w:val="000000"/>
          <w:spacing w:val="0"/>
          <w:sz w:val="32"/>
          <w:szCs w:val="32"/>
          <w:shd w:val="clear" w:fill="FFFFFF"/>
          <w:lang w:val="en-US" w:eastAsia="zh-CN"/>
        </w:rPr>
        <w:t>鼓励学校结合实际开展垃圾分类工作模式探索，探索形成垃圾分类特色主题教育活动，探索形成特色校本课程体系，探索</w:t>
      </w:r>
      <w:r>
        <w:rPr>
          <w:rFonts w:hint="eastAsia" w:ascii="仿宋_GB2312" w:hAnsi="仿宋_GB2312" w:eastAsia="仿宋_GB2312" w:cs="仿宋_GB2312"/>
          <w:i w:val="0"/>
          <w:iCs w:val="0"/>
          <w:caps w:val="0"/>
          <w:color w:val="000000"/>
          <w:spacing w:val="0"/>
          <w:sz w:val="32"/>
          <w:szCs w:val="32"/>
          <w:shd w:val="clear" w:fill="FFFFFF"/>
          <w:lang w:eastAsia="zh-CN"/>
        </w:rPr>
        <w:t>完善学生生活垃圾投放监督、考核和评价体系。</w:t>
      </w:r>
      <w:r>
        <w:rPr>
          <w:rFonts w:hint="eastAsia" w:ascii="仿宋_GB2312" w:hAnsi="宋体" w:eastAsia="仿宋_GB2312"/>
          <w:bCs/>
          <w:color w:val="000000"/>
          <w:sz w:val="32"/>
          <w:szCs w:val="32"/>
        </w:rPr>
        <w:t>鼓励师生</w:t>
      </w:r>
      <w:r>
        <w:rPr>
          <w:rFonts w:hint="eastAsia" w:ascii="仿宋_GB2312" w:hAnsi="宋体" w:eastAsia="仿宋_GB2312"/>
          <w:bCs/>
          <w:sz w:val="32"/>
          <w:szCs w:val="32"/>
        </w:rPr>
        <w:t>围绕生活垃圾减量、便利高效的投放容器创新等</w:t>
      </w:r>
      <w:r>
        <w:rPr>
          <w:rFonts w:hint="eastAsia" w:ascii="仿宋_GB2312" w:hAnsi="宋体" w:eastAsia="仿宋_GB2312"/>
          <w:bCs/>
          <w:color w:val="000000"/>
          <w:sz w:val="32"/>
          <w:szCs w:val="32"/>
        </w:rPr>
        <w:t>开展生态文明志愿活动和创新创造活动</w:t>
      </w:r>
      <w:r>
        <w:rPr>
          <w:rFonts w:hint="eastAsia" w:ascii="仿宋_GB2312" w:hAnsi="宋体" w:eastAsia="仿宋_GB2312"/>
          <w:bCs/>
          <w:color w:val="000000"/>
          <w:sz w:val="32"/>
          <w:szCs w:val="32"/>
          <w:lang w:eastAsia="zh-CN"/>
        </w:rPr>
        <w:t>。</w:t>
      </w:r>
      <w:r>
        <w:rPr>
          <w:rFonts w:hint="eastAsia" w:ascii="仿宋" w:hAnsi="仿宋" w:eastAsia="仿宋" w:cs="仿宋"/>
          <w:i w:val="0"/>
          <w:iCs w:val="0"/>
          <w:caps w:val="0"/>
          <w:color w:val="333333"/>
          <w:spacing w:val="0"/>
          <w:sz w:val="32"/>
          <w:szCs w:val="32"/>
          <w:shd w:val="clear" w:color="auto" w:fill="FFFFFF"/>
          <w:lang w:val="en-US" w:eastAsia="zh-CN"/>
        </w:rPr>
        <w:t xml:space="preserve"> </w:t>
      </w:r>
    </w:p>
    <w:p>
      <w:pPr>
        <w:spacing w:line="540" w:lineRule="exact"/>
        <w:ind w:firstLine="600" w:firstLineChars="200"/>
        <w:outlineLvl w:val="0"/>
        <w:rPr>
          <w:rFonts w:hint="eastAsia" w:ascii="黑体" w:hAnsi="黑体" w:eastAsia="黑体"/>
          <w:bCs/>
          <w:color w:val="000000"/>
          <w:sz w:val="30"/>
          <w:szCs w:val="30"/>
          <w:lang w:val="en-US" w:eastAsia="zh-CN"/>
        </w:rPr>
      </w:pPr>
      <w:r>
        <w:rPr>
          <w:rFonts w:hint="eastAsia" w:ascii="黑体" w:hAnsi="黑体" w:eastAsia="黑体"/>
          <w:bCs/>
          <w:color w:val="000000"/>
          <w:sz w:val="30"/>
          <w:szCs w:val="30"/>
          <w:lang w:val="en-US" w:eastAsia="zh-CN"/>
        </w:rPr>
        <w:t>7 法律责任</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仿宋_GB2312" w:hAnsi="仿宋_GB2312" w:eastAsia="仿宋_GB2312" w:cs="仿宋_GB2312"/>
          <w:i w:val="0"/>
          <w:iCs w:val="0"/>
          <w:caps w:val="0"/>
          <w:color w:val="000000"/>
          <w:spacing w:val="0"/>
          <w:sz w:val="32"/>
          <w:szCs w:val="32"/>
          <w:shd w:val="clear" w:fill="FFFFFF"/>
          <w:lang w:eastAsia="zh-CN"/>
        </w:rPr>
      </w:pPr>
      <w:r>
        <w:rPr>
          <w:rFonts w:hint="eastAsia" w:ascii="仿宋_GB2312" w:hAnsi="仿宋_GB2312" w:eastAsia="仿宋_GB2312" w:cs="仿宋_GB2312"/>
          <w:i w:val="0"/>
          <w:iCs w:val="0"/>
          <w:caps w:val="0"/>
          <w:color w:val="000000"/>
          <w:spacing w:val="0"/>
          <w:sz w:val="32"/>
          <w:szCs w:val="32"/>
          <w:shd w:val="clear" w:fill="FFFFFF"/>
          <w:lang w:eastAsia="zh-CN"/>
        </w:rPr>
        <w:t>根据《湛江市生活垃圾分类管理条例》，违反相关条例，由市、县（市、区）城市管理和综合执法部门责令改正</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仿宋_GB2312" w:hAnsi="仿宋_GB2312" w:eastAsia="仿宋_GB2312" w:cs="仿宋_GB2312"/>
          <w:i w:val="0"/>
          <w:iCs w:val="0"/>
          <w:caps w:val="0"/>
          <w:color w:val="000000"/>
          <w:spacing w:val="0"/>
          <w:sz w:val="32"/>
          <w:szCs w:val="32"/>
        </w:rPr>
      </w:pPr>
      <w:r>
        <w:rPr>
          <w:rFonts w:hint="eastAsia" w:ascii="仿宋_GB2312" w:hAnsi="仿宋_GB2312" w:eastAsia="仿宋_GB2312" w:cs="仿宋_GB2312"/>
          <w:i w:val="0"/>
          <w:iCs w:val="0"/>
          <w:caps w:val="0"/>
          <w:color w:val="000000"/>
          <w:spacing w:val="0"/>
          <w:sz w:val="32"/>
          <w:szCs w:val="32"/>
          <w:shd w:val="clear" w:fill="FFFFFF"/>
          <w:lang w:eastAsia="zh-CN"/>
        </w:rPr>
        <w:t>第三十四条  任何单位和个人违反本条例第十二条第一款、第二款和第十三条第一款的规定，未按照分类规定投放生活垃圾的，或者未按规定投放体积较大的废弃物品的，由市、县（市、区）城市管理和综合执法部门责令改正；情节严重的，对单位处五万元以上五十万元以下的罚款，对个人</w:t>
      </w:r>
      <w:r>
        <w:rPr>
          <w:rFonts w:hint="eastAsia" w:ascii="仿宋_GB2312" w:hAnsi="仿宋_GB2312" w:eastAsia="仿宋_GB2312" w:cs="仿宋_GB2312"/>
          <w:i w:val="0"/>
          <w:iCs w:val="0"/>
          <w:caps w:val="0"/>
          <w:color w:val="000000"/>
          <w:spacing w:val="0"/>
          <w:sz w:val="32"/>
          <w:szCs w:val="32"/>
          <w:shd w:val="clear" w:fill="FFFFFF"/>
        </w:rPr>
        <w:t>处一百元以上五百元以下的罚款。</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560" w:lineRule="exact"/>
        <w:ind w:left="0" w:right="0" w:firstLine="0"/>
        <w:jc w:val="left"/>
        <w:textAlignment w:val="baseline"/>
        <w:rPr>
          <w:rFonts w:hint="eastAsia" w:ascii="仿宋_GB2312" w:hAnsi="仿宋_GB2312" w:eastAsia="仿宋_GB2312" w:cs="仿宋_GB2312"/>
          <w:i w:val="0"/>
          <w:iCs w:val="0"/>
          <w:caps w:val="0"/>
          <w:color w:val="000000"/>
          <w:spacing w:val="0"/>
          <w:sz w:val="32"/>
          <w:szCs w:val="32"/>
        </w:rPr>
      </w:pPr>
      <w:r>
        <w:rPr>
          <w:rFonts w:hint="eastAsia" w:ascii="仿宋_GB2312" w:hAnsi="仿宋_GB2312" w:eastAsia="仿宋_GB2312" w:cs="仿宋_GB2312"/>
          <w:i w:val="0"/>
          <w:iCs w:val="0"/>
          <w:caps w:val="0"/>
          <w:color w:val="000000"/>
          <w:spacing w:val="0"/>
          <w:sz w:val="32"/>
          <w:szCs w:val="32"/>
          <w:shd w:val="clear" w:fill="FFFFFF"/>
        </w:rPr>
        <w:t>　　第三十五条  生活垃圾分类投放管理责任人违反本条例第十五条规定的，由市、县（市、区）城市管理和综合执法部门责令限期改正；逾期不改正的，处一千元以上一万元以下的罚款。</w:t>
      </w:r>
    </w:p>
    <w:p>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eastAsia" w:ascii="仿宋_GB2312" w:hAnsi="仿宋_GB2312" w:eastAsia="仿宋_GB2312" w:cs="仿宋_GB2312"/>
          <w:i w:val="0"/>
          <w:iCs w:val="0"/>
          <w:caps w:val="0"/>
          <w:snapToGrid w:val="0"/>
          <w:color w:val="000000"/>
          <w:spacing w:val="0"/>
          <w:kern w:val="0"/>
          <w:sz w:val="32"/>
          <w:szCs w:val="32"/>
          <w:shd w:val="clear" w:fill="FFFFFF"/>
          <w:lang w:val="en-US" w:eastAsia="zh-CN" w:bidi="ar"/>
        </w:rPr>
      </w:pPr>
      <w:r>
        <w:rPr>
          <w:rFonts w:hint="eastAsia" w:ascii="仿宋_GB2312" w:hAnsi="仿宋_GB2312" w:eastAsia="仿宋_GB2312" w:cs="仿宋_GB2312"/>
          <w:i w:val="0"/>
          <w:iCs w:val="0"/>
          <w:caps w:val="0"/>
          <w:snapToGrid w:val="0"/>
          <w:color w:val="000000"/>
          <w:spacing w:val="0"/>
          <w:kern w:val="0"/>
          <w:sz w:val="32"/>
          <w:szCs w:val="32"/>
          <w:shd w:val="clear" w:fill="FFFFFF"/>
          <w:lang w:val="en-US" w:eastAsia="zh-CN" w:bidi="ar"/>
        </w:rPr>
        <w:t>第三十七条  相关部门及其工作人员违反本条例规定，在生活垃圾分类监督管理活动中有玩忽职守、滥用职权、徇私舞弊等行为的，由本级人民政府或者上级人民政府有关部门责令改正，对直接负责的主管人员和其他直接责任人员依法给予处分；构成犯罪的，依法追究刑事责任。</w:t>
      </w:r>
    </w:p>
    <w:p>
      <w:pPr>
        <w:spacing w:line="540" w:lineRule="exact"/>
        <w:ind w:firstLine="600"/>
        <w:jc w:val="both"/>
        <w:outlineLvl w:val="1"/>
        <w:rPr>
          <w:rFonts w:ascii="楷体_GB2312" w:eastAsia="楷体_GB2312"/>
          <w:bCs/>
          <w:sz w:val="30"/>
          <w:szCs w:val="30"/>
          <w:lang w:eastAsia="zh-CN"/>
        </w:rPr>
      </w:pPr>
      <w:r>
        <w:rPr>
          <w:rFonts w:hint="eastAsia" w:ascii="楷体_GB2312" w:eastAsia="楷体_GB2312"/>
          <w:bCs/>
          <w:sz w:val="30"/>
          <w:szCs w:val="30"/>
          <w:lang w:eastAsia="zh-CN"/>
        </w:rPr>
        <w:t>5.1生活垃圾分类投放管理人制度</w:t>
      </w:r>
      <w:bookmarkEnd w:id="11"/>
    </w:p>
    <w:p>
      <w:pPr>
        <w:spacing w:line="540" w:lineRule="exact"/>
        <w:ind w:firstLine="600"/>
        <w:jc w:val="both"/>
        <w:outlineLvl w:val="1"/>
        <w:rPr>
          <w:rFonts w:ascii="楷体_GB2312" w:eastAsia="楷体_GB2312"/>
          <w:bCs/>
          <w:sz w:val="30"/>
          <w:szCs w:val="30"/>
          <w:lang w:eastAsia="zh-CN"/>
        </w:rPr>
      </w:pPr>
      <w:r>
        <w:rPr>
          <w:rFonts w:hint="eastAsia" w:ascii="楷体_GB2312" w:eastAsia="楷体_GB2312"/>
          <w:bCs/>
          <w:sz w:val="30"/>
          <w:szCs w:val="30"/>
          <w:lang w:eastAsia="zh-CN"/>
        </w:rPr>
        <w:t>5.1.1生活垃圾分类投放管理人定义</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（1）国家机关、部队、企事业单位、社会团体及其他组织的办公场所，本单位为责任人。</w:t>
      </w:r>
    </w:p>
    <w:p>
      <w:pPr>
        <w:spacing w:line="540" w:lineRule="exact"/>
        <w:ind w:firstLine="600" w:firstLineChars="200"/>
        <w:jc w:val="both"/>
        <w:rPr>
          <w:rFonts w:ascii="仿宋_GB2312" w:hAnsi="仿宋_GB2312" w:eastAsia="仿宋_GB2312" w:cs="仿宋_GB2312"/>
          <w:sz w:val="32"/>
          <w:szCs w:val="32"/>
          <w:shd w:val="clear" w:color="auto" w:fill="FFFFFF"/>
          <w:lang w:eastAsia="zh-CN" w:bidi="ar"/>
        </w:rPr>
      </w:pPr>
      <w:bookmarkStart w:id="12" w:name="_Toc30669"/>
      <w:r>
        <w:rPr>
          <w:rFonts w:hint="eastAsia" w:ascii="仿宋_GB2312" w:hAnsi="宋体" w:eastAsia="仿宋_GB2312"/>
          <w:bCs/>
          <w:sz w:val="30"/>
          <w:szCs w:val="30"/>
          <w:lang w:eastAsia="zh-CN"/>
        </w:rPr>
        <w:t>（2）自行管理的，自行管理人为责任人</w:t>
      </w:r>
      <w:r>
        <w:rPr>
          <w:rFonts w:hint="eastAsia" w:ascii="仿宋_GB2312" w:hAnsi="仿宋_GB2312" w:eastAsia="仿宋_GB2312" w:cs="仿宋_GB2312"/>
          <w:sz w:val="32"/>
          <w:szCs w:val="32"/>
          <w:shd w:val="clear" w:color="auto" w:fill="FFFFFF"/>
          <w:lang w:eastAsia="zh-CN" w:bidi="ar"/>
        </w:rPr>
        <w:t>。</w:t>
      </w:r>
      <w:bookmarkEnd w:id="12"/>
    </w:p>
    <w:p>
      <w:pPr>
        <w:spacing w:line="540" w:lineRule="exact"/>
        <w:ind w:firstLine="600"/>
        <w:jc w:val="both"/>
        <w:outlineLvl w:val="1"/>
        <w:rPr>
          <w:rFonts w:ascii="楷体_GB2312" w:eastAsia="楷体_GB2312"/>
          <w:bCs/>
          <w:sz w:val="30"/>
          <w:szCs w:val="30"/>
          <w:lang w:eastAsia="zh-CN"/>
        </w:rPr>
      </w:pPr>
      <w:bookmarkStart w:id="13" w:name="_Toc9144"/>
      <w:r>
        <w:rPr>
          <w:rFonts w:hint="eastAsia" w:ascii="楷体_GB2312" w:eastAsia="楷体_GB2312"/>
          <w:bCs/>
          <w:sz w:val="30"/>
          <w:szCs w:val="30"/>
          <w:lang w:eastAsia="zh-CN"/>
        </w:rPr>
        <w:t>5.1.2管理人法定职责</w:t>
      </w:r>
      <w:bookmarkEnd w:id="13"/>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根据《湛江市生活垃圾分类管理条例》，生活垃圾分类投放管理责任人负责学校生活垃圾分类投放管理，应当履行以下职责：</w:t>
      </w:r>
    </w:p>
    <w:p>
      <w:pPr>
        <w:spacing w:line="540" w:lineRule="exact"/>
        <w:ind w:firstLine="600" w:firstLineChars="200"/>
        <w:jc w:val="both"/>
        <w:rPr>
          <w:rFonts w:ascii="仿宋_GB2312" w:hAnsi="宋体" w:eastAsia="仿宋_GB2312"/>
          <w:bCs/>
          <w:sz w:val="30"/>
          <w:szCs w:val="30"/>
          <w:lang w:eastAsia="zh-CN"/>
        </w:rPr>
      </w:pPr>
      <w:bookmarkStart w:id="14" w:name="_Toc32020"/>
      <w:r>
        <w:rPr>
          <w:rFonts w:hint="eastAsia" w:ascii="仿宋_GB2312" w:hAnsi="宋体" w:eastAsia="仿宋_GB2312"/>
          <w:bCs/>
          <w:sz w:val="30"/>
          <w:szCs w:val="30"/>
          <w:lang w:eastAsia="zh-CN"/>
        </w:rPr>
        <w:t>（1）建立日常制度。建立生活垃圾分类日常管理制度。</w:t>
      </w:r>
      <w:bookmarkEnd w:id="14"/>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drawing>
          <wp:anchor distT="0" distB="0" distL="0" distR="0" simplePos="0" relativeHeight="251663360" behindDoc="0" locked="0" layoutInCell="0" allowOverlap="1">
            <wp:simplePos x="0" y="0"/>
            <wp:positionH relativeFrom="page">
              <wp:posOffset>18173700</wp:posOffset>
            </wp:positionH>
            <wp:positionV relativeFrom="page">
              <wp:posOffset>7501255</wp:posOffset>
            </wp:positionV>
            <wp:extent cx="1684020" cy="1228090"/>
            <wp:effectExtent l="0" t="0" r="11430" b="10160"/>
            <wp:wrapNone/>
            <wp:docPr id="1" name="IM 16"/>
            <wp:cNvGraphicFramePr/>
            <a:graphic xmlns:a="http://schemas.openxmlformats.org/drawingml/2006/main">
              <a:graphicData uri="http://schemas.openxmlformats.org/drawingml/2006/picture">
                <pic:pic xmlns:pic="http://schemas.openxmlformats.org/drawingml/2006/picture">
                  <pic:nvPicPr>
                    <pic:cNvPr id="1" name="IM 16"/>
                    <pic:cNvPicPr/>
                  </pic:nvPicPr>
                  <pic:blipFill>
                    <a:blip r:embed="rId11"/>
                    <a:stretch>
                      <a:fillRect/>
                    </a:stretch>
                  </pic:blipFill>
                  <pic:spPr>
                    <a:xfrm>
                      <a:off x="0" y="0"/>
                      <a:ext cx="1684020" cy="1228090"/>
                    </a:xfrm>
                    <a:prstGeom prst="rect">
                      <a:avLst/>
                    </a:prstGeom>
                  </pic:spPr>
                </pic:pic>
              </a:graphicData>
            </a:graphic>
          </wp:anchor>
        </w:drawing>
      </w:r>
      <w:r>
        <w:rPr>
          <w:rFonts w:hint="eastAsia" w:ascii="仿宋_GB2312" w:hAnsi="宋体" w:eastAsia="仿宋_GB2312"/>
          <w:bCs/>
          <w:sz w:val="30"/>
          <w:szCs w:val="30"/>
          <w:lang w:eastAsia="zh-CN"/>
        </w:rPr>
        <w:t>（2）配置设备设施。要根据生活垃圾产生量和分类方法，按照分类标准和分类标志设置责任区内生活垃圾分类收集站点和收集容器，并保持生活垃圾分类收集容器正常使用。按照可回收物、有害垃圾、厨余垃圾、其他垃圾的分类，将生活垃圾分别投入相应标识的收集容器。其中，可回收物还可以交售至回收服务点或者回收经营者。禁止随意倾倒、抛撒、堆放或者焚烧生活垃圾。禁止将实验室危险化学品等混入生活垃圾投放。劝阻不按照分类规定投放生活垃圾，或者混合收集、运输已分类的生活垃圾的行为；</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（3）宣传指导监督检查。在责任区内开展生活垃圾分类知识宣传，指导、监督、检查生活垃圾分类行为。</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（4）规范分类移交。将生活垃圾分类后交由具有相关资质或者符合相关规定条件的单位收集、运输、处理。</w:t>
      </w:r>
    </w:p>
    <w:p>
      <w:pPr>
        <w:spacing w:line="540" w:lineRule="exact"/>
        <w:ind w:firstLine="600" w:firstLineChars="200"/>
        <w:jc w:val="both"/>
        <w:rPr>
          <w:rFonts w:ascii="仿宋_GB2312" w:hAnsi="宋体" w:eastAsia="仿宋_GB2312"/>
          <w:bCs/>
          <w:sz w:val="30"/>
          <w:szCs w:val="30"/>
          <w:lang w:eastAsia="zh-CN"/>
        </w:rPr>
      </w:pPr>
      <w:r>
        <w:rPr>
          <w:rFonts w:hint="eastAsia" w:ascii="仿宋_GB2312" w:hAnsi="宋体" w:eastAsia="仿宋_GB2312"/>
          <w:bCs/>
          <w:sz w:val="30"/>
          <w:szCs w:val="30"/>
          <w:lang w:eastAsia="zh-CN"/>
        </w:rPr>
        <w:t>（5）开展知识教育和分类实践。中小学校、职业学校、高等院校应当将生活垃圾分类知识纳入日常教育，培养学生分类投放习惯。学前教育机构应当将生活垃圾分类识别、收集容器标示标识等常识作为教育内容，培养学龄前儿童分类投放的良好习惯。</w:t>
      </w:r>
    </w:p>
    <w:p>
      <w:pPr>
        <w:spacing w:line="540" w:lineRule="exact"/>
        <w:ind w:firstLine="600"/>
        <w:jc w:val="both"/>
        <w:outlineLvl w:val="1"/>
        <w:rPr>
          <w:rFonts w:ascii="楷体_GB2312" w:eastAsia="楷体_GB2312"/>
          <w:bCs/>
          <w:sz w:val="30"/>
          <w:szCs w:val="30"/>
          <w:lang w:eastAsia="zh-CN"/>
        </w:rPr>
      </w:pPr>
      <w:bookmarkStart w:id="15" w:name="_Toc22932"/>
      <w:r>
        <w:rPr>
          <w:rFonts w:hint="eastAsia" w:ascii="楷体_GB2312" w:eastAsia="楷体_GB2312"/>
          <w:bCs/>
          <w:sz w:val="30"/>
          <w:szCs w:val="30"/>
          <w:lang w:eastAsia="zh-CN"/>
        </w:rPr>
        <w:t>5.2生活垃圾分类投放义务人职责</w:t>
      </w:r>
      <w:bookmarkEnd w:id="15"/>
    </w:p>
    <w:p>
      <w:pPr>
        <w:pStyle w:val="8"/>
        <w:shd w:val="clear" w:color="auto" w:fill="FFFFFF"/>
        <w:spacing w:beforeAutospacing="0" w:afterAutospacing="0" w:line="560" w:lineRule="exact"/>
        <w:ind w:firstLine="640" w:firstLineChars="200"/>
        <w:jc w:val="both"/>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学校全体教职工均为生活垃圾分类投放义务人。应当将生活垃圾按照可回收物、有害垃圾、厨余垃圾、其他垃圾的分类投放至相应的收集容器或指定地点；</w:t>
      </w:r>
      <w:bookmarkStart w:id="16" w:name="_Toc19086"/>
      <w:r>
        <w:rPr>
          <w:rFonts w:hint="eastAsia" w:ascii="仿宋_GB2312" w:hAnsi="仿宋_GB2312" w:eastAsia="仿宋_GB2312" w:cs="仿宋_GB2312"/>
          <w:sz w:val="32"/>
          <w:szCs w:val="32"/>
          <w:shd w:val="clear" w:color="auto" w:fill="FFFFFF"/>
        </w:rPr>
        <w:t>2.教师、行政人员自觉践行低碳办公和绿色生活方式。</w:t>
      </w:r>
      <w:bookmarkEnd w:id="16"/>
    </w:p>
    <w:p>
      <w:pPr>
        <w:spacing w:line="540" w:lineRule="exact"/>
        <w:ind w:firstLine="600"/>
        <w:jc w:val="both"/>
        <w:outlineLvl w:val="1"/>
        <w:rPr>
          <w:rFonts w:ascii="楷体_GB2312" w:eastAsia="楷体_GB2312"/>
          <w:bCs/>
          <w:sz w:val="30"/>
          <w:szCs w:val="30"/>
          <w:lang w:eastAsia="zh-CN"/>
        </w:rPr>
      </w:pPr>
      <w:r>
        <w:rPr>
          <w:rFonts w:hint="eastAsia" w:ascii="楷体_GB2312" w:eastAsia="楷体_GB2312"/>
          <w:bCs/>
          <w:sz w:val="30"/>
          <w:szCs w:val="30"/>
          <w:lang w:eastAsia="zh-CN"/>
        </w:rPr>
        <w:t>5.3学校管理工作</w:t>
      </w:r>
    </w:p>
    <w:p>
      <w:pPr>
        <w:pStyle w:val="8"/>
        <w:shd w:val="clear" w:color="auto" w:fill="FFFFFF"/>
        <w:spacing w:beforeAutospacing="0" w:afterAutospacing="0" w:line="560" w:lineRule="exact"/>
        <w:ind w:firstLine="640"/>
        <w:jc w:val="both"/>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根据《湛江市生活垃圾分类管理条例》《国家住建部评估细则责任清单》和市有关工作部署，学校要做好以下工作：</w:t>
      </w:r>
    </w:p>
    <w:p>
      <w:pPr>
        <w:pStyle w:val="8"/>
        <w:shd w:val="clear" w:color="auto" w:fill="FFFFFF"/>
        <w:spacing w:beforeAutospacing="0" w:afterAutospacing="0" w:line="560" w:lineRule="exact"/>
        <w:ind w:firstLine="600"/>
        <w:jc w:val="both"/>
        <w:rPr>
          <w:rFonts w:ascii="楷体_GB2312" w:eastAsia="楷体_GB2312" w:cs="Arial"/>
          <w:bCs/>
          <w:sz w:val="30"/>
          <w:szCs w:val="30"/>
        </w:rPr>
      </w:pPr>
      <w:r>
        <w:rPr>
          <w:rFonts w:hint="eastAsia" w:ascii="楷体_GB2312" w:eastAsia="楷体_GB2312" w:cs="Arial"/>
          <w:bCs/>
          <w:sz w:val="30"/>
          <w:szCs w:val="30"/>
          <w:lang w:eastAsia="zh-CN"/>
        </w:rPr>
        <w:t>5</w:t>
      </w:r>
      <w:r>
        <w:rPr>
          <w:rFonts w:hint="eastAsia" w:ascii="楷体_GB2312" w:eastAsia="楷体_GB2312" w:cs="Arial"/>
          <w:bCs/>
          <w:sz w:val="30"/>
          <w:szCs w:val="30"/>
        </w:rPr>
        <w:t>.3.1强化组织分工</w:t>
      </w:r>
    </w:p>
    <w:p>
      <w:pPr>
        <w:pStyle w:val="8"/>
        <w:shd w:val="clear" w:color="auto" w:fill="FFFFFF"/>
        <w:spacing w:beforeAutospacing="0" w:afterAutospacing="0" w:line="560" w:lineRule="exact"/>
        <w:ind w:firstLine="640" w:firstLineChars="200"/>
        <w:jc w:val="both"/>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建立健全生活垃圾分类知识教育长效机制</w:t>
      </w:r>
      <w:r>
        <w:rPr>
          <w:rFonts w:hint="eastAsia" w:ascii="仿宋_GB2312" w:hAnsi="仿宋_GB2312" w:eastAsia="仿宋_GB2312" w:cs="仿宋_GB2312"/>
          <w:bCs/>
          <w:sz w:val="32"/>
          <w:szCs w:val="32"/>
        </w:rPr>
        <w:t>建立垃圾分类工作领导小组，明确学校各部门的职责，落实专（兼）职工作人员</w:t>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bCs/>
          <w:sz w:val="32"/>
          <w:szCs w:val="32"/>
        </w:rPr>
        <w:t>形成相应的会议记录、发文通知、工作方案等材料。要特别注重党建引领，充分发挥党员在生活垃圾分类教育中的先锋示范作用。</w:t>
      </w:r>
    </w:p>
    <w:p>
      <w:pPr>
        <w:spacing w:line="540" w:lineRule="exact"/>
        <w:ind w:firstLine="600"/>
        <w:jc w:val="both"/>
        <w:rPr>
          <w:rFonts w:ascii="楷体_GB2312" w:eastAsia="楷体_GB2312"/>
          <w:bCs/>
          <w:sz w:val="30"/>
          <w:szCs w:val="30"/>
          <w:lang w:eastAsia="zh-CN"/>
        </w:rPr>
      </w:pPr>
      <w:r>
        <w:rPr>
          <w:rFonts w:hint="eastAsia" w:ascii="楷体_GB2312" w:eastAsia="楷体_GB2312"/>
          <w:bCs/>
          <w:sz w:val="30"/>
          <w:szCs w:val="30"/>
          <w:lang w:eastAsia="zh-CN"/>
        </w:rPr>
        <w:t>5.3.2加强宣传氛围营造</w:t>
      </w:r>
    </w:p>
    <w:p>
      <w:pPr>
        <w:spacing w:line="540" w:lineRule="exact"/>
        <w:ind w:firstLine="600"/>
        <w:jc w:val="both"/>
        <w:rPr>
          <w:rFonts w:ascii="楷体_GB2312" w:eastAsia="楷体_GB2312"/>
          <w:bCs/>
          <w:sz w:val="30"/>
          <w:szCs w:val="30"/>
          <w:lang w:eastAsia="zh-CN"/>
        </w:rPr>
      </w:pPr>
      <w:r>
        <w:rPr>
          <w:rFonts w:hint="eastAsia" w:ascii="楷体_GB2312" w:eastAsia="楷体_GB2312"/>
          <w:bCs/>
          <w:sz w:val="30"/>
          <w:szCs w:val="30"/>
          <w:lang w:eastAsia="zh-CN"/>
        </w:rPr>
        <w:t>（1）</w:t>
      </w:r>
      <w:r>
        <w:rPr>
          <w:rFonts w:hint="eastAsia" w:ascii="仿宋_GB2312" w:hAnsi="宋体" w:eastAsia="仿宋_GB2312"/>
          <w:bCs/>
          <w:sz w:val="30"/>
          <w:szCs w:val="30"/>
          <w:lang w:eastAsia="zh-CN"/>
        </w:rPr>
        <w:t>丰富宣传载体。利用标语、黑板报、校园网站、校园广播、校报、饭堂电视、电子显示屏、公示栏等宣传载体，在垃圾分类收集容器张贴准确清晰的标识和投放指引，在学校食堂、宣传栏、主要出入口等地张贴光盘行动宣传海报，有条件的可使用电子显示屏不定期播放垃圾分类宣传片和宣传标语等，将宣传垃圾分类政策、引导垃圾分类行为、营造垃圾分类氛围的相关工作常态化。</w:t>
      </w:r>
    </w:p>
    <w:p>
      <w:pPr>
        <w:spacing w:line="540" w:lineRule="exact"/>
        <w:ind w:firstLine="640" w:firstLineChars="200"/>
        <w:jc w:val="both"/>
        <w:rPr>
          <w:rFonts w:ascii="仿宋_GB2312" w:hAnsi="仿宋_GB2312" w:eastAsia="仿宋_GB2312" w:cs="仿宋_GB2312"/>
          <w:sz w:val="32"/>
          <w:szCs w:val="32"/>
          <w:shd w:val="clear" w:color="auto" w:fill="FFFFFF"/>
          <w:lang w:eastAsia="zh-CN"/>
        </w:rPr>
      </w:pPr>
      <w:r>
        <w:rPr>
          <w:rFonts w:hint="eastAsia" w:ascii="仿宋_GB2312" w:hAnsi="仿宋_GB2312" w:eastAsia="仿宋_GB2312" w:cs="仿宋_GB2312"/>
          <w:sz w:val="32"/>
          <w:szCs w:val="32"/>
          <w:shd w:val="clear" w:color="auto" w:fill="FFFFFF"/>
          <w:lang w:eastAsia="zh-CN"/>
        </w:rPr>
        <w:t>（2）广泛组织动员。</w:t>
      </w:r>
      <w:r>
        <w:rPr>
          <w:rFonts w:hint="eastAsia" w:ascii="仿宋_GB2312" w:hAnsi="宋体" w:eastAsia="仿宋_GB2312"/>
          <w:bCs/>
          <w:sz w:val="30"/>
          <w:szCs w:val="30"/>
          <w:lang w:eastAsia="zh-CN"/>
        </w:rPr>
        <w:t>学校应充分利用新媒体平台（包括但不限于官网、微博、微信、短视频）发布本校的生活垃圾分类制度，通过各条线层层传达、广泛动员。本校垃圾分类相关要求应纳入新生入学教育和教职工年度培训内容，确保全校师生知晓垃圾分类知识和本校的垃圾分类政策、熟悉垃圾分类容器位置、践行垃圾分类新风尚。</w:t>
      </w:r>
      <w:r>
        <w:rPr>
          <w:rFonts w:hint="eastAsia" w:ascii="仿宋_GB2312" w:hAnsi="仿宋_GB2312" w:eastAsia="仿宋_GB2312" w:cs="仿宋_GB2312"/>
          <w:sz w:val="32"/>
          <w:szCs w:val="32"/>
          <w:shd w:val="clear" w:color="auto" w:fill="FFFFFF"/>
          <w:lang w:eastAsia="zh-CN"/>
        </w:rPr>
        <w:t>三是提倡绿色办公，优先采购可循环利用的产品，减少使用一次性办公用品，推广无纸化办公，纸张尽量双面书写或双面打印。打印机旁张贴“节约用纸”、“双面打印”等标语。</w:t>
      </w:r>
    </w:p>
    <w:p>
      <w:pPr>
        <w:spacing w:line="540" w:lineRule="exact"/>
        <w:ind w:firstLine="600"/>
        <w:jc w:val="both"/>
        <w:rPr>
          <w:rFonts w:ascii="楷体_GB2312" w:eastAsia="楷体_GB2312"/>
          <w:bCs/>
          <w:sz w:val="30"/>
          <w:szCs w:val="30"/>
          <w:lang w:eastAsia="zh-CN"/>
        </w:rPr>
      </w:pPr>
      <w:r>
        <w:rPr>
          <w:rFonts w:hint="eastAsia" w:ascii="楷体_GB2312" w:eastAsia="楷体_GB2312"/>
          <w:bCs/>
          <w:sz w:val="30"/>
          <w:szCs w:val="30"/>
          <w:lang w:eastAsia="zh-CN"/>
        </w:rPr>
        <w:t>5.3.3开展垃圾分类知识教育</w:t>
      </w:r>
    </w:p>
    <w:p>
      <w:pPr>
        <w:pStyle w:val="8"/>
        <w:shd w:val="clear" w:color="auto" w:fill="FFFFFF"/>
        <w:spacing w:beforeAutospacing="0" w:afterAutospacing="0" w:line="560" w:lineRule="exact"/>
        <w:ind w:firstLine="640" w:firstLineChars="200"/>
        <w:jc w:val="both"/>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各级各类学校要根据不同年龄段学生的认知水平和成长规律，</w:t>
      </w:r>
      <w:r>
        <w:rPr>
          <w:rFonts w:hint="eastAsia" w:ascii="仿宋_GB2312" w:hAnsi="仿宋" w:eastAsia="仿宋_GB2312"/>
          <w:sz w:val="32"/>
          <w:szCs w:val="32"/>
        </w:rPr>
        <w:t>与生态文明教育相结合，与行为养成教育相结合，与综合实践教育相结合，采取主题班队会、专题讲座、学科教学、综合实践等方式开展教育。小学、初中阶段和高中阶段每学年确保有2个课时用于垃圾分类教育，且须在课程表清楚标明环境教育（垃圾分类）课。各类幼儿园每学年结合实际开展垃圾分类故事会、游戏、文艺表演等相关活动不少于2次。各市直职业院校要采取思政课程和课程思政相结合和党、团课教育、学生社会实践等形式，对学生进行垃圾分类教育，确保教育对象全覆盖。各学校要明确1名专职或兼职垃圾分类教育教师。各校均要上好一节垃圾分类主题班会示范样板课，各班根据垃圾分类样板课上好垃圾分类主题班会。</w:t>
      </w:r>
      <w:r>
        <w:rPr>
          <w:rFonts w:hint="eastAsia" w:ascii="仿宋_GB2312" w:hAnsi="仿宋_GB2312" w:eastAsia="仿宋_GB2312" w:cs="仿宋_GB2312"/>
          <w:bCs/>
          <w:sz w:val="32"/>
          <w:szCs w:val="32"/>
        </w:rPr>
        <w:t>学校生活垃圾分类相关要求应纳入新生入学教育和教职工年度培训内容，确保全校师生知晓垃圾分类知识和学校的垃圾分类政策、熟悉垃圾分类容器位置、践行垃圾分类新风尚。</w:t>
      </w:r>
      <w:r>
        <w:rPr>
          <w:rFonts w:hint="eastAsia" w:ascii="仿宋_GB2312" w:hAnsi="仿宋" w:eastAsia="仿宋_GB2312"/>
          <w:sz w:val="32"/>
          <w:szCs w:val="32"/>
        </w:rPr>
        <w:t>同时，要充分发挥家委会、家长会功能，引导家长积极学习垃圾分类知识，在家庭教育中培养学生特别是低年级学生养成垃圾分类习惯，形成家校齐抓共管的良好氛围。</w:t>
      </w:r>
    </w:p>
    <w:p>
      <w:pPr>
        <w:spacing w:line="540" w:lineRule="exact"/>
        <w:ind w:firstLine="600"/>
        <w:jc w:val="both"/>
        <w:rPr>
          <w:rFonts w:ascii="楷体_GB2312" w:eastAsia="楷体_GB2312"/>
          <w:bCs/>
          <w:sz w:val="30"/>
          <w:szCs w:val="30"/>
          <w:lang w:eastAsia="zh-CN"/>
        </w:rPr>
      </w:pPr>
      <w:r>
        <w:rPr>
          <w:rFonts w:hint="eastAsia" w:ascii="楷体_GB2312" w:eastAsia="楷体_GB2312"/>
          <w:bCs/>
          <w:sz w:val="30"/>
          <w:szCs w:val="30"/>
          <w:lang w:eastAsia="zh-CN"/>
        </w:rPr>
        <w:t>5.3.4开展校内垃圾分类主题教育活动</w:t>
      </w:r>
    </w:p>
    <w:p>
      <w:pPr>
        <w:pStyle w:val="8"/>
        <w:shd w:val="clear" w:color="auto" w:fill="FFFFFF"/>
        <w:spacing w:beforeAutospacing="0" w:afterAutospacing="0" w:line="560" w:lineRule="exact"/>
        <w:ind w:firstLine="640" w:firstLineChars="200"/>
        <w:jc w:val="both"/>
        <w:rPr>
          <w:rFonts w:ascii="仿宋_GB2312" w:hAnsi="仿宋_GB2312" w:eastAsia="仿宋_GB2312" w:cs="仿宋_GB2312"/>
          <w:sz w:val="32"/>
          <w:szCs w:val="32"/>
          <w:shd w:val="clear" w:color="auto" w:fill="FFFFFF"/>
        </w:rPr>
      </w:pPr>
      <w:r>
        <w:rPr>
          <w:rFonts w:hint="eastAsia" w:ascii="仿宋_GB2312" w:hAnsi="仿宋" w:eastAsia="仿宋_GB2312"/>
          <w:sz w:val="32"/>
          <w:szCs w:val="32"/>
        </w:rPr>
        <w:t>各学校将垃圾分类和学校德育工作有机结合，融入文明校园、绿色学校的考核指标，结合生活垃圾分类宣传周、世界环境日、新生入学教育、校园文化节、科技节等时机，组织演讲、征文、手抄报、知识竞赛、创意大赛等形式多样的校内主题宣传教育活动，逐步培养学生生活垃圾分类意识、养成垃圾分类习惯和践行垃圾分类行为</w:t>
      </w:r>
      <w:r>
        <w:rPr>
          <w:rFonts w:hint="eastAsia" w:ascii="仿宋_GB2312" w:hAnsi="仿宋_GB2312" w:eastAsia="仿宋_GB2312" w:cs="仿宋_GB2312"/>
          <w:sz w:val="32"/>
          <w:szCs w:val="32"/>
          <w:shd w:val="clear" w:color="auto" w:fill="FFFFFF"/>
        </w:rPr>
        <w:t>。</w:t>
      </w:r>
    </w:p>
    <w:p>
      <w:pPr>
        <w:spacing w:line="540" w:lineRule="exact"/>
        <w:ind w:firstLine="600"/>
        <w:jc w:val="both"/>
        <w:rPr>
          <w:rFonts w:ascii="楷体_GB2312" w:eastAsia="楷体_GB2312"/>
          <w:bCs/>
          <w:sz w:val="30"/>
          <w:szCs w:val="30"/>
          <w:lang w:eastAsia="zh-CN"/>
        </w:rPr>
      </w:pPr>
      <w:r>
        <w:rPr>
          <w:rFonts w:hint="eastAsia" w:ascii="楷体_GB2312" w:eastAsia="楷体_GB2312"/>
          <w:bCs/>
          <w:sz w:val="30"/>
          <w:szCs w:val="30"/>
          <w:lang w:eastAsia="zh-CN"/>
        </w:rPr>
        <w:t>5.3.5开展校外参观体验和实践活动</w:t>
      </w:r>
    </w:p>
    <w:p>
      <w:pPr>
        <w:spacing w:line="560" w:lineRule="exact"/>
        <w:ind w:firstLine="640" w:firstLineChars="200"/>
        <w:jc w:val="both"/>
        <w:rPr>
          <w:rFonts w:ascii="仿宋_GB2312" w:hAnsi="仿宋" w:eastAsia="仿宋_GB2312"/>
          <w:sz w:val="32"/>
          <w:szCs w:val="32"/>
          <w:lang w:eastAsia="zh-CN"/>
        </w:rPr>
      </w:pPr>
      <w:r>
        <w:rPr>
          <w:rFonts w:hint="eastAsia" w:ascii="仿宋_GB2312" w:hAnsi="仿宋" w:eastAsia="仿宋_GB2312"/>
          <w:sz w:val="32"/>
          <w:szCs w:val="32"/>
          <w:lang w:eastAsia="zh-CN"/>
        </w:rPr>
        <w:t>建立学校垃圾分类向家庭向周边社区辐射影响机制，在学校组建垃圾分类社团和志愿者团队，以学校为单位组织开展“垃圾分类进社区”的互动实践活动，通过多样化的活动形式，带动学生主动履行生活垃圾分类的责任与义务，积极参加生活垃圾分类公益活动，进一步增强学生社会服务意识和环境保护理念。有条件的学校应组织学生到经开区环卫无害化综合处理中心（地址：人民大道中41号）实地参观学习生活垃圾处理技术、可回收资源再利用技术等，进行场景式体验，引导学生学以致用。</w:t>
      </w:r>
    </w:p>
    <w:p>
      <w:pPr>
        <w:spacing w:line="540" w:lineRule="exact"/>
        <w:ind w:firstLine="600"/>
        <w:jc w:val="both"/>
        <w:rPr>
          <w:rFonts w:ascii="楷体_GB2312" w:eastAsia="楷体_GB2312"/>
          <w:bCs/>
          <w:sz w:val="30"/>
          <w:szCs w:val="30"/>
          <w:lang w:eastAsia="zh-CN"/>
        </w:rPr>
      </w:pPr>
      <w:r>
        <w:rPr>
          <w:rFonts w:hint="eastAsia" w:ascii="楷体_GB2312" w:eastAsia="楷体_GB2312"/>
          <w:bCs/>
          <w:sz w:val="30"/>
          <w:szCs w:val="30"/>
          <w:lang w:eastAsia="zh-CN"/>
        </w:rPr>
        <w:t>5.3.5组织开展志愿者行动</w:t>
      </w:r>
    </w:p>
    <w:p>
      <w:pPr>
        <w:pStyle w:val="8"/>
        <w:shd w:val="clear" w:color="auto" w:fill="FFFFFF"/>
        <w:spacing w:beforeAutospacing="0" w:afterAutospacing="0" w:line="560" w:lineRule="exact"/>
        <w:ind w:firstLine="640" w:firstLineChars="200"/>
        <w:jc w:val="both"/>
        <w:rPr>
          <w:rFonts w:ascii="仿宋_GB2312" w:hAnsi="仿宋" w:eastAsia="仿宋_GB2312" w:cs="Arial"/>
          <w:sz w:val="32"/>
          <w:szCs w:val="32"/>
        </w:rPr>
      </w:pPr>
      <w:r>
        <w:rPr>
          <w:rFonts w:hint="eastAsia" w:ascii="仿宋_GB2312" w:hAnsi="仿宋" w:eastAsia="仿宋_GB2312"/>
          <w:sz w:val="32"/>
          <w:szCs w:val="32"/>
        </w:rPr>
        <w:t>学校积极组织动员广大师生加入市垃圾分类志愿者服务队，并在校内组建垃圾分类志愿服务队，并注重整合社会资源，邀请热衷公益事业的志愿者、市垃圾分类达人、高校学生</w:t>
      </w:r>
      <w:r>
        <w:rPr>
          <w:rFonts w:hint="eastAsia" w:ascii="仿宋_GB2312" w:hAnsi="仿宋" w:eastAsia="仿宋_GB2312" w:cs="Arial"/>
          <w:sz w:val="32"/>
          <w:szCs w:val="32"/>
        </w:rPr>
        <w:t>社团、社会环保团体和义工组织等到校内或校外一同开展垃圾分类宣传教育活动。各级各类学校要将我市红树林“净滩使者”公益行动、青少年学生“小小护林员”活动和垃圾分类有机结合在一起，要将活动中收集到的垃圾进行分类，并在活动现场面向公众开展好生活垃圾分类宣传活动。</w:t>
      </w:r>
    </w:p>
    <w:p>
      <w:pPr>
        <w:pStyle w:val="8"/>
        <w:shd w:val="clear" w:color="auto" w:fill="FFFFFF"/>
        <w:kinsoku/>
        <w:autoSpaceDE/>
        <w:autoSpaceDN/>
        <w:adjustRightInd/>
        <w:snapToGrid/>
        <w:spacing w:beforeAutospacing="0" w:afterAutospacing="0" w:line="560" w:lineRule="exact"/>
        <w:ind w:firstLine="642" w:firstLineChars="200"/>
        <w:jc w:val="both"/>
        <w:textAlignment w:val="auto"/>
        <w:rPr>
          <w:rFonts w:ascii="仿宋_GB2312" w:hAnsi="仿宋" w:eastAsia="仿宋_GB2312" w:cs="Arial"/>
          <w:sz w:val="32"/>
          <w:szCs w:val="32"/>
        </w:rPr>
      </w:pPr>
      <w:r>
        <w:rPr>
          <w:rFonts w:hint="eastAsia" w:ascii="仿宋_GB2312" w:hAnsi="仿宋" w:eastAsia="仿宋_GB2312" w:cs="Arial"/>
          <w:b/>
          <w:bCs/>
          <w:sz w:val="32"/>
          <w:szCs w:val="32"/>
        </w:rPr>
        <w:t>根据住建部的每月台账报送的要求：</w:t>
      </w:r>
      <w:r>
        <w:rPr>
          <w:rFonts w:hint="eastAsia" w:ascii="仿宋_GB2312" w:hAnsi="仿宋" w:eastAsia="仿宋_GB2312" w:cs="Arial"/>
          <w:sz w:val="32"/>
          <w:szCs w:val="32"/>
        </w:rPr>
        <w:t>学校每月至少组织1次垃圾分类教学或互动实践活动，学校每季度至少开展1次社团或志愿者活动。要形成活动的活动内容说明以及活动的通知、照片等佐证材料，并注重利用新媒体资源宣传推广。学校在教育局指导下要合理统筹开展好相关活动。</w:t>
      </w:r>
    </w:p>
    <w:p>
      <w:pPr>
        <w:pStyle w:val="8"/>
        <w:shd w:val="clear" w:color="auto" w:fill="FFFFFF"/>
        <w:kinsoku/>
        <w:autoSpaceDE/>
        <w:autoSpaceDN/>
        <w:adjustRightInd/>
        <w:snapToGrid/>
        <w:spacing w:beforeAutospacing="0" w:afterAutospacing="0" w:line="560" w:lineRule="exact"/>
        <w:ind w:firstLine="600"/>
        <w:jc w:val="both"/>
        <w:textAlignment w:val="auto"/>
        <w:rPr>
          <w:rFonts w:ascii="楷体_GB2312" w:eastAsia="楷体_GB2312" w:cs="Arial"/>
          <w:bCs/>
          <w:sz w:val="30"/>
          <w:szCs w:val="30"/>
        </w:rPr>
      </w:pPr>
      <w:r>
        <w:rPr>
          <w:rFonts w:hint="eastAsia" w:ascii="楷体_GB2312" w:eastAsia="楷体_GB2312" w:cs="Arial"/>
          <w:bCs/>
          <w:sz w:val="30"/>
          <w:szCs w:val="30"/>
          <w:lang w:eastAsia="zh-CN"/>
        </w:rPr>
        <w:t>5</w:t>
      </w:r>
      <w:r>
        <w:rPr>
          <w:rFonts w:hint="eastAsia" w:ascii="楷体_GB2312" w:eastAsia="楷体_GB2312" w:cs="Arial"/>
          <w:bCs/>
          <w:sz w:val="30"/>
          <w:szCs w:val="30"/>
        </w:rPr>
        <w:t>.3.7完善监督评价体系</w:t>
      </w:r>
    </w:p>
    <w:p>
      <w:pPr>
        <w:spacing w:line="540" w:lineRule="exact"/>
        <w:ind w:firstLine="640" w:firstLineChars="200"/>
        <w:jc w:val="both"/>
        <w:rPr>
          <w:rFonts w:ascii="仿宋_GB2312" w:hAnsi="仿宋" w:eastAsia="仿宋_GB2312"/>
          <w:sz w:val="32"/>
          <w:szCs w:val="32"/>
          <w:lang w:eastAsia="zh-CN"/>
        </w:rPr>
      </w:pPr>
      <w:r>
        <w:rPr>
          <w:rFonts w:hint="eastAsia" w:ascii="仿宋_GB2312" w:hAnsi="仿宋" w:eastAsia="仿宋_GB2312"/>
          <w:sz w:val="32"/>
          <w:szCs w:val="32"/>
          <w:lang w:eastAsia="zh-CN"/>
        </w:rPr>
        <w:t>学校要建师生组织对全校的垃圾分类情况进行日常监督检查，可探索每班设置垃圾分类监督员轮流值班，对班级学生分类不准确的行为进行及时纠正和指导。学校要建立垃圾分类工作考核机制，将垃圾分类投放纳入班级、个人考核体系，与学校文明班评选、少先队“雏鹰争章”等活动结合起来，评选垃圾分类优秀班级、个人，评选垃圾分类“推广大使”，激励广大学生积极参与垃圾分类。</w:t>
      </w:r>
    </w:p>
    <w:p>
      <w:pPr>
        <w:pStyle w:val="8"/>
        <w:shd w:val="clear" w:color="auto" w:fill="FFFFFF"/>
        <w:kinsoku/>
        <w:autoSpaceDE/>
        <w:autoSpaceDN/>
        <w:adjustRightInd/>
        <w:snapToGrid/>
        <w:spacing w:beforeAutospacing="0" w:afterAutospacing="0" w:line="560" w:lineRule="exact"/>
        <w:ind w:firstLine="600"/>
        <w:jc w:val="both"/>
        <w:textAlignment w:val="auto"/>
        <w:rPr>
          <w:rFonts w:ascii="楷体_GB2312" w:eastAsia="楷体_GB2312" w:cs="Arial"/>
          <w:bCs/>
          <w:sz w:val="30"/>
          <w:szCs w:val="30"/>
        </w:rPr>
      </w:pPr>
      <w:r>
        <w:rPr>
          <w:rFonts w:hint="eastAsia" w:ascii="楷体_GB2312" w:eastAsia="楷体_GB2312" w:cs="Arial"/>
          <w:bCs/>
          <w:sz w:val="30"/>
          <w:szCs w:val="30"/>
          <w:lang w:eastAsia="zh-CN"/>
        </w:rPr>
        <w:t>5</w:t>
      </w:r>
      <w:r>
        <w:rPr>
          <w:rFonts w:hint="eastAsia" w:ascii="楷体_GB2312" w:eastAsia="楷体_GB2312" w:cs="Arial"/>
          <w:bCs/>
          <w:sz w:val="30"/>
          <w:szCs w:val="30"/>
        </w:rPr>
        <w:t>.3.8规范设施建设</w:t>
      </w:r>
    </w:p>
    <w:p>
      <w:pPr>
        <w:pStyle w:val="8"/>
        <w:shd w:val="clear" w:color="auto" w:fill="FFFFFF"/>
        <w:kinsoku/>
        <w:autoSpaceDE/>
        <w:autoSpaceDN/>
        <w:adjustRightInd/>
        <w:snapToGrid/>
        <w:spacing w:beforeAutospacing="0" w:afterAutospacing="0" w:line="560" w:lineRule="exact"/>
        <w:ind w:firstLine="640" w:firstLineChars="200"/>
        <w:jc w:val="both"/>
        <w:textAlignment w:val="auto"/>
        <w:rPr>
          <w:rFonts w:ascii="仿宋_GB2312" w:hAnsi="仿宋" w:eastAsia="仿宋_GB2312"/>
          <w:sz w:val="32"/>
          <w:szCs w:val="32"/>
        </w:rPr>
      </w:pPr>
      <w:r>
        <w:rPr>
          <w:rFonts w:hint="eastAsia" w:ascii="仿宋_GB2312" w:hAnsi="仿宋" w:eastAsia="仿宋_GB2312"/>
          <w:sz w:val="32"/>
          <w:szCs w:val="32"/>
        </w:rPr>
        <w:t>学校要加大资金投入，大力推进生活垃圾分类体系建设。标识要规范准确，确保校园有害垃圾单独投放，厨余垃圾、其他垃圾有效分开，提高可回收物回收比例。</w:t>
      </w:r>
    </w:p>
    <w:p>
      <w:pPr>
        <w:pStyle w:val="8"/>
        <w:shd w:val="clear" w:color="auto" w:fill="FFFFFF"/>
        <w:kinsoku/>
        <w:autoSpaceDE/>
        <w:autoSpaceDN/>
        <w:adjustRightInd/>
        <w:snapToGrid/>
        <w:spacing w:beforeAutospacing="0" w:afterAutospacing="0" w:line="560" w:lineRule="exact"/>
        <w:ind w:firstLine="600"/>
        <w:jc w:val="both"/>
        <w:textAlignment w:val="auto"/>
        <w:rPr>
          <w:rFonts w:ascii="仿宋_GB2312" w:hAnsi="仿宋" w:eastAsia="仿宋_GB2312"/>
          <w:sz w:val="32"/>
          <w:szCs w:val="32"/>
        </w:rPr>
      </w:pPr>
      <w:r>
        <w:rPr>
          <w:rFonts w:hint="eastAsia" w:ascii="楷体_GB2312" w:eastAsia="楷体_GB2312" w:cs="Arial"/>
          <w:bCs/>
          <w:sz w:val="30"/>
          <w:szCs w:val="30"/>
          <w:lang w:eastAsia="zh-CN"/>
        </w:rPr>
        <w:t>5</w:t>
      </w:r>
      <w:r>
        <w:rPr>
          <w:rFonts w:hint="eastAsia" w:ascii="楷体_GB2312" w:eastAsia="楷体_GB2312" w:cs="Arial"/>
          <w:bCs/>
          <w:sz w:val="30"/>
          <w:szCs w:val="30"/>
        </w:rPr>
        <w:t>.3.</w:t>
      </w:r>
      <w:r>
        <w:rPr>
          <w:rFonts w:hint="eastAsia" w:ascii="楷体_GB2312" w:eastAsia="楷体_GB2312" w:cs="Arial"/>
          <w:bCs/>
          <w:sz w:val="30"/>
          <w:szCs w:val="30"/>
          <w:lang w:val="en-US" w:eastAsia="zh-CN"/>
        </w:rPr>
        <w:t>9</w:t>
      </w:r>
      <w:r>
        <w:rPr>
          <w:rFonts w:hint="eastAsia" w:ascii="楷体_GB2312" w:eastAsia="楷体_GB2312" w:cs="Arial"/>
          <w:bCs/>
          <w:sz w:val="30"/>
          <w:szCs w:val="30"/>
        </w:rPr>
        <w:t>明确垃圾去向</w:t>
      </w:r>
    </w:p>
    <w:p>
      <w:pPr>
        <w:spacing w:line="540" w:lineRule="exact"/>
        <w:ind w:firstLine="600" w:firstLineChars="200"/>
        <w:jc w:val="both"/>
        <w:rPr>
          <w:rFonts w:ascii="仿宋_GB2312" w:hAnsi="仿宋" w:eastAsia="仿宋_GB2312"/>
          <w:sz w:val="32"/>
          <w:szCs w:val="32"/>
          <w:lang w:eastAsia="zh-CN"/>
        </w:rPr>
      </w:pPr>
      <w:r>
        <w:rPr>
          <w:rFonts w:hint="eastAsia" w:ascii="仿宋_GB2312" w:hAnsi="宋体" w:eastAsia="仿宋_GB2312"/>
          <w:bCs/>
          <w:sz w:val="30"/>
          <w:szCs w:val="30"/>
          <w:lang w:eastAsia="zh-CN"/>
        </w:rPr>
        <w:t>学校应做到分类驳运规范和清运规范。分类垃圾应及时清运，分类垃圾清运后应及时清理和冲洗；驳运应分类，不得混装混运。学校应在本区域属地环卫部门的指导下，厨余垃圾无偿交由政府资源化处置并</w:t>
      </w:r>
      <w:r>
        <w:rPr>
          <w:rFonts w:hint="eastAsia" w:ascii="仿宋_GB2312" w:hAnsi="仿宋" w:eastAsia="仿宋_GB2312"/>
          <w:sz w:val="32"/>
          <w:szCs w:val="32"/>
          <w:lang w:eastAsia="zh-CN"/>
        </w:rPr>
        <w:t>详细记录厨余垃圾的种类、数量、去向等信息</w:t>
      </w:r>
      <w:r>
        <w:rPr>
          <w:rFonts w:hint="eastAsia" w:ascii="仿宋_GB2312" w:hAnsi="宋体" w:eastAsia="仿宋_GB2312"/>
          <w:bCs/>
          <w:sz w:val="30"/>
          <w:szCs w:val="30"/>
          <w:lang w:eastAsia="zh-CN"/>
        </w:rPr>
        <w:t>，有害垃圾交由有资质的收运作业单位处理，可回收物还可以交售至回收服务点或者回收经营者。学校要</w:t>
      </w:r>
      <w:r>
        <w:rPr>
          <w:rFonts w:hint="eastAsia" w:ascii="仿宋_GB2312" w:hAnsi="仿宋" w:eastAsia="仿宋_GB2312"/>
          <w:sz w:val="32"/>
          <w:szCs w:val="32"/>
          <w:lang w:eastAsia="zh-CN"/>
        </w:rPr>
        <w:t>建立完善校内生活垃圾分类台账制度，记录责任范围内产生的生活垃圾的种类、数量等情况，明确运输单位和垃圾去向，并与有资质的收运单位做好交接、登记和统计工作，应在</w:t>
      </w:r>
      <w:r>
        <w:rPr>
          <w:rFonts w:hint="eastAsia" w:ascii="仿宋_GB2312" w:hAnsi="宋体" w:eastAsia="仿宋_GB2312"/>
          <w:bCs/>
          <w:sz w:val="30"/>
          <w:szCs w:val="30"/>
          <w:lang w:eastAsia="zh-CN"/>
        </w:rPr>
        <w:t>学校</w:t>
      </w:r>
      <w:r>
        <w:rPr>
          <w:rFonts w:hint="eastAsia" w:ascii="仿宋_GB2312" w:hAnsi="仿宋" w:eastAsia="仿宋_GB2312"/>
          <w:sz w:val="32"/>
          <w:szCs w:val="32"/>
          <w:lang w:eastAsia="zh-CN"/>
        </w:rPr>
        <w:t>设置生活垃圾分类宣传专栏和公示牌。</w:t>
      </w:r>
    </w:p>
    <w:p>
      <w:pPr>
        <w:spacing w:line="560" w:lineRule="exact"/>
        <w:ind w:firstLine="600"/>
        <w:jc w:val="both"/>
        <w:rPr>
          <w:rFonts w:ascii="楷体_GB2312" w:eastAsia="楷体_GB2312"/>
          <w:bCs/>
          <w:sz w:val="30"/>
          <w:szCs w:val="30"/>
          <w:lang w:eastAsia="zh-CN"/>
        </w:rPr>
      </w:pPr>
      <w:r>
        <w:rPr>
          <w:rFonts w:hint="eastAsia" w:ascii="楷体_GB2312" w:eastAsia="楷体_GB2312"/>
          <w:bCs/>
          <w:sz w:val="30"/>
          <w:szCs w:val="30"/>
          <w:lang w:eastAsia="zh-CN"/>
        </w:rPr>
        <w:t>5.3.</w:t>
      </w:r>
      <w:r>
        <w:rPr>
          <w:rFonts w:hint="eastAsia" w:ascii="楷体_GB2312" w:eastAsia="楷体_GB2312"/>
          <w:bCs/>
          <w:sz w:val="30"/>
          <w:szCs w:val="30"/>
          <w:lang w:val="en-US" w:eastAsia="zh-CN"/>
        </w:rPr>
        <w:t xml:space="preserve">10 </w:t>
      </w:r>
      <w:r>
        <w:rPr>
          <w:rFonts w:hint="eastAsia" w:ascii="楷体_GB2312" w:eastAsia="楷体_GB2312"/>
          <w:bCs/>
          <w:sz w:val="30"/>
          <w:szCs w:val="30"/>
          <w:lang w:eastAsia="zh-CN"/>
        </w:rPr>
        <w:t>践行源头减量</w:t>
      </w:r>
    </w:p>
    <w:p>
      <w:pPr>
        <w:spacing w:line="560" w:lineRule="exact"/>
        <w:ind w:firstLine="640" w:firstLineChars="200"/>
        <w:jc w:val="both"/>
        <w:rPr>
          <w:rFonts w:ascii="仿宋_GB2312" w:hAnsi="仿宋_GB2312" w:eastAsia="仿宋_GB2312" w:cs="仿宋_GB2312"/>
          <w:sz w:val="32"/>
          <w:szCs w:val="32"/>
          <w:shd w:val="clear" w:color="auto" w:fill="FFFFFF"/>
          <w:lang w:eastAsia="zh-CN"/>
        </w:rPr>
      </w:pPr>
      <w:r>
        <w:rPr>
          <w:rFonts w:hint="eastAsia" w:ascii="仿宋_GB2312" w:hAnsi="仿宋" w:eastAsia="仿宋_GB2312"/>
          <w:sz w:val="32"/>
          <w:szCs w:val="32"/>
          <w:lang w:eastAsia="zh-CN"/>
        </w:rPr>
        <w:t>学校要从源头上控制垃圾产生，应积极积极倡导不使用一次性用品、纸张双面打印等源头减废行为；倡导减少塑料使用，回收旧纺织物；倡导“光盘行动”等绿色就餐行为，在学校食堂等地张贴“光盘行动”宣传海报；在学校食堂的餐桌、餐盘张贴光盘行动宣传图贴。</w:t>
      </w:r>
    </w:p>
    <w:p>
      <w:pPr>
        <w:spacing w:line="560" w:lineRule="exact"/>
        <w:ind w:firstLine="600"/>
        <w:jc w:val="both"/>
        <w:rPr>
          <w:rFonts w:ascii="楷体_GB2312" w:eastAsia="楷体_GB2312"/>
          <w:bCs/>
          <w:sz w:val="30"/>
          <w:szCs w:val="30"/>
          <w:lang w:eastAsia="zh-CN"/>
        </w:rPr>
      </w:pPr>
      <w:r>
        <w:rPr>
          <w:rFonts w:hint="eastAsia" w:ascii="楷体_GB2312" w:eastAsia="楷体_GB2312"/>
          <w:bCs/>
          <w:sz w:val="30"/>
          <w:szCs w:val="30"/>
          <w:lang w:eastAsia="zh-CN"/>
        </w:rPr>
        <w:t>5.3.1</w:t>
      </w:r>
      <w:r>
        <w:rPr>
          <w:rFonts w:hint="eastAsia" w:ascii="楷体_GB2312" w:eastAsia="楷体_GB2312"/>
          <w:bCs/>
          <w:sz w:val="30"/>
          <w:szCs w:val="30"/>
          <w:lang w:val="en-US" w:eastAsia="zh-CN"/>
        </w:rPr>
        <w:t xml:space="preserve">1 </w:t>
      </w:r>
      <w:r>
        <w:rPr>
          <w:rFonts w:hint="eastAsia" w:ascii="楷体_GB2312" w:eastAsia="楷体_GB2312"/>
          <w:bCs/>
          <w:sz w:val="30"/>
          <w:szCs w:val="30"/>
          <w:lang w:eastAsia="zh-CN"/>
        </w:rPr>
        <w:t>重视分类实效</w:t>
      </w:r>
    </w:p>
    <w:p>
      <w:pPr>
        <w:spacing w:line="560" w:lineRule="exact"/>
        <w:ind w:firstLine="640" w:firstLineChars="200"/>
        <w:jc w:val="both"/>
        <w:rPr>
          <w:rFonts w:ascii="仿宋_GB2312" w:hAnsi="仿宋_GB2312" w:eastAsia="仿宋_GB2312" w:cs="仿宋_GB2312"/>
          <w:sz w:val="32"/>
          <w:szCs w:val="32"/>
          <w:shd w:val="clear" w:color="auto" w:fill="FFFFFF"/>
          <w:lang w:eastAsia="zh-CN"/>
        </w:rPr>
      </w:pPr>
      <w:r>
        <w:rPr>
          <w:rFonts w:hint="eastAsia" w:ascii="仿宋_GB2312" w:hAnsi="仿宋_GB2312" w:eastAsia="仿宋_GB2312" w:cs="仿宋_GB2312"/>
          <w:bCs/>
          <w:sz w:val="32"/>
          <w:szCs w:val="32"/>
          <w:lang w:eastAsia="zh-CN"/>
        </w:rPr>
        <w:t>学校应重视生活垃圾分类的具体成效，宣传氛围浓厚，师生知晓率和参与率高；分类容器配置合理，垃圾容器不满溢，容器内垃圾不存在明显混投，垃圾暂存点或垃圾房整洁卫生；师生自觉分类投放习惯良好。</w:t>
      </w:r>
      <w:r>
        <w:rPr>
          <w:rFonts w:hint="eastAsia" w:ascii="仿宋_GB2312" w:hAnsi="仿宋_GB2312" w:eastAsia="仿宋_GB2312" w:cs="仿宋_GB2312"/>
          <w:sz w:val="32"/>
          <w:szCs w:val="32"/>
          <w:shd w:val="clear" w:color="auto" w:fill="FFFFFF"/>
          <w:lang w:eastAsia="zh-CN"/>
        </w:rPr>
        <w:t>学校要建立对学校垃圾分类工作的反馈整改机制，学校生活垃圾分类投放管理人根据巡查员反馈的问题进行整改，完成整改。</w:t>
      </w:r>
      <w:r>
        <w:rPr>
          <w:rFonts w:hint="eastAsia" w:ascii="仿宋_GB2312" w:hAnsi="仿宋_GB2312" w:eastAsia="仿宋_GB2312" w:cs="仿宋_GB2312"/>
          <w:bCs/>
          <w:sz w:val="32"/>
          <w:szCs w:val="32"/>
          <w:lang w:eastAsia="zh-CN"/>
        </w:rPr>
        <w:t>市教育局将加强对各地各校生活垃圾分类工作的检查和考核。</w:t>
      </w:r>
    </w:p>
    <w:p>
      <w:pPr>
        <w:spacing w:line="560" w:lineRule="exact"/>
        <w:ind w:firstLine="600"/>
        <w:jc w:val="both"/>
        <w:rPr>
          <w:rFonts w:ascii="楷体_GB2312" w:eastAsia="楷体_GB2312"/>
          <w:bCs/>
          <w:sz w:val="30"/>
          <w:szCs w:val="30"/>
          <w:lang w:eastAsia="zh-CN"/>
        </w:rPr>
      </w:pPr>
      <w:r>
        <w:rPr>
          <w:rFonts w:hint="eastAsia" w:ascii="楷体_GB2312" w:eastAsia="楷体_GB2312"/>
          <w:bCs/>
          <w:sz w:val="30"/>
          <w:szCs w:val="30"/>
          <w:lang w:eastAsia="zh-CN"/>
        </w:rPr>
        <w:t>5.3.1</w:t>
      </w:r>
      <w:r>
        <w:rPr>
          <w:rFonts w:hint="eastAsia" w:ascii="楷体_GB2312" w:eastAsia="楷体_GB2312"/>
          <w:bCs/>
          <w:sz w:val="30"/>
          <w:szCs w:val="30"/>
          <w:lang w:val="en-US" w:eastAsia="zh-CN"/>
        </w:rPr>
        <w:t xml:space="preserve">2 </w:t>
      </w:r>
      <w:r>
        <w:rPr>
          <w:rFonts w:hint="eastAsia" w:ascii="楷体_GB2312" w:eastAsia="楷体_GB2312"/>
          <w:bCs/>
          <w:sz w:val="30"/>
          <w:szCs w:val="30"/>
          <w:lang w:eastAsia="zh-CN"/>
        </w:rPr>
        <w:t>做好台账管理和报送</w:t>
      </w:r>
    </w:p>
    <w:p>
      <w:pPr>
        <w:pStyle w:val="8"/>
        <w:shd w:val="clear" w:color="auto" w:fill="FFFFFF"/>
        <w:kinsoku/>
        <w:autoSpaceDE/>
        <w:autoSpaceDN/>
        <w:adjustRightInd/>
        <w:snapToGrid/>
        <w:spacing w:beforeAutospacing="0" w:afterAutospacing="0" w:line="560" w:lineRule="exact"/>
        <w:ind w:firstLine="640" w:firstLineChars="200"/>
        <w:jc w:val="both"/>
        <w:textAlignment w:val="auto"/>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建立每月报台账、每季度总结的工作机制。学校可根据市生活垃圾分类示范校的指标体系建立工作台账目录，注重工作台账的日常管理和更新，特别要做好建立学校长效工作机制、垃圾分类教学、校园知识普及和互动实践、学生社团或志愿团队活动、学校培训、垃圾分类产生量和收运记录等方面的档案。</w:t>
      </w:r>
    </w:p>
    <w:p>
      <w:pPr>
        <w:spacing w:line="560" w:lineRule="exact"/>
        <w:ind w:firstLine="600"/>
        <w:jc w:val="both"/>
        <w:rPr>
          <w:rFonts w:ascii="楷体_GB2312" w:eastAsia="楷体_GB2312"/>
          <w:bCs/>
          <w:sz w:val="30"/>
          <w:szCs w:val="30"/>
          <w:lang w:eastAsia="zh-CN"/>
        </w:rPr>
      </w:pPr>
      <w:r>
        <w:rPr>
          <w:rFonts w:hint="eastAsia" w:ascii="楷体_GB2312" w:eastAsia="楷体_GB2312"/>
          <w:bCs/>
          <w:sz w:val="30"/>
          <w:szCs w:val="30"/>
          <w:lang w:eastAsia="zh-CN"/>
        </w:rPr>
        <w:t>5.3.1</w:t>
      </w:r>
      <w:r>
        <w:rPr>
          <w:rFonts w:hint="eastAsia" w:ascii="楷体_GB2312" w:eastAsia="楷体_GB2312"/>
          <w:bCs/>
          <w:sz w:val="30"/>
          <w:szCs w:val="30"/>
          <w:lang w:val="en-US" w:eastAsia="zh-CN"/>
        </w:rPr>
        <w:t xml:space="preserve">3 </w:t>
      </w:r>
      <w:r>
        <w:rPr>
          <w:rFonts w:hint="eastAsia" w:ascii="楷体_GB2312" w:eastAsia="楷体_GB2312"/>
          <w:bCs/>
          <w:sz w:val="30"/>
          <w:szCs w:val="30"/>
          <w:lang w:eastAsia="zh-CN"/>
        </w:rPr>
        <w:t>鼓励创新</w:t>
      </w:r>
    </w:p>
    <w:p>
      <w:pPr>
        <w:pStyle w:val="8"/>
        <w:shd w:val="clear" w:color="auto" w:fill="FFFFFF"/>
        <w:kinsoku/>
        <w:autoSpaceDE/>
        <w:autoSpaceDN/>
        <w:adjustRightInd/>
        <w:snapToGrid/>
        <w:spacing w:beforeAutospacing="0" w:afterAutospacing="0" w:line="560" w:lineRule="exact"/>
        <w:ind w:firstLine="640" w:firstLineChars="200"/>
        <w:jc w:val="both"/>
        <w:textAlignment w:val="auto"/>
        <w:rPr>
          <w:rFonts w:ascii="仿宋_GB2312" w:hAnsi="仿宋_GB2312" w:eastAsia="仿宋_GB2312" w:cs="仿宋_GB2312"/>
          <w:bCs/>
          <w:sz w:val="32"/>
          <w:szCs w:val="32"/>
        </w:rPr>
      </w:pPr>
      <w:r>
        <w:rPr>
          <w:rFonts w:hint="eastAsia" w:ascii="仿宋_GB2312" w:hAnsi="仿宋_GB2312" w:eastAsia="仿宋_GB2312" w:cs="仿宋_GB2312"/>
          <w:sz w:val="32"/>
          <w:szCs w:val="32"/>
          <w:shd w:val="clear" w:color="auto" w:fill="FFFFFF"/>
        </w:rPr>
        <w:t>市教育局将面向全市学校开展生活垃圾分类示范校建设。鼓励学校结合实际开展垃圾分类工作模式探索，探索形成垃圾分类特色主题教育活动，探索形成特色校本课程体系，探索完善学生生活垃圾投放监督、考核和评价体系。</w:t>
      </w:r>
      <w:r>
        <w:rPr>
          <w:rFonts w:hint="eastAsia" w:ascii="仿宋_GB2312" w:hAnsi="宋体" w:eastAsia="仿宋_GB2312"/>
          <w:bCs/>
          <w:sz w:val="32"/>
          <w:szCs w:val="32"/>
        </w:rPr>
        <w:t>鼓励师生围绕生活垃圾减量、便利高效的投放容器创新等开展生态文明志愿活动和创新创造活动。</w:t>
      </w:r>
    </w:p>
    <w:p>
      <w:pPr>
        <w:spacing w:line="540" w:lineRule="exact"/>
        <w:ind w:firstLine="600"/>
        <w:jc w:val="both"/>
        <w:outlineLvl w:val="0"/>
        <w:rPr>
          <w:rFonts w:ascii="黑体" w:hAnsi="黑体" w:eastAsia="黑体"/>
          <w:bCs/>
          <w:sz w:val="30"/>
          <w:szCs w:val="30"/>
          <w:lang w:eastAsia="zh-CN"/>
        </w:rPr>
      </w:pPr>
      <w:bookmarkStart w:id="17" w:name="_Toc25508"/>
      <w:r>
        <w:rPr>
          <w:rFonts w:hint="eastAsia" w:ascii="黑体" w:hAnsi="黑体" w:eastAsia="黑体"/>
          <w:bCs/>
          <w:sz w:val="30"/>
          <w:szCs w:val="30"/>
          <w:lang w:eastAsia="zh-CN"/>
        </w:rPr>
        <w:t>7</w:t>
      </w:r>
      <w:r>
        <w:rPr>
          <w:rFonts w:hint="eastAsia" w:ascii="黑体" w:hAnsi="黑体" w:eastAsia="黑体"/>
          <w:bCs/>
          <w:sz w:val="30"/>
          <w:szCs w:val="30"/>
          <w:lang w:val="en-US" w:eastAsia="zh-CN"/>
        </w:rPr>
        <w:t xml:space="preserve"> </w:t>
      </w:r>
      <w:r>
        <w:rPr>
          <w:rFonts w:hint="eastAsia" w:ascii="黑体" w:hAnsi="黑体" w:eastAsia="黑体"/>
          <w:bCs/>
          <w:sz w:val="30"/>
          <w:szCs w:val="30"/>
          <w:lang w:eastAsia="zh-CN"/>
        </w:rPr>
        <w:t>法律责任</w:t>
      </w:r>
      <w:bookmarkEnd w:id="17"/>
    </w:p>
    <w:p>
      <w:pPr>
        <w:pStyle w:val="8"/>
        <w:shd w:val="clear" w:color="auto" w:fill="FFFFFF"/>
        <w:kinsoku/>
        <w:autoSpaceDE/>
        <w:autoSpaceDN/>
        <w:adjustRightInd/>
        <w:snapToGrid/>
        <w:spacing w:beforeAutospacing="0" w:afterAutospacing="0" w:line="560" w:lineRule="exact"/>
        <w:ind w:firstLine="640" w:firstLineChars="200"/>
        <w:jc w:val="both"/>
        <w:textAlignment w:val="auto"/>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根据《湛江市生活垃圾分类管理条例》，违反相关条例，由市、县（市、区）城市管理和综合执法部门责令改正</w:t>
      </w:r>
    </w:p>
    <w:p>
      <w:pPr>
        <w:pStyle w:val="8"/>
        <w:shd w:val="clear" w:color="auto" w:fill="FFFFFF"/>
        <w:kinsoku/>
        <w:autoSpaceDE/>
        <w:autoSpaceDN/>
        <w:adjustRightInd/>
        <w:snapToGrid/>
        <w:spacing w:beforeAutospacing="0" w:afterAutospacing="0" w:line="56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第三十四条任何单位和个人违反本条例第十二条第一款、第二款和第十三条第一款的规定，未按照分类规定投放生活垃圾的，或者未按规定投放体积较大的废弃物品的，由市、县（市、区）城市管理和综合执法部门责令改正；情节严重的，对单位处五万元以上五十万元以下的罚款，对个人处一百元以上五百元以下的罚款。</w:t>
      </w:r>
    </w:p>
    <w:p>
      <w:pPr>
        <w:pStyle w:val="8"/>
        <w:shd w:val="clear" w:color="auto" w:fill="FFFFFF"/>
        <w:spacing w:beforeAutospacing="0" w:afterAutospacing="0" w:line="560" w:lineRule="exact"/>
        <w:jc w:val="both"/>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　　第三十五条生活垃圾分类投放管理责任人违反本条例第十五条规定的，由市、县（市、区）城市管理和综合执法部门责令限期改正；逾期不改正的，处一千元以上一万元以下的罚款。</w:t>
      </w:r>
    </w:p>
    <w:p>
      <w:pPr>
        <w:pStyle w:val="13"/>
        <w:spacing w:line="560" w:lineRule="exact"/>
        <w:ind w:firstLine="1280" w:firstLineChars="400"/>
        <w:jc w:val="both"/>
        <w:rPr>
          <w:rFonts w:ascii="仿宋_GB2312" w:hAnsi="仿宋_GB2312" w:eastAsia="仿宋_GB2312" w:cs="仿宋_GB2312"/>
          <w:sz w:val="32"/>
          <w:szCs w:val="32"/>
          <w:shd w:val="clear" w:color="auto" w:fill="FFFFFF"/>
          <w:lang w:eastAsia="zh-CN" w:bidi="ar"/>
        </w:rPr>
      </w:pPr>
      <w:r>
        <w:rPr>
          <w:rFonts w:hint="eastAsia" w:ascii="仿宋_GB2312" w:hAnsi="仿宋_GB2312" w:eastAsia="仿宋_GB2312" w:cs="仿宋_GB2312"/>
          <w:sz w:val="32"/>
          <w:szCs w:val="32"/>
          <w:shd w:val="clear" w:color="auto" w:fill="FFFFFF"/>
          <w:lang w:eastAsia="zh-CN" w:bidi="ar"/>
        </w:rPr>
        <w:t>第三十七条相关部门及其工作人员违反本条例规定，在生活垃圾分类监督管理活动中有玩忽职守、滥用职权、徇私舞弊等行为的，由本级人民政府或者上级人民政府有关部门责令改正，对直接负责的主管人员和其他直接责任人员依法给予处分；构成犯罪的，依法追究刑事责任。</w:t>
      </w:r>
    </w:p>
    <w:p>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eastAsia" w:ascii="仿宋_GB2312" w:hAnsi="仿宋_GB2312" w:eastAsia="仿宋_GB2312" w:cs="仿宋_GB2312"/>
          <w:i w:val="0"/>
          <w:iCs w:val="0"/>
          <w:caps w:val="0"/>
          <w:snapToGrid w:val="0"/>
          <w:color w:val="000000"/>
          <w:spacing w:val="0"/>
          <w:kern w:val="0"/>
          <w:sz w:val="32"/>
          <w:szCs w:val="32"/>
          <w:shd w:val="clear" w:fill="FFFFFF"/>
          <w:lang w:val="en-US" w:eastAsia="zh-CN" w:bidi="ar"/>
        </w:rPr>
      </w:pPr>
    </w:p>
    <w:p>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eastAsia" w:ascii="仿宋_GB2312" w:hAnsi="仿宋_GB2312" w:eastAsia="仿宋_GB2312" w:cs="仿宋_GB2312"/>
          <w:i w:val="0"/>
          <w:iCs w:val="0"/>
          <w:caps w:val="0"/>
          <w:snapToGrid w:val="0"/>
          <w:color w:val="000000"/>
          <w:spacing w:val="0"/>
          <w:kern w:val="0"/>
          <w:sz w:val="32"/>
          <w:szCs w:val="32"/>
          <w:shd w:val="clear" w:fill="FFFFFF"/>
          <w:lang w:val="en-US" w:eastAsia="zh-CN" w:bidi="ar"/>
        </w:rPr>
      </w:pPr>
    </w:p>
    <w:p>
      <w:pPr>
        <w:pStyle w:val="2"/>
        <w:numPr>
          <w:ilvl w:val="0"/>
          <w:numId w:val="0"/>
        </w:numPr>
        <w:spacing w:before="0" w:beforeLines="0" w:after="468" w:afterLines="150"/>
        <w:ind w:firstLine="640" w:firstLineChars="200"/>
        <w:jc w:val="both"/>
        <w:rPr>
          <w:rFonts w:hint="eastAsia" w:ascii="仿宋_GB2312" w:hAnsi="仿宋_GB2312" w:eastAsia="仿宋_GB2312" w:cs="仿宋_GB2312"/>
          <w:b w:val="0"/>
          <w:bCs w:val="0"/>
          <w:snapToGrid w:val="0"/>
          <w:color w:val="000000"/>
          <w:kern w:val="0"/>
          <w:sz w:val="32"/>
          <w:szCs w:val="32"/>
          <w:shd w:val="clear" w:color="auto" w:fill="FFFFFF"/>
          <w:lang w:val="en-US" w:eastAsia="zh-CN" w:bidi="ar"/>
        </w:rPr>
      </w:pPr>
      <w:bookmarkStart w:id="18" w:name="_Toc24783"/>
      <w:bookmarkStart w:id="19" w:name="_Toc11504"/>
      <w:bookmarkStart w:id="20" w:name="_Toc28131"/>
      <w:bookmarkStart w:id="21" w:name="_Toc11024"/>
      <w:r>
        <w:rPr>
          <w:rFonts w:hint="default" w:ascii="仿宋_GB2312" w:hAnsi="仿宋_GB2312" w:eastAsia="仿宋_GB2312" w:cs="仿宋_GB2312"/>
          <w:b w:val="0"/>
          <w:bCs w:val="0"/>
          <w:snapToGrid w:val="0"/>
          <w:color w:val="000000"/>
          <w:kern w:val="0"/>
          <w:sz w:val="32"/>
          <w:szCs w:val="32"/>
          <w:shd w:val="clear" w:color="auto" w:fill="FFFFFF"/>
          <w:lang w:val="en-US" w:eastAsia="zh-CN" w:bidi="ar"/>
        </w:rPr>
        <w:t>附件</w:t>
      </w:r>
      <w:bookmarkEnd w:id="18"/>
      <w:bookmarkEnd w:id="19"/>
      <w:bookmarkEnd w:id="20"/>
      <w:bookmarkEnd w:id="21"/>
      <w:r>
        <w:rPr>
          <w:rFonts w:hint="eastAsia" w:ascii="仿宋_GB2312" w:hAnsi="仿宋_GB2312" w:eastAsia="仿宋_GB2312" w:cs="仿宋_GB2312"/>
          <w:b w:val="0"/>
          <w:bCs w:val="0"/>
          <w:snapToGrid w:val="0"/>
          <w:color w:val="000000"/>
          <w:kern w:val="0"/>
          <w:sz w:val="32"/>
          <w:szCs w:val="32"/>
          <w:shd w:val="clear" w:color="auto" w:fill="FFFFFF"/>
          <w:lang w:val="en-US" w:eastAsia="zh-CN" w:bidi="ar"/>
        </w:rPr>
        <w:t>：1.</w:t>
      </w:r>
      <w:bookmarkStart w:id="22" w:name="_Toc32586"/>
      <w:r>
        <w:rPr>
          <w:rFonts w:hint="eastAsia" w:ascii="仿宋_GB2312" w:hAnsi="仿宋_GB2312" w:eastAsia="仿宋_GB2312" w:cs="仿宋_GB2312"/>
          <w:b w:val="0"/>
          <w:bCs w:val="0"/>
          <w:snapToGrid w:val="0"/>
          <w:color w:val="000000"/>
          <w:kern w:val="0"/>
          <w:sz w:val="32"/>
          <w:szCs w:val="32"/>
          <w:shd w:val="clear" w:color="auto" w:fill="FFFFFF"/>
          <w:lang w:val="en-US" w:eastAsia="zh-CN" w:bidi="ar"/>
        </w:rPr>
        <w:t>垃圾分类</w:t>
      </w:r>
      <w:r>
        <w:rPr>
          <w:rFonts w:hint="default" w:ascii="仿宋_GB2312" w:hAnsi="仿宋_GB2312" w:eastAsia="仿宋_GB2312" w:cs="仿宋_GB2312"/>
          <w:b w:val="0"/>
          <w:bCs w:val="0"/>
          <w:snapToGrid w:val="0"/>
          <w:color w:val="000000"/>
          <w:kern w:val="0"/>
          <w:sz w:val="32"/>
          <w:szCs w:val="32"/>
          <w:shd w:val="clear" w:color="auto" w:fill="FFFFFF"/>
          <w:lang w:val="en-US" w:eastAsia="zh-CN" w:bidi="ar"/>
        </w:rPr>
        <w:t>宣传资料</w:t>
      </w:r>
      <w:r>
        <w:rPr>
          <w:rFonts w:hint="eastAsia" w:ascii="仿宋_GB2312" w:hAnsi="仿宋_GB2312" w:eastAsia="仿宋_GB2312" w:cs="仿宋_GB2312"/>
          <w:b w:val="0"/>
          <w:bCs w:val="0"/>
          <w:snapToGrid w:val="0"/>
          <w:color w:val="000000"/>
          <w:kern w:val="0"/>
          <w:sz w:val="32"/>
          <w:szCs w:val="32"/>
          <w:shd w:val="clear" w:color="auto" w:fill="FFFFFF"/>
          <w:lang w:val="en-US" w:eastAsia="zh-CN" w:bidi="ar"/>
        </w:rPr>
        <w:t>示例</w:t>
      </w:r>
      <w:bookmarkEnd w:id="22"/>
      <w:bookmarkStart w:id="23" w:name="_Toc29563"/>
    </w:p>
    <w:p>
      <w:pPr>
        <w:pStyle w:val="2"/>
        <w:numPr>
          <w:ilvl w:val="0"/>
          <w:numId w:val="0"/>
        </w:numPr>
        <w:spacing w:before="0" w:beforeLines="0" w:after="468" w:afterLines="150"/>
        <w:ind w:firstLine="1600" w:firstLineChars="500"/>
        <w:jc w:val="both"/>
        <w:rPr>
          <w:rFonts w:hint="eastAsia" w:ascii="仿宋_GB2312" w:hAnsi="仿宋_GB2312" w:eastAsia="仿宋_GB2312" w:cs="仿宋_GB2312"/>
          <w:b w:val="0"/>
          <w:bCs w:val="0"/>
          <w:snapToGrid w:val="0"/>
          <w:color w:val="000000"/>
          <w:kern w:val="0"/>
          <w:sz w:val="32"/>
          <w:szCs w:val="32"/>
          <w:shd w:val="clear" w:color="auto" w:fill="FFFFFF"/>
          <w:lang w:val="en-US" w:eastAsia="zh-CN" w:bidi="ar"/>
        </w:rPr>
      </w:pPr>
      <w:r>
        <w:rPr>
          <w:rFonts w:hint="eastAsia" w:ascii="仿宋_GB2312" w:hAnsi="仿宋_GB2312" w:eastAsia="仿宋_GB2312" w:cs="仿宋_GB2312"/>
          <w:b w:val="0"/>
          <w:bCs w:val="0"/>
          <w:snapToGrid w:val="0"/>
          <w:color w:val="000000"/>
          <w:kern w:val="0"/>
          <w:sz w:val="32"/>
          <w:szCs w:val="32"/>
          <w:shd w:val="clear" w:color="auto" w:fill="FFFFFF"/>
          <w:lang w:val="en-US" w:eastAsia="zh-CN" w:bidi="ar"/>
        </w:rPr>
        <w:t>2. 垃圾分类标志</w:t>
      </w:r>
      <w:bookmarkEnd w:id="23"/>
    </w:p>
    <w:p>
      <w:pPr>
        <w:pStyle w:val="7"/>
        <w:spacing w:line="360" w:lineRule="auto"/>
        <w:ind w:firstLine="1600" w:firstLineChars="500"/>
        <w:outlineLvl w:val="0"/>
        <w:rPr>
          <w:rFonts w:hint="eastAsia" w:ascii="仿宋_GB2312" w:hAnsi="仿宋_GB2312" w:eastAsia="仿宋_GB2312" w:cs="仿宋_GB2312"/>
          <w:b w:val="0"/>
          <w:bCs w:val="0"/>
          <w:snapToGrid w:val="0"/>
          <w:color w:val="000000"/>
          <w:kern w:val="0"/>
          <w:sz w:val="32"/>
          <w:szCs w:val="32"/>
          <w:shd w:val="clear" w:color="auto" w:fill="FFFFFF"/>
          <w:lang w:val="en-US" w:eastAsia="zh-CN" w:bidi="ar"/>
        </w:rPr>
      </w:pPr>
      <w:r>
        <w:rPr>
          <w:rFonts w:hint="eastAsia" w:ascii="仿宋_GB2312" w:hAnsi="仿宋_GB2312" w:eastAsia="仿宋_GB2312" w:cs="仿宋_GB2312"/>
          <w:b w:val="0"/>
          <w:bCs w:val="0"/>
          <w:snapToGrid w:val="0"/>
          <w:color w:val="000000"/>
          <w:kern w:val="0"/>
          <w:sz w:val="32"/>
          <w:szCs w:val="32"/>
          <w:shd w:val="clear" w:color="auto" w:fill="FFFFFF"/>
          <w:lang w:val="en-US" w:eastAsia="zh-CN" w:bidi="ar"/>
        </w:rPr>
        <w:t>3.垃圾分类小程序借鉴</w:t>
      </w:r>
    </w:p>
    <w:p>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eastAsia" w:ascii="仿宋_GB2312" w:hAnsi="仿宋_GB2312" w:eastAsia="仿宋_GB2312" w:cs="仿宋_GB2312"/>
          <w:i w:val="0"/>
          <w:iCs w:val="0"/>
          <w:caps w:val="0"/>
          <w:snapToGrid w:val="0"/>
          <w:color w:val="000000"/>
          <w:spacing w:val="0"/>
          <w:kern w:val="0"/>
          <w:sz w:val="32"/>
          <w:szCs w:val="32"/>
          <w:shd w:val="clear" w:fill="FFFFFF"/>
          <w:lang w:val="en-US" w:eastAsia="zh-CN" w:bidi="ar"/>
        </w:rPr>
      </w:pPr>
    </w:p>
    <w:p>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eastAsia" w:ascii="仿宋_GB2312" w:hAnsi="仿宋_GB2312" w:eastAsia="仿宋_GB2312" w:cs="仿宋_GB2312"/>
          <w:i w:val="0"/>
          <w:iCs w:val="0"/>
          <w:caps w:val="0"/>
          <w:snapToGrid w:val="0"/>
          <w:color w:val="000000"/>
          <w:spacing w:val="0"/>
          <w:kern w:val="0"/>
          <w:sz w:val="32"/>
          <w:szCs w:val="32"/>
          <w:shd w:val="clear" w:fill="FFFFFF"/>
          <w:lang w:val="en-US" w:eastAsia="zh-CN" w:bidi="ar"/>
        </w:rPr>
      </w:pPr>
    </w:p>
    <w:p>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560" w:lineRule="exact"/>
        <w:ind w:firstLine="640" w:firstLineChars="200"/>
        <w:textAlignment w:val="baseline"/>
        <w:rPr>
          <w:rFonts w:hint="eastAsia" w:ascii="仿宋_GB2312" w:hAnsi="仿宋_GB2312" w:eastAsia="仿宋_GB2312" w:cs="仿宋_GB2312"/>
          <w:i w:val="0"/>
          <w:iCs w:val="0"/>
          <w:caps w:val="0"/>
          <w:snapToGrid w:val="0"/>
          <w:color w:val="000000"/>
          <w:spacing w:val="0"/>
          <w:kern w:val="0"/>
          <w:sz w:val="32"/>
          <w:szCs w:val="32"/>
          <w:shd w:val="clear" w:fill="FFFFFF"/>
          <w:lang w:val="en-US" w:eastAsia="zh-CN" w:bidi="ar"/>
        </w:rPr>
      </w:pPr>
    </w:p>
    <w:p>
      <w:pPr>
        <w:ind w:firstLine="840" w:firstLineChars="400"/>
        <w:rPr>
          <w:rFonts w:hint="eastAsia" w:ascii="Times New Roman" w:hAnsi="Times New Roman" w:eastAsia="宋体" w:cs="Times New Roman"/>
          <w:color w:val="auto"/>
          <w:lang w:eastAsia="zh-CN"/>
        </w:rPr>
      </w:pPr>
      <w:bookmarkStart w:id="24" w:name="_Toc15524"/>
    </w:p>
    <w:p>
      <w:pPr>
        <w:rPr>
          <w:rFonts w:hint="eastAsia" w:ascii="Times New Roman" w:hAnsi="Times New Roman" w:eastAsia="宋体" w:cs="Times New Roman"/>
          <w:color w:val="auto"/>
          <w:lang w:eastAsia="zh-CN"/>
        </w:rPr>
      </w:pPr>
      <w:r>
        <w:drawing>
          <wp:anchor distT="0" distB="0" distL="0" distR="0" simplePos="0" relativeHeight="251662336" behindDoc="0" locked="0" layoutInCell="0" allowOverlap="1">
            <wp:simplePos x="0" y="0"/>
            <wp:positionH relativeFrom="page">
              <wp:posOffset>8616950</wp:posOffset>
            </wp:positionH>
            <wp:positionV relativeFrom="page">
              <wp:posOffset>1034415</wp:posOffset>
            </wp:positionV>
            <wp:extent cx="3276600" cy="2044700"/>
            <wp:effectExtent l="0" t="0" r="0" b="12700"/>
            <wp:wrapNone/>
            <wp:docPr id="36" name="IM 32"/>
            <wp:cNvGraphicFramePr/>
            <a:graphic xmlns:a="http://schemas.openxmlformats.org/drawingml/2006/main">
              <a:graphicData uri="http://schemas.openxmlformats.org/drawingml/2006/picture">
                <pic:pic xmlns:pic="http://schemas.openxmlformats.org/drawingml/2006/picture">
                  <pic:nvPicPr>
                    <pic:cNvPr id="36" name="IM 32"/>
                    <pic:cNvPicPr/>
                  </pic:nvPicPr>
                  <pic:blipFill>
                    <a:blip r:embed="rId12"/>
                    <a:stretch>
                      <a:fillRect/>
                    </a:stretch>
                  </pic:blipFill>
                  <pic:spPr>
                    <a:xfrm>
                      <a:off x="0" y="0"/>
                      <a:ext cx="3276600" cy="2044700"/>
                    </a:xfrm>
                    <a:prstGeom prst="rect">
                      <a:avLst/>
                    </a:prstGeom>
                  </pic:spPr>
                </pic:pic>
              </a:graphicData>
            </a:graphic>
          </wp:anchor>
        </w:drawing>
      </w:r>
    </w:p>
    <w:bookmarkEnd w:id="24"/>
    <w:p>
      <w:pPr>
        <w:rPr>
          <w:rStyle w:val="20"/>
          <w:rFonts w:hint="default" w:ascii="Times New Roman" w:hAnsi="Times New Roman" w:cs="Times New Roman"/>
          <w:color w:val="auto"/>
        </w:rPr>
      </w:pPr>
    </w:p>
    <w:p>
      <w:pPr>
        <w:pStyle w:val="18"/>
        <w:outlineLvl w:val="0"/>
        <w:rPr>
          <w:rStyle w:val="20"/>
          <w:rFonts w:hint="eastAsia" w:ascii="黑体" w:hAnsi="黑体" w:cs="黑体"/>
          <w:color w:val="auto"/>
          <w:sz w:val="32"/>
        </w:rPr>
      </w:pPr>
      <w:bookmarkStart w:id="25" w:name="_Toc5049"/>
    </w:p>
    <w:p>
      <w:pPr>
        <w:pStyle w:val="18"/>
        <w:outlineLvl w:val="0"/>
        <w:rPr>
          <w:rStyle w:val="20"/>
          <w:rFonts w:hint="eastAsia" w:ascii="黑体" w:hAnsi="黑体" w:cs="黑体"/>
          <w:color w:val="auto"/>
          <w:sz w:val="32"/>
        </w:rPr>
      </w:pPr>
    </w:p>
    <w:p>
      <w:pPr>
        <w:pStyle w:val="18"/>
        <w:outlineLvl w:val="0"/>
        <w:rPr>
          <w:rStyle w:val="20"/>
          <w:rFonts w:hint="eastAsia" w:ascii="黑体" w:hAnsi="黑体" w:cs="黑体"/>
          <w:color w:val="auto"/>
          <w:sz w:val="32"/>
        </w:rPr>
      </w:pPr>
    </w:p>
    <w:p>
      <w:pPr>
        <w:pStyle w:val="18"/>
        <w:outlineLvl w:val="0"/>
        <w:rPr>
          <w:rStyle w:val="20"/>
          <w:rFonts w:hint="eastAsia" w:ascii="黑体" w:hAnsi="黑体" w:cs="黑体"/>
          <w:color w:val="auto"/>
          <w:sz w:val="32"/>
        </w:rPr>
      </w:pPr>
    </w:p>
    <w:p>
      <w:pPr>
        <w:pStyle w:val="18"/>
        <w:outlineLvl w:val="0"/>
        <w:rPr>
          <w:rStyle w:val="20"/>
          <w:rFonts w:hint="eastAsia" w:ascii="黑体" w:hAnsi="黑体" w:cs="黑体"/>
          <w:color w:val="auto"/>
          <w:sz w:val="32"/>
        </w:rPr>
      </w:pPr>
    </w:p>
    <w:p>
      <w:pPr>
        <w:pStyle w:val="18"/>
        <w:outlineLvl w:val="0"/>
        <w:rPr>
          <w:rStyle w:val="20"/>
          <w:rFonts w:hint="eastAsia" w:ascii="黑体" w:hAnsi="黑体" w:cs="黑体"/>
          <w:color w:val="auto"/>
          <w:sz w:val="32"/>
        </w:rPr>
      </w:pPr>
    </w:p>
    <w:p>
      <w:pPr>
        <w:pStyle w:val="18"/>
        <w:outlineLvl w:val="0"/>
        <w:rPr>
          <w:rStyle w:val="20"/>
          <w:rFonts w:hint="eastAsia" w:ascii="黑体" w:hAnsi="黑体" w:cs="黑体"/>
          <w:color w:val="auto"/>
          <w:sz w:val="32"/>
        </w:rPr>
      </w:pPr>
    </w:p>
    <w:p>
      <w:pPr>
        <w:pStyle w:val="18"/>
        <w:outlineLvl w:val="0"/>
        <w:rPr>
          <w:rStyle w:val="20"/>
          <w:rFonts w:hint="eastAsia" w:ascii="黑体" w:hAnsi="黑体" w:cs="黑体"/>
          <w:color w:val="auto"/>
          <w:sz w:val="32"/>
        </w:rPr>
      </w:pPr>
    </w:p>
    <w:p>
      <w:pPr>
        <w:pStyle w:val="18"/>
        <w:outlineLvl w:val="0"/>
        <w:rPr>
          <w:rStyle w:val="20"/>
          <w:rFonts w:hint="eastAsia" w:ascii="黑体" w:hAnsi="黑体" w:cs="黑体"/>
          <w:color w:val="auto"/>
          <w:sz w:val="32"/>
        </w:rPr>
      </w:pPr>
    </w:p>
    <w:p>
      <w:pPr>
        <w:pStyle w:val="18"/>
        <w:outlineLvl w:val="0"/>
        <w:rPr>
          <w:rStyle w:val="20"/>
          <w:rFonts w:hint="eastAsia" w:ascii="黑体" w:hAnsi="黑体" w:cs="黑体"/>
          <w:color w:val="auto"/>
          <w:sz w:val="32"/>
        </w:rPr>
      </w:pPr>
    </w:p>
    <w:p>
      <w:pPr>
        <w:pStyle w:val="18"/>
        <w:outlineLvl w:val="0"/>
        <w:rPr>
          <w:rStyle w:val="20"/>
          <w:rFonts w:hint="eastAsia" w:ascii="黑体" w:hAnsi="黑体" w:cs="黑体"/>
          <w:color w:val="auto"/>
          <w:sz w:val="32"/>
        </w:rPr>
      </w:pPr>
    </w:p>
    <w:p>
      <w:pPr>
        <w:pStyle w:val="18"/>
        <w:outlineLvl w:val="0"/>
        <w:rPr>
          <w:rStyle w:val="20"/>
          <w:rFonts w:hint="eastAsia" w:ascii="黑体" w:hAnsi="黑体" w:cs="黑体"/>
          <w:color w:val="auto"/>
          <w:sz w:val="32"/>
        </w:rPr>
      </w:pPr>
    </w:p>
    <w:p>
      <w:pPr>
        <w:pStyle w:val="18"/>
        <w:outlineLvl w:val="0"/>
        <w:rPr>
          <w:rStyle w:val="20"/>
          <w:rFonts w:hint="eastAsia" w:ascii="黑体" w:hAnsi="黑体" w:cs="黑体"/>
          <w:color w:val="auto"/>
          <w:sz w:val="32"/>
        </w:rPr>
      </w:pPr>
    </w:p>
    <w:p>
      <w:pPr>
        <w:pStyle w:val="18"/>
        <w:outlineLvl w:val="0"/>
        <w:rPr>
          <w:rStyle w:val="20"/>
          <w:rFonts w:hint="eastAsia" w:ascii="黑体" w:hAnsi="黑体" w:cs="黑体"/>
          <w:color w:val="auto"/>
          <w:sz w:val="32"/>
        </w:rPr>
      </w:pPr>
    </w:p>
    <w:p>
      <w:pPr>
        <w:pStyle w:val="18"/>
        <w:outlineLvl w:val="0"/>
        <w:rPr>
          <w:rStyle w:val="20"/>
          <w:rFonts w:hint="eastAsia" w:ascii="黑体" w:hAnsi="黑体" w:cs="黑体"/>
          <w:color w:val="auto"/>
          <w:sz w:val="32"/>
        </w:rPr>
      </w:pPr>
    </w:p>
    <w:p>
      <w:pPr>
        <w:pStyle w:val="18"/>
        <w:outlineLvl w:val="0"/>
        <w:rPr>
          <w:rStyle w:val="20"/>
          <w:rFonts w:hint="eastAsia" w:ascii="黑体" w:hAnsi="黑体" w:cs="黑体"/>
          <w:color w:val="auto"/>
          <w:sz w:val="32"/>
        </w:rPr>
      </w:pPr>
    </w:p>
    <w:p>
      <w:pPr>
        <w:pStyle w:val="18"/>
        <w:outlineLvl w:val="0"/>
        <w:rPr>
          <w:rStyle w:val="20"/>
          <w:rFonts w:hint="eastAsia" w:ascii="黑体" w:hAnsi="黑体" w:cs="黑体"/>
          <w:color w:val="auto"/>
          <w:sz w:val="32"/>
        </w:rPr>
      </w:pPr>
    </w:p>
    <w:p>
      <w:pPr>
        <w:pStyle w:val="18"/>
        <w:outlineLvl w:val="0"/>
        <w:rPr>
          <w:rStyle w:val="20"/>
          <w:rFonts w:hint="eastAsia" w:ascii="黑体" w:hAnsi="黑体" w:cs="黑体"/>
          <w:color w:val="auto"/>
          <w:sz w:val="32"/>
        </w:rPr>
      </w:pPr>
    </w:p>
    <w:p>
      <w:pPr>
        <w:pStyle w:val="18"/>
        <w:outlineLvl w:val="0"/>
        <w:rPr>
          <w:rStyle w:val="20"/>
          <w:rFonts w:hint="eastAsia" w:ascii="黑体" w:hAnsi="黑体" w:eastAsia="黑体" w:cs="黑体"/>
          <w:color w:val="auto"/>
          <w:sz w:val="32"/>
          <w:lang w:val="en-US" w:eastAsia="zh-CN"/>
        </w:rPr>
      </w:pPr>
      <w:bookmarkStart w:id="37" w:name="_GoBack"/>
      <w:bookmarkEnd w:id="37"/>
      <w:r>
        <w:rPr>
          <w:rStyle w:val="20"/>
          <w:rFonts w:hint="eastAsia" w:ascii="黑体" w:hAnsi="黑体" w:cs="黑体"/>
          <w:color w:val="auto"/>
          <w:sz w:val="32"/>
        </w:rPr>
        <w:t>附件</w:t>
      </w:r>
      <w:r>
        <w:rPr>
          <w:rStyle w:val="20"/>
          <w:rFonts w:hint="eastAsia" w:ascii="黑体" w:hAnsi="黑体" w:eastAsia="黑体" w:cs="黑体"/>
          <w:color w:val="auto"/>
          <w:sz w:val="32"/>
          <w:lang w:val="en-US" w:eastAsia="zh-CN"/>
        </w:rPr>
        <w:t>1 宣传资料模板</w:t>
      </w:r>
      <w:bookmarkEnd w:id="25"/>
    </w:p>
    <w:p>
      <w:pPr>
        <w:outlineLvl w:val="0"/>
        <w:rPr>
          <w:rFonts w:hint="eastAsia" w:ascii="Times New Roman" w:hAnsi="Times New Roman" w:eastAsia="黑体" w:cs="Times New Roman"/>
          <w:color w:val="auto"/>
          <w:sz w:val="28"/>
          <w:szCs w:val="28"/>
          <w:lang w:val="en-US" w:eastAsia="zh-CN"/>
        </w:rPr>
      </w:pPr>
      <w:bookmarkStart w:id="26" w:name="_Toc17163"/>
      <w:r>
        <w:rPr>
          <w:rFonts w:hint="default" w:ascii="Times New Roman" w:hAnsi="Times New Roman" w:eastAsia="黑体" w:cs="Times New Roman"/>
          <w:color w:val="auto"/>
          <w:sz w:val="28"/>
          <w:szCs w:val="28"/>
        </w:rPr>
        <w:t>附件</w:t>
      </w:r>
      <w:r>
        <w:rPr>
          <w:rFonts w:hint="eastAsia" w:ascii="Times New Roman" w:hAnsi="Times New Roman" w:eastAsia="黑体" w:cs="Times New Roman"/>
          <w:color w:val="auto"/>
          <w:sz w:val="28"/>
          <w:szCs w:val="28"/>
          <w:lang w:val="en-US" w:eastAsia="zh-CN"/>
        </w:rPr>
        <w:t>1</w:t>
      </w:r>
      <w:r>
        <w:rPr>
          <w:rFonts w:hint="default" w:ascii="Times New Roman" w:hAnsi="Times New Roman" w:eastAsia="黑体" w:cs="Times New Roman"/>
          <w:color w:val="auto"/>
          <w:sz w:val="28"/>
          <w:szCs w:val="28"/>
        </w:rPr>
        <w:t xml:space="preserve">-1 </w:t>
      </w:r>
      <w:r>
        <w:rPr>
          <w:rFonts w:hint="eastAsia" w:ascii="Times New Roman" w:hAnsi="Times New Roman" w:eastAsia="黑体" w:cs="Times New Roman"/>
          <w:color w:val="auto"/>
          <w:sz w:val="28"/>
          <w:szCs w:val="28"/>
          <w:lang w:val="en-US" w:eastAsia="zh-CN"/>
        </w:rPr>
        <w:t>宣传海报模板</w:t>
      </w:r>
      <w:bookmarkEnd w:id="26"/>
    </w:p>
    <w:p>
      <w:pPr>
        <w:rPr>
          <w:rFonts w:hint="eastAsia" w:ascii="Times New Roman" w:hAnsi="Times New Roman" w:eastAsia="黑体" w:cs="Times New Roman"/>
          <w:color w:val="auto"/>
          <w:sz w:val="28"/>
          <w:szCs w:val="28"/>
          <w:lang w:val="en-US" w:eastAsia="zh-CN"/>
        </w:rPr>
      </w:pPr>
      <w:r>
        <w:rPr>
          <w:rFonts w:hint="eastAsia" w:ascii="Times New Roman" w:hAnsi="Times New Roman" w:eastAsia="黑体" w:cs="Times New Roman"/>
          <w:color w:val="auto"/>
          <w:sz w:val="28"/>
          <w:szCs w:val="28"/>
          <w:lang w:val="en-US" w:eastAsia="zh-CN"/>
        </w:rPr>
        <w:drawing>
          <wp:inline distT="0" distB="0" distL="114300" distR="114300">
            <wp:extent cx="5266055" cy="7437120"/>
            <wp:effectExtent l="0" t="0" r="10795" b="11430"/>
            <wp:docPr id="14" name="图片 14" descr="垃圾分类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垃圾分类2"/>
                    <pic:cNvPicPr>
                      <a:picLocks noChangeAspect="true"/>
                    </pic:cNvPicPr>
                  </pic:nvPicPr>
                  <pic:blipFill>
                    <a:blip r:embed="rId13"/>
                    <a:stretch>
                      <a:fillRect/>
                    </a:stretch>
                  </pic:blipFill>
                  <pic:spPr>
                    <a:xfrm>
                      <a:off x="0" y="0"/>
                      <a:ext cx="5266055" cy="7437120"/>
                    </a:xfrm>
                    <a:prstGeom prst="rect">
                      <a:avLst/>
                    </a:prstGeom>
                  </pic:spPr>
                </pic:pic>
              </a:graphicData>
            </a:graphic>
          </wp:inline>
        </w:drawing>
      </w:r>
    </w:p>
    <w:p>
      <w:pPr>
        <w:rPr>
          <w:rFonts w:hint="default" w:ascii="Times New Roman" w:hAnsi="Times New Roman" w:eastAsia="黑体" w:cs="Times New Roman"/>
          <w:color w:val="auto"/>
          <w:sz w:val="28"/>
          <w:szCs w:val="28"/>
          <w:lang w:val="en-US" w:eastAsia="zh-CN"/>
        </w:rPr>
      </w:pP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76"/>
        <w:gridCol w:w="42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0" w:hRule="atLeast"/>
        </w:trPr>
        <w:tc>
          <w:tcPr>
            <w:tcW w:w="4261" w:type="dxa"/>
          </w:tcPr>
          <w:p>
            <w:pPr>
              <w:pStyle w:val="18"/>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Style w:val="20"/>
                <w:rFonts w:hint="eastAsia" w:ascii="Times New Roman" w:hAnsi="Times New Roman" w:eastAsia="黑体" w:cs="Times New Roman"/>
                <w:color w:val="auto"/>
                <w:vertAlign w:val="baseline"/>
                <w:lang w:eastAsia="zh-CN"/>
              </w:rPr>
            </w:pPr>
            <w:bookmarkStart w:id="27" w:name="_Toc21717"/>
            <w:r>
              <w:rPr>
                <w:rStyle w:val="20"/>
                <w:rFonts w:hint="eastAsia" w:ascii="Times New Roman" w:hAnsi="Times New Roman" w:eastAsia="黑体" w:cs="Times New Roman"/>
                <w:color w:val="auto"/>
                <w:vertAlign w:val="baseline"/>
                <w:lang w:eastAsia="zh-CN"/>
              </w:rPr>
              <w:drawing>
                <wp:inline distT="0" distB="0" distL="114300" distR="114300">
                  <wp:extent cx="2566035" cy="3629025"/>
                  <wp:effectExtent l="0" t="0" r="5715" b="9525"/>
                  <wp:docPr id="4" name="图片 4" descr="32167eccb794765203c41050def20cc7_"/>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32167eccb794765203c41050def20cc7_"/>
                          <pic:cNvPicPr>
                            <a:picLocks noChangeAspect="true"/>
                          </pic:cNvPicPr>
                        </pic:nvPicPr>
                        <pic:blipFill>
                          <a:blip r:embed="rId14"/>
                          <a:stretch>
                            <a:fillRect/>
                          </a:stretch>
                        </pic:blipFill>
                        <pic:spPr>
                          <a:xfrm>
                            <a:off x="0" y="0"/>
                            <a:ext cx="2566035" cy="3629025"/>
                          </a:xfrm>
                          <a:prstGeom prst="rect">
                            <a:avLst/>
                          </a:prstGeom>
                        </pic:spPr>
                      </pic:pic>
                    </a:graphicData>
                  </a:graphic>
                </wp:inline>
              </w:drawing>
            </w:r>
          </w:p>
          <w:bookmarkEnd w:id="27"/>
        </w:tc>
        <w:tc>
          <w:tcPr>
            <w:tcW w:w="4261" w:type="dxa"/>
          </w:tcPr>
          <w:p>
            <w:pPr>
              <w:pStyle w:val="18"/>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Style w:val="20"/>
                <w:rFonts w:hint="eastAsia" w:ascii="Times New Roman" w:hAnsi="Times New Roman" w:eastAsia="黑体" w:cs="Times New Roman"/>
                <w:color w:val="auto"/>
                <w:vertAlign w:val="baseline"/>
                <w:lang w:eastAsia="zh-CN"/>
              </w:rPr>
            </w:pPr>
            <w:bookmarkStart w:id="28" w:name="_Toc1062"/>
            <w:r>
              <w:rPr>
                <w:rStyle w:val="20"/>
                <w:rFonts w:hint="eastAsia" w:ascii="Times New Roman" w:hAnsi="Times New Roman" w:eastAsia="黑体" w:cs="Times New Roman"/>
                <w:color w:val="auto"/>
                <w:vertAlign w:val="baseline"/>
                <w:lang w:eastAsia="zh-CN"/>
              </w:rPr>
              <w:drawing>
                <wp:inline distT="0" distB="0" distL="114300" distR="114300">
                  <wp:extent cx="2555240" cy="3613785"/>
                  <wp:effectExtent l="0" t="0" r="16510" b="5715"/>
                  <wp:docPr id="5" name="图片 5" descr="146ef6462bd5340258e8f0b6c6f7a71c_"/>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146ef6462bd5340258e8f0b6c6f7a71c_"/>
                          <pic:cNvPicPr>
                            <a:picLocks noChangeAspect="true"/>
                          </pic:cNvPicPr>
                        </pic:nvPicPr>
                        <pic:blipFill>
                          <a:blip r:embed="rId15"/>
                          <a:stretch>
                            <a:fillRect/>
                          </a:stretch>
                        </pic:blipFill>
                        <pic:spPr>
                          <a:xfrm>
                            <a:off x="0" y="0"/>
                            <a:ext cx="2555240" cy="3613785"/>
                          </a:xfrm>
                          <a:prstGeom prst="rect">
                            <a:avLst/>
                          </a:prstGeom>
                        </pic:spPr>
                      </pic:pic>
                    </a:graphicData>
                  </a:graphic>
                </wp:inline>
              </w:drawing>
            </w:r>
          </w:p>
          <w:bookmarkEnd w:id="28"/>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pStyle w:val="18"/>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Style w:val="20"/>
                <w:rFonts w:hint="eastAsia" w:ascii="Times New Roman" w:hAnsi="Times New Roman" w:eastAsia="黑体" w:cs="Times New Roman"/>
                <w:color w:val="auto"/>
                <w:vertAlign w:val="baseline"/>
                <w:lang w:eastAsia="zh-CN"/>
              </w:rPr>
            </w:pPr>
            <w:bookmarkStart w:id="29" w:name="_Toc15444"/>
            <w:r>
              <w:rPr>
                <w:rStyle w:val="20"/>
                <w:rFonts w:hint="eastAsia" w:ascii="Times New Roman" w:hAnsi="Times New Roman" w:eastAsia="黑体" w:cs="Times New Roman"/>
                <w:color w:val="auto"/>
                <w:vertAlign w:val="baseline"/>
                <w:lang w:eastAsia="zh-CN"/>
              </w:rPr>
              <w:drawing>
                <wp:inline distT="0" distB="0" distL="114300" distR="114300">
                  <wp:extent cx="2576830" cy="3644265"/>
                  <wp:effectExtent l="0" t="0" r="13970" b="13335"/>
                  <wp:docPr id="6" name="图片 6" descr="152c15d52e88eda3dda83e96ec48b844_"/>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152c15d52e88eda3dda83e96ec48b844_"/>
                          <pic:cNvPicPr>
                            <a:picLocks noChangeAspect="true"/>
                          </pic:cNvPicPr>
                        </pic:nvPicPr>
                        <pic:blipFill>
                          <a:blip r:embed="rId16"/>
                          <a:stretch>
                            <a:fillRect/>
                          </a:stretch>
                        </pic:blipFill>
                        <pic:spPr>
                          <a:xfrm>
                            <a:off x="0" y="0"/>
                            <a:ext cx="2576830" cy="3644265"/>
                          </a:xfrm>
                          <a:prstGeom prst="rect">
                            <a:avLst/>
                          </a:prstGeom>
                        </pic:spPr>
                      </pic:pic>
                    </a:graphicData>
                  </a:graphic>
                </wp:inline>
              </w:drawing>
            </w:r>
          </w:p>
          <w:bookmarkEnd w:id="29"/>
        </w:tc>
        <w:tc>
          <w:tcPr>
            <w:tcW w:w="4261" w:type="dxa"/>
          </w:tcPr>
          <w:p>
            <w:pPr>
              <w:pStyle w:val="18"/>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Style w:val="20"/>
                <w:rFonts w:hint="eastAsia" w:ascii="Times New Roman" w:hAnsi="Times New Roman" w:eastAsia="黑体" w:cs="Times New Roman"/>
                <w:color w:val="auto"/>
                <w:vertAlign w:val="baseline"/>
                <w:lang w:eastAsia="zh-CN"/>
              </w:rPr>
            </w:pPr>
            <w:bookmarkStart w:id="30" w:name="_Toc9429"/>
            <w:r>
              <w:rPr>
                <w:rStyle w:val="20"/>
                <w:rFonts w:hint="eastAsia" w:ascii="Times New Roman" w:hAnsi="Times New Roman" w:eastAsia="黑体" w:cs="Times New Roman"/>
                <w:color w:val="auto"/>
                <w:vertAlign w:val="baseline"/>
                <w:lang w:eastAsia="zh-CN"/>
              </w:rPr>
              <w:drawing>
                <wp:inline distT="0" distB="0" distL="114300" distR="114300">
                  <wp:extent cx="2555240" cy="3613785"/>
                  <wp:effectExtent l="0" t="0" r="16510" b="5715"/>
                  <wp:docPr id="10" name="图片 10" descr="97da20f82a4a53555826d1b633bb6ad7_"/>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97da20f82a4a53555826d1b633bb6ad7_"/>
                          <pic:cNvPicPr>
                            <a:picLocks noChangeAspect="true"/>
                          </pic:cNvPicPr>
                        </pic:nvPicPr>
                        <pic:blipFill>
                          <a:blip r:embed="rId17"/>
                          <a:stretch>
                            <a:fillRect/>
                          </a:stretch>
                        </pic:blipFill>
                        <pic:spPr>
                          <a:xfrm>
                            <a:off x="0" y="0"/>
                            <a:ext cx="2555240" cy="3613785"/>
                          </a:xfrm>
                          <a:prstGeom prst="rect">
                            <a:avLst/>
                          </a:prstGeom>
                        </pic:spPr>
                      </pic:pic>
                    </a:graphicData>
                  </a:graphic>
                </wp:inline>
              </w:drawing>
            </w:r>
          </w:p>
          <w:bookmarkEnd w:id="30"/>
        </w:tc>
      </w:tr>
    </w:tbl>
    <w:p>
      <w:pPr>
        <w:rPr>
          <w:rStyle w:val="20"/>
          <w:rFonts w:hint="default" w:ascii="Times New Roman" w:hAnsi="Times New Roman" w:cs="Times New Roman"/>
          <w:color w:val="auto"/>
        </w:rPr>
      </w:pPr>
      <w:r>
        <w:rPr>
          <w:rStyle w:val="20"/>
          <w:rFonts w:hint="default" w:ascii="Times New Roman" w:hAnsi="Times New Roman" w:cs="Times New Roman"/>
          <w:color w:val="auto"/>
        </w:rPr>
        <w:br w:type="page"/>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0" w:hRule="atLeast"/>
        </w:trPr>
        <w:tc>
          <w:tcPr>
            <w:tcW w:w="4261" w:type="dxa"/>
          </w:tcPr>
          <w:p>
            <w:pPr>
              <w:pStyle w:val="18"/>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Style w:val="20"/>
                <w:rFonts w:hint="eastAsia" w:ascii="Times New Roman" w:hAnsi="Times New Roman" w:eastAsia="黑体" w:cs="Times New Roman"/>
                <w:color w:val="auto"/>
                <w:vertAlign w:val="baseline"/>
                <w:lang w:eastAsia="zh-CN"/>
              </w:rPr>
            </w:pPr>
            <w:bookmarkStart w:id="31" w:name="_Toc19941"/>
            <w:r>
              <w:rPr>
                <w:rStyle w:val="20"/>
                <w:rFonts w:hint="eastAsia" w:ascii="Times New Roman" w:hAnsi="Times New Roman" w:eastAsia="黑体" w:cs="Times New Roman"/>
                <w:color w:val="auto"/>
                <w:vertAlign w:val="baseline"/>
                <w:lang w:eastAsia="zh-CN"/>
              </w:rPr>
              <w:drawing>
                <wp:inline distT="0" distB="0" distL="114300" distR="114300">
                  <wp:extent cx="2566035" cy="3629025"/>
                  <wp:effectExtent l="0" t="0" r="5715" b="9525"/>
                  <wp:docPr id="11" name="图片 11" descr="28a089a4bd15a3d98b1efeba7b3675e1_"/>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28a089a4bd15a3d98b1efeba7b3675e1_"/>
                          <pic:cNvPicPr>
                            <a:picLocks noChangeAspect="true"/>
                          </pic:cNvPicPr>
                        </pic:nvPicPr>
                        <pic:blipFill>
                          <a:blip r:embed="rId18"/>
                          <a:stretch>
                            <a:fillRect/>
                          </a:stretch>
                        </pic:blipFill>
                        <pic:spPr>
                          <a:xfrm>
                            <a:off x="0" y="0"/>
                            <a:ext cx="2566035" cy="3629025"/>
                          </a:xfrm>
                          <a:prstGeom prst="rect">
                            <a:avLst/>
                          </a:prstGeom>
                        </pic:spPr>
                      </pic:pic>
                    </a:graphicData>
                  </a:graphic>
                </wp:inline>
              </w:drawing>
            </w:r>
          </w:p>
          <w:bookmarkEnd w:id="31"/>
        </w:tc>
        <w:tc>
          <w:tcPr>
            <w:tcW w:w="4261" w:type="dxa"/>
          </w:tcPr>
          <w:p>
            <w:pPr>
              <w:pStyle w:val="18"/>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Style w:val="20"/>
                <w:rFonts w:hint="eastAsia" w:ascii="Times New Roman" w:hAnsi="Times New Roman" w:eastAsia="黑体" w:cs="Times New Roman"/>
                <w:color w:val="auto"/>
                <w:vertAlign w:val="baseline"/>
                <w:lang w:eastAsia="zh-CN"/>
              </w:rPr>
            </w:pPr>
            <w:bookmarkStart w:id="32" w:name="_Toc10733"/>
            <w:r>
              <w:rPr>
                <w:rStyle w:val="20"/>
                <w:rFonts w:hint="eastAsia" w:ascii="Times New Roman" w:hAnsi="Times New Roman" w:eastAsia="黑体" w:cs="Times New Roman"/>
                <w:color w:val="auto"/>
                <w:vertAlign w:val="baseline"/>
                <w:lang w:eastAsia="zh-CN"/>
              </w:rPr>
              <w:drawing>
                <wp:inline distT="0" distB="0" distL="114300" distR="114300">
                  <wp:extent cx="2555240" cy="3613785"/>
                  <wp:effectExtent l="0" t="0" r="16510" b="5715"/>
                  <wp:docPr id="13" name="图片 13" descr="a41e924afa98b5bb6f87a18258f03d55_"/>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a41e924afa98b5bb6f87a18258f03d55_"/>
                          <pic:cNvPicPr>
                            <a:picLocks noChangeAspect="true"/>
                          </pic:cNvPicPr>
                        </pic:nvPicPr>
                        <pic:blipFill>
                          <a:blip r:embed="rId19"/>
                          <a:stretch>
                            <a:fillRect/>
                          </a:stretch>
                        </pic:blipFill>
                        <pic:spPr>
                          <a:xfrm>
                            <a:off x="0" y="0"/>
                            <a:ext cx="2555240" cy="3613785"/>
                          </a:xfrm>
                          <a:prstGeom prst="rect">
                            <a:avLst/>
                          </a:prstGeom>
                        </pic:spPr>
                      </pic:pic>
                    </a:graphicData>
                  </a:graphic>
                </wp:inline>
              </w:drawing>
            </w:r>
          </w:p>
          <w:bookmarkEnd w:id="32"/>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pStyle w:val="18"/>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Style w:val="20"/>
                <w:rFonts w:hint="eastAsia" w:ascii="Times New Roman" w:hAnsi="Times New Roman" w:eastAsia="黑体" w:cs="Times New Roman"/>
                <w:color w:val="auto"/>
                <w:vertAlign w:val="baseline"/>
                <w:lang w:eastAsia="zh-CN"/>
              </w:rPr>
            </w:pPr>
            <w:bookmarkStart w:id="33" w:name="_Toc21342"/>
            <w:r>
              <w:rPr>
                <w:rStyle w:val="20"/>
                <w:rFonts w:hint="eastAsia" w:ascii="Times New Roman" w:hAnsi="Times New Roman" w:eastAsia="黑体" w:cs="Times New Roman"/>
                <w:color w:val="auto"/>
                <w:vertAlign w:val="baseline"/>
                <w:lang w:eastAsia="zh-CN"/>
              </w:rPr>
              <w:drawing>
                <wp:inline distT="0" distB="0" distL="114300" distR="114300">
                  <wp:extent cx="2566035" cy="3629025"/>
                  <wp:effectExtent l="0" t="0" r="5715" b="9525"/>
                  <wp:docPr id="12" name="图片 12" descr="28aee321a878a5bb76ad9116995d2dd5_"/>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28aee321a878a5bb76ad9116995d2dd5_"/>
                          <pic:cNvPicPr>
                            <a:picLocks noChangeAspect="true"/>
                          </pic:cNvPicPr>
                        </pic:nvPicPr>
                        <pic:blipFill>
                          <a:blip r:embed="rId20"/>
                          <a:stretch>
                            <a:fillRect/>
                          </a:stretch>
                        </pic:blipFill>
                        <pic:spPr>
                          <a:xfrm>
                            <a:off x="0" y="0"/>
                            <a:ext cx="2566035" cy="3629025"/>
                          </a:xfrm>
                          <a:prstGeom prst="rect">
                            <a:avLst/>
                          </a:prstGeom>
                        </pic:spPr>
                      </pic:pic>
                    </a:graphicData>
                  </a:graphic>
                </wp:inline>
              </w:drawing>
            </w:r>
          </w:p>
          <w:bookmarkEnd w:id="33"/>
        </w:tc>
        <w:tc>
          <w:tcPr>
            <w:tcW w:w="4261" w:type="dxa"/>
          </w:tcPr>
          <w:p>
            <w:pPr>
              <w:pStyle w:val="18"/>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Style w:val="20"/>
                <w:rFonts w:hint="eastAsia" w:ascii="Times New Roman" w:hAnsi="Times New Roman" w:eastAsia="黑体" w:cs="Times New Roman"/>
                <w:color w:val="auto"/>
                <w:vertAlign w:val="baseline"/>
                <w:lang w:eastAsia="zh-CN"/>
              </w:rPr>
            </w:pPr>
            <w:bookmarkStart w:id="34" w:name="_Toc5340"/>
            <w:r>
              <w:rPr>
                <w:rStyle w:val="20"/>
                <w:rFonts w:hint="eastAsia" w:ascii="Times New Roman" w:hAnsi="Times New Roman" w:eastAsia="黑体" w:cs="Times New Roman"/>
                <w:color w:val="auto"/>
                <w:vertAlign w:val="baseline"/>
                <w:lang w:eastAsia="zh-CN"/>
              </w:rPr>
              <w:drawing>
                <wp:inline distT="0" distB="0" distL="114300" distR="114300">
                  <wp:extent cx="2555240" cy="3613785"/>
                  <wp:effectExtent l="0" t="0" r="16510" b="5715"/>
                  <wp:docPr id="15" name="图片 15" descr="8810e2ad4a411a28d211e9239b372dbe_"/>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8810e2ad4a411a28d211e9239b372dbe_"/>
                          <pic:cNvPicPr>
                            <a:picLocks noChangeAspect="true"/>
                          </pic:cNvPicPr>
                        </pic:nvPicPr>
                        <pic:blipFill>
                          <a:blip r:embed="rId21"/>
                          <a:stretch>
                            <a:fillRect/>
                          </a:stretch>
                        </pic:blipFill>
                        <pic:spPr>
                          <a:xfrm>
                            <a:off x="0" y="0"/>
                            <a:ext cx="2555240" cy="3613785"/>
                          </a:xfrm>
                          <a:prstGeom prst="rect">
                            <a:avLst/>
                          </a:prstGeom>
                        </pic:spPr>
                      </pic:pic>
                    </a:graphicData>
                  </a:graphic>
                </wp:inline>
              </w:drawing>
            </w:r>
          </w:p>
          <w:bookmarkEnd w:id="34"/>
        </w:tc>
      </w:tr>
    </w:tbl>
    <w:p>
      <w:pPr>
        <w:pStyle w:val="18"/>
        <w:rPr>
          <w:rStyle w:val="20"/>
          <w:rFonts w:hint="default" w:ascii="Times New Roman" w:hAnsi="Times New Roman" w:cs="Times New Roman"/>
          <w:color w:val="auto"/>
        </w:rPr>
      </w:pPr>
    </w:p>
    <w:p>
      <w:pPr>
        <w:rPr>
          <w:rFonts w:hint="default" w:eastAsia="宋体"/>
          <w:color w:val="auto"/>
          <w:lang w:val="en-US" w:eastAsia="zh-CN"/>
        </w:rPr>
      </w:pPr>
      <w:r>
        <w:rPr>
          <w:rFonts w:hint="default" w:eastAsia="宋体"/>
          <w:color w:val="auto"/>
          <w:lang w:val="en-US" w:eastAsia="zh-CN"/>
        </w:rPr>
        <w:br w:type="page"/>
      </w:r>
    </w:p>
    <w:p>
      <w:pPr>
        <w:outlineLvl w:val="0"/>
        <w:rPr>
          <w:rFonts w:hint="eastAsia" w:ascii="Times New Roman" w:hAnsi="Times New Roman" w:eastAsia="黑体" w:cs="Times New Roman"/>
          <w:color w:val="auto"/>
          <w:sz w:val="28"/>
          <w:szCs w:val="28"/>
          <w:lang w:val="en-US" w:eastAsia="zh-CN"/>
        </w:rPr>
      </w:pPr>
      <w:bookmarkStart w:id="35" w:name="_Toc29603"/>
      <w:r>
        <w:rPr>
          <w:rFonts w:hint="default" w:ascii="Times New Roman" w:hAnsi="Times New Roman" w:eastAsia="黑体" w:cs="Times New Roman"/>
          <w:color w:val="auto"/>
          <w:sz w:val="28"/>
          <w:szCs w:val="28"/>
        </w:rPr>
        <w:t>附件</w:t>
      </w:r>
      <w:r>
        <w:rPr>
          <w:rFonts w:hint="eastAsia" w:ascii="Times New Roman" w:hAnsi="Times New Roman" w:eastAsia="黑体" w:cs="Times New Roman"/>
          <w:color w:val="auto"/>
          <w:sz w:val="28"/>
          <w:szCs w:val="28"/>
          <w:lang w:val="en-US" w:eastAsia="zh-CN"/>
        </w:rPr>
        <w:t>1</w:t>
      </w:r>
      <w:r>
        <w:rPr>
          <w:rFonts w:hint="default" w:ascii="Times New Roman" w:hAnsi="Times New Roman" w:eastAsia="黑体" w:cs="Times New Roman"/>
          <w:color w:val="auto"/>
          <w:sz w:val="28"/>
          <w:szCs w:val="28"/>
        </w:rPr>
        <w:t>-</w:t>
      </w:r>
      <w:r>
        <w:rPr>
          <w:rFonts w:hint="eastAsia" w:ascii="Times New Roman" w:hAnsi="Times New Roman" w:eastAsia="黑体" w:cs="Times New Roman"/>
          <w:color w:val="auto"/>
          <w:sz w:val="28"/>
          <w:szCs w:val="28"/>
          <w:lang w:val="en-US" w:eastAsia="zh-CN"/>
        </w:rPr>
        <w:t>2</w:t>
      </w:r>
      <w:r>
        <w:rPr>
          <w:rFonts w:hint="default" w:ascii="Times New Roman" w:hAnsi="Times New Roman" w:eastAsia="黑体" w:cs="Times New Roman"/>
          <w:color w:val="auto"/>
          <w:sz w:val="28"/>
          <w:szCs w:val="28"/>
        </w:rPr>
        <w:t xml:space="preserve"> </w:t>
      </w:r>
      <w:r>
        <w:rPr>
          <w:rFonts w:hint="eastAsia" w:ascii="Times New Roman" w:hAnsi="Times New Roman" w:eastAsia="黑体" w:cs="Times New Roman"/>
          <w:color w:val="auto"/>
          <w:sz w:val="28"/>
          <w:szCs w:val="28"/>
          <w:lang w:eastAsia="zh-CN"/>
        </w:rPr>
        <w:t>学校</w:t>
      </w:r>
      <w:r>
        <w:rPr>
          <w:rFonts w:hint="eastAsia" w:ascii="Times New Roman" w:hAnsi="Times New Roman" w:eastAsia="黑体" w:cs="Times New Roman"/>
          <w:color w:val="auto"/>
          <w:sz w:val="28"/>
          <w:szCs w:val="28"/>
          <w:lang w:val="en-US" w:eastAsia="zh-CN"/>
        </w:rPr>
        <w:t>宣导手册模板</w:t>
      </w:r>
      <w:bookmarkEnd w:id="35"/>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widowControl w:val="0"/>
              <w:rPr>
                <w:rFonts w:hint="default" w:eastAsia="宋体"/>
                <w:color w:val="auto"/>
                <w:vertAlign w:val="baseline"/>
                <w:lang w:val="en-US" w:eastAsia="zh-CN"/>
              </w:rPr>
            </w:pPr>
            <w:r>
              <w:rPr>
                <w:rFonts w:hint="default" w:eastAsia="宋体"/>
                <w:color w:val="auto"/>
                <w:vertAlign w:val="baseline"/>
                <w:lang w:val="en-US" w:eastAsia="zh-CN"/>
              </w:rPr>
              <w:drawing>
                <wp:inline distT="0" distB="0" distL="114300" distR="114300">
                  <wp:extent cx="5273675" cy="4001135"/>
                  <wp:effectExtent l="0" t="0" r="3175" b="18415"/>
                  <wp:docPr id="16" name="图片 16" descr="湛江市生活垃圾分类宣导手册-调整_页面_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湛江市生活垃圾分类宣导手册-调整_页面_1"/>
                          <pic:cNvPicPr>
                            <a:picLocks noChangeAspect="true"/>
                          </pic:cNvPicPr>
                        </pic:nvPicPr>
                        <pic:blipFill>
                          <a:blip r:embed="rId22"/>
                          <a:stretch>
                            <a:fillRect/>
                          </a:stretch>
                        </pic:blipFill>
                        <pic:spPr>
                          <a:xfrm>
                            <a:off x="0" y="0"/>
                            <a:ext cx="5273675" cy="40011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widowControl w:val="0"/>
              <w:rPr>
                <w:rFonts w:hint="default" w:eastAsia="宋体"/>
                <w:color w:val="auto"/>
                <w:vertAlign w:val="baseline"/>
                <w:lang w:val="en-US" w:eastAsia="zh-CN"/>
              </w:rPr>
            </w:pPr>
            <w:r>
              <w:rPr>
                <w:rFonts w:hint="default" w:eastAsia="宋体"/>
                <w:color w:val="auto"/>
                <w:vertAlign w:val="baseline"/>
                <w:lang w:val="en-US" w:eastAsia="zh-CN"/>
              </w:rPr>
              <w:drawing>
                <wp:inline distT="0" distB="0" distL="114300" distR="114300">
                  <wp:extent cx="5273675" cy="4001135"/>
                  <wp:effectExtent l="0" t="0" r="3175" b="18415"/>
                  <wp:docPr id="18" name="图片 18" descr="湛江市生活垃圾分类宣导手册-调整_页面_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湛江市生活垃圾分类宣导手册-调整_页面_2"/>
                          <pic:cNvPicPr>
                            <a:picLocks noChangeAspect="true"/>
                          </pic:cNvPicPr>
                        </pic:nvPicPr>
                        <pic:blipFill>
                          <a:blip r:embed="rId23"/>
                          <a:stretch>
                            <a:fillRect/>
                          </a:stretch>
                        </pic:blipFill>
                        <pic:spPr>
                          <a:xfrm>
                            <a:off x="0" y="0"/>
                            <a:ext cx="5273675" cy="4001135"/>
                          </a:xfrm>
                          <a:prstGeom prst="rect">
                            <a:avLst/>
                          </a:prstGeom>
                        </pic:spPr>
                      </pic:pic>
                    </a:graphicData>
                  </a:graphic>
                </wp:inline>
              </w:drawing>
            </w:r>
          </w:p>
        </w:tc>
      </w:tr>
    </w:tbl>
    <w:p>
      <w:pPr>
        <w:rPr>
          <w:rFonts w:hint="default" w:eastAsia="宋体"/>
          <w:color w:val="auto"/>
          <w:lang w:val="en-US" w:eastAsia="zh-CN"/>
        </w:rPr>
      </w:pP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widowControl w:val="0"/>
              <w:rPr>
                <w:rFonts w:hint="default" w:eastAsia="宋体"/>
                <w:color w:val="auto"/>
                <w:vertAlign w:val="baseline"/>
                <w:lang w:val="en-US" w:eastAsia="zh-CN"/>
              </w:rPr>
            </w:pPr>
            <w:r>
              <w:rPr>
                <w:rFonts w:hint="default" w:eastAsia="宋体"/>
                <w:color w:val="auto"/>
                <w:vertAlign w:val="baseline"/>
                <w:lang w:val="en-US" w:eastAsia="zh-CN"/>
              </w:rPr>
              <w:drawing>
                <wp:inline distT="0" distB="0" distL="114300" distR="114300">
                  <wp:extent cx="5272405" cy="3999865"/>
                  <wp:effectExtent l="0" t="0" r="4445" b="635"/>
                  <wp:docPr id="19" name="图片 19" descr="湛江市生活垃圾分类宣导手册-调整_页面_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湛江市生活垃圾分类宣导手册-调整_页面_3"/>
                          <pic:cNvPicPr>
                            <a:picLocks noChangeAspect="true"/>
                          </pic:cNvPicPr>
                        </pic:nvPicPr>
                        <pic:blipFill>
                          <a:blip r:embed="rId24"/>
                          <a:stretch>
                            <a:fillRect/>
                          </a:stretch>
                        </pic:blipFill>
                        <pic:spPr>
                          <a:xfrm>
                            <a:off x="0" y="0"/>
                            <a:ext cx="5272405" cy="39998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widowControl w:val="0"/>
              <w:rPr>
                <w:rFonts w:hint="default" w:eastAsia="宋体"/>
                <w:color w:val="auto"/>
                <w:vertAlign w:val="baseline"/>
                <w:lang w:val="en-US" w:eastAsia="zh-CN"/>
              </w:rPr>
            </w:pPr>
            <w:r>
              <w:rPr>
                <w:rFonts w:hint="default" w:eastAsia="宋体"/>
                <w:color w:val="auto"/>
                <w:vertAlign w:val="baseline"/>
                <w:lang w:val="en-US" w:eastAsia="zh-CN"/>
              </w:rPr>
              <w:drawing>
                <wp:inline distT="0" distB="0" distL="114300" distR="114300">
                  <wp:extent cx="5273675" cy="4001135"/>
                  <wp:effectExtent l="0" t="0" r="3175" b="18415"/>
                  <wp:docPr id="20" name="图片 20" descr="湛江市生活垃圾分类宣导手册-调整_页面_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湛江市生活垃圾分类宣导手册-调整_页面_4"/>
                          <pic:cNvPicPr>
                            <a:picLocks noChangeAspect="true"/>
                          </pic:cNvPicPr>
                        </pic:nvPicPr>
                        <pic:blipFill>
                          <a:blip r:embed="rId25"/>
                          <a:stretch>
                            <a:fillRect/>
                          </a:stretch>
                        </pic:blipFill>
                        <pic:spPr>
                          <a:xfrm>
                            <a:off x="0" y="0"/>
                            <a:ext cx="5273675" cy="4001135"/>
                          </a:xfrm>
                          <a:prstGeom prst="rect">
                            <a:avLst/>
                          </a:prstGeom>
                        </pic:spPr>
                      </pic:pic>
                    </a:graphicData>
                  </a:graphic>
                </wp:inline>
              </w:drawing>
            </w:r>
          </w:p>
        </w:tc>
      </w:tr>
    </w:tbl>
    <w:p>
      <w:pPr>
        <w:rPr>
          <w:rFonts w:hint="default" w:eastAsia="宋体"/>
          <w:color w:val="auto"/>
          <w:lang w:val="en-US" w:eastAsia="zh-CN"/>
        </w:rPr>
      </w:pPr>
      <w:r>
        <w:rPr>
          <w:rFonts w:hint="default" w:eastAsia="宋体"/>
          <w:color w:val="auto"/>
          <w:lang w:val="en-US" w:eastAsia="zh-CN"/>
        </w:rPr>
        <w:br w:type="page"/>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widowControl w:val="0"/>
              <w:rPr>
                <w:rFonts w:hint="default" w:eastAsia="宋体"/>
                <w:color w:val="auto"/>
                <w:vertAlign w:val="baseline"/>
                <w:lang w:val="en-US" w:eastAsia="zh-CN"/>
              </w:rPr>
            </w:pPr>
            <w:r>
              <w:rPr>
                <w:rFonts w:hint="default" w:eastAsia="宋体"/>
                <w:color w:val="auto"/>
                <w:vertAlign w:val="baseline"/>
                <w:lang w:val="en-US" w:eastAsia="zh-CN"/>
              </w:rPr>
              <w:drawing>
                <wp:inline distT="0" distB="0" distL="114300" distR="114300">
                  <wp:extent cx="5273675" cy="4001135"/>
                  <wp:effectExtent l="0" t="0" r="3175" b="18415"/>
                  <wp:docPr id="46" name="图片 46" descr="湛江市生活垃圾分类宣导手册-调整_页面_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descr="湛江市生活垃圾分类宣导手册-调整_页面_5"/>
                          <pic:cNvPicPr>
                            <a:picLocks noChangeAspect="true"/>
                          </pic:cNvPicPr>
                        </pic:nvPicPr>
                        <pic:blipFill>
                          <a:blip r:embed="rId26"/>
                          <a:stretch>
                            <a:fillRect/>
                          </a:stretch>
                        </pic:blipFill>
                        <pic:spPr>
                          <a:xfrm>
                            <a:off x="0" y="0"/>
                            <a:ext cx="5273675" cy="40011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widowControl w:val="0"/>
              <w:rPr>
                <w:rFonts w:hint="default" w:eastAsia="宋体"/>
                <w:color w:val="auto"/>
                <w:vertAlign w:val="baseline"/>
                <w:lang w:val="en-US" w:eastAsia="zh-CN"/>
              </w:rPr>
            </w:pPr>
            <w:r>
              <w:rPr>
                <w:rFonts w:hint="default" w:eastAsia="宋体"/>
                <w:color w:val="auto"/>
                <w:vertAlign w:val="baseline"/>
                <w:lang w:val="en-US" w:eastAsia="zh-CN"/>
              </w:rPr>
              <w:drawing>
                <wp:inline distT="0" distB="0" distL="114300" distR="114300">
                  <wp:extent cx="5273675" cy="4000500"/>
                  <wp:effectExtent l="0" t="0" r="3175" b="0"/>
                  <wp:docPr id="47" name="图片 47" descr="湛江市生活垃圾分类宣导手册-调整_页面_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descr="湛江市生活垃圾分类宣导手册-调整_页面_6"/>
                          <pic:cNvPicPr>
                            <a:picLocks noChangeAspect="true"/>
                          </pic:cNvPicPr>
                        </pic:nvPicPr>
                        <pic:blipFill>
                          <a:blip r:embed="rId27"/>
                          <a:stretch>
                            <a:fillRect/>
                          </a:stretch>
                        </pic:blipFill>
                        <pic:spPr>
                          <a:xfrm>
                            <a:off x="0" y="0"/>
                            <a:ext cx="5273675" cy="4000500"/>
                          </a:xfrm>
                          <a:prstGeom prst="rect">
                            <a:avLst/>
                          </a:prstGeom>
                        </pic:spPr>
                      </pic:pic>
                    </a:graphicData>
                  </a:graphic>
                </wp:inline>
              </w:drawing>
            </w:r>
          </w:p>
        </w:tc>
      </w:tr>
    </w:tbl>
    <w:p>
      <w:pPr>
        <w:rPr>
          <w:rFonts w:hint="default" w:eastAsia="宋体"/>
          <w:color w:val="auto"/>
          <w:lang w:val="en-US" w:eastAsia="zh-CN"/>
        </w:rPr>
      </w:pPr>
      <w:r>
        <w:rPr>
          <w:rFonts w:hint="default" w:eastAsia="宋体"/>
          <w:color w:val="auto"/>
          <w:lang w:val="en-US" w:eastAsia="zh-CN"/>
        </w:rPr>
        <w:br w:type="page"/>
      </w:r>
    </w:p>
    <w:p>
      <w:pPr>
        <w:pStyle w:val="18"/>
        <w:outlineLvl w:val="0"/>
        <w:rPr>
          <w:rStyle w:val="20"/>
          <w:rFonts w:hint="eastAsia" w:ascii="黑体" w:hAnsi="黑体" w:eastAsia="黑体" w:cs="黑体"/>
          <w:color w:val="auto"/>
          <w:sz w:val="32"/>
          <w:lang w:val="en-US" w:eastAsia="zh-CN"/>
        </w:rPr>
      </w:pPr>
      <w:bookmarkStart w:id="36" w:name="_Toc6008"/>
      <w:r>
        <w:rPr>
          <w:rStyle w:val="20"/>
          <w:rFonts w:hint="eastAsia" w:ascii="黑体" w:hAnsi="黑体" w:eastAsia="黑体" w:cs="黑体"/>
          <w:color w:val="auto"/>
          <w:sz w:val="32"/>
          <w:lang w:val="en-US" w:eastAsia="zh-CN"/>
        </w:rPr>
        <w:t>附件2 分类标志</w:t>
      </w:r>
      <w:bookmarkEnd w:id="36"/>
    </w:p>
    <w:p>
      <w:pPr>
        <w:pStyle w:val="18"/>
        <w:outlineLvl w:val="0"/>
        <w:rPr>
          <w:rStyle w:val="20"/>
          <w:rFonts w:hint="eastAsia" w:ascii="黑体" w:hAnsi="黑体" w:eastAsia="黑体" w:cs="黑体"/>
          <w:color w:val="auto"/>
          <w:sz w:val="32"/>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84" w:firstLineChars="200"/>
        <w:jc w:val="both"/>
        <w:textAlignment w:val="baseline"/>
        <w:outlineLvl w:val="9"/>
        <w:rPr>
          <w:rFonts w:hint="eastAsia" w:ascii="仿宋_GB2312" w:hAnsi="仿宋_GB2312" w:eastAsia="仿宋_GB2312" w:cs="仿宋_GB2312"/>
          <w:spacing w:val="6"/>
          <w:sz w:val="28"/>
          <w:szCs w:val="28"/>
          <w:lang w:val="en-US" w:eastAsia="zh-CN"/>
        </w:rPr>
      </w:pPr>
      <w:r>
        <w:rPr>
          <w:rFonts w:hint="eastAsia" w:ascii="仿宋_GB2312" w:hAnsi="仿宋_GB2312" w:eastAsia="仿宋_GB2312" w:cs="仿宋_GB2312"/>
          <w:spacing w:val="6"/>
          <w:sz w:val="28"/>
          <w:szCs w:val="28"/>
          <w:lang w:val="en-US" w:eastAsia="zh-CN"/>
        </w:rPr>
        <w:t>城市生活垃圾分类标志和颜色应符合《生活垃圾分类标志》(GB/T 19095-2019)的规定。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84" w:firstLineChars="200"/>
        <w:jc w:val="both"/>
        <w:textAlignment w:val="baseline"/>
        <w:outlineLvl w:val="9"/>
        <w:rPr>
          <w:rFonts w:hint="eastAsia" w:ascii="仿宋_GB2312" w:hAnsi="仿宋_GB2312" w:eastAsia="仿宋_GB2312" w:cs="仿宋_GB2312"/>
          <w:spacing w:val="6"/>
          <w:sz w:val="28"/>
          <w:szCs w:val="28"/>
          <w:lang w:val="en-US" w:eastAsia="zh-CN"/>
        </w:rPr>
      </w:pPr>
      <w:r>
        <w:rPr>
          <w:rFonts w:hint="eastAsia" w:ascii="仿宋_GB2312" w:hAnsi="仿宋_GB2312" w:eastAsia="仿宋_GB2312" w:cs="仿宋_GB2312"/>
          <w:spacing w:val="6"/>
          <w:sz w:val="28"/>
          <w:szCs w:val="28"/>
          <w:lang w:val="en-US" w:eastAsia="zh-CN"/>
        </w:rPr>
        <w:t>分类标志应准确并保持清晰和完整，符合图1-1的规定。</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44" w:type="dxa"/>
          </w:tcPr>
          <w:p>
            <w:pPr>
              <w:pStyle w:val="9"/>
              <w:keepNext w:val="0"/>
              <w:keepLines w:val="0"/>
              <w:pageBreakBefore w:val="0"/>
              <w:widowControl w:val="0"/>
              <w:kinsoku/>
              <w:wordWrap/>
              <w:overflowPunct/>
              <w:topLinePunct w:val="0"/>
              <w:autoSpaceDE/>
              <w:autoSpaceDN/>
              <w:bidi w:val="0"/>
              <w:adjustRightInd/>
              <w:snapToGrid/>
              <w:spacing w:after="0" w:line="20" w:lineRule="exact"/>
              <w:ind w:left="0" w:leftChars="0" w:firstLine="0" w:firstLineChars="0"/>
              <w:jc w:val="left"/>
              <w:textAlignment w:val="auto"/>
              <w:rPr>
                <w:rFonts w:hint="eastAsia" w:ascii="仿宋_GB2312" w:hAnsi="Calibri" w:eastAsia="仿宋_GB2312" w:cs="Times New Roman"/>
                <w:bCs/>
                <w:kern w:val="2"/>
                <w:sz w:val="32"/>
                <w:szCs w:val="32"/>
                <w:lang w:val="en-US" w:eastAsia="zh-CN" w:bidi="ar-SA"/>
              </w:rPr>
            </w:pPr>
            <w:r>
              <w:rPr>
                <w:rFonts w:hint="eastAsia" w:ascii="仿宋_GB2312" w:hAnsi="Calibri" w:eastAsia="仿宋_GB2312" w:cs="Times New Roman"/>
                <w:bCs/>
                <w:kern w:val="2"/>
                <w:sz w:val="32"/>
                <w:szCs w:val="32"/>
                <w:lang w:val="en-US" w:eastAsia="zh-CN" w:bidi="ar-SA"/>
              </w:rPr>
              <w:drawing>
                <wp:anchor distT="0" distB="0" distL="114300" distR="114300" simplePos="0" relativeHeight="251659264" behindDoc="0" locked="0" layoutInCell="1" allowOverlap="1">
                  <wp:simplePos x="0" y="0"/>
                  <wp:positionH relativeFrom="column">
                    <wp:posOffset>6985</wp:posOffset>
                  </wp:positionH>
                  <wp:positionV relativeFrom="paragraph">
                    <wp:posOffset>49530</wp:posOffset>
                  </wp:positionV>
                  <wp:extent cx="5391785" cy="1468755"/>
                  <wp:effectExtent l="0" t="0" r="18415" b="17145"/>
                  <wp:wrapSquare wrapText="bothSides"/>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28"/>
                          <a:stretch>
                            <a:fillRect/>
                          </a:stretch>
                        </pic:blipFill>
                        <pic:spPr>
                          <a:xfrm>
                            <a:off x="0" y="0"/>
                            <a:ext cx="5391785" cy="1468755"/>
                          </a:xfrm>
                          <a:prstGeom prst="rect">
                            <a:avLst/>
                          </a:prstGeom>
                          <a:noFill/>
                          <a:ln>
                            <a:noFill/>
                          </a:ln>
                        </pic:spPr>
                      </pic:pic>
                    </a:graphicData>
                  </a:graphic>
                </wp:anchor>
              </w:drawing>
            </w:r>
          </w:p>
        </w:tc>
      </w:tr>
    </w:tbl>
    <w:p>
      <w:pPr>
        <w:bidi w:val="0"/>
        <w:jc w:val="center"/>
        <w:rPr>
          <w:rFonts w:hint="eastAsia" w:ascii="仿宋_GB2312" w:hAnsi="Calibri" w:eastAsia="仿宋_GB2312" w:cs="Times New Roman"/>
          <w:b/>
          <w:bCs w:val="0"/>
          <w:kern w:val="2"/>
          <w:sz w:val="32"/>
          <w:szCs w:val="32"/>
          <w:lang w:val="en-US" w:eastAsia="zh-CN" w:bidi="ar-SA"/>
        </w:rPr>
      </w:pPr>
      <w:r>
        <w:rPr>
          <w:rFonts w:hint="eastAsia" w:ascii="仿宋_GB2312" w:hAnsi="Calibri" w:eastAsia="仿宋_GB2312" w:cs="Times New Roman"/>
          <w:b/>
          <w:bCs w:val="0"/>
          <w:kern w:val="2"/>
          <w:sz w:val="32"/>
          <w:szCs w:val="32"/>
          <w:lang w:val="en-US" w:eastAsia="zh-CN" w:bidi="ar-SA"/>
        </w:rPr>
        <w:t>图1-1生活垃圾分类标志</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84" w:firstLineChars="200"/>
        <w:jc w:val="both"/>
        <w:textAlignment w:val="baseline"/>
        <w:outlineLvl w:val="9"/>
        <w:rPr>
          <w:rFonts w:hint="eastAsia" w:ascii="仿宋_GB2312" w:hAnsi="仿宋_GB2312" w:eastAsia="仿宋_GB2312" w:cs="仿宋_GB2312"/>
          <w:spacing w:val="6"/>
          <w:sz w:val="28"/>
          <w:szCs w:val="28"/>
          <w:lang w:val="en-US" w:eastAsia="zh-CN"/>
        </w:rPr>
      </w:pPr>
      <w:r>
        <w:rPr>
          <w:rFonts w:hint="eastAsia" w:ascii="仿宋_GB2312" w:hAnsi="仿宋_GB2312" w:eastAsia="仿宋_GB2312" w:cs="仿宋_GB2312"/>
          <w:spacing w:val="6"/>
          <w:sz w:val="28"/>
          <w:szCs w:val="28"/>
          <w:lang w:val="en-US" w:eastAsia="zh-CN"/>
        </w:rPr>
        <w:t>生活垃圾分类标志使用的颜色应符合下列规定: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84" w:firstLineChars="200"/>
        <w:jc w:val="both"/>
        <w:textAlignment w:val="baseline"/>
        <w:outlineLvl w:val="9"/>
        <w:rPr>
          <w:rFonts w:hint="eastAsia" w:ascii="仿宋_GB2312" w:hAnsi="仿宋_GB2312" w:eastAsia="仿宋_GB2312" w:cs="仿宋_GB2312"/>
          <w:spacing w:val="6"/>
          <w:sz w:val="28"/>
          <w:szCs w:val="28"/>
          <w:lang w:val="en-US" w:eastAsia="zh-CN"/>
        </w:rPr>
      </w:pPr>
      <w:r>
        <w:rPr>
          <w:rFonts w:hint="eastAsia" w:ascii="仿宋_GB2312" w:hAnsi="仿宋_GB2312" w:eastAsia="仿宋_GB2312" w:cs="仿宋_GB2312"/>
          <w:spacing w:val="6"/>
          <w:sz w:val="28"/>
          <w:szCs w:val="28"/>
          <w:lang w:val="en-US" w:eastAsia="zh-CN"/>
        </w:rPr>
        <w:t>（1）可回收物标志为蓝色，色标为PANTONG 647C；</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84" w:firstLineChars="200"/>
        <w:jc w:val="both"/>
        <w:textAlignment w:val="baseline"/>
        <w:outlineLvl w:val="9"/>
        <w:rPr>
          <w:rFonts w:hint="eastAsia" w:ascii="仿宋_GB2312" w:hAnsi="仿宋_GB2312" w:eastAsia="仿宋_GB2312" w:cs="仿宋_GB2312"/>
          <w:spacing w:val="6"/>
          <w:sz w:val="28"/>
          <w:szCs w:val="28"/>
          <w:lang w:val="en-US" w:eastAsia="zh-CN"/>
        </w:rPr>
      </w:pPr>
      <w:r>
        <w:rPr>
          <w:rFonts w:hint="eastAsia" w:ascii="仿宋_GB2312" w:hAnsi="仿宋_GB2312" w:eastAsia="仿宋_GB2312" w:cs="仿宋_GB2312"/>
          <w:spacing w:val="6"/>
          <w:sz w:val="28"/>
          <w:szCs w:val="28"/>
          <w:lang w:val="en-US" w:eastAsia="zh-CN"/>
        </w:rPr>
        <w:t>（2）有害垃圾标志为红色，色标为PANTONG 485C;</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84" w:firstLineChars="200"/>
        <w:jc w:val="both"/>
        <w:textAlignment w:val="baseline"/>
        <w:outlineLvl w:val="9"/>
        <w:rPr>
          <w:rFonts w:hint="eastAsia" w:ascii="仿宋_GB2312" w:hAnsi="仿宋_GB2312" w:eastAsia="仿宋_GB2312" w:cs="仿宋_GB2312"/>
          <w:spacing w:val="6"/>
          <w:sz w:val="28"/>
          <w:szCs w:val="28"/>
          <w:lang w:val="en-US" w:eastAsia="zh-CN"/>
        </w:rPr>
      </w:pPr>
      <w:r>
        <w:rPr>
          <w:rFonts w:hint="eastAsia" w:ascii="仿宋_GB2312" w:hAnsi="仿宋_GB2312" w:eastAsia="仿宋_GB2312" w:cs="仿宋_GB2312"/>
          <w:spacing w:val="6"/>
          <w:sz w:val="28"/>
          <w:szCs w:val="28"/>
          <w:lang w:val="en-US" w:eastAsia="zh-CN"/>
        </w:rPr>
        <w:t>（3）厨余垃圾标志为绿色，色标为PANTONG 2259C;</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84" w:firstLineChars="200"/>
        <w:jc w:val="both"/>
        <w:textAlignment w:val="baseline"/>
        <w:outlineLvl w:val="9"/>
        <w:rPr>
          <w:rFonts w:hint="eastAsia" w:ascii="仿宋_GB2312" w:hAnsi="仿宋_GB2312" w:eastAsia="仿宋_GB2312" w:cs="仿宋_GB2312"/>
          <w:spacing w:val="6"/>
          <w:sz w:val="28"/>
          <w:szCs w:val="28"/>
          <w:lang w:val="en-US" w:eastAsia="zh-CN"/>
        </w:rPr>
      </w:pPr>
      <w:r>
        <w:rPr>
          <w:rFonts w:hint="eastAsia" w:ascii="仿宋_GB2312" w:hAnsi="仿宋_GB2312" w:eastAsia="仿宋_GB2312" w:cs="仿宋_GB2312"/>
          <w:spacing w:val="6"/>
          <w:sz w:val="28"/>
          <w:szCs w:val="28"/>
          <w:lang w:val="en-US" w:eastAsia="zh-CN"/>
        </w:rPr>
        <w:t>（4）其他垃圾标志为黑色，色标为PANTONG Black 7C。</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56"/>
        <w:gridCol w:w="2154"/>
        <w:gridCol w:w="2068"/>
        <w:gridCol w:w="22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44" w:type="dxa"/>
            <w:gridSpan w:val="4"/>
          </w:tcPr>
          <w:p>
            <w:pPr>
              <w:pStyle w:val="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仿宋_GB2312" w:hAnsi="Calibri" w:eastAsia="仿宋_GB2312" w:cs="Times New Roman"/>
                <w:bCs/>
                <w:kern w:val="2"/>
                <w:sz w:val="32"/>
                <w:szCs w:val="32"/>
                <w:lang w:val="en-US" w:eastAsia="zh-CN" w:bidi="ar-SA"/>
              </w:rPr>
            </w:pPr>
            <w:r>
              <w:rPr>
                <w:rFonts w:hint="default" w:ascii="仿宋_GB2312" w:hAnsi="Calibri" w:eastAsia="仿宋_GB2312" w:cs="Times New Roman"/>
                <w:bCs/>
                <w:kern w:val="2"/>
                <w:sz w:val="32"/>
                <w:szCs w:val="32"/>
                <w:lang w:val="en-US" w:eastAsia="zh-CN" w:bidi="ar-SA"/>
              </w:rPr>
              <w:drawing>
                <wp:inline distT="0" distB="0" distL="114300" distR="114300">
                  <wp:extent cx="5412740" cy="1967230"/>
                  <wp:effectExtent l="0" t="0" r="16510" b="13970"/>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pic:cNvPicPr>
                        </pic:nvPicPr>
                        <pic:blipFill>
                          <a:blip r:embed="rId29"/>
                          <a:stretch>
                            <a:fillRect/>
                          </a:stretch>
                        </pic:blipFill>
                        <pic:spPr>
                          <a:xfrm>
                            <a:off x="0" y="0"/>
                            <a:ext cx="5412740" cy="19672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56" w:type="dxa"/>
          </w:tcPr>
          <w:p>
            <w:pPr>
              <w:pStyle w:val="9"/>
              <w:widowControl w:val="0"/>
              <w:ind w:left="0" w:leftChars="0" w:firstLine="0" w:firstLineChars="0"/>
              <w:rPr>
                <w:rFonts w:hint="default" w:ascii="仿宋_GB2312" w:hAnsi="Calibri" w:eastAsia="仿宋_GB2312" w:cs="Times New Roman"/>
                <w:bCs/>
                <w:kern w:val="2"/>
                <w:sz w:val="32"/>
                <w:szCs w:val="32"/>
                <w:vertAlign w:val="baseline"/>
                <w:lang w:val="en-US" w:eastAsia="zh-CN" w:bidi="ar-SA"/>
              </w:rPr>
            </w:pPr>
            <w:r>
              <w:rPr>
                <w:rFonts w:hint="default" w:ascii="仿宋_GB2312" w:hAnsi="Calibri" w:eastAsia="仿宋_GB2312" w:cs="Times New Roman"/>
                <w:bCs/>
                <w:kern w:val="2"/>
                <w:sz w:val="32"/>
                <w:szCs w:val="32"/>
                <w:vertAlign w:val="baseline"/>
                <w:lang w:val="en-US" w:eastAsia="zh-CN" w:bidi="ar-SA"/>
              </w:rPr>
              <w:drawing>
                <wp:anchor distT="0" distB="0" distL="114300" distR="114300" simplePos="0" relativeHeight="251660288" behindDoc="0" locked="0" layoutInCell="1" allowOverlap="1">
                  <wp:simplePos x="0" y="0"/>
                  <wp:positionH relativeFrom="column">
                    <wp:posOffset>60960</wp:posOffset>
                  </wp:positionH>
                  <wp:positionV relativeFrom="paragraph">
                    <wp:posOffset>32385</wp:posOffset>
                  </wp:positionV>
                  <wp:extent cx="1250315" cy="2097405"/>
                  <wp:effectExtent l="0" t="0" r="6985" b="17145"/>
                  <wp:wrapSquare wrapText="bothSides"/>
                  <wp:docPr id="23" name="图片 23" descr="742a671dbe7cdd9ee694cda9bb5f99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742a671dbe7cdd9ee694cda9bb5f99f"/>
                          <pic:cNvPicPr>
                            <a:picLocks noChangeAspect="true"/>
                          </pic:cNvPicPr>
                        </pic:nvPicPr>
                        <pic:blipFill>
                          <a:blip r:embed="rId30"/>
                          <a:stretch>
                            <a:fillRect/>
                          </a:stretch>
                        </pic:blipFill>
                        <pic:spPr>
                          <a:xfrm>
                            <a:off x="0" y="0"/>
                            <a:ext cx="1250315" cy="2097405"/>
                          </a:xfrm>
                          <a:prstGeom prst="rect">
                            <a:avLst/>
                          </a:prstGeom>
                        </pic:spPr>
                      </pic:pic>
                    </a:graphicData>
                  </a:graphic>
                </wp:anchor>
              </w:drawing>
            </w:r>
          </w:p>
        </w:tc>
        <w:tc>
          <w:tcPr>
            <w:tcW w:w="2154" w:type="dxa"/>
          </w:tcPr>
          <w:p>
            <w:pPr>
              <w:pStyle w:val="9"/>
              <w:widowControl w:val="0"/>
              <w:ind w:left="0" w:leftChars="0" w:firstLine="0" w:firstLineChars="0"/>
              <w:rPr>
                <w:rFonts w:hint="default" w:ascii="仿宋_GB2312" w:hAnsi="Calibri" w:eastAsia="仿宋_GB2312" w:cs="Times New Roman"/>
                <w:bCs/>
                <w:kern w:val="2"/>
                <w:sz w:val="32"/>
                <w:szCs w:val="32"/>
                <w:vertAlign w:val="baseline"/>
                <w:lang w:val="en-US" w:eastAsia="zh-CN" w:bidi="ar-SA"/>
              </w:rPr>
            </w:pPr>
            <w:r>
              <w:rPr>
                <w:rFonts w:hint="default" w:ascii="仿宋_GB2312" w:hAnsi="Calibri" w:eastAsia="仿宋_GB2312" w:cs="Times New Roman"/>
                <w:bCs/>
                <w:kern w:val="2"/>
                <w:sz w:val="32"/>
                <w:szCs w:val="32"/>
                <w:vertAlign w:val="baseline"/>
                <w:lang w:val="en-US" w:eastAsia="zh-CN" w:bidi="ar-SA"/>
              </w:rPr>
              <w:drawing>
                <wp:inline distT="0" distB="0" distL="114300" distR="114300">
                  <wp:extent cx="1247775" cy="2098040"/>
                  <wp:effectExtent l="0" t="0" r="9525" b="16510"/>
                  <wp:docPr id="24" name="图片 24" descr="d9c9c195d258947aa41a301d8613ca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d9c9c195d258947aa41a301d8613ca5"/>
                          <pic:cNvPicPr>
                            <a:picLocks noChangeAspect="true"/>
                          </pic:cNvPicPr>
                        </pic:nvPicPr>
                        <pic:blipFill>
                          <a:blip r:embed="rId31"/>
                          <a:stretch>
                            <a:fillRect/>
                          </a:stretch>
                        </pic:blipFill>
                        <pic:spPr>
                          <a:xfrm>
                            <a:off x="0" y="0"/>
                            <a:ext cx="1247775" cy="2098040"/>
                          </a:xfrm>
                          <a:prstGeom prst="rect">
                            <a:avLst/>
                          </a:prstGeom>
                        </pic:spPr>
                      </pic:pic>
                    </a:graphicData>
                  </a:graphic>
                </wp:inline>
              </w:drawing>
            </w:r>
          </w:p>
        </w:tc>
        <w:tc>
          <w:tcPr>
            <w:tcW w:w="2068" w:type="dxa"/>
          </w:tcPr>
          <w:p>
            <w:pPr>
              <w:pStyle w:val="9"/>
              <w:widowControl w:val="0"/>
              <w:ind w:left="0" w:leftChars="0" w:firstLine="0" w:firstLineChars="0"/>
              <w:rPr>
                <w:rFonts w:hint="default" w:ascii="仿宋_GB2312" w:hAnsi="Calibri" w:eastAsia="仿宋_GB2312" w:cs="Times New Roman"/>
                <w:bCs/>
                <w:kern w:val="2"/>
                <w:sz w:val="32"/>
                <w:szCs w:val="32"/>
                <w:vertAlign w:val="baseline"/>
                <w:lang w:val="en-US" w:eastAsia="zh-CN" w:bidi="ar-SA"/>
              </w:rPr>
            </w:pPr>
            <w:r>
              <w:rPr>
                <w:rFonts w:hint="default" w:ascii="仿宋_GB2312" w:hAnsi="Calibri" w:eastAsia="仿宋_GB2312" w:cs="Times New Roman"/>
                <w:bCs/>
                <w:kern w:val="2"/>
                <w:sz w:val="32"/>
                <w:szCs w:val="32"/>
                <w:vertAlign w:val="baseline"/>
                <w:lang w:val="en-US" w:eastAsia="zh-CN" w:bidi="ar-SA"/>
              </w:rPr>
              <w:drawing>
                <wp:inline distT="0" distB="0" distL="114300" distR="114300">
                  <wp:extent cx="1250950" cy="2091690"/>
                  <wp:effectExtent l="0" t="0" r="6350" b="3810"/>
                  <wp:docPr id="29" name="图片 29" descr="0a34c5d851ee146ae410b0e8f4d6ef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0a34c5d851ee146ae410b0e8f4d6ef9"/>
                          <pic:cNvPicPr>
                            <a:picLocks noChangeAspect="true"/>
                          </pic:cNvPicPr>
                        </pic:nvPicPr>
                        <pic:blipFill>
                          <a:blip r:embed="rId32"/>
                          <a:stretch>
                            <a:fillRect/>
                          </a:stretch>
                        </pic:blipFill>
                        <pic:spPr>
                          <a:xfrm>
                            <a:off x="0" y="0"/>
                            <a:ext cx="1250950" cy="2091690"/>
                          </a:xfrm>
                          <a:prstGeom prst="rect">
                            <a:avLst/>
                          </a:prstGeom>
                        </pic:spPr>
                      </pic:pic>
                    </a:graphicData>
                  </a:graphic>
                </wp:inline>
              </w:drawing>
            </w:r>
          </w:p>
        </w:tc>
        <w:tc>
          <w:tcPr>
            <w:tcW w:w="2266" w:type="dxa"/>
          </w:tcPr>
          <w:p>
            <w:pPr>
              <w:pStyle w:val="9"/>
              <w:widowControl w:val="0"/>
              <w:ind w:left="0" w:leftChars="0" w:firstLine="0" w:firstLineChars="0"/>
              <w:rPr>
                <w:rFonts w:hint="default" w:ascii="仿宋_GB2312" w:hAnsi="Calibri" w:eastAsia="仿宋_GB2312" w:cs="Times New Roman"/>
                <w:bCs/>
                <w:kern w:val="2"/>
                <w:sz w:val="32"/>
                <w:szCs w:val="32"/>
                <w:vertAlign w:val="baseline"/>
                <w:lang w:val="en-US" w:eastAsia="zh-CN" w:bidi="ar-SA"/>
              </w:rPr>
            </w:pPr>
            <w:r>
              <w:rPr>
                <w:rFonts w:hint="default" w:ascii="仿宋_GB2312" w:hAnsi="Calibri" w:eastAsia="仿宋_GB2312" w:cs="Times New Roman"/>
                <w:bCs/>
                <w:kern w:val="2"/>
                <w:sz w:val="32"/>
                <w:szCs w:val="32"/>
                <w:vertAlign w:val="baseline"/>
                <w:lang w:val="en-US" w:eastAsia="zh-CN" w:bidi="ar-SA"/>
              </w:rPr>
              <w:drawing>
                <wp:inline distT="0" distB="0" distL="114300" distR="114300">
                  <wp:extent cx="1231900" cy="1992630"/>
                  <wp:effectExtent l="0" t="0" r="6350" b="7620"/>
                  <wp:docPr id="31" name="图片 31" descr="5717ef88232eb9e9bb300d3413c40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5717ef88232eb9e9bb300d3413c4063"/>
                          <pic:cNvPicPr>
                            <a:picLocks noChangeAspect="true"/>
                          </pic:cNvPicPr>
                        </pic:nvPicPr>
                        <pic:blipFill>
                          <a:blip r:embed="rId33"/>
                          <a:stretch>
                            <a:fillRect/>
                          </a:stretch>
                        </pic:blipFill>
                        <pic:spPr>
                          <a:xfrm>
                            <a:off x="0" y="0"/>
                            <a:ext cx="1231900" cy="1992630"/>
                          </a:xfrm>
                          <a:prstGeom prst="rect">
                            <a:avLst/>
                          </a:prstGeom>
                        </pic:spPr>
                      </pic:pic>
                    </a:graphicData>
                  </a:graphic>
                </wp:inline>
              </w:drawing>
            </w:r>
          </w:p>
        </w:tc>
      </w:tr>
    </w:tbl>
    <w:p>
      <w:pPr>
        <w:pStyle w:val="9"/>
        <w:ind w:left="0" w:leftChars="0" w:firstLine="0" w:firstLineChars="0"/>
        <w:jc w:val="center"/>
        <w:rPr>
          <w:rFonts w:hint="default" w:ascii="仿宋_GB2312" w:hAnsi="Calibri" w:eastAsia="仿宋_GB2312" w:cs="Times New Roman"/>
          <w:bCs/>
          <w:kern w:val="2"/>
          <w:sz w:val="32"/>
          <w:szCs w:val="32"/>
          <w:lang w:val="en-US" w:eastAsia="zh-CN" w:bidi="ar-SA"/>
        </w:rPr>
      </w:pPr>
      <w:r>
        <w:rPr>
          <w:rFonts w:hint="eastAsia" w:ascii="仿宋_GB2312" w:hAnsi="Calibri" w:eastAsia="仿宋_GB2312" w:cs="Times New Roman"/>
          <w:b/>
          <w:bCs w:val="0"/>
          <w:kern w:val="2"/>
          <w:sz w:val="32"/>
          <w:szCs w:val="32"/>
          <w:lang w:val="en-US" w:eastAsia="zh-CN" w:bidi="ar-SA"/>
        </w:rPr>
        <w:t>图1-</w:t>
      </w:r>
      <w:r>
        <w:rPr>
          <w:rFonts w:hint="eastAsia" w:ascii="仿宋_GB2312" w:eastAsia="仿宋_GB2312" w:cs="Times New Roman"/>
          <w:b/>
          <w:bCs w:val="0"/>
          <w:kern w:val="2"/>
          <w:sz w:val="32"/>
          <w:szCs w:val="32"/>
          <w:lang w:val="en-US" w:eastAsia="zh-CN" w:bidi="ar-SA"/>
        </w:rPr>
        <w:t>2</w:t>
      </w:r>
      <w:r>
        <w:rPr>
          <w:rFonts w:hint="eastAsia" w:ascii="仿宋_GB2312" w:hAnsi="Calibri" w:eastAsia="仿宋_GB2312" w:cs="Times New Roman"/>
          <w:b/>
          <w:bCs w:val="0"/>
          <w:kern w:val="2"/>
          <w:sz w:val="32"/>
          <w:szCs w:val="32"/>
          <w:lang w:val="en-US" w:eastAsia="zh-CN" w:bidi="ar-SA"/>
        </w:rPr>
        <w:t>生活垃圾收集容器示意图</w:t>
      </w: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3 垃圾分类小程序借鉴</w:t>
      </w: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垃圾分类小程序借鉴</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320" w:firstLineChars="100"/>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drawing>
          <wp:anchor distT="0" distB="0" distL="114300" distR="114300" simplePos="0" relativeHeight="251661312" behindDoc="0" locked="0" layoutInCell="1" allowOverlap="1">
            <wp:simplePos x="0" y="0"/>
            <wp:positionH relativeFrom="column">
              <wp:posOffset>567055</wp:posOffset>
            </wp:positionH>
            <wp:positionV relativeFrom="paragraph">
              <wp:posOffset>1170940</wp:posOffset>
            </wp:positionV>
            <wp:extent cx="2964180" cy="4150360"/>
            <wp:effectExtent l="0" t="0" r="7620" b="2540"/>
            <wp:wrapTopAndBottom/>
            <wp:docPr id="26" name="图片 26" descr="131d72450ead924d131578c255fa5e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131d72450ead924d131578c255fa5eb"/>
                    <pic:cNvPicPr>
                      <a:picLocks noChangeAspect="true"/>
                    </pic:cNvPicPr>
                  </pic:nvPicPr>
                  <pic:blipFill>
                    <a:blip r:embed="rId34"/>
                    <a:stretch>
                      <a:fillRect/>
                    </a:stretch>
                  </pic:blipFill>
                  <pic:spPr>
                    <a:xfrm>
                      <a:off x="0" y="0"/>
                      <a:ext cx="2964180" cy="4150360"/>
                    </a:xfrm>
                    <a:prstGeom prst="rect">
                      <a:avLst/>
                    </a:prstGeom>
                  </pic:spPr>
                </pic:pic>
              </a:graphicData>
            </a:graphic>
          </wp:anchor>
        </w:drawing>
      </w:r>
      <w:r>
        <w:rPr>
          <w:rFonts w:hint="eastAsia" w:ascii="仿宋_GB2312" w:hAnsi="仿宋_GB2312" w:eastAsia="仿宋_GB2312" w:cs="仿宋_GB2312"/>
          <w:sz w:val="32"/>
          <w:szCs w:val="32"/>
          <w:lang w:val="en-US" w:eastAsia="zh-CN"/>
        </w:rPr>
        <w:t>目前湛江尚未开发垃圾分类查询小程序，可以借鉴国务院开发的垃圾分类小程序，扫码，在城市中选择广州，参照广州的分类方法去查询具体垃圾分类即可。</w:t>
      </w: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z w:val="32"/>
          <w:szCs w:val="32"/>
        </w:rPr>
        <w:sectPr>
          <w:footerReference r:id="rId8" w:type="default"/>
          <w:pgSz w:w="11906" w:h="16838"/>
          <w:pgMar w:top="1440" w:right="1800" w:bottom="1440" w:left="1800" w:header="851" w:footer="992" w:gutter="0"/>
          <w:cols w:space="425" w:num="1"/>
          <w:docGrid w:type="lines" w:linePitch="312" w:charSpace="0"/>
        </w:sect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z w:val="32"/>
          <w:szCs w:val="32"/>
        </w:rPr>
      </w:pPr>
    </w:p>
    <w:sectPr>
      <w:footerReference r:id="rId9" w:type="default"/>
      <w:pgSz w:w="16838" w:h="11906"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2010600030101010101"/>
    <w:charset w:val="5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0" w:usb3="00000000" w:csb0="2000019F" w:csb1="00000000"/>
  </w:font>
  <w:font w:name="微软雅黑">
    <w:altName w:val="方正黑体_GBK"/>
    <w:panose1 w:val="020B0503020204020204"/>
    <w:charset w:val="86"/>
    <w:family w:val="auto"/>
    <w:pitch w:val="default"/>
    <w:sig w:usb0="00000000" w:usb1="00000000" w:usb2="00000016" w:usb3="00000000" w:csb0="0004001F" w:csb1="00000000"/>
  </w:font>
  <w:font w:name="仿宋_GB2312">
    <w:altName w:val="方正仿宋_GBK"/>
    <w:panose1 w:val="02010609030101010101"/>
    <w:charset w:val="86"/>
    <w:family w:val="modern"/>
    <w:pitch w:val="default"/>
    <w:sig w:usb0="00000000" w:usb1="00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楷体_GB2312">
    <w:altName w:val="方正楷体_GBK"/>
    <w:panose1 w:val="02010609030101010101"/>
    <w:charset w:val="86"/>
    <w:family w:val="modern"/>
    <w:pitch w:val="default"/>
    <w:sig w:usb0="00000000" w:usb1="00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37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37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71"/>
      <w:rPr>
        <w:rFonts w:ascii="Times New Roman" w:hAnsi="Times New Roman" w:eastAsia="Times New Roman" w:cs="Times New Roman"/>
      </w:rPr>
    </w:pPr>
    <w:r>
      <w:rPr>
        <w:rFonts w:ascii="Times New Roman" w:hAnsi="Times New Roman" w:eastAsia="Times New Roman" w:cs="Times New Roman"/>
      </w:rPr>
      <w:t>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329"/>
      <w:rPr>
        <w:rFonts w:ascii="宋体" w:hAnsi="宋体" w:eastAsia="宋体" w:cs="宋体"/>
        <w:sz w:val="16"/>
        <w:szCs w:val="16"/>
      </w:rPr>
    </w:pPr>
    <w:r>
      <w:rPr>
        <w:rFonts w:ascii="宋体" w:hAnsi="宋体" w:eastAsia="宋体" w:cs="宋体"/>
        <w:sz w:val="16"/>
        <w:szCs w:val="16"/>
      </w:rPr>
      <w:t>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73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4ZDgwODA1NGJhOTg2YWJkZWVlMGM5ZGVlYWE4OTYifQ=="/>
  </w:docVars>
  <w:rsids>
    <w:rsidRoot w:val="180D25F7"/>
    <w:rsid w:val="03DA401A"/>
    <w:rsid w:val="05030594"/>
    <w:rsid w:val="055118DF"/>
    <w:rsid w:val="064B6E05"/>
    <w:rsid w:val="069C6A5D"/>
    <w:rsid w:val="06B56F46"/>
    <w:rsid w:val="0A3B3FC7"/>
    <w:rsid w:val="0B044923"/>
    <w:rsid w:val="0BAC7F4B"/>
    <w:rsid w:val="0D430D3E"/>
    <w:rsid w:val="0F615BB7"/>
    <w:rsid w:val="0FE96B5F"/>
    <w:rsid w:val="1193658F"/>
    <w:rsid w:val="146A5422"/>
    <w:rsid w:val="180D25F7"/>
    <w:rsid w:val="18702CCD"/>
    <w:rsid w:val="19A83D44"/>
    <w:rsid w:val="1D167174"/>
    <w:rsid w:val="1FE05460"/>
    <w:rsid w:val="218433AB"/>
    <w:rsid w:val="22615701"/>
    <w:rsid w:val="257D3B6B"/>
    <w:rsid w:val="26952E79"/>
    <w:rsid w:val="27856A07"/>
    <w:rsid w:val="328F50CE"/>
    <w:rsid w:val="32EE56E7"/>
    <w:rsid w:val="35527136"/>
    <w:rsid w:val="387A6BFB"/>
    <w:rsid w:val="42A4204C"/>
    <w:rsid w:val="44814CCB"/>
    <w:rsid w:val="453E18DA"/>
    <w:rsid w:val="45EB68A1"/>
    <w:rsid w:val="485309E6"/>
    <w:rsid w:val="48AA6D84"/>
    <w:rsid w:val="49FB156F"/>
    <w:rsid w:val="4DE33D57"/>
    <w:rsid w:val="4FA16B9A"/>
    <w:rsid w:val="534D60B9"/>
    <w:rsid w:val="54284357"/>
    <w:rsid w:val="556E7FB9"/>
    <w:rsid w:val="55725BB7"/>
    <w:rsid w:val="5BF1303E"/>
    <w:rsid w:val="5D385380"/>
    <w:rsid w:val="5DB02F7E"/>
    <w:rsid w:val="5E80256B"/>
    <w:rsid w:val="618869F6"/>
    <w:rsid w:val="62320673"/>
    <w:rsid w:val="64D24220"/>
    <w:rsid w:val="666E44D5"/>
    <w:rsid w:val="699D34C9"/>
    <w:rsid w:val="6A255AE2"/>
    <w:rsid w:val="6A757F1E"/>
    <w:rsid w:val="6C2079AD"/>
    <w:rsid w:val="6D332E38"/>
    <w:rsid w:val="6D6D316D"/>
    <w:rsid w:val="6DEA7FA1"/>
    <w:rsid w:val="73045C56"/>
    <w:rsid w:val="73DE288F"/>
    <w:rsid w:val="74C07FDC"/>
    <w:rsid w:val="76014BDC"/>
    <w:rsid w:val="7AD06890"/>
    <w:rsid w:val="7C8D6192"/>
    <w:rsid w:val="7CFC06AD"/>
    <w:rsid w:val="F8FFCA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link w:val="20"/>
    <w:unhideWhenUsed/>
    <w:qFormat/>
    <w:uiPriority w:val="0"/>
    <w:pPr>
      <w:keepNext/>
      <w:keepLines/>
      <w:spacing w:before="50" w:beforeLines="50" w:after="0" w:afterLines="0" w:line="360" w:lineRule="auto"/>
      <w:ind w:leftChars="0" w:firstLine="883" w:firstLineChars="200"/>
      <w:jc w:val="left"/>
      <w:outlineLvl w:val="1"/>
    </w:pPr>
    <w:rPr>
      <w:rFonts w:ascii="Calibri Light" w:hAnsi="Calibri Light" w:eastAsia="黑体" w:cs="Times New Roman"/>
      <w:bCs/>
      <w:sz w:val="32"/>
      <w:szCs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semiHidden/>
    <w:qFormat/>
    <w:uiPriority w:val="0"/>
    <w:rPr>
      <w:rFonts w:ascii="黑体" w:hAnsi="黑体" w:eastAsia="黑体" w:cs="黑体"/>
      <w:sz w:val="15"/>
      <w:szCs w:val="15"/>
      <w:lang w:val="en-US" w:eastAsia="en-US" w:bidi="ar-SA"/>
    </w:rPr>
  </w:style>
  <w:style w:type="paragraph" w:styleId="6">
    <w:name w:val="Body Text Indent"/>
    <w:basedOn w:val="1"/>
    <w:semiHidden/>
    <w:unhideWhenUsed/>
    <w:qFormat/>
    <w:uiPriority w:val="99"/>
    <w:pPr>
      <w:spacing w:after="120"/>
      <w:ind w:left="420" w:leftChars="200"/>
    </w:pPr>
  </w:style>
  <w:style w:type="paragraph" w:styleId="7">
    <w:name w:val="Plain Text"/>
    <w:basedOn w:val="1"/>
    <w:qFormat/>
    <w:uiPriority w:val="0"/>
    <w:rPr>
      <w:rFonts w:ascii="宋体" w:hAnsi="Courier New"/>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9">
    <w:name w:val="Body Text First Indent 2"/>
    <w:basedOn w:val="6"/>
    <w:semiHidden/>
    <w:unhideWhenUsed/>
    <w:qFormat/>
    <w:uiPriority w:val="99"/>
    <w:pPr>
      <w:ind w:firstLine="42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Table Text"/>
    <w:basedOn w:val="1"/>
    <w:semiHidden/>
    <w:qFormat/>
    <w:uiPriority w:val="0"/>
    <w:rPr>
      <w:rFonts w:ascii="微软雅黑" w:hAnsi="微软雅黑" w:eastAsia="微软雅黑" w:cs="微软雅黑"/>
      <w:sz w:val="18"/>
      <w:szCs w:val="18"/>
      <w:lang w:val="en-US" w:eastAsia="en-US" w:bidi="ar-SA"/>
    </w:rPr>
  </w:style>
  <w:style w:type="table" w:customStyle="1" w:styleId="14">
    <w:name w:val="Table Normal"/>
    <w:semiHidden/>
    <w:unhideWhenUsed/>
    <w:qFormat/>
    <w:uiPriority w:val="0"/>
    <w:tblPr>
      <w:tblCellMar>
        <w:top w:w="0" w:type="dxa"/>
        <w:left w:w="0" w:type="dxa"/>
        <w:bottom w:w="0" w:type="dxa"/>
        <w:right w:w="0" w:type="dxa"/>
      </w:tblCellMar>
    </w:tblPr>
  </w:style>
  <w:style w:type="paragraph" w:customStyle="1" w:styleId="15">
    <w:name w:val="Table Paragraph"/>
    <w:basedOn w:val="1"/>
    <w:qFormat/>
    <w:uiPriority w:val="1"/>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WPSOffice手动目录 2"/>
    <w:qFormat/>
    <w:uiPriority w:val="0"/>
    <w:pPr>
      <w:ind w:leftChars="200"/>
    </w:pPr>
    <w:rPr>
      <w:rFonts w:ascii="Times New Roman" w:hAnsi="Times New Roman" w:eastAsia="宋体" w:cs="Times New Roman"/>
      <w:sz w:val="20"/>
      <w:szCs w:val="20"/>
    </w:rPr>
  </w:style>
  <w:style w:type="paragraph" w:customStyle="1" w:styleId="18">
    <w:name w:val="Body Text First Indent 21"/>
    <w:basedOn w:val="19"/>
    <w:qFormat/>
    <w:uiPriority w:val="0"/>
    <w:pPr>
      <w:ind w:left="-2"/>
    </w:pPr>
    <w:rPr>
      <w:rFonts w:ascii="仿宋_GB2312" w:hAnsi="Times New Roman" w:eastAsia="仿宋_GB2312"/>
    </w:rPr>
  </w:style>
  <w:style w:type="paragraph" w:customStyle="1" w:styleId="19">
    <w:name w:val="Body Text Indent1"/>
    <w:basedOn w:val="1"/>
    <w:qFormat/>
    <w:uiPriority w:val="0"/>
    <w:pPr>
      <w:spacing w:line="560" w:lineRule="exact"/>
      <w:ind w:left="300"/>
    </w:pPr>
    <w:rPr>
      <w:rFonts w:ascii="Calibri" w:hAnsi="Calibri" w:eastAsia="宋体"/>
      <w:sz w:val="24"/>
    </w:rPr>
  </w:style>
  <w:style w:type="character" w:customStyle="1" w:styleId="20">
    <w:name w:val="标题 2 字符"/>
    <w:link w:val="3"/>
    <w:qFormat/>
    <w:uiPriority w:val="0"/>
    <w:rPr>
      <w:rFonts w:ascii="Calibri Light" w:hAnsi="Calibri Light" w:eastAsia="黑体" w:cs="Times New Roman"/>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0</Words>
  <Characters>0</Characters>
  <Lines>0</Lines>
  <Paragraphs>0</Paragraphs>
  <TotalTime>5</TotalTime>
  <ScaleCrop>false</ScaleCrop>
  <LinksUpToDate>false</LinksUpToDate>
  <CharactersWithSpaces>0</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2024-04-15T12:03:00Z</dcterms:created>
  <dc:creator>芳华</dc:creator>
  <cp:lastModifiedBy>ht123</cp:lastModifiedBy>
  <dcterms:modified xsi:type="dcterms:W3CDTF">2024-09-26T17:20:33Z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884677512B62472085B9D01D7AC0F81D_13</vt:lpwstr>
  </property>
</Properties>
</file>